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2300" w:right="380" w:hanging="1232"/>
        <w:spacing w:after="0" w:line="266" w:lineRule="auto"/>
        <w:tabs>
          <w:tab w:leader="none" w:pos="2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25" w:lineRule="exact"/>
        <w:rPr>
          <w:sz w:val="24"/>
          <w:szCs w:val="24"/>
          <w:color w:val="auto"/>
        </w:rPr>
      </w:pPr>
    </w:p>
    <w:p>
      <w:pPr>
        <w:ind w:left="2300" w:right="380" w:hanging="1232"/>
        <w:spacing w:after="0" w:line="282" w:lineRule="auto"/>
        <w:tabs>
          <w:tab w:leader="none" w:pos="2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814-01180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Runway Growth Credit Fund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8"/>
              </w:rPr>
              <w:t>Maryland</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(State of incorporation)</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205 N. Michigan Ave., Suite 4200</w:t>
            </w:r>
          </w:p>
        </w:tc>
        <w:tc>
          <w:tcPr>
            <w:tcW w:w="4160" w:type="dxa"/>
            <w:vAlign w:val="bottom"/>
          </w:tcPr>
          <w:p>
            <w:pPr>
              <w:spacing w:after="0"/>
              <w:rPr>
                <w:sz w:val="24"/>
                <w:szCs w:val="24"/>
                <w:color w:val="auto"/>
              </w:rPr>
            </w:pPr>
          </w:p>
        </w:tc>
      </w:t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Chicago, IL</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60601</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281-6270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729" w:right="2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N/A</w:t>
      </w:r>
    </w:p>
    <w:p>
      <w:pPr>
        <w:spacing w:after="0" w:line="166" w:lineRule="exact"/>
        <w:rPr>
          <w:sz w:val="24"/>
          <w:szCs w:val="24"/>
          <w:color w:val="auto"/>
        </w:rPr>
      </w:pPr>
    </w:p>
    <w:p>
      <w:pPr>
        <w:sectPr>
          <w:pgSz w:w="11900" w:h="16838" w:orient="portrait"/>
          <w:cols w:equalWidth="0" w:num="3">
            <w:col w:w="2940" w:space="720"/>
            <w:col w:w="2940" w:space="720"/>
            <w:col w:w="4100"/>
          </w:cols>
          <w:pgMar w:left="240" w:top="729" w:right="239" w:bottom="1440" w:gutter="0" w:footer="0" w:header="0"/>
          <w:type w:val="continuous"/>
        </w:sect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29" w:right="239" w:bottom="1440"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5000" w:space="720"/>
            <w:col w:w="5700"/>
          </w:cols>
          <w:pgMar w:left="240" w:top="729"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729" w:right="239" w:bottom="1440" w:gutter="0" w:footer="0" w:header="0"/>
          <w:type w:val="continuous"/>
        </w:sectPr>
      </w:pPr>
    </w:p>
    <w:p>
      <w:pPr>
        <w:spacing w:after="0" w:line="281"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issuer had 21,990,715 shares of common stock, $0.01 par value per share, outstanding as of November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12"/>
          </w:tcPr>
          <w:p>
            <w:pPr>
              <w:jc w:val="center"/>
              <w:ind w:right="2960"/>
              <w:spacing w:after="0"/>
              <w:rPr>
                <w:sz w:val="20"/>
                <w:szCs w:val="20"/>
                <w:color w:val="auto"/>
              </w:rPr>
            </w:pPr>
            <w:r>
              <w:rPr>
                <w:rFonts w:ascii="Arial" w:cs="Arial" w:eastAsia="Arial" w:hAnsi="Arial"/>
                <w:sz w:val="18"/>
                <w:szCs w:val="18"/>
                <w:b w:val="1"/>
                <w:bCs w:val="1"/>
                <w:color w:val="auto"/>
              </w:rPr>
              <w:t>RUNWAY GROWTH CREDIT FUND INC.</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00" w:type="dxa"/>
            <w:vAlign w:val="bottom"/>
            <w:gridSpan w:val="15"/>
          </w:tcPr>
          <w:p>
            <w:pPr>
              <w:jc w:val="center"/>
              <w:ind w:right="2360"/>
              <w:spacing w:after="0"/>
              <w:rPr>
                <w:sz w:val="20"/>
                <w:szCs w:val="20"/>
                <w:color w:val="auto"/>
              </w:rPr>
            </w:pPr>
            <w:r>
              <w:rPr>
                <w:rFonts w:ascii="Arial" w:cs="Arial" w:eastAsia="Arial" w:hAnsi="Arial"/>
                <w:sz w:val="18"/>
                <w:szCs w:val="18"/>
                <w:b w:val="1"/>
                <w:bCs w:val="1"/>
                <w:color w:val="auto"/>
                <w:w w:val="98"/>
              </w:rPr>
              <w:t>FORM 10-Q FOR THE QUARTER ENDED SEPTEMBER 30, 2019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40" w:type="dxa"/>
            <w:vAlign w:val="bottom"/>
            <w:gridSpan w:val="10"/>
          </w:tcPr>
          <w:p>
            <w:pPr>
              <w:jc w:val="center"/>
              <w:ind w:right="4200"/>
              <w:spacing w:after="0"/>
              <w:rPr>
                <w:sz w:val="20"/>
                <w:szCs w:val="20"/>
                <w:color w:val="auto"/>
              </w:rPr>
            </w:pPr>
            <w:r>
              <w:rPr>
                <w:rFonts w:ascii="Arial" w:cs="Arial" w:eastAsia="Arial" w:hAnsi="Arial"/>
                <w:sz w:val="18"/>
                <w:szCs w:val="18"/>
                <w:b w:val="1"/>
                <w:bCs w:val="1"/>
                <w:color w:val="auto"/>
                <w:w w:val="89"/>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8"/>
          </w:tcPr>
          <w:p>
            <w:pPr>
              <w:ind w:left="20"/>
              <w:spacing w:after="0"/>
              <w:rPr>
                <w:sz w:val="20"/>
                <w:szCs w:val="20"/>
                <w:color w:val="auto"/>
              </w:rPr>
            </w:pPr>
            <w:r>
              <w:rPr>
                <w:rFonts w:ascii="Arial" w:cs="Arial" w:eastAsia="Arial" w:hAnsi="Arial"/>
                <w:sz w:val="18"/>
                <w:szCs w:val="18"/>
                <w:b w:val="1"/>
                <w:bCs w:val="1"/>
                <w:color w:val="auto"/>
              </w:rPr>
              <w:t>INDEX</w:t>
            </w:r>
          </w:p>
        </w:tc>
        <w:tc>
          <w:tcPr>
            <w:tcW w:w="7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9"/>
              </w:rPr>
              <w:t>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4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Statements of Assets and Liabilities as of September 30, 2019 (unaudited) and December 31, 2018</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Operations for the three and nine months ended September 30, 2019 and 2018 (unaudited)</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for the three and nine months ended September 30, 2019 and 2018 (unaudited)</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Cash Flows for the nine months ended September 30, 2019 and 2018 (unaudited)</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Schedule of Investments as of September 30, 2019 (unaudited)</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Schedule of Investments as of December 31, 2018</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Notes to Financial Statements (unaudited)</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3.</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p>
        </w:tc>
        <w:tc>
          <w:tcPr>
            <w:tcW w:w="94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INFORMATION</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2.</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3.</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Defaults Upon Senior Securities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4.</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5.</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7"/>
            <w:shd w:val="clear" w:color="auto" w:fill="CCEEFF"/>
          </w:tcPr>
          <w:p>
            <w:pPr>
              <w:ind w:left="4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6.</w:t>
              </w:r>
            </w:hyperlink>
          </w:p>
        </w:tc>
        <w:tc>
          <w:tcPr>
            <w:tcW w:w="94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rPr>
              <w:t>RUNWAY GROWTH CREDIT FUND INC.</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Statements of Assets and Liabilities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Non-control/non-affiliate investments at fair value (cost of $365,612,439 and $223,851,892,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357,738,881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224,248,389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Investment in U.S. Treasury Bills at fair value (cost of $59,970,914 and $79,959,928, respectively)</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59,970,914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79,959,928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investments at fair value (cost of $425,583,353 and $303,811,820, respectively)</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417,709,795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2,668,355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409,735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Subscriptions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649,123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1,609,587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482,636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120,064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423,653,175</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308,221,374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Credit facilities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65,000,000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credit facility fees (net of accumulated amortization of $73,880 and $18,470, respectively)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(1,034,317)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Arial" w:cs="Arial" w:eastAsia="Arial" w:hAnsi="Arial"/>
                <w:sz w:val="18"/>
                <w:szCs w:val="18"/>
                <w:color w:val="auto"/>
              </w:rPr>
              <w:t>Total debt, less unamortized deferred financing costs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63,965,683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59,370,241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Payable for securities purchased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Reverse repurchase agreement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59,671,060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incentive fees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2,639,490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811,203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Due to affiliate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111,685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394,060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989,443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388,666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128,582,624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140,851,979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100,000,000 shares authorized; 20,324,150 and 11,056,595 shares issued and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outstanding, respectively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203,241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302,860,650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162,568,188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Distributable (losses) earnings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(7,993,340)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4,690,641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295,070,551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167,369,395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40" w:type="dxa"/>
            <w:vAlign w:val="bottom"/>
            <w:tcBorders>
              <w:bottom w:val="single" w:sz="8" w:color="auto"/>
            </w:tcBorders>
          </w:tcPr>
          <w:p>
            <w:pPr>
              <w:jc w:val="center"/>
              <w:ind w:left="2970"/>
              <w:spacing w:after="0"/>
              <w:rPr>
                <w:sz w:val="20"/>
                <w:szCs w:val="20"/>
                <w:color w:val="auto"/>
              </w:rPr>
            </w:pPr>
            <w:r>
              <w:rPr>
                <w:rFonts w:ascii="Arial" w:cs="Arial" w:eastAsia="Arial" w:hAnsi="Arial"/>
                <w:sz w:val="18"/>
                <w:szCs w:val="18"/>
                <w:color w:val="auto"/>
                <w:w w:val="79"/>
              </w:rPr>
              <w:t>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120" w:type="dxa"/>
            <w:vAlign w:val="bottom"/>
          </w:tcPr>
          <w:p>
            <w:pPr>
              <w:spacing w:after="0"/>
              <w:rPr>
                <w:sz w:val="20"/>
                <w:szCs w:val="20"/>
                <w:color w:val="auto"/>
              </w:rPr>
            </w:pPr>
          </w:p>
        </w:tc>
        <w:tc>
          <w:tcPr>
            <w:tcW w:w="280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From non-control/non-affiliate: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11,082,660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5,446,310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38,667,854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Payment in-kind interest income</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543,581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1,105,928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146,668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394,397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Interest income from U.S. Treasury Bills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106,374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 from non-investment sources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106,250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investment income</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11,834,485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5,516,079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40,380,803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13,295,692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1,238,835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1,203,125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3,645,085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1,669,053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479,538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6,285,048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217,741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702,244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413,066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188,986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661,548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Overhead allocation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185,016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602,677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Administration fee</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97,995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49,054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382,860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Directors’ fees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24,311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60,025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847,006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195,892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4,329,742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2,411,145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13,432,025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5,862,806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7,504,743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26,948,778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Realized gain on non-control/non-affiliate investments</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493,308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(loss) on U.S. Treasury Bills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w w:val="93"/>
              </w:rPr>
              <w:t>Net change in unrealized appreciation (depreciation) on non-control/non-</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affiliate investments</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(2,782,423)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493,209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(8,270,054)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(302,017)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Net change in unrealized appreciation (depreciation) on U.S. Treasury</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Bills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realized and unrealized gain (loss) on investments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(2,783,389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493,648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(7,777,712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(241,786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4,721,354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3,598,582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19,171,066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7,191,100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Net increase in net assets resulting from operations per common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19,990,416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8,865,358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17,520,157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8,742,743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jc w:val="center"/>
              <w:ind w:left="3890"/>
              <w:spacing w:after="0"/>
              <w:rPr>
                <w:sz w:val="20"/>
                <w:szCs w:val="20"/>
                <w:color w:val="auto"/>
              </w:rPr>
            </w:pPr>
            <w:r>
              <w:rPr>
                <w:rFonts w:ascii="Arial" w:cs="Arial" w:eastAsia="Arial" w:hAnsi="Arial"/>
                <w:sz w:val="18"/>
                <w:szCs w:val="18"/>
                <w:b w:val="1"/>
                <w:bCs w:val="1"/>
                <w:color w:val="auto"/>
              </w:rPr>
              <w:t>RUNWAY GROWTH CREDIT FUND INC.</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w w:val="87"/>
              </w:rPr>
              <w:t>Statements of Changes in Net Assets</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7,504,743</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3,104,934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investments and U.S. Treasury Bills</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 and U.S. Treasury Bills</w:t>
            </w:r>
          </w:p>
        </w:tc>
        <w:tc>
          <w:tcPr>
            <w:tcW w:w="10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(2,782,423)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493,648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4,721,354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3,598,582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shareholders from:</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0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(9,722,745)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(2,184,724)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distributions to shareholders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(9,722,745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(2,184,724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dividend reinvestment plan</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7,735,702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7,735,702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31,754,244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2,734,311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33,168,102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292,336,240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130,378,215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assets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295,070,551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163,546,317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Nine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26,948,778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7,432,886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 and U.S. Treasury Bills</w:t>
            </w:r>
          </w:p>
        </w:tc>
        <w:tc>
          <w:tcPr>
            <w:tcW w:w="10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(8,270,054)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(301,578)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19,171,066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shareholders from:</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0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(31,855,047)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(3,484,974)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distributions to shareholders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(31,855,047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(3,484,974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115,000,000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dividend reinvestment plan</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25,385,137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2,799,814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140,385,137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32,799,814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127,701,156</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36,505,940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167,369,395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127,040,377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295,070,551</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163,546,317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9,267,555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2,185,482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Shares outstanding at beginning of period</w:t>
            </w:r>
          </w:p>
        </w:tc>
        <w:tc>
          <w:tcPr>
            <w:tcW w:w="10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11,056,595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8,668,334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 at end of period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20,324,150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jc w:val="center"/>
              <w:ind w:left="3890"/>
              <w:spacing w:after="0"/>
              <w:rPr>
                <w:sz w:val="20"/>
                <w:szCs w:val="20"/>
                <w:color w:val="auto"/>
              </w:rPr>
            </w:pPr>
            <w:r>
              <w:rPr>
                <w:rFonts w:ascii="Arial" w:cs="Arial" w:eastAsia="Arial" w:hAnsi="Arial"/>
                <w:sz w:val="18"/>
                <w:szCs w:val="18"/>
                <w:b w:val="1"/>
                <w:bCs w:val="1"/>
                <w:color w:val="auto"/>
              </w:rPr>
              <w:t>RUNWAY GROWTH CREDIT FUND INC.</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w w:val="88"/>
              </w:rPr>
              <w:t>Statements of Cash Flows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Nine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September 30,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September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19,171,066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7,191,100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increase in net assets resulting from operations to net cash provided</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by (used in) operating activities:</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(225,533,774)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(83,214,914)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U.S. Treasury Bills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(215,871,217)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(190,456,264)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Payment in-kind interest</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(1,105,928)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 or maturity of investments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94,103,017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11,468,353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Sale or maturity of U.S. Treasury Bills</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235,966,606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211,503,227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gain on non-control/non-affiliate investments, including U.S. Treasury Bills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6"/>
              </w:rPr>
              <w:t>Net change in unrealized (appreciation) depreciation on non-control/non-affiliate investments</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8,270,054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302,017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(appreciation) depreciation on U.S. Treasury Bills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fixed income premiums or discounts</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(8,837,895)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(3,170,957)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credit facility fees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 accounts receivable</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(441,476)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Payable for securities purchased</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(80,699)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(18,995,710)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Accrued incentive fees</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1,567,924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479,538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to portfolio company</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Due to affiliate</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(5,012)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600,777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252,786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(92,769,222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(68,417,810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offering costs</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(306,870)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credit facility fees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(1,086,129)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Borrowings under credit facilities</w:t>
            </w:r>
          </w:p>
        </w:tc>
        <w:tc>
          <w:tcPr>
            <w:tcW w:w="12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82,750,000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under credit facilities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reverse purchase agreements</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214,791,620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44,775,000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reverse purchase agreements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(234,680,689)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Dividends paid to shareholders</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(6,307,829)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(685,160)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received from common stock issued</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115,000,000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29,765,456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92,910,103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73,664,956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(140,881)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5,247,146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2,527,474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8,141,670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2,668,355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13,388,816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and non-cash financing cash flow information:</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182,986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247,818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dividend reinvestments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25,385,137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2,799,814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9"/>
              </w:rPr>
              <w:t>Portfolio Companies</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Sub-Industry</w:t>
            </w:r>
          </w:p>
        </w:tc>
        <w:tc>
          <w:tcPr>
            <w:tcW w:w="4100" w:type="dxa"/>
            <w:vAlign w:val="bottom"/>
            <w:gridSpan w:val="2"/>
          </w:tcPr>
          <w:p>
            <w:pPr>
              <w:ind w:left="1300"/>
              <w:spacing w:after="0"/>
              <w:rPr>
                <w:sz w:val="20"/>
                <w:szCs w:val="20"/>
                <w:color w:val="auto"/>
              </w:rPr>
            </w:pPr>
            <w:r>
              <w:rPr>
                <w:rFonts w:ascii="Arial" w:cs="Arial" w:eastAsia="Arial" w:hAnsi="Arial"/>
                <w:sz w:val="14"/>
                <w:szCs w:val="14"/>
                <w:b w:val="1"/>
                <w:bCs w:val="1"/>
                <w:color w:val="auto"/>
              </w:rPr>
              <w:t>Investment Description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0" w:type="dxa"/>
            <w:vAlign w:val="bottom"/>
          </w:tcPr>
          <w:p>
            <w:pPr>
              <w:spacing w:after="0"/>
              <w:rPr>
                <w:sz w:val="16"/>
                <w:szCs w:val="16"/>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4000" w:type="dxa"/>
            <w:vAlign w:val="bottom"/>
          </w:tcPr>
          <w:p>
            <w:pPr>
              <w:ind w:left="1600"/>
              <w:spacing w:after="0"/>
              <w:rPr>
                <w:sz w:val="20"/>
                <w:szCs w:val="20"/>
                <w:color w:val="auto"/>
              </w:rPr>
            </w:pPr>
            <w:r>
              <w:rPr>
                <w:rFonts w:ascii="Arial" w:cs="Arial" w:eastAsia="Arial" w:hAnsi="Arial"/>
                <w:sz w:val="12"/>
                <w:szCs w:val="12"/>
                <w:b w:val="1"/>
                <w:bCs w:val="1"/>
                <w:color w:val="auto"/>
              </w:rPr>
              <w:t>(1),(2),(5),(6),(11)</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60" w:type="dxa"/>
            <w:vAlign w:val="bottom"/>
            <w:gridSpan w:val="2"/>
          </w:tcPr>
          <w:p>
            <w:pPr>
              <w:ind w:left="10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(2)</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w:t>
            </w:r>
          </w:p>
        </w:tc>
        <w:tc>
          <w:tcPr>
            <w:tcW w:w="4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auto"/>
            </w:tcBorders>
            <w:gridSpan w:val="2"/>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40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Term Loans</w:t>
            </w:r>
          </w:p>
        </w:tc>
        <w:tc>
          <w:tcPr>
            <w:tcW w:w="4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6" w:lineRule="exact"/>
              <w:rPr>
                <w:sz w:val="20"/>
                <w:szCs w:val="20"/>
                <w:color w:val="auto"/>
              </w:rPr>
            </w:pPr>
            <w:r>
              <w:rPr>
                <w:rFonts w:ascii="Arial" w:cs="Arial" w:eastAsia="Arial" w:hAnsi="Arial"/>
                <w:sz w:val="14"/>
                <w:szCs w:val="14"/>
                <w:color w:val="auto"/>
              </w:rPr>
              <w:t>Aginity, Inc.</w:t>
            </w:r>
          </w:p>
        </w:tc>
        <w:tc>
          <w:tcPr>
            <w:tcW w:w="1380" w:type="dxa"/>
            <w:vAlign w:val="bottom"/>
            <w:gridSpan w:val="2"/>
            <w:shd w:val="clear" w:color="auto" w:fill="CCEEFF"/>
          </w:tcPr>
          <w:p>
            <w:pPr>
              <w:jc w:val="center"/>
              <w:spacing w:after="0" w:line="136" w:lineRule="exact"/>
              <w:rPr>
                <w:sz w:val="20"/>
                <w:szCs w:val="20"/>
                <w:color w:val="auto"/>
              </w:rPr>
            </w:pPr>
            <w:r>
              <w:rPr>
                <w:rFonts w:ascii="Arial" w:cs="Arial" w:eastAsia="Arial" w:hAnsi="Arial"/>
                <w:sz w:val="14"/>
                <w:szCs w:val="14"/>
                <w:color w:val="auto"/>
                <w:w w:val="95"/>
              </w:rPr>
              <w:t>Application Software</w:t>
            </w:r>
          </w:p>
        </w:tc>
        <w:tc>
          <w:tcPr>
            <w:tcW w:w="41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4"/>
                <w:szCs w:val="14"/>
                <w:color w:val="auto"/>
              </w:rPr>
              <w:t>Tranche I: LIBOR+10.5% PIK, 12.50% floor, 5% ETP, due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0" w:type="dxa"/>
            <w:vAlign w:val="bottom"/>
            <w:shd w:val="clear" w:color="auto" w:fill="CCEEFF"/>
          </w:tcPr>
          <w:p>
            <w:pPr>
              <w:ind w:left="80"/>
              <w:spacing w:after="0" w:line="202" w:lineRule="exact"/>
              <w:rPr>
                <w:sz w:val="20"/>
                <w:szCs w:val="20"/>
                <w:color w:val="auto"/>
              </w:rPr>
            </w:pPr>
            <w:r>
              <w:rPr>
                <w:rFonts w:ascii="Arial" w:cs="Arial" w:eastAsia="Arial" w:hAnsi="Arial"/>
                <w:sz w:val="23"/>
                <w:szCs w:val="23"/>
                <w:color w:val="auto"/>
                <w:vertAlign w:val="subscript"/>
              </w:rPr>
              <w:t>11/30/2019</w:t>
            </w:r>
            <w:r>
              <w:rPr>
                <w:rFonts w:ascii="Arial" w:cs="Arial" w:eastAsia="Arial" w:hAnsi="Arial"/>
                <w:sz w:val="11"/>
                <w:szCs w:val="11"/>
                <w:b w:val="1"/>
                <w:bCs w:val="1"/>
                <w:color w:val="auto"/>
              </w:rPr>
              <w:t xml:space="preserve"> (4),(8),(13)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5/25/2018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7,386,026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  7,232,349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  2,902,501</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1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4"/>
                <w:szCs w:val="14"/>
                <w:color w:val="auto"/>
              </w:rPr>
              <w:t>Tranche II: LIBOR+10.5% PIK, 12.50% floor, Extension line, due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0" w:type="dxa"/>
            <w:vAlign w:val="bottom"/>
            <w:shd w:val="clear" w:color="auto" w:fill="CCEEFF"/>
          </w:tcPr>
          <w:p>
            <w:pPr>
              <w:ind w:left="80"/>
              <w:spacing w:after="0" w:line="202" w:lineRule="exact"/>
              <w:rPr>
                <w:sz w:val="20"/>
                <w:szCs w:val="20"/>
                <w:color w:val="auto"/>
              </w:rPr>
            </w:pPr>
            <w:r>
              <w:rPr>
                <w:rFonts w:ascii="Arial" w:cs="Arial" w:eastAsia="Arial" w:hAnsi="Arial"/>
                <w:sz w:val="23"/>
                <w:szCs w:val="23"/>
                <w:color w:val="auto"/>
                <w:vertAlign w:val="subscript"/>
              </w:rPr>
              <w:t>11/30/2019</w:t>
            </w:r>
            <w:r>
              <w:rPr>
                <w:rFonts w:ascii="Arial" w:cs="Arial" w:eastAsia="Arial" w:hAnsi="Arial"/>
                <w:sz w:val="11"/>
                <w:szCs w:val="11"/>
                <w:b w:val="1"/>
                <w:bCs w:val="1"/>
                <w:color w:val="auto"/>
              </w:rPr>
              <w:t xml:space="preserve"> (4),(8)(13)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7/25/2019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1,625,000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1,625,000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1,478,623</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Aria Systems, Inc.</w:t>
            </w:r>
          </w:p>
        </w:tc>
        <w:tc>
          <w:tcPr>
            <w:tcW w:w="13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Application Software</w:t>
            </w:r>
          </w:p>
        </w:tc>
        <w:tc>
          <w:tcPr>
            <w:tcW w:w="4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LIBOR+9.00%, 11.35% floor, 4.5% ETP, due 12/15/2021</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6/29/2018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24,828,225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24,473,907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Brilliant Earth,</w:t>
            </w:r>
          </w:p>
        </w:tc>
        <w:tc>
          <w:tcPr>
            <w:tcW w:w="138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Internet Retail</w:t>
            </w:r>
          </w:p>
        </w:tc>
        <w:tc>
          <w:tcPr>
            <w:tcW w:w="4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LIBOR+8.25%, 10.40% floor, 4.5% ETP, due 4/15/2023</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9/30/2019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35,000,000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33,579,317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33,579,317</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CareCloud</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Health Care</w:t>
            </w:r>
          </w:p>
        </w:tc>
        <w:tc>
          <w:tcPr>
            <w:tcW w:w="410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2"/>
                <w:szCs w:val="12"/>
                <w:color w:val="auto"/>
              </w:rPr>
              <w:t xml:space="preserve">Prime+7.00%, 11.75% floor, 3.5% ETP, due 6/15/2022 </w:t>
            </w:r>
            <w:r>
              <w:rPr>
                <w:rFonts w:ascii="Arial" w:cs="Arial" w:eastAsia="Arial" w:hAnsi="Arial"/>
                <w:sz w:val="18"/>
                <w:szCs w:val="18"/>
                <w:color w:val="auto"/>
                <w:vertAlign w:val="superscript"/>
              </w:rPr>
              <w:t>(14)</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6/19/2018</w:t>
            </w:r>
          </w:p>
        </w:tc>
        <w:tc>
          <w:tcPr>
            <w:tcW w:w="10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25,000,000</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24,883,287</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24,325,745</w:t>
            </w:r>
          </w:p>
        </w:tc>
        <w:tc>
          <w:tcPr>
            <w:tcW w:w="2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Corporation</w:t>
            </w:r>
          </w:p>
        </w:tc>
        <w:tc>
          <w:tcPr>
            <w:tcW w:w="138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4"/>
                <w:szCs w:val="14"/>
                <w:color w:val="auto"/>
                <w:w w:val="93"/>
              </w:rPr>
              <w:t>Technology</w:t>
            </w:r>
          </w:p>
        </w:tc>
        <w:tc>
          <w:tcPr>
            <w:tcW w:w="4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80" w:type="dxa"/>
            <w:vAlign w:val="bottom"/>
            <w:gridSpan w:val="3"/>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Circadence</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Application Software</w:t>
            </w:r>
          </w:p>
        </w:tc>
        <w:tc>
          <w:tcPr>
            <w:tcW w:w="410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2"/>
                <w:szCs w:val="12"/>
                <w:color w:val="auto"/>
              </w:rPr>
              <w:t xml:space="preserve">LIBOR+9.5%, 12.00% floor, 5% ETP, due 6/15/2022 </w:t>
            </w:r>
            <w:r>
              <w:rPr>
                <w:rFonts w:ascii="Arial" w:cs="Arial" w:eastAsia="Arial" w:hAnsi="Arial"/>
                <w:sz w:val="18"/>
                <w:szCs w:val="18"/>
                <w:color w:val="auto"/>
                <w:vertAlign w:val="superscript"/>
              </w:rPr>
              <w:t>(18)</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12/20/2018</w:t>
            </w:r>
          </w:p>
        </w:tc>
        <w:tc>
          <w:tcPr>
            <w:tcW w:w="10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18,000,000</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15,478,017</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15,478,017</w:t>
            </w:r>
          </w:p>
        </w:tc>
        <w:tc>
          <w:tcPr>
            <w:tcW w:w="2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Corporation</w:t>
            </w: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80" w:type="dxa"/>
            <w:vAlign w:val="bottom"/>
            <w:gridSpan w:val="3"/>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5"/>
              </w:rPr>
              <w:t>Cloud Passage, Inc.</w:t>
            </w:r>
          </w:p>
        </w:tc>
        <w:tc>
          <w:tcPr>
            <w:tcW w:w="1380" w:type="dxa"/>
            <w:vAlign w:val="bottom"/>
            <w:gridSpan w:val="2"/>
            <w:shd w:val="clear" w:color="auto" w:fill="CCEEFF"/>
          </w:tcPr>
          <w:p>
            <w:pPr>
              <w:jc w:val="center"/>
              <w:ind w:right="20"/>
              <w:spacing w:after="0" w:line="130" w:lineRule="exact"/>
              <w:rPr>
                <w:sz w:val="20"/>
                <w:szCs w:val="20"/>
                <w:color w:val="auto"/>
              </w:rPr>
            </w:pPr>
            <w:r>
              <w:rPr>
                <w:rFonts w:ascii="Arial" w:cs="Arial" w:eastAsia="Arial" w:hAnsi="Arial"/>
                <w:sz w:val="14"/>
                <w:szCs w:val="14"/>
                <w:color w:val="auto"/>
                <w:w w:val="93"/>
              </w:rPr>
              <w:t>Data Processing &amp;</w:t>
            </w:r>
          </w:p>
        </w:tc>
        <w:tc>
          <w:tcPr>
            <w:tcW w:w="4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LIBOR+7.50%, 1% PIK, 11.75% floor, 2.75% ETP, due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Outsourced Services</w:t>
            </w:r>
          </w:p>
        </w:tc>
        <w:tc>
          <w:tcPr>
            <w:tcW w:w="4000" w:type="dxa"/>
            <w:vAlign w:val="bottom"/>
            <w:shd w:val="clear" w:color="auto" w:fill="CCEEFF"/>
          </w:tcPr>
          <w:p>
            <w:pPr>
              <w:ind w:left="80"/>
              <w:spacing w:after="0" w:line="208" w:lineRule="exact"/>
              <w:rPr>
                <w:sz w:val="20"/>
                <w:szCs w:val="20"/>
                <w:color w:val="auto"/>
              </w:rPr>
            </w:pPr>
            <w:r>
              <w:rPr>
                <w:rFonts w:ascii="Arial" w:cs="Arial" w:eastAsia="Arial" w:hAnsi="Arial"/>
                <w:sz w:val="14"/>
                <w:szCs w:val="14"/>
                <w:color w:val="auto"/>
              </w:rPr>
              <w:t>6/13/2023</w:t>
            </w:r>
            <w:r>
              <w:rPr>
                <w:rFonts w:ascii="Arial" w:cs="Arial" w:eastAsia="Arial" w:hAnsi="Arial"/>
                <w:sz w:val="23"/>
                <w:szCs w:val="23"/>
                <w:b w:val="1"/>
                <w:bCs w:val="1"/>
                <w:color w:val="auto"/>
                <w:vertAlign w:val="superscript"/>
              </w:rPr>
              <w:t>(4)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6/13/2019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7,519,600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7,219,297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7,219,297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Dejero Labs Inc.</w:t>
            </w: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Data Processing &amp;</w:t>
            </w:r>
          </w:p>
        </w:tc>
        <w:tc>
          <w:tcPr>
            <w:tcW w:w="410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2"/>
                <w:szCs w:val="12"/>
                <w:color w:val="auto"/>
              </w:rPr>
              <w:t xml:space="preserve">LIBOR+9.25%, 11.75% floor, 4.5% ETP, due 5/31/2023 </w:t>
            </w:r>
            <w:r>
              <w:rPr>
                <w:rFonts w:ascii="Arial" w:cs="Arial" w:eastAsia="Arial" w:hAnsi="Arial"/>
                <w:sz w:val="18"/>
                <w:szCs w:val="18"/>
                <w:color w:val="auto"/>
                <w:vertAlign w:val="superscript"/>
              </w:rPr>
              <w:t>(3),(7)</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5/31/2019</w:t>
            </w:r>
          </w:p>
        </w:tc>
        <w:tc>
          <w:tcPr>
            <w:tcW w:w="10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11,000,000</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10,736,560</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10,736,560</w:t>
            </w:r>
          </w:p>
        </w:tc>
        <w:tc>
          <w:tcPr>
            <w:tcW w:w="2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Outsourced Services</w:t>
            </w:r>
          </w:p>
        </w:tc>
        <w:tc>
          <w:tcPr>
            <w:tcW w:w="4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80" w:type="dxa"/>
            <w:vAlign w:val="bottom"/>
            <w:gridSpan w:val="3"/>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Dtex Systems, Inc.</w:t>
            </w:r>
          </w:p>
        </w:tc>
        <w:tc>
          <w:tcPr>
            <w:tcW w:w="138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4"/>
                <w:szCs w:val="14"/>
                <w:color w:val="auto"/>
                <w:w w:val="95"/>
              </w:rPr>
              <w:t>Application Software</w:t>
            </w:r>
          </w:p>
        </w:tc>
        <w:tc>
          <w:tcPr>
            <w:tcW w:w="410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4"/>
                <w:szCs w:val="14"/>
                <w:color w:val="auto"/>
              </w:rPr>
              <w:t>LIBOR+9.15%, 11.50% floor, 11.5% cash cap, 4%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11/15/2021 </w:t>
            </w:r>
            <w:r>
              <w:rPr>
                <w:rFonts w:ascii="Arial" w:cs="Arial" w:eastAsia="Arial" w:hAnsi="Arial"/>
                <w:sz w:val="22"/>
                <w:szCs w:val="22"/>
                <w:color w:val="auto"/>
                <w:vertAlign w:val="superscript"/>
              </w:rPr>
              <w:t>(15)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6/1/2018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8,363,015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8,432,015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8,432,015</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8"/>
              </w:rPr>
              <w:t>Echo 360 Holdings,</w:t>
            </w:r>
          </w:p>
        </w:tc>
        <w:tc>
          <w:tcPr>
            <w:tcW w:w="138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Education Services</w:t>
            </w:r>
          </w:p>
        </w:tc>
        <w:tc>
          <w:tcPr>
            <w:tcW w:w="4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I: LIBOR+9.25%, 12.05% floor, 4.0% ETP, due 5/3/2023</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5/3/2019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14,000,000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13,701,682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13,701,682</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1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Tranche II: LIBOR+9.25%, 12.05% floor, 4.0% ETP, due 5/3/2023</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5/3/2019</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2,500,000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2,460,649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2,460,649</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ind w:left="160"/>
              <w:spacing w:after="0" w:line="130" w:lineRule="exact"/>
              <w:rPr>
                <w:sz w:val="20"/>
                <w:szCs w:val="20"/>
                <w:color w:val="auto"/>
              </w:rPr>
            </w:pPr>
            <w:r>
              <w:rPr>
                <w:rFonts w:ascii="Arial" w:cs="Arial" w:eastAsia="Arial" w:hAnsi="Arial"/>
                <w:sz w:val="14"/>
                <w:szCs w:val="14"/>
                <w:color w:val="auto"/>
              </w:rPr>
              <w:t>eSilicon</w:t>
            </w:r>
          </w:p>
        </w:tc>
        <w:tc>
          <w:tcPr>
            <w:tcW w:w="138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3"/>
              </w:rPr>
              <w:t>Semi-conductors</w:t>
            </w:r>
          </w:p>
        </w:tc>
        <w:tc>
          <w:tcPr>
            <w:tcW w:w="41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I: LIBOR+10.50%, 13% floor, 5% ETP, due 7/15/2020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7/31/2017</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4,166,667</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4,505,958</w:t>
            </w:r>
          </w:p>
        </w:tc>
        <w:tc>
          <w:tcPr>
            <w:tcW w:w="740" w:type="dxa"/>
            <w:vAlign w:val="bottom"/>
          </w:tcPr>
          <w:p>
            <w:pPr>
              <w:jc w:val="right"/>
              <w:spacing w:after="0"/>
              <w:rPr>
                <w:sz w:val="20"/>
                <w:szCs w:val="20"/>
                <w:color w:val="auto"/>
              </w:rPr>
            </w:pPr>
            <w:r>
              <w:rPr>
                <w:rFonts w:ascii="Arial" w:cs="Arial" w:eastAsia="Arial" w:hAnsi="Arial"/>
                <w:sz w:val="14"/>
                <w:szCs w:val="14"/>
                <w:color w:val="auto"/>
              </w:rPr>
              <w:t>4,505,958</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II: LIBOR+10.50%, 13% floor, 5% ETP, due 1/15/2021</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2/8/2018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3,333,333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3,486,637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3,486,637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III: LIBOR+10.50%, 13% floor, 5% ETP, due 6/15/2020</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6"/>
              </w:rPr>
              <w:t>6/21/2019</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10,000,000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9,887,786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9,887,786</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IV: Prime+2.75%, Revolving line, due 6/15/2020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6/21/2019</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11,000,000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11,000,000</w:t>
            </w:r>
          </w:p>
        </w:tc>
        <w:tc>
          <w:tcPr>
            <w:tcW w:w="9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11,000,000</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INRIX Inc.</w:t>
            </w:r>
          </w:p>
        </w:tc>
        <w:tc>
          <w:tcPr>
            <w:tcW w:w="138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Internet Software and</w:t>
            </w:r>
          </w:p>
        </w:tc>
        <w:tc>
          <w:tcPr>
            <w:tcW w:w="4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LIBOR+8.0%, 10.5% floor, 2.5% ETP, due 7/15/2023</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Services</w:t>
            </w:r>
          </w:p>
        </w:tc>
        <w:tc>
          <w:tcPr>
            <w:tcW w:w="4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7/26/2019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20,000,000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19,531,477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19,531,477</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10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7"/>
              </w:rPr>
              <w:t>Tranche II: LIBOR+8.0%, 10.5% floor, ROSE loan, 2.5% ETP, due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0" w:type="dxa"/>
            <w:vAlign w:val="bottom"/>
          </w:tcPr>
          <w:p>
            <w:pPr>
              <w:ind w:left="80"/>
              <w:spacing w:after="0"/>
              <w:rPr>
                <w:sz w:val="20"/>
                <w:szCs w:val="20"/>
                <w:color w:val="auto"/>
              </w:rPr>
            </w:pPr>
            <w:r>
              <w:rPr>
                <w:rFonts w:ascii="Arial" w:cs="Arial" w:eastAsia="Arial" w:hAnsi="Arial"/>
                <w:sz w:val="14"/>
                <w:szCs w:val="14"/>
                <w:color w:val="auto"/>
              </w:rPr>
              <w:t>7/15/2023</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7/26/2019</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5,000,000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4,680,091</w:t>
            </w:r>
          </w:p>
        </w:tc>
        <w:tc>
          <w:tcPr>
            <w:tcW w:w="740" w:type="dxa"/>
            <w:vAlign w:val="bottom"/>
          </w:tcPr>
          <w:p>
            <w:pPr>
              <w:jc w:val="right"/>
              <w:spacing w:after="0"/>
              <w:rPr>
                <w:sz w:val="20"/>
                <w:szCs w:val="20"/>
                <w:color w:val="auto"/>
              </w:rPr>
            </w:pPr>
            <w:r>
              <w:rPr>
                <w:rFonts w:ascii="Arial" w:cs="Arial" w:eastAsia="Arial" w:hAnsi="Arial"/>
                <w:sz w:val="14"/>
                <w:szCs w:val="14"/>
                <w:color w:val="auto"/>
              </w:rPr>
              <w:t>4,680,091</w:t>
            </w:r>
          </w:p>
        </w:tc>
        <w:tc>
          <w:tcPr>
            <w:tcW w:w="2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2860" w:type="dxa"/>
            <w:vAlign w:val="bottom"/>
          </w:tcPr>
          <w:p>
            <w:pPr>
              <w:jc w:val="center"/>
              <w:ind w:left="54"/>
              <w:spacing w:after="0"/>
              <w:rPr>
                <w:sz w:val="20"/>
                <w:szCs w:val="20"/>
                <w:color w:val="auto"/>
              </w:rPr>
            </w:pPr>
            <w:r>
              <w:rPr>
                <w:rFonts w:ascii="Arial" w:cs="Arial" w:eastAsia="Arial" w:hAnsi="Arial"/>
                <w:sz w:val="14"/>
                <w:szCs w:val="14"/>
                <w:b w:val="1"/>
                <w:bCs w:val="1"/>
                <w:color w:val="auto"/>
                <w:w w:val="91"/>
              </w:rPr>
              <w:t>Investment Description</w:t>
            </w:r>
          </w:p>
        </w:tc>
        <w:tc>
          <w:tcPr>
            <w:tcW w:w="1440" w:type="dxa"/>
            <w:vAlign w:val="bottom"/>
          </w:tcPr>
          <w:p>
            <w:pPr>
              <w:jc w:val="center"/>
              <w:ind w:left="468"/>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060" w:type="dxa"/>
            <w:vAlign w:val="bottom"/>
          </w:tcPr>
          <w:p>
            <w:pPr>
              <w:jc w:val="center"/>
              <w:ind w:left="11"/>
              <w:spacing w:after="0"/>
              <w:rPr>
                <w:sz w:val="20"/>
                <w:szCs w:val="20"/>
                <w:color w:val="auto"/>
              </w:rPr>
            </w:pPr>
            <w:r>
              <w:rPr>
                <w:rFonts w:ascii="Arial" w:cs="Arial" w:eastAsia="Arial" w:hAnsi="Arial"/>
                <w:sz w:val="14"/>
                <w:szCs w:val="14"/>
                <w:b w:val="1"/>
                <w:bCs w:val="1"/>
                <w:color w:val="auto"/>
              </w:rPr>
              <w:t>Fair</w:t>
            </w:r>
          </w:p>
        </w:tc>
        <w:tc>
          <w:tcPr>
            <w:tcW w:w="760" w:type="dxa"/>
            <w:vAlign w:val="bottom"/>
          </w:tcPr>
          <w:p>
            <w:pPr>
              <w:jc w:val="center"/>
              <w:ind w:left="148"/>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82"/>
        </w:trPr>
        <w:tc>
          <w:tcPr>
            <w:tcW w:w="14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2860" w:type="dxa"/>
            <w:vAlign w:val="bottom"/>
          </w:tcPr>
          <w:p>
            <w:pPr>
              <w:jc w:val="right"/>
              <w:ind w:right="874"/>
              <w:spacing w:after="0"/>
              <w:rPr>
                <w:sz w:val="20"/>
                <w:szCs w:val="20"/>
                <w:color w:val="auto"/>
              </w:rPr>
            </w:pPr>
            <w:r>
              <w:rPr>
                <w:rFonts w:ascii="Arial" w:cs="Arial" w:eastAsia="Arial" w:hAnsi="Arial"/>
                <w:sz w:val="12"/>
                <w:szCs w:val="12"/>
                <w:b w:val="1"/>
                <w:bCs w:val="1"/>
                <w:color w:val="auto"/>
              </w:rPr>
              <w:t>(1),(2),(5),(6),(11)</w:t>
            </w:r>
          </w:p>
        </w:tc>
        <w:tc>
          <w:tcPr>
            <w:tcW w:w="1440" w:type="dxa"/>
            <w:vAlign w:val="bottom"/>
          </w:tcPr>
          <w:p>
            <w:pPr>
              <w:jc w:val="center"/>
              <w:ind w:left="468"/>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tcPr>
          <w:p>
            <w:pPr>
              <w:jc w:val="center"/>
              <w:ind w:left="31"/>
              <w:spacing w:after="0" w:line="183" w:lineRule="exact"/>
              <w:rPr>
                <w:sz w:val="20"/>
                <w:szCs w:val="20"/>
                <w:color w:val="auto"/>
              </w:rPr>
            </w:pPr>
            <w:r>
              <w:rPr>
                <w:rFonts w:ascii="Arial" w:cs="Arial" w:eastAsia="Arial" w:hAnsi="Arial"/>
                <w:sz w:val="13"/>
                <w:szCs w:val="13"/>
                <w:b w:val="1"/>
                <w:bCs w:val="1"/>
                <w:color w:val="auto"/>
                <w:w w:val="93"/>
              </w:rPr>
              <w:t xml:space="preserve">Value </w:t>
            </w:r>
            <w:r>
              <w:rPr>
                <w:rFonts w:ascii="Arial" w:cs="Arial" w:eastAsia="Arial" w:hAnsi="Arial"/>
                <w:sz w:val="21"/>
                <w:szCs w:val="21"/>
                <w:b w:val="1"/>
                <w:bCs w:val="1"/>
                <w:color w:val="auto"/>
                <w:w w:val="93"/>
                <w:vertAlign w:val="superscript"/>
              </w:rPr>
              <w:t>(2)</w:t>
            </w:r>
          </w:p>
        </w:tc>
        <w:tc>
          <w:tcPr>
            <w:tcW w:w="760" w:type="dxa"/>
            <w:vAlign w:val="bottom"/>
          </w:tcPr>
          <w:p>
            <w:pPr>
              <w:jc w:val="center"/>
              <w:ind w:left="1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Term Loans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12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4"/>
                <w:szCs w:val="14"/>
                <w:color w:val="auto"/>
              </w:rPr>
              <w:t>Massdrop, Inc.</w:t>
            </w:r>
          </w:p>
        </w:tc>
        <w:tc>
          <w:tcPr>
            <w:tcW w:w="1340" w:type="dxa"/>
            <w:vAlign w:val="bottom"/>
          </w:tcPr>
          <w:p>
            <w:pPr>
              <w:jc w:val="center"/>
              <w:ind w:left="28"/>
              <w:spacing w:after="0"/>
              <w:rPr>
                <w:sz w:val="20"/>
                <w:szCs w:val="20"/>
                <w:color w:val="auto"/>
              </w:rPr>
            </w:pPr>
            <w:r>
              <w:rPr>
                <w:rFonts w:ascii="Arial" w:cs="Arial" w:eastAsia="Arial" w:hAnsi="Arial"/>
                <w:sz w:val="14"/>
                <w:szCs w:val="14"/>
                <w:color w:val="auto"/>
                <w:w w:val="96"/>
              </w:rPr>
              <w:t>Computer &amp;</w:t>
            </w:r>
          </w:p>
        </w:tc>
      </w:tr>
      <w:tr>
        <w:trPr>
          <w:trHeight w:val="182"/>
        </w:trPr>
        <w:tc>
          <w:tcPr>
            <w:tcW w:w="1180" w:type="dxa"/>
            <w:vAlign w:val="bottom"/>
          </w:tcPr>
          <w:p>
            <w:pPr>
              <w:spacing w:after="0"/>
              <w:rPr>
                <w:sz w:val="15"/>
                <w:szCs w:val="15"/>
                <w:color w:val="auto"/>
              </w:rPr>
            </w:pPr>
          </w:p>
        </w:tc>
        <w:tc>
          <w:tcPr>
            <w:tcW w:w="1340" w:type="dxa"/>
            <w:vAlign w:val="bottom"/>
          </w:tcPr>
          <w:p>
            <w:pPr>
              <w:jc w:val="center"/>
              <w:ind w:left="8"/>
              <w:spacing w:after="0"/>
              <w:rPr>
                <w:sz w:val="20"/>
                <w:szCs w:val="20"/>
                <w:color w:val="auto"/>
              </w:rPr>
            </w:pPr>
            <w:r>
              <w:rPr>
                <w:rFonts w:ascii="Arial" w:cs="Arial" w:eastAsia="Arial" w:hAnsi="Arial"/>
                <w:sz w:val="14"/>
                <w:szCs w:val="14"/>
                <w:color w:val="auto"/>
                <w:w w:val="94"/>
              </w:rPr>
              <w:t>Electronics Retail</w:t>
            </w:r>
          </w:p>
        </w:tc>
      </w:tr>
      <w:tr>
        <w:trPr>
          <w:trHeight w:val="263"/>
        </w:trPr>
        <w:tc>
          <w:tcPr>
            <w:tcW w:w="1180" w:type="dxa"/>
            <w:vAlign w:val="bottom"/>
          </w:tcPr>
          <w:p>
            <w:pPr>
              <w:spacing w:after="0"/>
              <w:rPr>
                <w:sz w:val="20"/>
                <w:szCs w:val="20"/>
                <w:color w:val="auto"/>
              </w:rPr>
            </w:pPr>
            <w:r>
              <w:rPr>
                <w:rFonts w:ascii="Arial" w:cs="Arial" w:eastAsia="Arial" w:hAnsi="Arial"/>
                <w:sz w:val="14"/>
                <w:szCs w:val="14"/>
                <w:color w:val="auto"/>
              </w:rPr>
              <w:t>MingleHealth Care</w:t>
            </w:r>
          </w:p>
        </w:tc>
        <w:tc>
          <w:tcPr>
            <w:tcW w:w="1340" w:type="dxa"/>
            <w:vAlign w:val="bottom"/>
          </w:tcPr>
          <w:p>
            <w:pPr>
              <w:jc w:val="center"/>
              <w:ind w:left="8"/>
              <w:spacing w:after="0"/>
              <w:rPr>
                <w:sz w:val="20"/>
                <w:szCs w:val="20"/>
                <w:color w:val="auto"/>
              </w:rPr>
            </w:pPr>
            <w:r>
              <w:rPr>
                <w:rFonts w:ascii="Arial" w:cs="Arial" w:eastAsia="Arial" w:hAnsi="Arial"/>
                <w:sz w:val="14"/>
                <w:szCs w:val="14"/>
                <w:color w:val="auto"/>
                <w:w w:val="91"/>
              </w:rPr>
              <w:t>Healthcare</w:t>
            </w:r>
          </w:p>
        </w:tc>
      </w:t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Solutions, Inc.</w:t>
            </w:r>
          </w:p>
        </w:tc>
        <w:tc>
          <w:tcPr>
            <w:tcW w:w="1340" w:type="dxa"/>
            <w:vAlign w:val="bottom"/>
          </w:tcPr>
          <w:p>
            <w:pPr>
              <w:jc w:val="center"/>
              <w:ind w:left="28"/>
              <w:spacing w:after="0"/>
              <w:rPr>
                <w:sz w:val="20"/>
                <w:szCs w:val="20"/>
                <w:color w:val="auto"/>
              </w:rPr>
            </w:pPr>
            <w:r>
              <w:rPr>
                <w:rFonts w:ascii="Arial" w:cs="Arial" w:eastAsia="Arial" w:hAnsi="Arial"/>
                <w:sz w:val="14"/>
                <w:szCs w:val="14"/>
                <w:color w:val="auto"/>
                <w:w w:val="93"/>
              </w:rPr>
              <w:t>Technology</w:t>
            </w:r>
          </w:p>
        </w:tc>
      </w:tr>
      <w:tr>
        <w:trPr>
          <w:trHeight w:val="263"/>
        </w:trPr>
        <w:tc>
          <w:tcPr>
            <w:tcW w:w="1180" w:type="dxa"/>
            <w:vAlign w:val="bottom"/>
          </w:tcPr>
          <w:p>
            <w:pPr>
              <w:spacing w:after="0"/>
              <w:rPr>
                <w:sz w:val="20"/>
                <w:szCs w:val="20"/>
                <w:color w:val="auto"/>
              </w:rPr>
            </w:pPr>
            <w:r>
              <w:rPr>
                <w:rFonts w:ascii="Arial" w:cs="Arial" w:eastAsia="Arial" w:hAnsi="Arial"/>
                <w:sz w:val="14"/>
                <w:szCs w:val="14"/>
                <w:color w:val="auto"/>
              </w:rPr>
              <w:t>Mobius Imaging,</w:t>
            </w:r>
          </w:p>
        </w:tc>
        <w:tc>
          <w:tcPr>
            <w:tcW w:w="1340" w:type="dxa"/>
            <w:vAlign w:val="bottom"/>
          </w:tcPr>
          <w:p>
            <w:pPr>
              <w:jc w:val="center"/>
              <w:ind w:left="8"/>
              <w:spacing w:after="0"/>
              <w:rPr>
                <w:sz w:val="20"/>
                <w:szCs w:val="20"/>
                <w:color w:val="auto"/>
              </w:rPr>
            </w:pPr>
            <w:r>
              <w:rPr>
                <w:rFonts w:ascii="Arial" w:cs="Arial" w:eastAsia="Arial" w:hAnsi="Arial"/>
                <w:sz w:val="14"/>
                <w:szCs w:val="14"/>
                <w:color w:val="auto"/>
                <w:w w:val="91"/>
              </w:rPr>
              <w:t>Healthcare</w:t>
            </w:r>
          </w:p>
        </w:tc>
      </w:t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LLC</w:t>
            </w:r>
          </w:p>
        </w:tc>
        <w:tc>
          <w:tcPr>
            <w:tcW w:w="1340" w:type="dxa"/>
            <w:vAlign w:val="bottom"/>
          </w:tcPr>
          <w:p>
            <w:pPr>
              <w:jc w:val="center"/>
              <w:ind w:left="28"/>
              <w:spacing w:after="0"/>
              <w:rPr>
                <w:sz w:val="20"/>
                <w:szCs w:val="20"/>
                <w:color w:val="auto"/>
              </w:rPr>
            </w:pPr>
            <w:r>
              <w:rPr>
                <w:rFonts w:ascii="Arial" w:cs="Arial" w:eastAsia="Arial" w:hAnsi="Arial"/>
                <w:sz w:val="14"/>
                <w:szCs w:val="14"/>
                <w:color w:val="auto"/>
                <w:w w:val="93"/>
              </w:rPr>
              <w:t>Technology</w:t>
            </w:r>
          </w:p>
        </w:tc>
      </w:tr>
      <w:tr>
        <w:trPr>
          <w:trHeight w:val="297"/>
        </w:trPr>
        <w:tc>
          <w:tcPr>
            <w:tcW w:w="1180" w:type="dxa"/>
            <w:vAlign w:val="bottom"/>
          </w:tcPr>
          <w:p>
            <w:pPr>
              <w:spacing w:after="0"/>
              <w:rPr>
                <w:sz w:val="20"/>
                <w:szCs w:val="20"/>
                <w:color w:val="auto"/>
              </w:rPr>
            </w:pPr>
            <w:r>
              <w:rPr>
                <w:rFonts w:ascii="Arial" w:cs="Arial" w:eastAsia="Arial" w:hAnsi="Arial"/>
                <w:sz w:val="14"/>
                <w:szCs w:val="14"/>
                <w:color w:val="auto"/>
              </w:rPr>
              <w:t>Mojix, Inc.</w:t>
            </w:r>
          </w:p>
        </w:tc>
        <w:tc>
          <w:tcPr>
            <w:tcW w:w="1340" w:type="dxa"/>
            <w:vAlign w:val="bottom"/>
          </w:tcPr>
          <w:p>
            <w:pPr>
              <w:jc w:val="center"/>
              <w:ind w:left="28"/>
              <w:spacing w:after="0"/>
              <w:rPr>
                <w:sz w:val="20"/>
                <w:szCs w:val="20"/>
                <w:color w:val="auto"/>
              </w:rPr>
            </w:pPr>
            <w:r>
              <w:rPr>
                <w:rFonts w:ascii="Arial" w:cs="Arial" w:eastAsia="Arial" w:hAnsi="Arial"/>
                <w:sz w:val="14"/>
                <w:szCs w:val="14"/>
                <w:color w:val="auto"/>
                <w:w w:val="97"/>
              </w:rPr>
              <w:t>Application Software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Arial" w:cs="Arial" w:eastAsia="Arial" w:hAnsi="Arial"/>
                <w:sz w:val="14"/>
                <w:szCs w:val="14"/>
                <w:color w:val="auto"/>
              </w:rPr>
              <w:t>3DNA Corp.(dba</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7"/>
              </w:rPr>
              <w:t>Application Software</w:t>
            </w: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NationBuilder)</w:t>
            </w:r>
          </w:p>
        </w:tc>
        <w:tc>
          <w:tcPr>
            <w:tcW w:w="1380" w:type="dxa"/>
            <w:vAlign w:val="bottom"/>
          </w:tcPr>
          <w:p>
            <w:pPr>
              <w:spacing w:after="0"/>
              <w:rPr>
                <w:sz w:val="15"/>
                <w:szCs w:val="15"/>
                <w:color w:val="auto"/>
              </w:rPr>
            </w:pPr>
          </w:p>
        </w:tc>
      </w:tr>
      <w:tr>
        <w:trPr>
          <w:trHeight w:val="561"/>
        </w:trPr>
        <w:tc>
          <w:tcPr>
            <w:tcW w:w="1140" w:type="dxa"/>
            <w:vAlign w:val="bottom"/>
          </w:tcPr>
          <w:p>
            <w:pPr>
              <w:spacing w:after="0"/>
              <w:rPr>
                <w:sz w:val="20"/>
                <w:szCs w:val="20"/>
                <w:color w:val="auto"/>
              </w:rPr>
            </w:pPr>
            <w:r>
              <w:rPr>
                <w:rFonts w:ascii="Arial" w:cs="Arial" w:eastAsia="Arial" w:hAnsi="Arial"/>
                <w:sz w:val="14"/>
                <w:szCs w:val="14"/>
                <w:color w:val="auto"/>
              </w:rPr>
              <w:t>Ouster, Inc.</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3"/>
              </w:rPr>
              <w:t>Technology</w:t>
            </w:r>
          </w:p>
        </w:tc>
      </w:tr>
      <w:tr>
        <w:trPr>
          <w:trHeight w:val="149"/>
        </w:trPr>
        <w:tc>
          <w:tcPr>
            <w:tcW w:w="1140" w:type="dxa"/>
            <w:vAlign w:val="bottom"/>
          </w:tcPr>
          <w:p>
            <w:pPr>
              <w:spacing w:after="0"/>
              <w:rPr>
                <w:sz w:val="12"/>
                <w:szCs w:val="12"/>
                <w:color w:val="auto"/>
              </w:rPr>
            </w:pPr>
          </w:p>
        </w:tc>
        <w:tc>
          <w:tcPr>
            <w:tcW w:w="138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3"/>
              </w:rPr>
              <w:t>Hardware, Storage &amp;</w:t>
            </w:r>
          </w:p>
        </w:tc>
      </w:tr>
      <w:tr>
        <w:trPr>
          <w:trHeight w:val="182"/>
        </w:trPr>
        <w:tc>
          <w:tcPr>
            <w:tcW w:w="1140" w:type="dxa"/>
            <w:vAlign w:val="bottom"/>
          </w:tcPr>
          <w:p>
            <w:pPr>
              <w:spacing w:after="0"/>
              <w:rPr>
                <w:sz w:val="15"/>
                <w:szCs w:val="15"/>
                <w:color w:val="auto"/>
              </w:rPr>
            </w:pP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0"/>
              </w:rPr>
              <w:t>Peripherals</w:t>
            </w: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Pivot3, Inc.</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3"/>
              </w:rPr>
              <w:t>Data Processing &amp;</w:t>
            </w:r>
          </w:p>
        </w:tc>
      </w:tr>
      <w:tr>
        <w:trPr>
          <w:trHeight w:val="182"/>
        </w:trPr>
        <w:tc>
          <w:tcPr>
            <w:tcW w:w="1140" w:type="dxa"/>
            <w:vAlign w:val="bottom"/>
          </w:tcPr>
          <w:p>
            <w:pPr>
              <w:spacing w:after="0"/>
              <w:rPr>
                <w:sz w:val="15"/>
                <w:szCs w:val="15"/>
                <w:color w:val="auto"/>
              </w:rPr>
            </w:pPr>
          </w:p>
        </w:tc>
        <w:tc>
          <w:tcPr>
            <w:tcW w:w="1380" w:type="dxa"/>
            <w:vAlign w:val="bottom"/>
          </w:tcPr>
          <w:p>
            <w:pPr>
              <w:jc w:val="center"/>
              <w:ind w:left="48"/>
              <w:spacing w:after="0"/>
              <w:rPr>
                <w:sz w:val="20"/>
                <w:szCs w:val="20"/>
                <w:color w:val="auto"/>
              </w:rPr>
            </w:pPr>
            <w:r>
              <w:rPr>
                <w:rFonts w:ascii="Arial" w:cs="Arial" w:eastAsia="Arial" w:hAnsi="Arial"/>
                <w:sz w:val="14"/>
                <w:szCs w:val="14"/>
                <w:color w:val="auto"/>
                <w:w w:val="90"/>
              </w:rPr>
              <w:t>Outsourced Services</w:t>
            </w: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RealWear, Inc.</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3"/>
              </w:rPr>
              <w:t>Technology</w:t>
            </w:r>
          </w:p>
        </w:tc>
      </w:tr>
      <w:tr>
        <w:trPr>
          <w:trHeight w:val="149"/>
        </w:trPr>
        <w:tc>
          <w:tcPr>
            <w:tcW w:w="1140" w:type="dxa"/>
            <w:vAlign w:val="bottom"/>
          </w:tcPr>
          <w:p>
            <w:pPr>
              <w:spacing w:after="0"/>
              <w:rPr>
                <w:sz w:val="12"/>
                <w:szCs w:val="12"/>
                <w:color w:val="auto"/>
              </w:rPr>
            </w:pPr>
          </w:p>
        </w:tc>
        <w:tc>
          <w:tcPr>
            <w:tcW w:w="138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3"/>
              </w:rPr>
              <w:t>Hardware, Storage &amp;</w:t>
            </w:r>
          </w:p>
        </w:tc>
      </w:tr>
      <w:tr>
        <w:trPr>
          <w:trHeight w:val="182"/>
        </w:trPr>
        <w:tc>
          <w:tcPr>
            <w:tcW w:w="1140" w:type="dxa"/>
            <w:vAlign w:val="bottom"/>
          </w:tcPr>
          <w:p>
            <w:pPr>
              <w:spacing w:after="0"/>
              <w:rPr>
                <w:sz w:val="15"/>
                <w:szCs w:val="15"/>
                <w:color w:val="auto"/>
              </w:rPr>
            </w:pP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0"/>
              </w:rPr>
              <w:t>Peripherals</w:t>
            </w: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Scale Computing,</w:t>
            </w:r>
          </w:p>
        </w:tc>
        <w:tc>
          <w:tcPr>
            <w:tcW w:w="1380" w:type="dxa"/>
            <w:vAlign w:val="bottom"/>
          </w:tcPr>
          <w:p>
            <w:pPr>
              <w:jc w:val="center"/>
              <w:ind w:left="48"/>
              <w:spacing w:after="0"/>
              <w:rPr>
                <w:sz w:val="20"/>
                <w:szCs w:val="20"/>
                <w:color w:val="auto"/>
              </w:rPr>
            </w:pPr>
            <w:r>
              <w:rPr>
                <w:rFonts w:ascii="Arial" w:cs="Arial" w:eastAsia="Arial" w:hAnsi="Arial"/>
                <w:sz w:val="14"/>
                <w:szCs w:val="14"/>
                <w:color w:val="auto"/>
                <w:w w:val="92"/>
              </w:rPr>
              <w:t>System Software</w:t>
            </w: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Inc.</w:t>
            </w:r>
          </w:p>
        </w:tc>
        <w:tc>
          <w:tcPr>
            <w:tcW w:w="1380" w:type="dxa"/>
            <w:vAlign w:val="bottom"/>
          </w:tcPr>
          <w:p>
            <w:pPr>
              <w:spacing w:after="0"/>
              <w:rPr>
                <w:sz w:val="15"/>
                <w:szCs w:val="15"/>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ShareThis, Inc.</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w w:val="93"/>
              </w:rPr>
              <w:t>Data Processing &amp;</w:t>
            </w:r>
          </w:p>
        </w:tc>
      </w:tr>
      <w:tr>
        <w:trPr>
          <w:trHeight w:val="182"/>
        </w:trPr>
        <w:tc>
          <w:tcPr>
            <w:tcW w:w="1140" w:type="dxa"/>
            <w:vAlign w:val="bottom"/>
          </w:tcPr>
          <w:p>
            <w:pPr>
              <w:spacing w:after="0"/>
              <w:rPr>
                <w:sz w:val="15"/>
                <w:szCs w:val="15"/>
                <w:color w:val="auto"/>
              </w:rPr>
            </w:pPr>
          </w:p>
        </w:tc>
        <w:tc>
          <w:tcPr>
            <w:tcW w:w="1380" w:type="dxa"/>
            <w:vAlign w:val="bottom"/>
          </w:tcPr>
          <w:p>
            <w:pPr>
              <w:jc w:val="center"/>
              <w:ind w:left="48"/>
              <w:spacing w:after="0"/>
              <w:rPr>
                <w:sz w:val="20"/>
                <w:szCs w:val="20"/>
                <w:color w:val="auto"/>
              </w:rPr>
            </w:pPr>
            <w:r>
              <w:rPr>
                <w:rFonts w:ascii="Arial" w:cs="Arial" w:eastAsia="Arial" w:hAnsi="Arial"/>
                <w:sz w:val="14"/>
                <w:szCs w:val="14"/>
                <w:color w:val="auto"/>
                <w:w w:val="90"/>
              </w:rPr>
              <w:t>Outsourced Services</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Total Senior Secured Term Loans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spacing w:after="0"/>
              <w:rPr>
                <w:sz w:val="20"/>
                <w:szCs w:val="20"/>
                <w:color w:val="auto"/>
              </w:rPr>
            </w:pPr>
            <w:r>
              <w:rPr>
                <w:rFonts w:ascii="Arial" w:cs="Arial" w:eastAsia="Arial" w:hAnsi="Arial"/>
                <w:sz w:val="14"/>
                <w:szCs w:val="14"/>
                <w:color w:val="auto"/>
              </w:rPr>
              <w:t>LIBOR+8.25%, 10.65% floor, 4% ETP, due 1/15/2023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7/22/2019</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$ 17,500,000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17,127,095</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17,127,095</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0"/>
                <w:szCs w:val="20"/>
                <w:color w:val="auto"/>
              </w:rPr>
            </w:pPr>
            <w:r>
              <w:rPr>
                <w:rFonts w:ascii="Arial" w:cs="Arial" w:eastAsia="Arial" w:hAnsi="Arial"/>
                <w:sz w:val="14"/>
                <w:szCs w:val="14"/>
                <w:color w:val="auto"/>
              </w:rPr>
              <w:t>LIBOR+9.5%, 11.75% floor, 4% ETP, due 8/15/2022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8/15/2018</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6,000,000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5,711,487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5,400,923</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0"/>
                <w:szCs w:val="20"/>
                <w:color w:val="auto"/>
              </w:rPr>
            </w:pPr>
            <w:r>
              <w:rPr>
                <w:rFonts w:ascii="Arial" w:cs="Arial" w:eastAsia="Arial" w:hAnsi="Arial"/>
                <w:sz w:val="14"/>
                <w:szCs w:val="14"/>
                <w:color w:val="auto"/>
              </w:rPr>
              <w:t>LIBOR+9.25%, 11.50% floor, 4% ETP, due 10/15/2022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4"/>
              </w:rPr>
              <w:t>11/23/2018</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15,500,000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14,087,355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15,611,977</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3840" w:type="dxa"/>
            <w:vAlign w:val="bottom"/>
          </w:tcPr>
          <w:p>
            <w:pPr>
              <w:spacing w:after="0"/>
              <w:rPr>
                <w:sz w:val="20"/>
                <w:szCs w:val="20"/>
                <w:color w:val="auto"/>
              </w:rPr>
            </w:pPr>
            <w:r>
              <w:rPr>
                <w:rFonts w:ascii="Arial" w:cs="Arial" w:eastAsia="Arial" w:hAnsi="Arial"/>
                <w:sz w:val="14"/>
                <w:szCs w:val="14"/>
                <w:color w:val="auto"/>
              </w:rPr>
              <w:t>Tranche I: LIBOR+10.50%, 11.00% floor, 12% cash cap, 5%</w:t>
            </w: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(17)</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5/16/2017</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6,226,376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6,030,939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5,174,153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58"/>
        </w:trPr>
        <w:tc>
          <w:tcPr>
            <w:tcW w:w="3840" w:type="dxa"/>
            <w:vAlign w:val="bottom"/>
          </w:tcPr>
          <w:p>
            <w:pPr>
              <w:spacing w:after="0" w:line="159" w:lineRule="exact"/>
              <w:rPr>
                <w:sz w:val="20"/>
                <w:szCs w:val="20"/>
                <w:color w:val="auto"/>
              </w:rPr>
            </w:pPr>
            <w:r>
              <w:rPr>
                <w:rFonts w:ascii="Arial" w:cs="Arial" w:eastAsia="Arial" w:hAnsi="Arial"/>
                <w:sz w:val="14"/>
                <w:szCs w:val="14"/>
                <w:color w:val="auto"/>
              </w:rPr>
              <w:t>Tranche II: LIBOR+10.50%, 11.00% floor, 12% cash cap, 5%</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(17)</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8/3/2017</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2,075,459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2,014,576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1,724,719</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58"/>
        </w:trPr>
        <w:tc>
          <w:tcPr>
            <w:tcW w:w="3840" w:type="dxa"/>
            <w:vAlign w:val="bottom"/>
          </w:tcPr>
          <w:p>
            <w:pPr>
              <w:spacing w:after="0" w:line="159" w:lineRule="exact"/>
              <w:rPr>
                <w:sz w:val="20"/>
                <w:szCs w:val="20"/>
                <w:color w:val="auto"/>
              </w:rPr>
            </w:pPr>
            <w:r>
              <w:rPr>
                <w:rFonts w:ascii="Arial" w:cs="Arial" w:eastAsia="Arial" w:hAnsi="Arial"/>
                <w:sz w:val="14"/>
                <w:szCs w:val="14"/>
                <w:color w:val="auto"/>
                <w:w w:val="99"/>
              </w:rPr>
              <w:t>Tranche III: LIBOR+10.50%, 11.00% floor, 12% cash cap, 5%</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(17)</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7/6/2018</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518,340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505,960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430,744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58"/>
        </w:trPr>
        <w:tc>
          <w:tcPr>
            <w:tcW w:w="3840" w:type="dxa"/>
            <w:vAlign w:val="bottom"/>
          </w:tcPr>
          <w:p>
            <w:pPr>
              <w:spacing w:after="0" w:line="159" w:lineRule="exact"/>
              <w:rPr>
                <w:sz w:val="20"/>
                <w:szCs w:val="20"/>
                <w:color w:val="auto"/>
              </w:rPr>
            </w:pPr>
            <w:r>
              <w:rPr>
                <w:rFonts w:ascii="Arial" w:cs="Arial" w:eastAsia="Arial" w:hAnsi="Arial"/>
                <w:sz w:val="14"/>
                <w:szCs w:val="14"/>
                <w:color w:val="auto"/>
                <w:w w:val="99"/>
              </w:rPr>
              <w:t>Tranche IV: LIBOR+10.50%, 11.00% floor, 12% cash cap, 5%</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(17)</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9/5/2018</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517,617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503,956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430,143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58"/>
        </w:trPr>
        <w:tc>
          <w:tcPr>
            <w:tcW w:w="3840" w:type="dxa"/>
            <w:vAlign w:val="bottom"/>
          </w:tcPr>
          <w:p>
            <w:pPr>
              <w:spacing w:after="0" w:line="159" w:lineRule="exact"/>
              <w:rPr>
                <w:sz w:val="20"/>
                <w:szCs w:val="20"/>
                <w:color w:val="auto"/>
              </w:rPr>
            </w:pPr>
            <w:r>
              <w:rPr>
                <w:rFonts w:ascii="Arial" w:cs="Arial" w:eastAsia="Arial" w:hAnsi="Arial"/>
                <w:sz w:val="14"/>
                <w:szCs w:val="14"/>
                <w:color w:val="auto"/>
              </w:rPr>
              <w:t>Tranche V: LIBOR+10.50%, 11.00% floor, 12% cash cap, 5%</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3840" w:type="dxa"/>
            <w:vAlign w:val="bottom"/>
          </w:tcPr>
          <w:p>
            <w:pPr>
              <w:spacing w:after="0"/>
              <w:rPr>
                <w:sz w:val="20"/>
                <w:szCs w:val="20"/>
                <w:color w:val="auto"/>
              </w:rPr>
            </w:pPr>
            <w:r>
              <w:rPr>
                <w:rFonts w:ascii="Arial" w:cs="Arial" w:eastAsia="Arial" w:hAnsi="Arial"/>
                <w:sz w:val="14"/>
                <w:szCs w:val="14"/>
                <w:color w:val="auto"/>
              </w:rPr>
              <w:t xml:space="preserve">ETP, due 5/15/2021 </w:t>
            </w:r>
            <w:r>
              <w:rPr>
                <w:rFonts w:ascii="Arial" w:cs="Arial" w:eastAsia="Arial" w:hAnsi="Arial"/>
                <w:sz w:val="23"/>
                <w:szCs w:val="23"/>
                <w:color w:val="auto"/>
                <w:vertAlign w:val="superscript"/>
              </w:rPr>
              <w:t>(17)</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1/28/2019</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1,030,808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992,920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856,608</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4"/>
                <w:szCs w:val="14"/>
                <w:color w:val="auto"/>
                <w:w w:val="95"/>
              </w:rPr>
              <w:t>Tranche I: LIBOR+9.00%, 11.50% floor, 5% ETP, due 4/28/2022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4"/>
              </w:rPr>
              <w:t>12/28/2018</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7,000,000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6,966,329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6,966,329</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Arial" w:cs="Arial" w:eastAsia="Arial" w:hAnsi="Arial"/>
                <w:sz w:val="14"/>
                <w:szCs w:val="14"/>
                <w:color w:val="auto"/>
              </w:rPr>
              <w:t>Tranche II: LIBOR+9.00%, 11.50% floor, 5% ETP, due</w:t>
            </w:r>
          </w:p>
        </w:tc>
        <w:tc>
          <w:tcPr>
            <w:tcW w:w="8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8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840" w:type="dxa"/>
            <w:vAlign w:val="bottom"/>
          </w:tcPr>
          <w:p>
            <w:pPr>
              <w:spacing w:after="0"/>
              <w:rPr>
                <w:sz w:val="20"/>
                <w:szCs w:val="20"/>
                <w:color w:val="auto"/>
              </w:rPr>
            </w:pPr>
            <w:r>
              <w:rPr>
                <w:rFonts w:ascii="Arial" w:cs="Arial" w:eastAsia="Arial" w:hAnsi="Arial"/>
                <w:sz w:val="14"/>
                <w:szCs w:val="14"/>
                <w:color w:val="auto"/>
              </w:rPr>
              <w:t>4/28/2022</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6/12/2019</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498,960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498,960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412"/>
        </w:trPr>
        <w:tc>
          <w:tcPr>
            <w:tcW w:w="3840" w:type="dxa"/>
            <w:vAlign w:val="bottom"/>
          </w:tcPr>
          <w:p>
            <w:pPr>
              <w:spacing w:after="0"/>
              <w:rPr>
                <w:sz w:val="20"/>
                <w:szCs w:val="20"/>
                <w:color w:val="auto"/>
              </w:rPr>
            </w:pPr>
            <w:r>
              <w:rPr>
                <w:rFonts w:ascii="Arial" w:cs="Arial" w:eastAsia="Arial" w:hAnsi="Arial"/>
                <w:sz w:val="14"/>
                <w:szCs w:val="14"/>
                <w:color w:val="auto"/>
                <w:w w:val="99"/>
              </w:rPr>
              <w:t xml:space="preserve">LIBOR+8.50%, 10.75% floor, 3.50% ETP, due 5/15/2021 </w:t>
            </w:r>
            <w:r>
              <w:rPr>
                <w:rFonts w:ascii="Arial" w:cs="Arial" w:eastAsia="Arial" w:hAnsi="Arial"/>
                <w:sz w:val="23"/>
                <w:szCs w:val="23"/>
                <w:color w:val="auto"/>
                <w:w w:val="99"/>
                <w:vertAlign w:val="superscript"/>
              </w:rPr>
              <w:t>(16)</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11/27/2018</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9,950,532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9,950,532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0"/>
                <w:szCs w:val="20"/>
                <w:color w:val="auto"/>
              </w:rPr>
            </w:pPr>
            <w:r>
              <w:rPr>
                <w:rFonts w:ascii="Arial" w:cs="Arial" w:eastAsia="Arial" w:hAnsi="Arial"/>
                <w:sz w:val="14"/>
                <w:szCs w:val="14"/>
                <w:color w:val="auto"/>
              </w:rPr>
              <w:t>LIBOR+8.50%, 11.00% floor, 4% ETP, due 11/15/2022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5/13/2019</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20,000,000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19,749,753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19,576,957</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3840" w:type="dxa"/>
            <w:vAlign w:val="bottom"/>
          </w:tcPr>
          <w:p>
            <w:pPr>
              <w:spacing w:after="0"/>
              <w:rPr>
                <w:sz w:val="20"/>
                <w:szCs w:val="20"/>
                <w:color w:val="auto"/>
              </w:rPr>
            </w:pPr>
            <w:r>
              <w:rPr>
                <w:rFonts w:ascii="Arial" w:cs="Arial" w:eastAsia="Arial" w:hAnsi="Arial"/>
                <w:sz w:val="14"/>
                <w:szCs w:val="14"/>
                <w:color w:val="auto"/>
              </w:rPr>
              <w:t xml:space="preserve">LIBOR+8%, 10.35% floor, 5% ETP, due 6/28/2023 </w:t>
            </w:r>
            <w:r>
              <w:rPr>
                <w:rFonts w:ascii="Arial" w:cs="Arial" w:eastAsia="Arial" w:hAnsi="Arial"/>
                <w:sz w:val="23"/>
                <w:szCs w:val="23"/>
                <w:color w:val="auto"/>
                <w:vertAlign w:val="superscript"/>
              </w:rPr>
              <w:t>(12)</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6/28/2018</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24,517,223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24, 517,223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0"/>
                <w:szCs w:val="20"/>
                <w:color w:val="auto"/>
              </w:rPr>
            </w:pPr>
            <w:r>
              <w:rPr>
                <w:rFonts w:ascii="Arial" w:cs="Arial" w:eastAsia="Arial" w:hAnsi="Arial"/>
                <w:sz w:val="14"/>
                <w:szCs w:val="14"/>
                <w:color w:val="auto"/>
              </w:rPr>
              <w:t>LIBOR+9.25%, 11.75% floor, 4.5% ETP, due 9/15/2022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3/29/2019</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14,696,808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14,577,700</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0"/>
                <w:szCs w:val="20"/>
                <w:color w:val="auto"/>
              </w:rPr>
            </w:pPr>
            <w:r>
              <w:rPr>
                <w:rFonts w:ascii="Arial" w:cs="Arial" w:eastAsia="Arial" w:hAnsi="Arial"/>
                <w:sz w:val="14"/>
                <w:szCs w:val="14"/>
                <w:color w:val="auto"/>
                <w:w w:val="95"/>
              </w:rPr>
              <w:t>Tranche I: LIBOR+9.25%, 11.60% floor, 5% ETP, due 6/15/2022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12/3/2018</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19,250,000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17,834,429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17,834,429</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Arial" w:cs="Arial" w:eastAsia="Arial" w:hAnsi="Arial"/>
                <w:sz w:val="14"/>
                <w:szCs w:val="14"/>
                <w:color w:val="auto"/>
              </w:rPr>
              <w:t>Tranche II: LIBOR+9.25%, 11.60% floor, 5% ETP, due</w:t>
            </w:r>
          </w:p>
        </w:tc>
        <w:tc>
          <w:tcPr>
            <w:tcW w:w="8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8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6/15/2022</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1/17/2019</w:t>
            </w: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687,112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687,112</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Tranche III: LIBOR+9.25%, 11.60% floor, 5% ETP, due</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tcPr>
          <w:p>
            <w:pPr>
              <w:spacing w:after="0"/>
              <w:rPr>
                <w:sz w:val="20"/>
                <w:szCs w:val="20"/>
                <w:color w:val="auto"/>
              </w:rPr>
            </w:pPr>
            <w:r>
              <w:rPr>
                <w:rFonts w:ascii="Arial" w:cs="Arial" w:eastAsia="Arial" w:hAnsi="Arial"/>
                <w:sz w:val="14"/>
                <w:szCs w:val="14"/>
                <w:color w:val="auto"/>
              </w:rPr>
              <w:t>6/15/2022</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7/24/2019</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899,187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899,187</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346,042,968</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340,145,053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115.28%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-4596130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-4312920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-4029710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-3747135</wp:posOffset>
            </wp:positionV>
            <wp:extent cx="72466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-3318510</wp:posOffset>
            </wp:positionV>
            <wp:extent cx="72466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-2889250</wp:posOffset>
            </wp:positionV>
            <wp:extent cx="72466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-2580640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-2203450</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-1826260</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-1543050</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-1165860</wp:posOffset>
            </wp:positionV>
            <wp:extent cx="724662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-882650</wp:posOffset>
            </wp:positionV>
            <wp:extent cx="724662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-599440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-213995</wp:posOffset>
            </wp:positionV>
            <wp:extent cx="72466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140"/>
            <w:col w:w="8580"/>
          </w:cols>
          <w:pgMar w:left="240" w:top="904"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Portfolio Companies</w:t>
            </w:r>
          </w:p>
        </w:tc>
        <w:tc>
          <w:tcPr>
            <w:tcW w:w="15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Sub-Industry</w:t>
            </w:r>
          </w:p>
        </w:tc>
        <w:tc>
          <w:tcPr>
            <w:tcW w:w="4160" w:type="dxa"/>
            <w:vAlign w:val="bottom"/>
            <w:gridSpan w:val="2"/>
          </w:tcPr>
          <w:p>
            <w:pPr>
              <w:ind w:left="1300"/>
              <w:spacing w:after="0"/>
              <w:rPr>
                <w:sz w:val="20"/>
                <w:szCs w:val="20"/>
                <w:color w:val="auto"/>
              </w:rPr>
            </w:pPr>
            <w:r>
              <w:rPr>
                <w:rFonts w:ascii="Arial" w:cs="Arial" w:eastAsia="Arial" w:hAnsi="Arial"/>
                <w:sz w:val="14"/>
                <w:szCs w:val="14"/>
                <w:b w:val="1"/>
                <w:bCs w:val="1"/>
                <w:color w:val="auto"/>
              </w:rPr>
              <w:t>Investment Description</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Principal/</w:t>
            </w:r>
          </w:p>
        </w:tc>
        <w:tc>
          <w:tcPr>
            <w:tcW w:w="120" w:type="dxa"/>
            <w:vAlign w:val="bottom"/>
          </w:tcPr>
          <w:p>
            <w:pPr>
              <w:spacing w:after="0"/>
              <w:rPr>
                <w:sz w:val="16"/>
                <w:szCs w:val="16"/>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060" w:type="dxa"/>
            <w:vAlign w:val="bottom"/>
          </w:tcPr>
          <w:p>
            <w:pPr>
              <w:ind w:left="1600"/>
              <w:spacing w:after="0"/>
              <w:rPr>
                <w:sz w:val="20"/>
                <w:szCs w:val="20"/>
                <w:color w:val="auto"/>
              </w:rPr>
            </w:pPr>
            <w:r>
              <w:rPr>
                <w:rFonts w:ascii="Arial" w:cs="Arial" w:eastAsia="Arial" w:hAnsi="Arial"/>
                <w:sz w:val="12"/>
                <w:szCs w:val="12"/>
                <w:b w:val="1"/>
                <w:bCs w:val="1"/>
                <w:color w:val="auto"/>
              </w:rPr>
              <w:t>(1),(2),(5),(6),(11)</w:t>
            </w: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0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(2)</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 xml:space="preserve">Preferred Stock </w:t>
            </w:r>
            <w:r>
              <w:rPr>
                <w:rFonts w:ascii="Arial" w:cs="Arial" w:eastAsia="Arial" w:hAnsi="Arial"/>
                <w:sz w:val="21"/>
                <w:szCs w:val="21"/>
                <w:b w:val="1"/>
                <w:bCs w:val="1"/>
                <w:color w:val="auto"/>
                <w:vertAlign w:val="superscript"/>
              </w:rPr>
              <w:t>(8)</w:t>
            </w: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Aria Systems, Inc.</w:t>
            </w:r>
          </w:p>
        </w:tc>
        <w:tc>
          <w:tcPr>
            <w:tcW w:w="15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7"/>
              </w:rPr>
              <w:t>Application Software</w:t>
            </w: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Series G Preferred Stock</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7/10/2018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289,419</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250,000</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461,826</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0.16%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80" w:type="dxa"/>
            <w:vAlign w:val="bottom"/>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Warrants </w:t>
            </w:r>
            <w:r>
              <w:rPr>
                <w:rFonts w:ascii="Arial" w:cs="Arial" w:eastAsia="Arial" w:hAnsi="Arial"/>
                <w:sz w:val="21"/>
                <w:szCs w:val="21"/>
                <w:b w:val="1"/>
                <w:bCs w:val="1"/>
                <w:color w:val="auto"/>
                <w:vertAlign w:val="superscript"/>
              </w:rPr>
              <w:t>(8)</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Aginity, Inc.</w:t>
            </w:r>
          </w:p>
        </w:tc>
        <w:tc>
          <w:tcPr>
            <w:tcW w:w="15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7"/>
              </w:rPr>
              <w:t>Application Software</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Series A Preferred Stock, exercise price $1.949/share,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5/25/2028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5/25/2018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359,159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167,727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Warrant for Series A-1 Preferred Stock, exercise price $0.01/share,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2/25/2029</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205,234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151,873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AllClear ID, Inc.</w:t>
            </w:r>
          </w:p>
        </w:tc>
        <w:tc>
          <w:tcPr>
            <w:tcW w:w="15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1"/>
              </w:rPr>
              <w:t>Specialized Consumer</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Common Stock, exercise price $0.01/share,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Services</w:t>
            </w: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9/1/2027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870,514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906,205</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Aria Systems, Inc.</w:t>
            </w:r>
          </w:p>
        </w:tc>
        <w:tc>
          <w:tcPr>
            <w:tcW w:w="15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7"/>
              </w:rPr>
              <w:t>Application Software</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Warrant for Series G Preferred Stock, exercise price $0.8638/share,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6/29/2028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6/29/2018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2,170,641</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770,578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1,786,438</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Aspen Group Inc.</w:t>
            </w:r>
          </w:p>
        </w:tc>
        <w:tc>
          <w:tcPr>
            <w:tcW w:w="15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3"/>
              </w:rPr>
              <w:t>Education Services</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Common Stock, exercise price $6.87/share,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7/25/2022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7/25/2017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224,174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583,301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Brilliant Earth, LLC</w:t>
            </w:r>
          </w:p>
        </w:tc>
        <w:tc>
          <w:tcPr>
            <w:tcW w:w="15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6"/>
              </w:rPr>
              <w:t>Internet Retail</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Class P Units, exercise price $9.29/share,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9/1/2029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9/30/2019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333,333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973,000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973,000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CareCloud</w:t>
            </w:r>
          </w:p>
        </w:tc>
        <w:tc>
          <w:tcPr>
            <w:tcW w:w="1520" w:type="dxa"/>
            <w:vAlign w:val="bottom"/>
            <w:gridSpan w:val="2"/>
            <w:shd w:val="clear" w:color="auto" w:fill="CCEEFF"/>
          </w:tcPr>
          <w:p>
            <w:pPr>
              <w:jc w:val="center"/>
              <w:ind w:right="20"/>
              <w:spacing w:after="0" w:line="130" w:lineRule="exact"/>
              <w:rPr>
                <w:sz w:val="20"/>
                <w:szCs w:val="20"/>
                <w:color w:val="auto"/>
              </w:rPr>
            </w:pPr>
            <w:r>
              <w:rPr>
                <w:rFonts w:ascii="Arial" w:cs="Arial" w:eastAsia="Arial" w:hAnsi="Arial"/>
                <w:sz w:val="14"/>
                <w:szCs w:val="14"/>
                <w:color w:val="auto"/>
                <w:w w:val="93"/>
              </w:rPr>
              <w:t>Healthcare Technology</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Warrant for Series A-1 Preferred Stock, exercise price $0.8287/share,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expires 6/16/2025 </w:t>
            </w:r>
            <w:r>
              <w:rPr>
                <w:rFonts w:ascii="Arial" w:cs="Arial" w:eastAsia="Arial" w:hAnsi="Arial"/>
                <w:sz w:val="23"/>
                <w:szCs w:val="23"/>
                <w:color w:val="auto"/>
                <w:vertAlign w:val="superscript"/>
              </w:rPr>
              <w:t>(14)</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4/17/2019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2,262,579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394,163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640,310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Circadence</w:t>
            </w:r>
          </w:p>
        </w:tc>
        <w:tc>
          <w:tcPr>
            <w:tcW w:w="15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7"/>
              </w:rPr>
              <w:t>Application Software</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Warrant for Series A-5 Preferred Stock, exercise price $1.08/share,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expires 12/20/2028 </w:t>
            </w:r>
            <w:r>
              <w:rPr>
                <w:rFonts w:ascii="Arial" w:cs="Arial" w:eastAsia="Arial" w:hAnsi="Arial"/>
                <w:sz w:val="23"/>
                <w:szCs w:val="23"/>
                <w:color w:val="auto"/>
                <w:vertAlign w:val="superscript"/>
              </w:rPr>
              <w:t>(18)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1,666,667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3,385,000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8"/>
              </w:rPr>
              <w:t>CloudPassage, Inc.</w:t>
            </w:r>
          </w:p>
        </w:tc>
        <w:tc>
          <w:tcPr>
            <w:tcW w:w="15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3"/>
              </w:rPr>
              <w:t>Data Processing &amp;</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Warrant for Series D-1 Preferred Stock, exercise price $1.60/share,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2"/>
              </w:rPr>
              <w:t>Outsourced Services</w:t>
            </w: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6/13/2029</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6/13/2019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210,938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273,798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268,102</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Dejero Labs Inc.</w:t>
            </w:r>
          </w:p>
        </w:tc>
        <w:tc>
          <w:tcPr>
            <w:tcW w:w="15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3"/>
              </w:rPr>
              <w:t>Data Processing &amp;</w:t>
            </w: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Common Stock, exercise price $0.6000/share,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2"/>
              </w:rPr>
              <w:t>Outsourced Services</w:t>
            </w:r>
          </w:p>
        </w:tc>
        <w:tc>
          <w:tcPr>
            <w:tcW w:w="406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6/1/2025</w:t>
            </w:r>
            <w:r>
              <w:rPr>
                <w:rFonts w:ascii="Arial" w:cs="Arial" w:eastAsia="Arial" w:hAnsi="Arial"/>
                <w:sz w:val="23"/>
                <w:szCs w:val="23"/>
                <w:color w:val="auto"/>
                <w:vertAlign w:val="superscript"/>
              </w:rPr>
              <w:t>(3) (7)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333,621</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192,499</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195,650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Dtex Systems, Inc.</w:t>
            </w:r>
          </w:p>
        </w:tc>
        <w:tc>
          <w:tcPr>
            <w:tcW w:w="1520" w:type="dxa"/>
            <w:vAlign w:val="bottom"/>
            <w:gridSpan w:val="2"/>
            <w:shd w:val="clear" w:color="auto" w:fill="CCEEFF"/>
          </w:tcPr>
          <w:p>
            <w:pPr>
              <w:jc w:val="center"/>
              <w:ind w:right="40"/>
              <w:spacing w:after="0" w:line="140" w:lineRule="exact"/>
              <w:rPr>
                <w:sz w:val="20"/>
                <w:szCs w:val="20"/>
                <w:color w:val="auto"/>
              </w:rPr>
            </w:pPr>
            <w:r>
              <w:rPr>
                <w:rFonts w:ascii="Arial" w:cs="Arial" w:eastAsia="Arial" w:hAnsi="Arial"/>
                <w:sz w:val="14"/>
                <w:szCs w:val="14"/>
                <w:color w:val="auto"/>
                <w:w w:val="97"/>
              </w:rPr>
              <w:t>Application Software</w:t>
            </w:r>
          </w:p>
        </w:tc>
        <w:tc>
          <w:tcPr>
            <w:tcW w:w="41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Warrant for Series C-Prime 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1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$0.6000/share, expires 6/1/2025</w:t>
            </w:r>
            <w:r>
              <w:rPr>
                <w:rFonts w:ascii="Arial" w:cs="Arial" w:eastAsia="Arial" w:hAnsi="Arial"/>
                <w:sz w:val="22"/>
                <w:szCs w:val="22"/>
                <w:color w:val="auto"/>
                <w:vertAlign w:val="superscript"/>
              </w:rPr>
              <w:t>(15)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6/1/2018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59,000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57,500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60" w:type="dxa"/>
            <w:vAlign w:val="bottom"/>
            <w:gridSpan w:val="2"/>
          </w:tcPr>
          <w:p>
            <w:pPr>
              <w:spacing w:after="0" w:line="140" w:lineRule="exact"/>
              <w:rPr>
                <w:sz w:val="20"/>
                <w:szCs w:val="20"/>
                <w:color w:val="auto"/>
              </w:rPr>
            </w:pPr>
            <w:r>
              <w:rPr>
                <w:rFonts w:ascii="Arial" w:cs="Arial" w:eastAsia="Arial" w:hAnsi="Arial"/>
                <w:sz w:val="14"/>
                <w:szCs w:val="14"/>
                <w:color w:val="auto"/>
              </w:rPr>
              <w:t>Warrant for Series C-Prime 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2"/>
          </w:tcPr>
          <w:p>
            <w:pPr>
              <w:spacing w:after="0" w:line="198" w:lineRule="exact"/>
              <w:rPr>
                <w:sz w:val="20"/>
                <w:szCs w:val="20"/>
                <w:color w:val="auto"/>
              </w:rPr>
            </w:pPr>
            <w:r>
              <w:rPr>
                <w:rFonts w:ascii="Arial" w:cs="Arial" w:eastAsia="Arial" w:hAnsi="Arial"/>
                <w:sz w:val="14"/>
                <w:szCs w:val="14"/>
                <w:color w:val="auto"/>
              </w:rPr>
              <w:t>$0.6000/share, expires 7/22/2029</w:t>
            </w:r>
            <w:r>
              <w:rPr>
                <w:rFonts w:ascii="Arial" w:cs="Arial" w:eastAsia="Arial" w:hAnsi="Arial"/>
                <w:sz w:val="22"/>
                <w:szCs w:val="22"/>
                <w:color w:val="auto"/>
                <w:vertAlign w:val="superscript"/>
              </w:rPr>
              <w:t>(15)</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7/22/2019</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833,333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114,719</w:t>
            </w:r>
          </w:p>
        </w:tc>
        <w:tc>
          <w:tcPr>
            <w:tcW w:w="12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115,833</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ind w:left="160"/>
              <w:spacing w:after="0" w:line="130" w:lineRule="exact"/>
              <w:rPr>
                <w:sz w:val="20"/>
                <w:szCs w:val="20"/>
                <w:color w:val="auto"/>
              </w:rPr>
            </w:pPr>
            <w:r>
              <w:rPr>
                <w:rFonts w:ascii="Arial" w:cs="Arial" w:eastAsia="Arial" w:hAnsi="Arial"/>
                <w:sz w:val="14"/>
                <w:szCs w:val="14"/>
                <w:color w:val="auto"/>
                <w:w w:val="98"/>
              </w:rPr>
              <w:t>Echo 360 Holdings,</w:t>
            </w:r>
          </w:p>
        </w:tc>
        <w:tc>
          <w:tcPr>
            <w:tcW w:w="1520" w:type="dxa"/>
            <w:vAlign w:val="bottom"/>
            <w:gridSpan w:val="2"/>
          </w:tcPr>
          <w:p>
            <w:pPr>
              <w:jc w:val="center"/>
              <w:ind w:right="40"/>
              <w:spacing w:after="0" w:line="130" w:lineRule="exact"/>
              <w:rPr>
                <w:sz w:val="20"/>
                <w:szCs w:val="20"/>
                <w:color w:val="auto"/>
              </w:rPr>
            </w:pPr>
            <w:r>
              <w:rPr>
                <w:rFonts w:ascii="Arial" w:cs="Arial" w:eastAsia="Arial" w:hAnsi="Arial"/>
                <w:sz w:val="14"/>
                <w:szCs w:val="14"/>
                <w:color w:val="auto"/>
                <w:w w:val="93"/>
              </w:rPr>
              <w:t>Education Services</w:t>
            </w:r>
          </w:p>
        </w:tc>
        <w:tc>
          <w:tcPr>
            <w:tcW w:w="4160" w:type="dxa"/>
            <w:vAlign w:val="bottom"/>
            <w:gridSpan w:val="2"/>
          </w:tcPr>
          <w:p>
            <w:pPr>
              <w:spacing w:after="0" w:line="130" w:lineRule="exact"/>
              <w:rPr>
                <w:sz w:val="20"/>
                <w:szCs w:val="20"/>
                <w:color w:val="auto"/>
              </w:rPr>
            </w:pPr>
            <w:r>
              <w:rPr>
                <w:rFonts w:ascii="Arial" w:cs="Arial" w:eastAsia="Arial" w:hAnsi="Arial"/>
                <w:sz w:val="14"/>
                <w:szCs w:val="14"/>
                <w:color w:val="auto"/>
                <w:w w:val="98"/>
              </w:rPr>
              <w:t>Warrant for Series E Preferred Stock, exercise price $1.5963/share,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Inc.</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expires 5/3/2029</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5/3/2019</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1,066,767</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299,762</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293,361</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ind w:left="160"/>
              <w:spacing w:after="0" w:line="130" w:lineRule="exact"/>
              <w:rPr>
                <w:sz w:val="20"/>
                <w:szCs w:val="20"/>
                <w:color w:val="auto"/>
              </w:rPr>
            </w:pPr>
            <w:r>
              <w:rPr>
                <w:rFonts w:ascii="Arial" w:cs="Arial" w:eastAsia="Arial" w:hAnsi="Arial"/>
                <w:sz w:val="14"/>
                <w:szCs w:val="14"/>
                <w:color w:val="auto"/>
              </w:rPr>
              <w:t>eSilicon</w:t>
            </w:r>
          </w:p>
        </w:tc>
        <w:tc>
          <w:tcPr>
            <w:tcW w:w="1520" w:type="dxa"/>
            <w:vAlign w:val="bottom"/>
            <w:gridSpan w:val="2"/>
          </w:tcPr>
          <w:p>
            <w:pPr>
              <w:jc w:val="center"/>
              <w:ind w:right="40"/>
              <w:spacing w:after="0" w:line="130" w:lineRule="exact"/>
              <w:rPr>
                <w:sz w:val="20"/>
                <w:szCs w:val="20"/>
                <w:color w:val="auto"/>
              </w:rPr>
            </w:pPr>
            <w:r>
              <w:rPr>
                <w:rFonts w:ascii="Arial" w:cs="Arial" w:eastAsia="Arial" w:hAnsi="Arial"/>
                <w:sz w:val="14"/>
                <w:szCs w:val="14"/>
                <w:color w:val="auto"/>
                <w:w w:val="91"/>
              </w:rPr>
              <w:t>Semiconductors</w:t>
            </w:r>
          </w:p>
        </w:tc>
        <w:tc>
          <w:tcPr>
            <w:tcW w:w="4160" w:type="dxa"/>
            <w:vAlign w:val="bottom"/>
            <w:gridSpan w:val="2"/>
          </w:tcPr>
          <w:p>
            <w:pPr>
              <w:spacing w:after="0" w:line="130" w:lineRule="exact"/>
              <w:rPr>
                <w:sz w:val="20"/>
                <w:szCs w:val="20"/>
                <w:color w:val="auto"/>
              </w:rPr>
            </w:pPr>
            <w:r>
              <w:rPr>
                <w:rFonts w:ascii="Arial" w:cs="Arial" w:eastAsia="Arial" w:hAnsi="Arial"/>
                <w:sz w:val="14"/>
                <w:szCs w:val="14"/>
                <w:color w:val="auto"/>
              </w:rPr>
              <w:t>Warrant for Series H Preferred Stock, exercise price $1.01/share,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expires 7/31/2027</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7/31/2017</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1,485,149</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543,564</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972,772</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 for Series H Preferred Stock, exercise price $1.01/share,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expires 6/11/2029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6/21/2019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990,099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312,871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455,446</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Portfolio Companies</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Sub-Industry</w:t>
            </w:r>
          </w:p>
        </w:tc>
        <w:tc>
          <w:tcPr>
            <w:tcW w:w="240" w:type="dxa"/>
            <w:vAlign w:val="bottom"/>
          </w:tcPr>
          <w:p>
            <w:pPr>
              <w:spacing w:after="0"/>
              <w:rPr>
                <w:sz w:val="16"/>
                <w:szCs w:val="16"/>
                <w:color w:val="auto"/>
              </w:rPr>
            </w:pPr>
          </w:p>
        </w:tc>
        <w:tc>
          <w:tcPr>
            <w:tcW w:w="3740" w:type="dxa"/>
            <w:vAlign w:val="bottom"/>
            <w:gridSpan w:val="2"/>
          </w:tcPr>
          <w:p>
            <w:pPr>
              <w:ind w:left="1000"/>
              <w:spacing w:after="0"/>
              <w:rPr>
                <w:sz w:val="20"/>
                <w:szCs w:val="20"/>
                <w:color w:val="auto"/>
              </w:rPr>
            </w:pPr>
            <w:r>
              <w:rPr>
                <w:rFonts w:ascii="Arial" w:cs="Arial" w:eastAsia="Arial" w:hAnsi="Arial"/>
                <w:sz w:val="14"/>
                <w:szCs w:val="14"/>
                <w:b w:val="1"/>
                <w:bCs w:val="1"/>
                <w:color w:val="auto"/>
              </w:rPr>
              <w:t>Investment Description</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Principal/</w:t>
            </w:r>
          </w:p>
        </w:tc>
        <w:tc>
          <w:tcPr>
            <w:tcW w:w="100" w:type="dxa"/>
            <w:vAlign w:val="bottom"/>
          </w:tcPr>
          <w:p>
            <w:pPr>
              <w:spacing w:after="0"/>
              <w:rPr>
                <w:sz w:val="16"/>
                <w:szCs w:val="16"/>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880" w:type="dxa"/>
            <w:vAlign w:val="bottom"/>
            <w:gridSpan w:val="2"/>
          </w:tcPr>
          <w:p>
            <w:pPr>
              <w:ind w:left="1540"/>
              <w:spacing w:after="0"/>
              <w:rPr>
                <w:sz w:val="20"/>
                <w:szCs w:val="20"/>
                <w:color w:val="auto"/>
              </w:rPr>
            </w:pPr>
            <w:r>
              <w:rPr>
                <w:rFonts w:ascii="Arial" w:cs="Arial" w:eastAsia="Arial" w:hAnsi="Arial"/>
                <w:sz w:val="12"/>
                <w:szCs w:val="12"/>
                <w:b w:val="1"/>
                <w:bCs w:val="1"/>
                <w:color w:val="auto"/>
              </w:rPr>
              <w:t>(1),(2),(5),(6),(11)</w:t>
            </w: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(2)</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tcBorders>
              <w:top w:val="single" w:sz="8" w:color="auto"/>
            </w:tcBorders>
            <w:gridSpan w:val="2"/>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Warrants </w:t>
            </w:r>
            <w:r>
              <w:rPr>
                <w:rFonts w:ascii="Arial" w:cs="Arial" w:eastAsia="Arial" w:hAnsi="Arial"/>
                <w:sz w:val="21"/>
                <w:szCs w:val="21"/>
                <w:b w:val="1"/>
                <w:bCs w:val="1"/>
                <w:color w:val="auto"/>
                <w:vertAlign w:val="superscript"/>
              </w:rPr>
              <w:t>(8)</w:t>
            </w:r>
            <w:r>
              <w:rPr>
                <w:rFonts w:ascii="Arial" w:cs="Arial" w:eastAsia="Arial" w:hAnsi="Arial"/>
                <w:sz w:val="13"/>
                <w:szCs w:val="13"/>
                <w:b w:val="1"/>
                <w:bCs w:val="1"/>
                <w:color w:val="auto"/>
              </w:rPr>
              <w:t xml:space="preserve"> (continued)</w:t>
            </w:r>
          </w:p>
        </w:tc>
        <w:tc>
          <w:tcPr>
            <w:tcW w:w="24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INRIX Inc.</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Internet Software and</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Warrant for Common Stock, exercise price $9.29/share, expires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Services</w:t>
            </w:r>
          </w:p>
        </w:tc>
        <w:tc>
          <w:tcPr>
            <w:tcW w:w="38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7/26/2029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7/26/2019</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150,804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522,083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510,924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Massdrop Inc.</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Computer &amp;</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Warrant for Series B Preferred Stock, exercise price $1.1/share,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Electronics Retail</w:t>
            </w:r>
          </w:p>
        </w:tc>
        <w:tc>
          <w:tcPr>
            <w:tcW w:w="39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7/22/2029</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7/22/2019</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848,093</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183,188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189,125</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Mingle HealthCare</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Healthcare</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AA Preferred Stock, exercise price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Solutions, Inc.</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Technology</w:t>
            </w:r>
          </w:p>
        </w:tc>
        <w:tc>
          <w:tcPr>
            <w:tcW w:w="39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$0.24/share, expires 8/15/2028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8/15/2018</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1,625,000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492,375</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Mobius Imaging,</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Healthcare</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next round securities, exercise price $136/share,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Technology</w:t>
            </w:r>
          </w:p>
        </w:tc>
        <w:tc>
          <w:tcPr>
            <w:tcW w:w="39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11/23/2028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11/23/2018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7,123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1,820,000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1,937,500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Mojix, Inc.</w:t>
            </w:r>
          </w:p>
        </w:tc>
        <w:tc>
          <w:tcPr>
            <w:tcW w:w="142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7"/>
              </w:rPr>
              <w:t>Application Software</w:t>
            </w:r>
          </w:p>
        </w:tc>
        <w:tc>
          <w:tcPr>
            <w:tcW w:w="3980" w:type="dxa"/>
            <w:vAlign w:val="bottom"/>
            <w:gridSpan w:val="3"/>
            <w:shd w:val="clear" w:color="auto" w:fill="CCEEFF"/>
          </w:tcPr>
          <w:p>
            <w:pPr>
              <w:ind w:left="60"/>
              <w:spacing w:after="0" w:line="140" w:lineRule="exact"/>
              <w:rPr>
                <w:sz w:val="20"/>
                <w:szCs w:val="20"/>
                <w:color w:val="auto"/>
              </w:rPr>
            </w:pPr>
            <w:r>
              <w:rPr>
                <w:rFonts w:ascii="Arial" w:cs="Arial" w:eastAsia="Arial" w:hAnsi="Arial"/>
                <w:sz w:val="14"/>
                <w:szCs w:val="14"/>
                <w:color w:val="auto"/>
                <w:w w:val="97"/>
              </w:rPr>
              <w:t>Warrant for Common Stock exercise price $10.64/share, expires</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880" w:type="dxa"/>
            <w:vAlign w:val="bottom"/>
            <w:gridSpan w:val="2"/>
            <w:shd w:val="clear" w:color="auto" w:fill="CCEEFF"/>
          </w:tcPr>
          <w:p>
            <w:pPr>
              <w:ind w:left="60"/>
              <w:spacing w:after="0" w:line="198" w:lineRule="exact"/>
              <w:rPr>
                <w:sz w:val="20"/>
                <w:szCs w:val="20"/>
                <w:color w:val="auto"/>
              </w:rPr>
            </w:pPr>
            <w:r>
              <w:rPr>
                <w:rFonts w:ascii="Arial" w:cs="Arial" w:eastAsia="Arial" w:hAnsi="Arial"/>
                <w:sz w:val="14"/>
                <w:szCs w:val="14"/>
                <w:color w:val="auto"/>
              </w:rPr>
              <w:t xml:space="preserve">5/16/2027 </w:t>
            </w:r>
            <w:r>
              <w:rPr>
                <w:rFonts w:ascii="Arial" w:cs="Arial" w:eastAsia="Arial" w:hAnsi="Arial"/>
                <w:sz w:val="22"/>
                <w:szCs w:val="22"/>
                <w:color w:val="auto"/>
                <w:vertAlign w:val="superscript"/>
              </w:rPr>
              <w:t>(17)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164,427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417,645</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980" w:type="dxa"/>
            <w:vAlign w:val="bottom"/>
            <w:gridSpan w:val="3"/>
          </w:tcPr>
          <w:p>
            <w:pPr>
              <w:ind w:left="60"/>
              <w:spacing w:after="0" w:line="140" w:lineRule="exact"/>
              <w:rPr>
                <w:sz w:val="20"/>
                <w:szCs w:val="20"/>
                <w:color w:val="auto"/>
              </w:rPr>
            </w:pPr>
            <w:r>
              <w:rPr>
                <w:rFonts w:ascii="Arial" w:cs="Arial" w:eastAsia="Arial" w:hAnsi="Arial"/>
                <w:sz w:val="14"/>
                <w:szCs w:val="14"/>
                <w:color w:val="auto"/>
                <w:w w:val="97"/>
              </w:rPr>
              <w:t>Warrant for Series 1 Preferred Stock exercise price $0.28/share,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980" w:type="dxa"/>
            <w:vAlign w:val="bottom"/>
            <w:gridSpan w:val="3"/>
          </w:tcPr>
          <w:p>
            <w:pPr>
              <w:ind w:left="60"/>
              <w:spacing w:after="0" w:line="198" w:lineRule="exact"/>
              <w:rPr>
                <w:sz w:val="20"/>
                <w:szCs w:val="20"/>
                <w:color w:val="auto"/>
              </w:rPr>
            </w:pPr>
            <w:r>
              <w:rPr>
                <w:rFonts w:ascii="Arial" w:cs="Arial" w:eastAsia="Arial" w:hAnsi="Arial"/>
                <w:sz w:val="14"/>
                <w:szCs w:val="14"/>
                <w:color w:val="auto"/>
              </w:rPr>
              <w:t xml:space="preserve">expires 12/20/2028 </w:t>
            </w:r>
            <w:r>
              <w:rPr>
                <w:rFonts w:ascii="Arial" w:cs="Arial" w:eastAsia="Arial" w:hAnsi="Arial"/>
                <w:sz w:val="22"/>
                <w:szCs w:val="22"/>
                <w:color w:val="auto"/>
                <w:vertAlign w:val="superscript"/>
              </w:rPr>
              <w:t>(17)</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12/20/2018</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7,176,973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806,991</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980" w:type="dxa"/>
            <w:vAlign w:val="bottom"/>
            <w:gridSpan w:val="3"/>
            <w:shd w:val="clear" w:color="auto" w:fill="CCEEFF"/>
          </w:tcPr>
          <w:p>
            <w:pPr>
              <w:ind w:left="60"/>
              <w:spacing w:after="0" w:line="140" w:lineRule="exact"/>
              <w:rPr>
                <w:sz w:val="20"/>
                <w:szCs w:val="20"/>
                <w:color w:val="auto"/>
              </w:rPr>
            </w:pPr>
            <w:r>
              <w:rPr>
                <w:rFonts w:ascii="Arial" w:cs="Arial" w:eastAsia="Arial" w:hAnsi="Arial"/>
                <w:sz w:val="14"/>
                <w:szCs w:val="14"/>
                <w:color w:val="auto"/>
                <w:w w:val="97"/>
              </w:rPr>
              <w:t>Warrant for Series 1 Preferred Stock exercise price $0.28/share,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980" w:type="dxa"/>
            <w:vAlign w:val="bottom"/>
            <w:gridSpan w:val="3"/>
            <w:shd w:val="clear" w:color="auto" w:fill="CCEEFF"/>
          </w:tcPr>
          <w:p>
            <w:pPr>
              <w:ind w:left="60"/>
              <w:spacing w:after="0" w:line="198" w:lineRule="exact"/>
              <w:rPr>
                <w:sz w:val="20"/>
                <w:szCs w:val="20"/>
                <w:color w:val="auto"/>
              </w:rPr>
            </w:pPr>
            <w:r>
              <w:rPr>
                <w:rFonts w:ascii="Arial" w:cs="Arial" w:eastAsia="Arial" w:hAnsi="Arial"/>
                <w:sz w:val="14"/>
                <w:szCs w:val="14"/>
                <w:color w:val="auto"/>
              </w:rPr>
              <w:t xml:space="preserve">expires 5/30/2029 </w:t>
            </w:r>
            <w:r>
              <w:rPr>
                <w:rFonts w:ascii="Arial" w:cs="Arial" w:eastAsia="Arial" w:hAnsi="Arial"/>
                <w:sz w:val="22"/>
                <w:szCs w:val="22"/>
                <w:color w:val="auto"/>
                <w:vertAlign w:val="superscript"/>
              </w:rPr>
              <w:t>(17)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5/30/2019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358,849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21,531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3DNA Corp. (dba</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C-1 Preferred Stock exercise price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NationBuilder)</w:t>
            </w:r>
          </w:p>
        </w:tc>
        <w:tc>
          <w:tcPr>
            <w:tcW w:w="1420" w:type="dxa"/>
            <w:vAlign w:val="bottom"/>
            <w:shd w:val="clear" w:color="auto" w:fill="CCEEFF"/>
          </w:tcPr>
          <w:p>
            <w:pPr>
              <w:spacing w:after="0"/>
              <w:rPr>
                <w:sz w:val="14"/>
                <w:szCs w:val="14"/>
                <w:color w:val="auto"/>
              </w:rPr>
            </w:pPr>
          </w:p>
        </w:tc>
        <w:tc>
          <w:tcPr>
            <w:tcW w:w="39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$1.4643/share, expires 12/28/2028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12/28/2018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273,164</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104,138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98,066</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Ouster, Inc.</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Technology</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A Preferred Stock, exercise price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Hardware, Storage &amp;</w:t>
            </w:r>
          </w:p>
        </w:tc>
        <w:tc>
          <w:tcPr>
            <w:tcW w:w="3980" w:type="dxa"/>
            <w:vAlign w:val="bottom"/>
            <w:gridSpan w:val="3"/>
            <w:shd w:val="clear" w:color="auto" w:fill="CCEEFF"/>
          </w:tcPr>
          <w:p>
            <w:pPr>
              <w:ind w:left="60"/>
              <w:spacing w:after="0" w:line="181" w:lineRule="exact"/>
              <w:rPr>
                <w:sz w:val="20"/>
                <w:szCs w:val="20"/>
                <w:color w:val="auto"/>
              </w:rPr>
            </w:pPr>
            <w:r>
              <w:rPr>
                <w:rFonts w:ascii="Arial" w:cs="Arial" w:eastAsia="Arial" w:hAnsi="Arial"/>
                <w:sz w:val="13"/>
                <w:szCs w:val="13"/>
                <w:color w:val="auto"/>
              </w:rPr>
              <w:t xml:space="preserve">$11.3158/share, expires 11/27/2028 </w:t>
            </w:r>
            <w:r>
              <w:rPr>
                <w:rFonts w:ascii="Arial" w:cs="Arial" w:eastAsia="Arial" w:hAnsi="Arial"/>
                <w:sz w:val="20"/>
                <w:szCs w:val="20"/>
                <w:color w:val="auto"/>
                <w:vertAlign w:val="superscript"/>
              </w:rPr>
              <w:t>(16)</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11/27/2018</w:t>
            </w: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53,023</w:t>
            </w:r>
          </w:p>
        </w:tc>
        <w:tc>
          <w:tcPr>
            <w:tcW w:w="1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103,010</w:t>
            </w:r>
          </w:p>
        </w:tc>
        <w:tc>
          <w:tcPr>
            <w:tcW w:w="1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139,906</w:t>
            </w:r>
          </w:p>
        </w:tc>
        <w:tc>
          <w:tcPr>
            <w:tcW w:w="8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Peripherals</w:t>
            </w:r>
          </w:p>
        </w:tc>
        <w:tc>
          <w:tcPr>
            <w:tcW w:w="240" w:type="dxa"/>
            <w:vAlign w:val="bottom"/>
            <w:shd w:val="clear" w:color="auto" w:fill="CCEEFF"/>
          </w:tcPr>
          <w:p>
            <w:pPr>
              <w:spacing w:after="0"/>
              <w:rPr>
                <w:sz w:val="11"/>
                <w:szCs w:val="11"/>
                <w:color w:val="auto"/>
              </w:rPr>
            </w:pPr>
          </w:p>
        </w:tc>
        <w:tc>
          <w:tcPr>
            <w:tcW w:w="3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Pivot3, Inc.</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Data Processing</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Warrant for Series D Preferred Stock, exercise price $0.59/share,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&amp;Outsourced Services</w:t>
            </w:r>
          </w:p>
        </w:tc>
        <w:tc>
          <w:tcPr>
            <w:tcW w:w="39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5/13/2029</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5/13/2019</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2,033,898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216,610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164,746</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Realwear, Inc.</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Technology</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A Preferred Stock, exercise price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Hardware, Storage &amp;</w:t>
            </w:r>
          </w:p>
        </w:tc>
        <w:tc>
          <w:tcPr>
            <w:tcW w:w="3980" w:type="dxa"/>
            <w:vAlign w:val="bottom"/>
            <w:gridSpan w:val="3"/>
            <w:shd w:val="clear" w:color="auto" w:fill="CCEEFF"/>
          </w:tcPr>
          <w:p>
            <w:pPr>
              <w:ind w:left="60"/>
              <w:spacing w:after="0" w:line="181" w:lineRule="exact"/>
              <w:rPr>
                <w:sz w:val="20"/>
                <w:szCs w:val="20"/>
                <w:color w:val="auto"/>
              </w:rPr>
            </w:pPr>
            <w:r>
              <w:rPr>
                <w:rFonts w:ascii="Arial" w:cs="Arial" w:eastAsia="Arial" w:hAnsi="Arial"/>
                <w:sz w:val="13"/>
                <w:szCs w:val="13"/>
                <w:color w:val="auto"/>
              </w:rPr>
              <w:t xml:space="preserve">$4.4464/share, expires 10/5/2028 </w:t>
            </w:r>
            <w:r>
              <w:rPr>
                <w:rFonts w:ascii="Arial" w:cs="Arial" w:eastAsia="Arial" w:hAnsi="Arial"/>
                <w:sz w:val="20"/>
                <w:szCs w:val="20"/>
                <w:color w:val="auto"/>
                <w:vertAlign w:val="superscript"/>
              </w:rPr>
              <w:t>(12)</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10/5/2018</w:t>
            </w: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112,451</w:t>
            </w:r>
          </w:p>
        </w:tc>
        <w:tc>
          <w:tcPr>
            <w:tcW w:w="1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135,841</w:t>
            </w:r>
          </w:p>
        </w:tc>
        <w:tc>
          <w:tcPr>
            <w:tcW w:w="1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400,434</w:t>
            </w:r>
          </w:p>
        </w:tc>
        <w:tc>
          <w:tcPr>
            <w:tcW w:w="8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Peripherals</w:t>
            </w:r>
          </w:p>
        </w:tc>
        <w:tc>
          <w:tcPr>
            <w:tcW w:w="240" w:type="dxa"/>
            <w:vAlign w:val="bottom"/>
            <w:shd w:val="clear" w:color="auto" w:fill="CCEEFF"/>
          </w:tcPr>
          <w:p>
            <w:pPr>
              <w:spacing w:after="0"/>
              <w:rPr>
                <w:sz w:val="11"/>
                <w:szCs w:val="11"/>
                <w:color w:val="auto"/>
              </w:rPr>
            </w:pPr>
          </w:p>
        </w:tc>
        <w:tc>
          <w:tcPr>
            <w:tcW w:w="3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980" w:type="dxa"/>
            <w:vAlign w:val="bottom"/>
            <w:gridSpan w:val="3"/>
          </w:tcPr>
          <w:p>
            <w:pPr>
              <w:ind w:left="60"/>
              <w:spacing w:after="0" w:line="140" w:lineRule="exact"/>
              <w:rPr>
                <w:sz w:val="20"/>
                <w:szCs w:val="20"/>
                <w:color w:val="auto"/>
              </w:rPr>
            </w:pPr>
            <w:r>
              <w:rPr>
                <w:rFonts w:ascii="Arial" w:cs="Arial" w:eastAsia="Arial" w:hAnsi="Arial"/>
                <w:sz w:val="14"/>
                <w:szCs w:val="14"/>
                <w:color w:val="auto"/>
              </w:rPr>
              <w:t>Warrant for Series A Preferred Stock, exercise price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980" w:type="dxa"/>
            <w:vAlign w:val="bottom"/>
            <w:gridSpan w:val="3"/>
          </w:tcPr>
          <w:p>
            <w:pPr>
              <w:ind w:left="60"/>
              <w:spacing w:after="0" w:line="198" w:lineRule="exact"/>
              <w:rPr>
                <w:sz w:val="20"/>
                <w:szCs w:val="20"/>
                <w:color w:val="auto"/>
              </w:rPr>
            </w:pPr>
            <w:r>
              <w:rPr>
                <w:rFonts w:ascii="Arial" w:cs="Arial" w:eastAsia="Arial" w:hAnsi="Arial"/>
                <w:sz w:val="14"/>
                <w:szCs w:val="14"/>
                <w:color w:val="auto"/>
              </w:rPr>
              <w:t xml:space="preserve">$4.4464/share, expires 12/28/2028 </w:t>
            </w:r>
            <w:r>
              <w:rPr>
                <w:rFonts w:ascii="Arial" w:cs="Arial" w:eastAsia="Arial" w:hAnsi="Arial"/>
                <w:sz w:val="22"/>
                <w:szCs w:val="22"/>
                <w:color w:val="auto"/>
                <w:vertAlign w:val="superscript"/>
              </w:rPr>
              <w:t>(12)</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12/28/2018</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22,491</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74,427</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980" w:type="dxa"/>
            <w:vAlign w:val="bottom"/>
            <w:gridSpan w:val="3"/>
            <w:shd w:val="clear" w:color="auto" w:fill="CCEEFF"/>
          </w:tcPr>
          <w:p>
            <w:pPr>
              <w:ind w:left="60"/>
              <w:spacing w:after="0" w:line="140" w:lineRule="exact"/>
              <w:rPr>
                <w:sz w:val="20"/>
                <w:szCs w:val="20"/>
                <w:color w:val="auto"/>
              </w:rPr>
            </w:pPr>
            <w:r>
              <w:rPr>
                <w:rFonts w:ascii="Arial" w:cs="Arial" w:eastAsia="Arial" w:hAnsi="Arial"/>
                <w:sz w:val="14"/>
                <w:szCs w:val="14"/>
                <w:color w:val="auto"/>
              </w:rPr>
              <w:t>Warrant Series A Preferred Stock, exercise price $6.78/share,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980" w:type="dxa"/>
            <w:vAlign w:val="bottom"/>
            <w:gridSpan w:val="3"/>
            <w:shd w:val="clear" w:color="auto" w:fill="CCEEFF"/>
          </w:tcPr>
          <w:p>
            <w:pPr>
              <w:ind w:left="60"/>
              <w:spacing w:after="0" w:line="198" w:lineRule="exact"/>
              <w:rPr>
                <w:sz w:val="20"/>
                <w:szCs w:val="20"/>
                <w:color w:val="auto"/>
              </w:rPr>
            </w:pPr>
            <w:r>
              <w:rPr>
                <w:rFonts w:ascii="Arial" w:cs="Arial" w:eastAsia="Arial" w:hAnsi="Arial"/>
                <w:sz w:val="14"/>
                <w:szCs w:val="14"/>
                <w:color w:val="auto"/>
              </w:rPr>
              <w:t xml:space="preserve">expires 6/27/2029 </w:t>
            </w:r>
            <w:r>
              <w:rPr>
                <w:rFonts w:ascii="Arial" w:cs="Arial" w:eastAsia="Arial" w:hAnsi="Arial"/>
                <w:sz w:val="22"/>
                <w:szCs w:val="22"/>
                <w:color w:val="auto"/>
                <w:vertAlign w:val="superscript"/>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123,894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380,850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340,709</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Scale Computing,</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System Software</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F-1 Preferred Stock exercise price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420" w:type="dxa"/>
            <w:vAlign w:val="bottom"/>
            <w:shd w:val="clear" w:color="auto" w:fill="CCEEFF"/>
          </w:tcPr>
          <w:p>
            <w:pPr>
              <w:spacing w:after="0"/>
              <w:rPr>
                <w:sz w:val="14"/>
                <w:szCs w:val="14"/>
                <w:color w:val="auto"/>
              </w:rPr>
            </w:pPr>
          </w:p>
        </w:tc>
        <w:tc>
          <w:tcPr>
            <w:tcW w:w="39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$0.8031/share, expires 3/29/2029</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3/29/2019</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2,147,926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345,816</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317,893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5"/>
              </w:rPr>
              <w:t>SendtoNews Video,</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Advertising</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Class B Non-Voting Stock, exercise price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4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60"/>
              <w:spacing w:after="0" w:line="208" w:lineRule="exact"/>
              <w:rPr>
                <w:sz w:val="20"/>
                <w:szCs w:val="20"/>
                <w:color w:val="auto"/>
              </w:rPr>
            </w:pPr>
            <w:r>
              <w:rPr>
                <w:rFonts w:ascii="Arial" w:cs="Arial" w:eastAsia="Arial" w:hAnsi="Arial"/>
                <w:sz w:val="14"/>
                <w:szCs w:val="14"/>
                <w:color w:val="auto"/>
              </w:rPr>
              <w:t xml:space="preserve">$0.67/share, expires 6/30/2027 </w:t>
            </w:r>
            <w:r>
              <w:rPr>
                <w:rFonts w:ascii="Arial" w:cs="Arial" w:eastAsia="Arial" w:hAnsi="Arial"/>
                <w:sz w:val="23"/>
                <w:szCs w:val="23"/>
                <w:color w:val="auto"/>
                <w:vertAlign w:val="superscript"/>
              </w:rPr>
              <w:t>(3) (7)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191,500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246,461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57,000</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ShareThis, Inc.</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Data Processing &amp;</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D-3 Preferred Stock, exercise price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Outsourced Services</w:t>
            </w:r>
          </w:p>
        </w:tc>
        <w:tc>
          <w:tcPr>
            <w:tcW w:w="39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$2.4320/share, expires 12/3/2028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12/3/2018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647,615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zSpace, Inc.</w:t>
            </w:r>
          </w:p>
        </w:tc>
        <w:tc>
          <w:tcPr>
            <w:tcW w:w="14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Technology</w:t>
            </w:r>
          </w:p>
        </w:tc>
        <w:tc>
          <w:tcPr>
            <w:tcW w:w="39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Warrant for Series E Preferred Stock, exercise price $0.90/share,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Hardware, Storage &amp;</w:t>
            </w:r>
          </w:p>
        </w:tc>
        <w:tc>
          <w:tcPr>
            <w:tcW w:w="39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expires 12/29/2027</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Peripherals</w:t>
            </w:r>
          </w:p>
        </w:tc>
        <w:tc>
          <w:tcPr>
            <w:tcW w:w="24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12/29/2017</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1,896,966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707,568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436,046</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98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Warrant for Series E Preferred Stock, exercise price $0.90/share,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980" w:type="dxa"/>
            <w:vAlign w:val="bottom"/>
            <w:gridSpan w:val="3"/>
          </w:tcPr>
          <w:p>
            <w:pPr>
              <w:ind w:left="60"/>
              <w:spacing w:after="0"/>
              <w:rPr>
                <w:sz w:val="20"/>
                <w:szCs w:val="20"/>
                <w:color w:val="auto"/>
              </w:rPr>
            </w:pPr>
            <w:r>
              <w:rPr>
                <w:rFonts w:ascii="Arial" w:cs="Arial" w:eastAsia="Arial" w:hAnsi="Arial"/>
                <w:sz w:val="14"/>
                <w:szCs w:val="14"/>
                <w:color w:val="auto"/>
              </w:rPr>
              <w:t>expires 2/11/2029</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2/11/2019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2,806,830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411,528</w:t>
            </w: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253,609</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4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19,319,471</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17,132,002</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7"/>
              </w:rPr>
              <w:t>Total non-control/non-affiliate investments</w:t>
            </w:r>
          </w:p>
        </w:tc>
        <w:tc>
          <w:tcPr>
            <w:tcW w:w="24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365,612,439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357,738,881</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Sub-Industry</w:t>
            </w:r>
          </w:p>
        </w:tc>
        <w:tc>
          <w:tcPr>
            <w:tcW w:w="120" w:type="dxa"/>
            <w:vAlign w:val="bottom"/>
          </w:tcPr>
          <w:p>
            <w:pPr>
              <w:spacing w:after="0"/>
              <w:rPr>
                <w:sz w:val="16"/>
                <w:szCs w:val="16"/>
                <w:color w:val="auto"/>
              </w:rPr>
            </w:pPr>
          </w:p>
        </w:tc>
        <w:tc>
          <w:tcPr>
            <w:tcW w:w="39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Acquisition</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6"/>
                <w:szCs w:val="16"/>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1440" w:type="dxa"/>
            <w:vAlign w:val="bottom"/>
            <w:gridSpan w:val="3"/>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6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(2)</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U.S. Treasury</w:t>
            </w:r>
          </w:p>
        </w:tc>
        <w:tc>
          <w:tcPr>
            <w:tcW w:w="100" w:type="dxa"/>
            <w:vAlign w:val="bottom"/>
            <w:vMerge w:val="continue"/>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38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U.S. Treasury Bill, 1.59%, due 10/8/2019</w:t>
            </w:r>
            <w:r>
              <w:rPr>
                <w:rFonts w:ascii="Arial" w:cs="Arial" w:eastAsia="Arial" w:hAnsi="Arial"/>
                <w:sz w:val="21"/>
                <w:szCs w:val="21"/>
                <w:color w:val="auto"/>
                <w:vertAlign w:val="superscript"/>
              </w:rPr>
              <w:t>(10)</w:t>
            </w:r>
          </w:p>
        </w:tc>
        <w:tc>
          <w:tcPr>
            <w:tcW w:w="10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59,970,914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59,970,914</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425,583,353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417,709,795</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141.56</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September 30, 2019, the 3-Month LIBOR was 2.09% and the U.S. Prime Rate was 5.00%.</w:t>
      </w:r>
    </w:p>
    <w:p>
      <w:pPr>
        <w:spacing w:after="0" w:line="1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September 30, 2019 represented 121.24% of the Company’s net assets, are restricted as to resale and were valued at fair value as determined in good faith by the Company’s Board of Directors.</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not a qualifying investment as defined under Section 55(a) of the Investment Company Act of 1940, as amended. Non-qualifying assets represent 3.72% of total investments at fair value as of September 30, 2019. Qualifying assets must represent at least 70% of the Company’s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PIK security. PIK interest will be accrued and paid at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Bills which are valued using observable inputs.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2019</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 are held at Fair Value net of the Fair Value of Unfunded Commitments. See Note 3 for additional detail.</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Treasury bills with $60,000,000 in aggregate of par value were purchased pursuant to a 5.00% reverse repurchase agreement with Goldman Sachs, dated September 27, 2019, due October 4, 2019, with a repurchase price of $60,000,000 and collateralized by a 1.59% U.S. Treasury Bill due October 8, 2019 with a par value of $60,000,000 and fair value of $59,970,914.</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Disclosures of end-of-term-payments (“ETP”) are one-time payments stated as a percentage of original principal amount.</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June 28, 2019, pursuant to the Company’s Amended and Restated Loan and Security Agreement, RealWear, Inc. paid down the $3,000,000 revolving note. The Company funded an additional $16,000,000 senior secured term loan to RealWear, Inc. and purchased a warrant to purchase 123,894 shares of Series A Preferred Stock for a total cost of $24,840,000.</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July 23, 2019, the Aginity, Inc. loan and security agreement was amended to: (a) extend a loan amount maximum of $2,000,000, which shall not exceed a maximum of $500,000 per month; and, (b) modify the maturity date to be the earlier of the closing date of the sale of Aginity, Inc. or November 30, 2019. Effective July 1, 2019, the Company has placed Aginity, Inc. at non-accrual status.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April 17, 2019, the CareCloud Corporation warrant to purchase preferred stock was amended to change the warrant entitlement of the Company from Series C Preferred Stock to Series A-1 Preferred Stock at 2,262,579 shares at an exercise price of $0.8287 per share.</w:t>
      </w:r>
    </w:p>
    <w:p>
      <w:pPr>
        <w:spacing w:after="0" w:line="14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July 11, 2019, the Dtex Systems, Inc. (“Dtex”) loan and security agreement was amended to: (a) extend the amortization date to October 15, 2019; (b) PIK all interest through September 15, 2019; and, (c) increase the applicable interest rate by 1.50% through September 15, 2019. Pursuant to the amendment, on July 11, 2019 the Company received an additional warrant to purchase 833,333 shares of Series C-Prime Preferred Stock at an exercise price of $0.60. As of October 29, 2019, the loan and security agreement was further amended to extend the amortization date to November 15, 2019.</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August 5, 2019, in exchange for modification to certain financial covenants in the Loan and Security Agreement, the Ouster, Inc. warrant was modified to increase the Company's warrant coverage from 4% of the Loan Amount to 6% of the Loan Amount. The warrant price per share remains $11.3158, subject to adjustment as provided for under terms of the warrant agreement.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October 22, 2019, the Mojix, Inc. loan and security agreement was amended to extend the amortization date to June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October 31, 2019, the Circadence Corporation loan and security agreement was amended to: (a) extend the amortization date to July 15, 2020;</w:t>
      </w:r>
    </w:p>
    <w:p>
      <w:pPr>
        <w:spacing w:after="0" w:line="46"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(b) increase the ETP to 6% of the original principal amount; and, (c) modify the maturity date to December 15, 2022. Pursuant to the amendment, on October 31, 2019 the Company received an additional warrant to purchase 416,667 shares of Series A-5 Preferred Stock at an exercise price of $1.08.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September 30, 2019:</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September 30, 2019</w:t>
            </w:r>
          </w:p>
        </w:tc>
      </w:tr>
      <w:tr>
        <w:trPr>
          <w:trHeight w:val="191"/>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Investments at</w:t>
            </w:r>
          </w:p>
        </w:tc>
        <w:tc>
          <w:tcPr>
            <w:tcW w:w="1140" w:type="dxa"/>
            <w:vAlign w:val="bottom"/>
            <w:tcBorders>
              <w:top w:val="single" w:sz="8" w:color="auto"/>
            </w:tcBorders>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w w:val="89"/>
              </w:rPr>
              <w:t>Percentage of</w:t>
            </w:r>
          </w:p>
        </w:tc>
        <w:tc>
          <w:tcPr>
            <w:tcW w:w="160" w:type="dxa"/>
            <w:vAlign w:val="bottom"/>
          </w:tcPr>
          <w:p>
            <w:pPr>
              <w:spacing w:after="0"/>
              <w:rPr>
                <w:sz w:val="16"/>
                <w:szCs w:val="16"/>
                <w:color w:val="auto"/>
              </w:rPr>
            </w:pPr>
          </w:p>
        </w:tc>
      </w:tr>
      <w:tr>
        <w:trPr>
          <w:trHeight w:val="234"/>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Geographic Region</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Net Assets</w:t>
            </w:r>
          </w:p>
        </w:tc>
        <w:tc>
          <w:tcPr>
            <w:tcW w:w="160" w:type="dxa"/>
            <w:vAlign w:val="bottom"/>
            <w:tcBorders>
              <w:bottom w:val="single" w:sz="8" w:color="CCEEFF"/>
            </w:tcBorders>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197,798,537</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67.03%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Pacific Northwestern United States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50,055,284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34,005,169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24,966,055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20,647,908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Midwestern United States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19,276,718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10,989,210</w:t>
            </w:r>
          </w:p>
        </w:tc>
        <w:tc>
          <w:tcPr>
            <w:tcW w:w="1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357,738,881</w:t>
            </w: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121.24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 2019</w:t>
            </w:r>
          </w:p>
        </w:tc>
      </w:tr>
      <w:tr>
        <w:trPr>
          <w:trHeight w:val="191"/>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Investments at</w:t>
            </w: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9"/>
              </w:rPr>
              <w:t>Percentage of</w:t>
            </w:r>
          </w:p>
        </w:tc>
        <w:tc>
          <w:tcPr>
            <w:tcW w:w="160" w:type="dxa"/>
            <w:vAlign w:val="bottom"/>
          </w:tcPr>
          <w:p>
            <w:pPr>
              <w:spacing w:after="0"/>
              <w:rPr>
                <w:sz w:val="16"/>
                <w:szCs w:val="16"/>
                <w:color w:val="auto"/>
              </w:rPr>
            </w:pPr>
          </w:p>
        </w:tc>
      </w:tr>
      <w:tr>
        <w:trPr>
          <w:trHeight w:val="234"/>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Industry</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Net Assets</w:t>
            </w:r>
          </w:p>
        </w:tc>
        <w:tc>
          <w:tcPr>
            <w:tcW w:w="160" w:type="dxa"/>
            <w:vAlign w:val="bottom"/>
            <w:tcBorders>
              <w:bottom w:val="single" w:sz="8" w:color="CCEEFF"/>
            </w:tcBorders>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74,751,383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59,744,040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Healthcare Technology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47,916,455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6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36,112,886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34,552,317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Semiconductors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30,308,599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Internet Software and Services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24,722,491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17,316,220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16,455,692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System Software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14,895,593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906,205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Advertising</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tcPr>
          <w:p>
            <w:pPr>
              <w:spacing w:after="0"/>
              <w:rPr>
                <w:sz w:val="19"/>
                <w:szCs w:val="19"/>
                <w:color w:val="auto"/>
              </w:rPr>
            </w:pPr>
          </w:p>
        </w:tc>
      </w:tr>
      <w:tr>
        <w:trPr>
          <w:trHeight w:val="22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357,738,881</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Portfolio Companies</w:t>
            </w: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Sub-Industry</w:t>
            </w:r>
          </w:p>
        </w:tc>
        <w:tc>
          <w:tcPr>
            <w:tcW w:w="406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(1),(5),(6)</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0" w:type="dxa"/>
            <w:vAlign w:val="bottom"/>
          </w:tcPr>
          <w:p>
            <w:pPr>
              <w:spacing w:after="0"/>
              <w:rPr>
                <w:sz w:val="16"/>
                <w:szCs w:val="16"/>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138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406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6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(2)</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w:t>
            </w:r>
          </w:p>
        </w:tc>
        <w:tc>
          <w:tcPr>
            <w:tcW w:w="3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Borders>
              <w:top w:val="single" w:sz="8" w:color="auto"/>
            </w:tcBorders>
            <w:gridSpan w:val="2"/>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Term Loans</w:t>
            </w: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Aginity, Inc.</w:t>
            </w:r>
          </w:p>
        </w:tc>
        <w:tc>
          <w:tcPr>
            <w:tcW w:w="14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LIBOR+9.5%, 11.5% floor, 5% ETP, due 5/25/2022</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5/25/2018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7,000,000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  6,795,581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6,675,922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AllClear ID, Inc.</w:t>
            </w:r>
          </w:p>
        </w:tc>
        <w:tc>
          <w:tcPr>
            <w:tcW w:w="144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Specialized Consumer</w:t>
            </w:r>
          </w:p>
        </w:tc>
        <w:tc>
          <w:tcPr>
            <w:tcW w:w="40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Tranche I: LIBOR+10.75%, 12.25% floor, 5% ETP, due 8/15/2021</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Services</w:t>
            </w:r>
          </w:p>
        </w:tc>
        <w:tc>
          <w:tcPr>
            <w:tcW w:w="3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10,000,000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9,545,594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9,841,798</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Tranche II: LIBOR+8.50%, 10% floor, 5% ETP, due 8/15/2021</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10/17/2018</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5,000,000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4,342,367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4,920,899</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Aria Systems, Inc.</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LIBOR+9.00%, 11.35% floor, 4% ETP, due 12/15/2021</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6"/>
              </w:rPr>
              <w:t>6/29/2018</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25,000,000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24,305,208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24,212,998</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ind w:left="160"/>
              <w:spacing w:after="0" w:line="130" w:lineRule="exact"/>
              <w:rPr>
                <w:sz w:val="20"/>
                <w:szCs w:val="20"/>
                <w:color w:val="auto"/>
              </w:rPr>
            </w:pPr>
            <w:r>
              <w:rPr>
                <w:rFonts w:ascii="Arial" w:cs="Arial" w:eastAsia="Arial" w:hAnsi="Arial"/>
                <w:sz w:val="14"/>
                <w:szCs w:val="14"/>
                <w:color w:val="auto"/>
              </w:rPr>
              <w:t>CareCloud</w:t>
            </w:r>
          </w:p>
        </w:tc>
        <w:tc>
          <w:tcPr>
            <w:tcW w:w="144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1"/>
              </w:rPr>
              <w:t>Healthcare</w:t>
            </w:r>
          </w:p>
        </w:tc>
        <w:tc>
          <w:tcPr>
            <w:tcW w:w="40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Prime+7.00%, 11.75% floor, 3.5% ETP, due 6/15/2022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3"/>
              </w:rPr>
              <w:t>Technology</w:t>
            </w: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6/29/2018</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25,000,000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24,570,129</w:t>
            </w:r>
          </w:p>
        </w:tc>
        <w:tc>
          <w:tcPr>
            <w:tcW w:w="740" w:type="dxa"/>
            <w:vAlign w:val="bottom"/>
          </w:tcPr>
          <w:p>
            <w:pPr>
              <w:jc w:val="right"/>
              <w:spacing w:after="0"/>
              <w:rPr>
                <w:sz w:val="20"/>
                <w:szCs w:val="20"/>
                <w:color w:val="auto"/>
              </w:rPr>
            </w:pPr>
            <w:r>
              <w:rPr>
                <w:rFonts w:ascii="Arial" w:cs="Arial" w:eastAsia="Arial" w:hAnsi="Arial"/>
                <w:sz w:val="14"/>
                <w:szCs w:val="14"/>
                <w:color w:val="auto"/>
              </w:rPr>
              <w:t>24,123,158</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ind w:left="160"/>
              <w:spacing w:after="0" w:line="130" w:lineRule="exact"/>
              <w:rPr>
                <w:sz w:val="20"/>
                <w:szCs w:val="20"/>
                <w:color w:val="auto"/>
              </w:rPr>
            </w:pPr>
            <w:r>
              <w:rPr>
                <w:rFonts w:ascii="Arial" w:cs="Arial" w:eastAsia="Arial" w:hAnsi="Arial"/>
                <w:sz w:val="14"/>
                <w:szCs w:val="14"/>
                <w:color w:val="auto"/>
              </w:rPr>
              <w:t>Circadence</w:t>
            </w:r>
          </w:p>
        </w:tc>
        <w:tc>
          <w:tcPr>
            <w:tcW w:w="144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LIBOR+9.5%, 12% floor, 5% ETP, due 6/20/2022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18,000,000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14,239,085</w:t>
            </w:r>
          </w:p>
        </w:tc>
        <w:tc>
          <w:tcPr>
            <w:tcW w:w="740" w:type="dxa"/>
            <w:vAlign w:val="bottom"/>
          </w:tcPr>
          <w:p>
            <w:pPr>
              <w:jc w:val="right"/>
              <w:spacing w:after="0"/>
              <w:rPr>
                <w:sz w:val="20"/>
                <w:szCs w:val="20"/>
                <w:color w:val="auto"/>
              </w:rPr>
            </w:pPr>
            <w:r>
              <w:rPr>
                <w:rFonts w:ascii="Arial" w:cs="Arial" w:eastAsia="Arial" w:hAnsi="Arial"/>
                <w:sz w:val="14"/>
                <w:szCs w:val="14"/>
                <w:color w:val="auto"/>
              </w:rPr>
              <w:t>14,239,085</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ind w:left="160"/>
              <w:spacing w:after="0" w:line="130" w:lineRule="exact"/>
              <w:rPr>
                <w:sz w:val="20"/>
                <w:szCs w:val="20"/>
                <w:color w:val="auto"/>
              </w:rPr>
            </w:pPr>
            <w:r>
              <w:rPr>
                <w:rFonts w:ascii="Arial" w:cs="Arial" w:eastAsia="Arial" w:hAnsi="Arial"/>
                <w:sz w:val="14"/>
                <w:szCs w:val="14"/>
                <w:color w:val="auto"/>
              </w:rPr>
              <w:t>Drawbridge, Inc.</w:t>
            </w:r>
          </w:p>
        </w:tc>
        <w:tc>
          <w:tcPr>
            <w:tcW w:w="144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3"/>
              </w:rPr>
              <w:t>Data Processing &amp;</w:t>
            </w:r>
          </w:p>
        </w:tc>
        <w:tc>
          <w:tcPr>
            <w:tcW w:w="40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LIBOR+9%, 11.25% floor, 4% ETP, due 10/22/2022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0"/>
              </w:rPr>
              <w:t>Outsourced Services</w:t>
            </w: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1"/>
              </w:rPr>
              <w:t>10/22/2018</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15,000,000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14,467,708</w:t>
            </w:r>
          </w:p>
        </w:tc>
        <w:tc>
          <w:tcPr>
            <w:tcW w:w="740" w:type="dxa"/>
            <w:vAlign w:val="bottom"/>
          </w:tcPr>
          <w:p>
            <w:pPr>
              <w:jc w:val="right"/>
              <w:spacing w:after="0"/>
              <w:rPr>
                <w:sz w:val="20"/>
                <w:szCs w:val="20"/>
                <w:color w:val="auto"/>
              </w:rPr>
            </w:pPr>
            <w:r>
              <w:rPr>
                <w:rFonts w:ascii="Arial" w:cs="Arial" w:eastAsia="Arial" w:hAnsi="Arial"/>
                <w:sz w:val="14"/>
                <w:szCs w:val="14"/>
                <w:color w:val="auto"/>
              </w:rPr>
              <w:t>14,467,708</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ind w:left="160"/>
              <w:spacing w:after="0" w:line="130" w:lineRule="exact"/>
              <w:rPr>
                <w:sz w:val="20"/>
                <w:szCs w:val="20"/>
                <w:color w:val="auto"/>
              </w:rPr>
            </w:pPr>
            <w:r>
              <w:rPr>
                <w:rFonts w:ascii="Arial" w:cs="Arial" w:eastAsia="Arial" w:hAnsi="Arial"/>
                <w:sz w:val="14"/>
                <w:szCs w:val="14"/>
                <w:color w:val="auto"/>
              </w:rPr>
              <w:t>Dtex Systems, Inc.</w:t>
            </w:r>
          </w:p>
        </w:tc>
        <w:tc>
          <w:tcPr>
            <w:tcW w:w="144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LIBOR+9.5%, 11.5% floor, 11.5% cash cap, 4% ETP, due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60" w:type="dxa"/>
            <w:vAlign w:val="bottom"/>
          </w:tcPr>
          <w:p>
            <w:pPr>
              <w:ind w:left="60"/>
              <w:spacing w:after="0"/>
              <w:rPr>
                <w:sz w:val="20"/>
                <w:szCs w:val="20"/>
                <w:color w:val="auto"/>
              </w:rPr>
            </w:pPr>
            <w:r>
              <w:rPr>
                <w:rFonts w:ascii="Arial" w:cs="Arial" w:eastAsia="Arial" w:hAnsi="Arial"/>
                <w:sz w:val="14"/>
                <w:szCs w:val="14"/>
                <w:color w:val="auto"/>
              </w:rPr>
              <w:t>11/15/2021</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6/1/2018</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8,000,000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7,938,983</w:t>
            </w:r>
          </w:p>
        </w:tc>
        <w:tc>
          <w:tcPr>
            <w:tcW w:w="740" w:type="dxa"/>
            <w:vAlign w:val="bottom"/>
          </w:tcPr>
          <w:p>
            <w:pPr>
              <w:jc w:val="right"/>
              <w:spacing w:after="0"/>
              <w:rPr>
                <w:sz w:val="20"/>
                <w:szCs w:val="20"/>
                <w:color w:val="auto"/>
              </w:rPr>
            </w:pPr>
            <w:r>
              <w:rPr>
                <w:rFonts w:ascii="Arial" w:cs="Arial" w:eastAsia="Arial" w:hAnsi="Arial"/>
                <w:sz w:val="14"/>
                <w:szCs w:val="14"/>
                <w:color w:val="auto"/>
              </w:rPr>
              <w:t>7,887,407</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ind w:left="160"/>
              <w:spacing w:after="0" w:line="130" w:lineRule="exact"/>
              <w:rPr>
                <w:sz w:val="20"/>
                <w:szCs w:val="20"/>
                <w:color w:val="auto"/>
              </w:rPr>
            </w:pPr>
            <w:r>
              <w:rPr>
                <w:rFonts w:ascii="Arial" w:cs="Arial" w:eastAsia="Arial" w:hAnsi="Arial"/>
                <w:sz w:val="14"/>
                <w:szCs w:val="14"/>
                <w:color w:val="auto"/>
              </w:rPr>
              <w:t>eSilicon</w:t>
            </w:r>
          </w:p>
        </w:tc>
        <w:tc>
          <w:tcPr>
            <w:tcW w:w="144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1"/>
              </w:rPr>
              <w:t>Semiconductors</w:t>
            </w:r>
          </w:p>
        </w:tc>
        <w:tc>
          <w:tcPr>
            <w:tcW w:w="40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Tranche I: LIBOR+10.5%, 11.5% floor, 5% ETP, due 7/15/2020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7/31/2017</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7,916,667</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7,976,198</w:t>
            </w:r>
          </w:p>
        </w:tc>
        <w:tc>
          <w:tcPr>
            <w:tcW w:w="740" w:type="dxa"/>
            <w:vAlign w:val="bottom"/>
          </w:tcPr>
          <w:p>
            <w:pPr>
              <w:jc w:val="right"/>
              <w:spacing w:after="0"/>
              <w:rPr>
                <w:sz w:val="20"/>
                <w:szCs w:val="20"/>
                <w:color w:val="auto"/>
              </w:rPr>
            </w:pPr>
            <w:r>
              <w:rPr>
                <w:rFonts w:ascii="Arial" w:cs="Arial" w:eastAsia="Arial" w:hAnsi="Arial"/>
                <w:sz w:val="14"/>
                <w:szCs w:val="14"/>
                <w:color w:val="auto"/>
              </w:rPr>
              <w:t>8,227,697</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Tranche II: LIBOR+10.5%, 11.5% floor, 5% ETP, due 7/15/2020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2/8/2018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5,063,065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5,196,440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Jibe, Inc.</w:t>
            </w:r>
          </w:p>
        </w:tc>
        <w:tc>
          <w:tcPr>
            <w:tcW w:w="14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Application Software</w:t>
            </w:r>
          </w:p>
        </w:tc>
        <w:tc>
          <w:tcPr>
            <w:tcW w:w="4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LIBOR+10%, 12.25% floor, 5% ETP, due 6/7/2022</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6/7/2018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6,951,535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6,951,535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MingleHealth Care</w:t>
            </w:r>
          </w:p>
        </w:tc>
        <w:tc>
          <w:tcPr>
            <w:tcW w:w="144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Healthcare</w:t>
            </w:r>
          </w:p>
        </w:tc>
        <w:tc>
          <w:tcPr>
            <w:tcW w:w="40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LIBOR+9.5%, 11.75% floor, 4% ETP, due 8/15/2022</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Solutions, Inc.</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Technology</w:t>
            </w:r>
          </w:p>
        </w:tc>
        <w:tc>
          <w:tcPr>
            <w:tcW w:w="3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8/15/2018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6,000,000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5,532,093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5,532,093</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30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1340" w:type="dxa"/>
            <w:vAlign w:val="bottom"/>
          </w:tcPr>
          <w:p>
            <w:pPr>
              <w:jc w:val="center"/>
              <w:ind w:left="368"/>
              <w:spacing w:after="0"/>
              <w:rPr>
                <w:sz w:val="20"/>
                <w:szCs w:val="20"/>
                <w:color w:val="auto"/>
              </w:rPr>
            </w:pPr>
            <w:r>
              <w:rPr>
                <w:rFonts w:ascii="Arial" w:cs="Arial" w:eastAsia="Arial" w:hAnsi="Arial"/>
                <w:sz w:val="14"/>
                <w:szCs w:val="14"/>
                <w:b w:val="1"/>
                <w:bCs w:val="1"/>
                <w:color w:val="auto"/>
                <w:w w:val="91"/>
              </w:rPr>
              <w:t>Acquisition</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060" w:type="dxa"/>
            <w:vAlign w:val="bottom"/>
          </w:tcPr>
          <w:p>
            <w:pPr>
              <w:jc w:val="center"/>
              <w:ind w:left="11"/>
              <w:spacing w:after="0"/>
              <w:rPr>
                <w:sz w:val="20"/>
                <w:szCs w:val="20"/>
                <w:color w:val="auto"/>
              </w:rPr>
            </w:pPr>
            <w:r>
              <w:rPr>
                <w:rFonts w:ascii="Arial" w:cs="Arial" w:eastAsia="Arial" w:hAnsi="Arial"/>
                <w:sz w:val="14"/>
                <w:szCs w:val="14"/>
                <w:b w:val="1"/>
                <w:bCs w:val="1"/>
                <w:color w:val="auto"/>
              </w:rPr>
              <w:t>Fair</w:t>
            </w:r>
          </w:p>
        </w:tc>
        <w:tc>
          <w:tcPr>
            <w:tcW w:w="780" w:type="dxa"/>
            <w:vAlign w:val="bottom"/>
          </w:tcPr>
          <w:p>
            <w:pPr>
              <w:jc w:val="center"/>
              <w:ind w:left="148"/>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82"/>
        </w:trPr>
        <w:tc>
          <w:tcPr>
            <w:tcW w:w="14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34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vMerge w:val="continue"/>
          </w:tcPr>
          <w:p>
            <w:pPr>
              <w:spacing w:after="0"/>
              <w:rPr>
                <w:sz w:val="15"/>
                <w:szCs w:val="15"/>
                <w:color w:val="auto"/>
              </w:rPr>
            </w:pPr>
          </w:p>
        </w:tc>
        <w:tc>
          <w:tcPr>
            <w:tcW w:w="1060" w:type="dxa"/>
            <w:vAlign w:val="bottom"/>
          </w:tcPr>
          <w:p>
            <w:pPr>
              <w:jc w:val="center"/>
              <w:ind w:left="31"/>
              <w:spacing w:after="0" w:line="183" w:lineRule="exact"/>
              <w:rPr>
                <w:sz w:val="20"/>
                <w:szCs w:val="20"/>
                <w:color w:val="auto"/>
              </w:rPr>
            </w:pPr>
            <w:r>
              <w:rPr>
                <w:rFonts w:ascii="Arial" w:cs="Arial" w:eastAsia="Arial" w:hAnsi="Arial"/>
                <w:sz w:val="13"/>
                <w:szCs w:val="13"/>
                <w:b w:val="1"/>
                <w:bCs w:val="1"/>
                <w:color w:val="auto"/>
                <w:w w:val="93"/>
              </w:rPr>
              <w:t xml:space="preserve">Value </w:t>
            </w:r>
            <w:r>
              <w:rPr>
                <w:rFonts w:ascii="Arial" w:cs="Arial" w:eastAsia="Arial" w:hAnsi="Arial"/>
                <w:sz w:val="21"/>
                <w:szCs w:val="21"/>
                <w:b w:val="1"/>
                <w:bCs w:val="1"/>
                <w:color w:val="auto"/>
                <w:w w:val="93"/>
                <w:vertAlign w:val="superscript"/>
              </w:rPr>
              <w:t>(2)</w:t>
            </w:r>
          </w:p>
        </w:tc>
        <w:tc>
          <w:tcPr>
            <w:tcW w:w="780" w:type="dxa"/>
            <w:vAlign w:val="bottom"/>
          </w:tcPr>
          <w:p>
            <w:pPr>
              <w:jc w:val="center"/>
              <w:ind w:left="148"/>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Term Loans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12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Arial" w:cs="Arial" w:eastAsia="Arial" w:hAnsi="Arial"/>
                <w:sz w:val="14"/>
                <w:szCs w:val="14"/>
                <w:color w:val="auto"/>
              </w:rPr>
              <w:t>Mobius Imaging,</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4"/>
              </w:rPr>
              <w:t>Healthcare</w:t>
            </w:r>
          </w:p>
        </w:tc>
        <w:tc>
          <w:tcPr>
            <w:tcW w:w="3840" w:type="dxa"/>
            <w:vAlign w:val="bottom"/>
          </w:tcPr>
          <w:p>
            <w:pPr>
              <w:ind w:left="80"/>
              <w:spacing w:after="0"/>
              <w:rPr>
                <w:sz w:val="20"/>
                <w:szCs w:val="20"/>
                <w:color w:val="auto"/>
              </w:rPr>
            </w:pPr>
            <w:r>
              <w:rPr>
                <w:rFonts w:ascii="Arial" w:cs="Arial" w:eastAsia="Arial" w:hAnsi="Arial"/>
                <w:sz w:val="14"/>
                <w:szCs w:val="14"/>
                <w:color w:val="auto"/>
              </w:rPr>
              <w:t>LIBOR+9.25%, 11.00% floor, 4% ETP, due 10/15/2022</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LLC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Technology</w:t>
            </w: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0"/>
                <w:szCs w:val="20"/>
                <w:color w:val="auto"/>
              </w:rPr>
            </w:pPr>
            <w:r>
              <w:rPr>
                <w:rFonts w:ascii="Arial" w:cs="Arial" w:eastAsia="Arial" w:hAnsi="Arial"/>
                <w:sz w:val="14"/>
                <w:szCs w:val="14"/>
                <w:color w:val="auto"/>
              </w:rPr>
              <w:t>Mojix,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7"/>
              </w:rPr>
              <w:t>Application Software</w:t>
            </w:r>
          </w:p>
        </w:tc>
        <w:tc>
          <w:tcPr>
            <w:tcW w:w="3840" w:type="dxa"/>
            <w:vAlign w:val="bottom"/>
          </w:tcPr>
          <w:p>
            <w:pPr>
              <w:ind w:left="80"/>
              <w:spacing w:after="0"/>
              <w:rPr>
                <w:sz w:val="20"/>
                <w:szCs w:val="20"/>
                <w:color w:val="auto"/>
              </w:rPr>
            </w:pPr>
            <w:r>
              <w:rPr>
                <w:rFonts w:ascii="Arial" w:cs="Arial" w:eastAsia="Arial" w:hAnsi="Arial"/>
                <w:sz w:val="14"/>
                <w:szCs w:val="14"/>
                <w:color w:val="auto"/>
                <w:w w:val="96"/>
              </w:rPr>
              <w:t>Tranche I: LIBOR+10.50%, 11.00% floor, 12.0% cash cap, 5%</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40" w:type="dxa"/>
            <w:vAlign w:val="bottom"/>
          </w:tcPr>
          <w:p>
            <w:pPr>
              <w:ind w:left="80"/>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(4), (9)</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40" w:type="dxa"/>
            <w:vAlign w:val="bottom"/>
          </w:tcPr>
          <w:p>
            <w:pPr>
              <w:ind w:left="80"/>
              <w:spacing w:after="0" w:line="159" w:lineRule="exact"/>
              <w:rPr>
                <w:sz w:val="20"/>
                <w:szCs w:val="20"/>
                <w:color w:val="auto"/>
              </w:rPr>
            </w:pPr>
            <w:r>
              <w:rPr>
                <w:rFonts w:ascii="Arial" w:cs="Arial" w:eastAsia="Arial" w:hAnsi="Arial"/>
                <w:sz w:val="14"/>
                <w:szCs w:val="14"/>
                <w:color w:val="auto"/>
                <w:w w:val="95"/>
              </w:rPr>
              <w:t>Tranche II: LIBOR+10.50%, 11.00% floor, 12.0% cash cap, 5%</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40" w:type="dxa"/>
            <w:vAlign w:val="bottom"/>
          </w:tcPr>
          <w:p>
            <w:pPr>
              <w:ind w:left="80"/>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(4), (9)</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40" w:type="dxa"/>
            <w:vAlign w:val="bottom"/>
          </w:tcPr>
          <w:p>
            <w:pPr>
              <w:ind w:left="80"/>
              <w:spacing w:after="0" w:line="159" w:lineRule="exact"/>
              <w:rPr>
                <w:sz w:val="20"/>
                <w:szCs w:val="20"/>
                <w:color w:val="auto"/>
              </w:rPr>
            </w:pPr>
            <w:r>
              <w:rPr>
                <w:rFonts w:ascii="Arial" w:cs="Arial" w:eastAsia="Arial" w:hAnsi="Arial"/>
                <w:sz w:val="14"/>
                <w:szCs w:val="14"/>
                <w:color w:val="auto"/>
                <w:w w:val="94"/>
              </w:rPr>
              <w:t>Tranche III: LIBOR+10.50%, 11.00% floor, 12.0% cash cap, 5%</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40" w:type="dxa"/>
            <w:vAlign w:val="bottom"/>
          </w:tcPr>
          <w:p>
            <w:pPr>
              <w:ind w:left="80"/>
              <w:spacing w:after="0" w:line="179" w:lineRule="exact"/>
              <w:rPr>
                <w:sz w:val="20"/>
                <w:szCs w:val="20"/>
                <w:color w:val="auto"/>
              </w:rPr>
            </w:pPr>
            <w:r>
              <w:rPr>
                <w:rFonts w:ascii="Arial" w:cs="Arial" w:eastAsia="Arial" w:hAnsi="Arial"/>
                <w:sz w:val="13"/>
                <w:szCs w:val="13"/>
                <w:color w:val="auto"/>
              </w:rPr>
              <w:t xml:space="preserve">ETP, due 5/15/2021 </w:t>
            </w:r>
            <w:r>
              <w:rPr>
                <w:rFonts w:ascii="Arial" w:cs="Arial" w:eastAsia="Arial" w:hAnsi="Arial"/>
                <w:sz w:val="20"/>
                <w:szCs w:val="20"/>
                <w:color w:val="auto"/>
                <w:vertAlign w:val="superscript"/>
              </w:rPr>
              <w:t>(4), (9)</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40" w:type="dxa"/>
            <w:vAlign w:val="bottom"/>
          </w:tcPr>
          <w:p>
            <w:pPr>
              <w:ind w:left="80"/>
              <w:spacing w:after="0" w:line="159" w:lineRule="exact"/>
              <w:rPr>
                <w:sz w:val="20"/>
                <w:szCs w:val="20"/>
                <w:color w:val="auto"/>
              </w:rPr>
            </w:pPr>
            <w:r>
              <w:rPr>
                <w:rFonts w:ascii="Arial" w:cs="Arial" w:eastAsia="Arial" w:hAnsi="Arial"/>
                <w:sz w:val="14"/>
                <w:szCs w:val="14"/>
                <w:color w:val="auto"/>
                <w:w w:val="94"/>
              </w:rPr>
              <w:t>Tranche IV: LIBOR+10.50%, 11.00% floor, 12.0% cash cap, 5%</w:t>
            </w:r>
          </w:p>
        </w:tc>
        <w:tc>
          <w:tcPr>
            <w:tcW w:w="0" w:type="dxa"/>
            <w:vAlign w:val="bottom"/>
          </w:tcPr>
          <w:p>
            <w:pPr>
              <w:spacing w:after="0"/>
              <w:rPr>
                <w:sz w:val="1"/>
                <w:szCs w:val="1"/>
                <w:color w:val="auto"/>
              </w:rPr>
            </w:pPr>
          </w:p>
        </w:tc>
      </w:tr>
      <w:tr>
        <w:trPr>
          <w:trHeight w:val="313"/>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40" w:type="dxa"/>
            <w:vAlign w:val="bottom"/>
          </w:tcPr>
          <w:p>
            <w:pPr>
              <w:ind w:left="80"/>
              <w:spacing w:after="0"/>
              <w:rPr>
                <w:sz w:val="20"/>
                <w:szCs w:val="20"/>
                <w:color w:val="auto"/>
              </w:rPr>
            </w:pPr>
            <w:r>
              <w:rPr>
                <w:rFonts w:ascii="Arial" w:cs="Arial" w:eastAsia="Arial" w:hAnsi="Arial"/>
                <w:sz w:val="14"/>
                <w:szCs w:val="14"/>
                <w:color w:val="auto"/>
              </w:rPr>
              <w:t xml:space="preserve">ETP, due 5/15/2021 </w:t>
            </w:r>
            <w:r>
              <w:rPr>
                <w:rFonts w:ascii="Arial" w:cs="Arial" w:eastAsia="Arial" w:hAnsi="Arial"/>
                <w:sz w:val="23"/>
                <w:szCs w:val="23"/>
                <w:color w:val="auto"/>
                <w:vertAlign w:val="superscript"/>
              </w:rPr>
              <w:t>(4), (9)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20"/>
                <w:szCs w:val="20"/>
                <w:color w:val="auto"/>
              </w:rPr>
            </w:pPr>
            <w:r>
              <w:rPr>
                <w:rFonts w:ascii="Arial" w:cs="Arial" w:eastAsia="Arial" w:hAnsi="Arial"/>
                <w:sz w:val="14"/>
                <w:szCs w:val="14"/>
                <w:color w:val="auto"/>
              </w:rPr>
              <w:t>3DNA Corp.(dba</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7"/>
              </w:rPr>
              <w:t>Application Software</w:t>
            </w:r>
          </w:p>
        </w:tc>
        <w:tc>
          <w:tcPr>
            <w:tcW w:w="3840" w:type="dxa"/>
            <w:vAlign w:val="bottom"/>
          </w:tcPr>
          <w:p>
            <w:pPr>
              <w:ind w:left="80"/>
              <w:spacing w:after="0"/>
              <w:rPr>
                <w:sz w:val="20"/>
                <w:szCs w:val="20"/>
                <w:color w:val="auto"/>
              </w:rPr>
            </w:pPr>
            <w:r>
              <w:rPr>
                <w:rFonts w:ascii="Arial" w:cs="Arial" w:eastAsia="Arial" w:hAnsi="Arial"/>
                <w:sz w:val="14"/>
                <w:szCs w:val="14"/>
                <w:color w:val="auto"/>
              </w:rPr>
              <w:t>LIBOR+9.00%, 11.50% floor, 5% ETP, due 4/28/2022</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NationBuilder)</w:t>
            </w:r>
          </w:p>
        </w:tc>
        <w:tc>
          <w:tcPr>
            <w:tcW w:w="14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0"/>
                <w:szCs w:val="20"/>
                <w:color w:val="auto"/>
              </w:rPr>
            </w:pPr>
            <w:r>
              <w:rPr>
                <w:rFonts w:ascii="Arial" w:cs="Arial" w:eastAsia="Arial" w:hAnsi="Arial"/>
                <w:sz w:val="14"/>
                <w:szCs w:val="14"/>
                <w:color w:val="auto"/>
              </w:rPr>
              <w:t>Ouster,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Technology</w:t>
            </w:r>
          </w:p>
        </w:tc>
        <w:tc>
          <w:tcPr>
            <w:tcW w:w="3840" w:type="dxa"/>
            <w:vAlign w:val="bottom"/>
          </w:tcPr>
          <w:p>
            <w:pPr>
              <w:ind w:left="34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440" w:type="dxa"/>
            <w:vAlign w:val="bottom"/>
          </w:tcPr>
          <w:p>
            <w:pPr>
              <w:jc w:val="center"/>
              <w:ind w:left="8"/>
              <w:spacing w:after="0" w:line="157" w:lineRule="exact"/>
              <w:rPr>
                <w:sz w:val="20"/>
                <w:szCs w:val="20"/>
                <w:color w:val="auto"/>
              </w:rPr>
            </w:pPr>
            <w:r>
              <w:rPr>
                <w:rFonts w:ascii="Arial" w:cs="Arial" w:eastAsia="Arial" w:hAnsi="Arial"/>
                <w:sz w:val="14"/>
                <w:szCs w:val="14"/>
                <w:color w:val="auto"/>
                <w:w w:val="94"/>
              </w:rPr>
              <w:t>Hardware, Storage &amp;</w:t>
            </w:r>
          </w:p>
        </w:tc>
        <w:tc>
          <w:tcPr>
            <w:tcW w:w="3840" w:type="dxa"/>
            <w:vAlign w:val="bottom"/>
          </w:tcPr>
          <w:p>
            <w:pPr>
              <w:ind w:left="80"/>
              <w:spacing w:after="0" w:line="157" w:lineRule="exact"/>
              <w:rPr>
                <w:sz w:val="20"/>
                <w:szCs w:val="20"/>
                <w:color w:val="auto"/>
              </w:rPr>
            </w:pPr>
            <w:r>
              <w:rPr>
                <w:rFonts w:ascii="Arial" w:cs="Arial" w:eastAsia="Arial" w:hAnsi="Arial"/>
                <w:sz w:val="14"/>
                <w:szCs w:val="14"/>
                <w:color w:val="auto"/>
              </w:rPr>
              <w:t>LIBOR+8.50%, 10.75% floor, 5.25% ETP, due 5/15/2012</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0"/>
              </w:rPr>
              <w:t>Peripherals</w:t>
            </w: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RealWear,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Technology</w:t>
            </w:r>
          </w:p>
        </w:tc>
        <w:tc>
          <w:tcPr>
            <w:tcW w:w="3840" w:type="dxa"/>
            <w:vAlign w:val="bottom"/>
          </w:tcPr>
          <w:p>
            <w:pPr>
              <w:ind w:left="80"/>
              <w:spacing w:after="0"/>
              <w:rPr>
                <w:sz w:val="20"/>
                <w:szCs w:val="20"/>
                <w:color w:val="auto"/>
              </w:rPr>
            </w:pPr>
            <w:r>
              <w:rPr>
                <w:rFonts w:ascii="Arial" w:cs="Arial" w:eastAsia="Arial" w:hAnsi="Arial"/>
                <w:sz w:val="14"/>
                <w:szCs w:val="14"/>
                <w:color w:val="auto"/>
                <w:w w:val="93"/>
              </w:rPr>
              <w:t>Tranche I: LIBOR+9.50%, 10.85% floor, 5% ETP, due 10/5/2021</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4"/>
              </w:rPr>
              <w:t>Hardware, Storage &amp;</w:t>
            </w: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0"/>
              </w:rPr>
              <w:t>Peripherals</w:t>
            </w:r>
          </w:p>
        </w:tc>
        <w:tc>
          <w:tcPr>
            <w:tcW w:w="3840" w:type="dxa"/>
            <w:vAlign w:val="bottom"/>
            <w:vMerge w:val="restart"/>
          </w:tcPr>
          <w:p>
            <w:pPr>
              <w:ind w:left="80"/>
              <w:spacing w:after="0"/>
              <w:rPr>
                <w:sz w:val="20"/>
                <w:szCs w:val="20"/>
                <w:color w:val="auto"/>
              </w:rPr>
            </w:pPr>
            <w:r>
              <w:rPr>
                <w:rFonts w:ascii="Arial" w:cs="Arial" w:eastAsia="Arial" w:hAnsi="Arial"/>
                <w:sz w:val="14"/>
                <w:szCs w:val="14"/>
                <w:color w:val="auto"/>
              </w:rPr>
              <w:t>Tranche II; LIBOR+9.50%, 10.85% floor, 5% ETP, due</w:t>
            </w:r>
          </w:p>
        </w:tc>
        <w:tc>
          <w:tcPr>
            <w:tcW w:w="0" w:type="dxa"/>
            <w:vAlign w:val="bottom"/>
          </w:tcPr>
          <w:p>
            <w:pPr>
              <w:spacing w:after="0"/>
              <w:rPr>
                <w:sz w:val="1"/>
                <w:szCs w:val="1"/>
                <w:color w:val="auto"/>
              </w:rPr>
            </w:pPr>
          </w:p>
        </w:tc>
      </w:tr>
      <w:tr>
        <w:trPr>
          <w:trHeight w:val="115"/>
        </w:trPr>
        <w:tc>
          <w:tcPr>
            <w:tcW w:w="1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40" w:type="dxa"/>
            <w:vAlign w:val="bottom"/>
          </w:tcPr>
          <w:p>
            <w:pPr>
              <w:ind w:left="80"/>
              <w:spacing w:after="0"/>
              <w:rPr>
                <w:sz w:val="20"/>
                <w:szCs w:val="20"/>
                <w:color w:val="auto"/>
              </w:rPr>
            </w:pPr>
            <w:r>
              <w:rPr>
                <w:rFonts w:ascii="Arial" w:cs="Arial" w:eastAsia="Arial" w:hAnsi="Arial"/>
                <w:sz w:val="14"/>
                <w:szCs w:val="14"/>
                <w:color w:val="auto"/>
              </w:rPr>
              <w:t>10/5/2021</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14"/>
                <w:szCs w:val="14"/>
                <w:color w:val="auto"/>
              </w:rPr>
              <w:t>RedSeal,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7"/>
              </w:rPr>
              <w:t>Application Software</w:t>
            </w:r>
          </w:p>
        </w:tc>
        <w:tc>
          <w:tcPr>
            <w:tcW w:w="3840" w:type="dxa"/>
            <w:vAlign w:val="bottom"/>
          </w:tcPr>
          <w:p>
            <w:pPr>
              <w:ind w:left="80"/>
              <w:spacing w:after="0"/>
              <w:rPr>
                <w:sz w:val="20"/>
                <w:szCs w:val="20"/>
                <w:color w:val="auto"/>
              </w:rPr>
            </w:pPr>
            <w:r>
              <w:rPr>
                <w:rFonts w:ascii="Arial" w:cs="Arial" w:eastAsia="Arial" w:hAnsi="Arial"/>
                <w:sz w:val="14"/>
                <w:szCs w:val="14"/>
                <w:color w:val="auto"/>
              </w:rPr>
              <w:t>LIBOR+9.50%, 11.00% floor, 5.25% ETP, due 12/15/2020</w:t>
            </w: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ShareThis,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Data Processing &amp;</w:t>
            </w:r>
          </w:p>
        </w:tc>
        <w:tc>
          <w:tcPr>
            <w:tcW w:w="3840" w:type="dxa"/>
            <w:vAlign w:val="bottom"/>
          </w:tcPr>
          <w:p>
            <w:pPr>
              <w:ind w:left="80"/>
              <w:spacing w:after="0"/>
              <w:rPr>
                <w:sz w:val="20"/>
                <w:szCs w:val="20"/>
                <w:color w:val="auto"/>
              </w:rPr>
            </w:pPr>
            <w:r>
              <w:rPr>
                <w:rFonts w:ascii="Arial" w:cs="Arial" w:eastAsia="Arial" w:hAnsi="Arial"/>
                <w:sz w:val="14"/>
                <w:szCs w:val="14"/>
                <w:color w:val="auto"/>
              </w:rPr>
              <w:t>LIBOR+9.25%, 11.65% floor, 4% ETP, due 5/15/2022</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2"/>
              </w:rPr>
              <w:t>Outsourced Services</w:t>
            </w: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4"/>
                <w:szCs w:val="14"/>
                <w:color w:val="auto"/>
              </w:rPr>
              <w:t>zSpace, Inc.</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Technology</w:t>
            </w:r>
          </w:p>
        </w:tc>
        <w:tc>
          <w:tcPr>
            <w:tcW w:w="3840" w:type="dxa"/>
            <w:vAlign w:val="bottom"/>
          </w:tcPr>
          <w:p>
            <w:pPr>
              <w:ind w:left="80"/>
              <w:spacing w:after="0"/>
              <w:rPr>
                <w:sz w:val="20"/>
                <w:szCs w:val="20"/>
                <w:color w:val="auto"/>
              </w:rPr>
            </w:pPr>
            <w:r>
              <w:rPr>
                <w:rFonts w:ascii="Arial" w:cs="Arial" w:eastAsia="Arial" w:hAnsi="Arial"/>
                <w:sz w:val="14"/>
                <w:szCs w:val="14"/>
                <w:color w:val="auto"/>
              </w:rPr>
              <w:t>LIBOR+10.50%, 12.00% floor, 5% ETP, due 12/29/2020</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4"/>
              </w:rPr>
              <w:t>Hardware, Storage &amp;</w:t>
            </w: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0"/>
              </w:rPr>
              <w:t>Peripherals</w:t>
            </w: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-3224530</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-2941955</wp:posOffset>
            </wp:positionV>
            <wp:extent cx="724662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-2513330</wp:posOffset>
            </wp:positionV>
            <wp:extent cx="72466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-2084070</wp:posOffset>
            </wp:positionV>
            <wp:extent cx="724662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-1801495</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-1423670</wp:posOffset>
            </wp:positionV>
            <wp:extent cx="72466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-1046480</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24662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Total Senior Secured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1"/>
              </w:rPr>
              <w:t>11/23/2018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w w:val="97"/>
              </w:rPr>
              <w:t>$ 15,500,000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13,551,386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13,551,386</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8.10%</w:t>
            </w:r>
          </w:p>
        </w:tc>
      </w:tr>
      <w:tr>
        <w:trPr>
          <w:trHeight w:val="486"/>
        </w:trPr>
        <w:tc>
          <w:tcPr>
            <w:tcW w:w="720" w:type="dxa"/>
            <w:vAlign w:val="bottom"/>
          </w:tcPr>
          <w:p>
            <w:pPr>
              <w:jc w:val="center"/>
              <w:ind w:right="28"/>
              <w:spacing w:after="0"/>
              <w:rPr>
                <w:sz w:val="20"/>
                <w:szCs w:val="20"/>
                <w:color w:val="auto"/>
              </w:rPr>
            </w:pPr>
            <w:r>
              <w:rPr>
                <w:rFonts w:ascii="Arial" w:cs="Arial" w:eastAsia="Arial" w:hAnsi="Arial"/>
                <w:sz w:val="14"/>
                <w:szCs w:val="14"/>
                <w:color w:val="auto"/>
                <w:w w:val="93"/>
              </w:rPr>
              <w:t>5/16/2017</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6,034,383</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5,514,492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5,200,452</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r>
      <w:tr>
        <w:trPr>
          <w:trHeight w:val="338"/>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5"/>
              </w:rPr>
              <w:t>8/3/2017</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2,011,462</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1,845,251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1,733,484</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r>
      <w:tr>
        <w:trPr>
          <w:trHeight w:val="338"/>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5"/>
              </w:rPr>
              <w:t>7/6/2018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502,357</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465,516</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432,933</w:t>
            </w:r>
          </w:p>
        </w:tc>
        <w:tc>
          <w:tcPr>
            <w:tcW w:w="68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4"/>
                <w:szCs w:val="24"/>
                <w:color w:val="auto"/>
              </w:rPr>
            </w:pPr>
          </w:p>
        </w:tc>
      </w:tr>
      <w:tr>
        <w:trPr>
          <w:trHeight w:val="338"/>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5"/>
              </w:rPr>
              <w:t>9/5/2018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501,656</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462,652</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432,329</w:t>
            </w:r>
          </w:p>
        </w:tc>
        <w:tc>
          <w:tcPr>
            <w:tcW w:w="68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4"/>
                <w:szCs w:val="24"/>
                <w:color w:val="auto"/>
              </w:rPr>
            </w:pPr>
          </w:p>
        </w:tc>
      </w:tr>
      <w:tr>
        <w:trPr>
          <w:trHeight w:val="446"/>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1"/>
              </w:rPr>
              <w:t>12/28/2018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7,000,000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6,827,787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6,827,787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24"/>
                <w:szCs w:val="24"/>
                <w:color w:val="auto"/>
              </w:rPr>
            </w:pPr>
          </w:p>
        </w:tc>
      </w:tr>
      <w:tr>
        <w:trPr>
          <w:trHeight w:val="594"/>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1"/>
              </w:rPr>
              <w:t>11/27/2018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r>
      <w:tr>
        <w:trPr>
          <w:trHeight w:val="594"/>
        </w:trPr>
        <w:tc>
          <w:tcPr>
            <w:tcW w:w="720" w:type="dxa"/>
            <w:vAlign w:val="bottom"/>
          </w:tcPr>
          <w:p>
            <w:pPr>
              <w:jc w:val="center"/>
              <w:ind w:right="28"/>
              <w:spacing w:after="0"/>
              <w:rPr>
                <w:sz w:val="20"/>
                <w:szCs w:val="20"/>
                <w:color w:val="auto"/>
              </w:rPr>
            </w:pPr>
            <w:r>
              <w:rPr>
                <w:rFonts w:ascii="Arial" w:cs="Arial" w:eastAsia="Arial" w:hAnsi="Arial"/>
                <w:sz w:val="14"/>
                <w:szCs w:val="14"/>
                <w:color w:val="auto"/>
                <w:w w:val="93"/>
              </w:rPr>
              <w:t>10/5/2018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4,854,551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4,832,563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4"/>
                <w:szCs w:val="24"/>
                <w:color w:val="auto"/>
              </w:rPr>
            </w:pPr>
          </w:p>
        </w:tc>
      </w:tr>
      <w:tr>
        <w:trPr>
          <w:trHeight w:val="297"/>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1"/>
              </w:rPr>
              <w:t>12/28/2018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965,139</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966,513</w:t>
            </w:r>
          </w:p>
        </w:tc>
        <w:tc>
          <w:tcPr>
            <w:tcW w:w="680" w:type="dxa"/>
            <w:vAlign w:val="bottom"/>
          </w:tcPr>
          <w:p>
            <w:pPr>
              <w:jc w:val="right"/>
              <w:spacing w:after="0"/>
              <w:rPr>
                <w:sz w:val="20"/>
                <w:szCs w:val="20"/>
                <w:color w:val="auto"/>
              </w:rPr>
            </w:pPr>
            <w:r>
              <w:rPr>
                <w:rFonts w:ascii="Arial" w:cs="Arial" w:eastAsia="Arial" w:hAnsi="Arial"/>
                <w:sz w:val="14"/>
                <w:szCs w:val="14"/>
                <w:color w:val="auto"/>
              </w:rPr>
              <w:t>0.58</w:t>
            </w:r>
          </w:p>
        </w:tc>
        <w:tc>
          <w:tcPr>
            <w:tcW w:w="120" w:type="dxa"/>
            <w:vAlign w:val="bottom"/>
          </w:tcPr>
          <w:p>
            <w:pPr>
              <w:spacing w:after="0"/>
              <w:rPr>
                <w:sz w:val="24"/>
                <w:szCs w:val="24"/>
                <w:color w:val="auto"/>
              </w:rPr>
            </w:pPr>
          </w:p>
        </w:tc>
      </w:tr>
      <w:tr>
        <w:trPr>
          <w:trHeight w:val="297"/>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1"/>
              </w:rPr>
              <w:t>12/15/2017</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15,123,353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15,123,353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4"/>
                <w:szCs w:val="24"/>
                <w:color w:val="auto"/>
              </w:rPr>
            </w:pPr>
          </w:p>
        </w:tc>
      </w:tr>
      <w:tr>
        <w:trPr>
          <w:trHeight w:val="446"/>
        </w:trPr>
        <w:tc>
          <w:tcPr>
            <w:tcW w:w="720" w:type="dxa"/>
            <w:vAlign w:val="bottom"/>
          </w:tcPr>
          <w:p>
            <w:pPr>
              <w:jc w:val="center"/>
              <w:ind w:right="28"/>
              <w:spacing w:after="0"/>
              <w:rPr>
                <w:sz w:val="20"/>
                <w:szCs w:val="20"/>
                <w:color w:val="auto"/>
              </w:rPr>
            </w:pPr>
            <w:r>
              <w:rPr>
                <w:rFonts w:ascii="Arial" w:cs="Arial" w:eastAsia="Arial" w:hAnsi="Arial"/>
                <w:sz w:val="14"/>
                <w:szCs w:val="14"/>
                <w:color w:val="auto"/>
                <w:w w:val="93"/>
              </w:rPr>
              <w:t>12/3/2018</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19,250,000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17,568,105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17,567,923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4"/>
                <w:szCs w:val="24"/>
                <w:color w:val="auto"/>
              </w:rPr>
            </w:pPr>
          </w:p>
        </w:tc>
      </w:tr>
      <w:tr>
        <w:trPr>
          <w:trHeight w:val="593"/>
        </w:trPr>
        <w:tc>
          <w:tcPr>
            <w:tcW w:w="720" w:type="dxa"/>
            <w:vAlign w:val="bottom"/>
          </w:tcPr>
          <w:p>
            <w:pPr>
              <w:jc w:val="center"/>
              <w:ind w:right="8"/>
              <w:spacing w:after="0"/>
              <w:rPr>
                <w:sz w:val="20"/>
                <w:szCs w:val="20"/>
                <w:color w:val="auto"/>
              </w:rPr>
            </w:pPr>
            <w:r>
              <w:rPr>
                <w:rFonts w:ascii="Arial" w:cs="Arial" w:eastAsia="Arial" w:hAnsi="Arial"/>
                <w:sz w:val="14"/>
                <w:szCs w:val="14"/>
                <w:color w:val="auto"/>
                <w:w w:val="91"/>
              </w:rPr>
              <w:t>12/29/2017</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10,000,000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9,682,603</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9,593,890</w:t>
            </w:r>
          </w:p>
        </w:tc>
        <w:tc>
          <w:tcPr>
            <w:tcW w:w="2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4"/>
                <w:szCs w:val="24"/>
                <w:color w:val="auto"/>
              </w:rPr>
            </w:pPr>
          </w:p>
        </w:tc>
      </w:tr>
      <w:tr>
        <w:trPr>
          <w:trHeight w:val="304"/>
        </w:trPr>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208,588,381</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208,539,353</w:t>
            </w: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124.61%</w:t>
            </w:r>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160"/>
            <w:col w:w="4660"/>
          </w:cols>
          <w:pgMar w:left="240" w:top="904"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Portfolio Companies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Sub-Industry</w:t>
            </w:r>
          </w:p>
        </w:tc>
        <w:tc>
          <w:tcPr>
            <w:tcW w:w="180" w:type="dxa"/>
            <w:vAlign w:val="bottom"/>
          </w:tcPr>
          <w:p>
            <w:pPr>
              <w:spacing w:after="0"/>
              <w:rPr>
                <w:sz w:val="16"/>
                <w:szCs w:val="16"/>
                <w:color w:val="auto"/>
              </w:rPr>
            </w:pPr>
          </w:p>
        </w:tc>
        <w:tc>
          <w:tcPr>
            <w:tcW w:w="404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Principal/</w:t>
            </w:r>
          </w:p>
        </w:tc>
        <w:tc>
          <w:tcPr>
            <w:tcW w:w="120" w:type="dxa"/>
            <w:vAlign w:val="bottom"/>
          </w:tcPr>
          <w:p>
            <w:pPr>
              <w:spacing w:after="0"/>
              <w:rPr>
                <w:sz w:val="16"/>
                <w:szCs w:val="16"/>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138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0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(2)</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9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Stock</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Aria Systems, Inc.</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Series G Preferred Stock</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7/10/2018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289,419</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250,000</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461,826</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0.28%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Warrants </w:t>
            </w:r>
            <w:r>
              <w:rPr>
                <w:rFonts w:ascii="Arial" w:cs="Arial" w:eastAsia="Arial" w:hAnsi="Arial"/>
                <w:sz w:val="21"/>
                <w:szCs w:val="21"/>
                <w:b w:val="1"/>
                <w:bCs w:val="1"/>
                <w:color w:val="auto"/>
                <w:vertAlign w:val="superscript"/>
              </w:rPr>
              <w:t>(8)</w:t>
            </w:r>
          </w:p>
        </w:tc>
        <w:tc>
          <w:tcPr>
            <w:tcW w:w="1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Aginity,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A Preferred Stock, exercise price $1.949/share,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5/25/2028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5/25/2018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359,158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167,727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154,346</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AllClear ID,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Education Services</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Common Stock, exercise price $0.01/share,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9/1/2027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870,514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1,176,700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Aria Systems,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Warrant for Series G-Preferred Stock, exercise price $0.8638/share,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6/29/2028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6/29/2018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2,170,641</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770,578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1,827,680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Aspen Group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Education Services</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Common Stock, exercise price $6.87/share,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7/25/2022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7/25/2017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224,174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583,301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593,000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CareCloud</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Healthcare Technology</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Warrant for Series C Preferred Stock, exercise price $1.2035/share,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48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6/19/2025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6/19/2018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1,557,956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394,163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364,562</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Circadence Corp.</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9"/>
              </w:rPr>
              <w:t>Warrant for Series A-5 Preferred Stock, exercise price $1.08/share,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12/20/2028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1,666,667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Drawbridge,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Data Processing &amp;</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Warrant for Series C Preferred Stock, exercise price $2.2595/share,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Outsourced Services</w:t>
            </w: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10/22/2028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10/22/2018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663,864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406,285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429,520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Dtex Systems,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C Preferred Stock, exercise price $0.600/share,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6/1/2025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6/1/2018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59,000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56,000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eSilicon</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Semiconductors</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H Preferred Stock, exercise price $1.01/share,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48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7/31/2027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7/31/2017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1,485,149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543,564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1,005,446</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Jibe, Inc.</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C Preferred Stock, exercise price $2.265/share,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6/7/2028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6/7/2018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247,242</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40,795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35,603</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Sub-Industry</w:t>
            </w:r>
          </w:p>
        </w:tc>
        <w:tc>
          <w:tcPr>
            <w:tcW w:w="180" w:type="dxa"/>
            <w:vAlign w:val="bottom"/>
          </w:tcPr>
          <w:p>
            <w:pPr>
              <w:spacing w:after="0"/>
              <w:rPr>
                <w:sz w:val="16"/>
                <w:szCs w:val="16"/>
                <w:color w:val="auto"/>
              </w:rPr>
            </w:pPr>
          </w:p>
        </w:tc>
        <w:tc>
          <w:tcPr>
            <w:tcW w:w="404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Principal/</w:t>
            </w:r>
          </w:p>
        </w:tc>
        <w:tc>
          <w:tcPr>
            <w:tcW w:w="120" w:type="dxa"/>
            <w:vAlign w:val="bottom"/>
          </w:tcPr>
          <w:p>
            <w:pPr>
              <w:spacing w:after="0"/>
              <w:rPr>
                <w:sz w:val="16"/>
                <w:szCs w:val="16"/>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140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0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(2)</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Borders>
              <w:top w:val="single" w:sz="8" w:color="auto"/>
            </w:tcBorders>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9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Warrants </w:t>
            </w:r>
            <w:r>
              <w:rPr>
                <w:rFonts w:ascii="Arial" w:cs="Arial" w:eastAsia="Arial" w:hAnsi="Arial"/>
                <w:sz w:val="21"/>
                <w:szCs w:val="21"/>
                <w:b w:val="1"/>
                <w:bCs w:val="1"/>
                <w:color w:val="auto"/>
                <w:vertAlign w:val="superscript"/>
              </w:rPr>
              <w:t>(8)</w:t>
            </w:r>
            <w:r>
              <w:rPr>
                <w:rFonts w:ascii="Arial" w:cs="Arial" w:eastAsia="Arial" w:hAnsi="Arial"/>
                <w:sz w:val="13"/>
                <w:szCs w:val="13"/>
                <w:b w:val="1"/>
                <w:bCs w:val="1"/>
                <w:color w:val="auto"/>
              </w:rPr>
              <w:t xml:space="preserve"> (continued)</w:t>
            </w:r>
          </w:p>
        </w:tc>
        <w:tc>
          <w:tcPr>
            <w:tcW w:w="18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MingleHealth Care</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Healthcare Technology</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AA Preferred Stock, exercise price $0.24/share,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Solutions, Inc.</w:t>
            </w:r>
          </w:p>
        </w:tc>
        <w:tc>
          <w:tcPr>
            <w:tcW w:w="146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8/15/2028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8/15/2018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1,625,000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492,375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471,913</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90"/>
              </w:rPr>
              <w:t>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Mobius Imaging,</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Healthcare Technology</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next round security exercise price $136/share, expires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46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11/23/2028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11/23/2018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1,820,000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1,820,000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Mojix, Inc.</w:t>
            </w:r>
          </w:p>
        </w:tc>
        <w:tc>
          <w:tcPr>
            <w:tcW w:w="146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shd w:val="clear" w:color="auto" w:fill="CCEEFF"/>
          </w:tcPr>
          <w:p>
            <w:pPr>
              <w:ind w:left="60"/>
              <w:spacing w:after="0" w:line="140" w:lineRule="exact"/>
              <w:rPr>
                <w:sz w:val="20"/>
                <w:szCs w:val="20"/>
                <w:color w:val="auto"/>
              </w:rPr>
            </w:pPr>
            <w:r>
              <w:rPr>
                <w:rFonts w:ascii="Arial" w:cs="Arial" w:eastAsia="Arial" w:hAnsi="Arial"/>
                <w:sz w:val="14"/>
                <w:szCs w:val="14"/>
                <w:color w:val="auto"/>
              </w:rPr>
              <w:t>Warrant for Common Stock exercise price $10.64/share,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ind w:left="60"/>
              <w:spacing w:after="0" w:line="198" w:lineRule="exact"/>
              <w:rPr>
                <w:sz w:val="20"/>
                <w:szCs w:val="20"/>
                <w:color w:val="auto"/>
              </w:rPr>
            </w:pPr>
            <w:r>
              <w:rPr>
                <w:rFonts w:ascii="Arial" w:cs="Arial" w:eastAsia="Arial" w:hAnsi="Arial"/>
                <w:sz w:val="14"/>
                <w:szCs w:val="14"/>
                <w:color w:val="auto"/>
              </w:rPr>
              <w:t>5/16/2027</w:t>
            </w:r>
            <w:r>
              <w:rPr>
                <w:rFonts w:ascii="Arial" w:cs="Arial" w:eastAsia="Arial" w:hAnsi="Arial"/>
                <w:sz w:val="22"/>
                <w:szCs w:val="22"/>
                <w:color w:val="auto"/>
                <w:vertAlign w:val="superscript"/>
              </w:rPr>
              <w:t>(9),(10)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164,427</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417,645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20" w:type="dxa"/>
            <w:vAlign w:val="bottom"/>
            <w:gridSpan w:val="3"/>
          </w:tcPr>
          <w:p>
            <w:pPr>
              <w:ind w:left="60"/>
              <w:spacing w:after="0" w:line="140" w:lineRule="exact"/>
              <w:rPr>
                <w:sz w:val="20"/>
                <w:szCs w:val="20"/>
                <w:color w:val="auto"/>
              </w:rPr>
            </w:pPr>
            <w:r>
              <w:rPr>
                <w:rFonts w:ascii="Arial" w:cs="Arial" w:eastAsia="Arial" w:hAnsi="Arial"/>
                <w:sz w:val="14"/>
                <w:szCs w:val="14"/>
                <w:color w:val="auto"/>
              </w:rPr>
              <w:t>Warrant for Series 1 Preferred Stock exercise price $0.28/share,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20" w:type="dxa"/>
            <w:vAlign w:val="bottom"/>
            <w:gridSpan w:val="3"/>
          </w:tcPr>
          <w:p>
            <w:pPr>
              <w:ind w:left="60"/>
              <w:spacing w:after="0" w:line="198" w:lineRule="exact"/>
              <w:rPr>
                <w:sz w:val="20"/>
                <w:szCs w:val="20"/>
                <w:color w:val="auto"/>
              </w:rPr>
            </w:pPr>
            <w:r>
              <w:rPr>
                <w:rFonts w:ascii="Arial" w:cs="Arial" w:eastAsia="Arial" w:hAnsi="Arial"/>
                <w:sz w:val="14"/>
                <w:szCs w:val="14"/>
                <w:color w:val="auto"/>
              </w:rPr>
              <w:t>expires 12/20/2028</w:t>
            </w:r>
            <w:r>
              <w:rPr>
                <w:rFonts w:ascii="Arial" w:cs="Arial" w:eastAsia="Arial" w:hAnsi="Arial"/>
                <w:sz w:val="22"/>
                <w:szCs w:val="22"/>
                <w:color w:val="auto"/>
                <w:vertAlign w:val="superscript"/>
              </w:rPr>
              <w:t>(9),(10)</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12/20/2018</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7,176,973</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806,991</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798,389</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ind w:left="160"/>
              <w:spacing w:after="0" w:line="130" w:lineRule="exact"/>
              <w:rPr>
                <w:sz w:val="20"/>
                <w:szCs w:val="20"/>
                <w:color w:val="auto"/>
              </w:rPr>
            </w:pPr>
            <w:r>
              <w:rPr>
                <w:rFonts w:ascii="Arial" w:cs="Arial" w:eastAsia="Arial" w:hAnsi="Arial"/>
                <w:sz w:val="14"/>
                <w:szCs w:val="14"/>
                <w:color w:val="auto"/>
              </w:rPr>
              <w:t>3DNA Corp. (dba</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Warrant for Series C-1 Preferred Stock exercise price $1.4643/share,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NationBuilder)</w:t>
            </w:r>
          </w:p>
        </w:tc>
        <w:tc>
          <w:tcPr>
            <w:tcW w:w="1460" w:type="dxa"/>
            <w:vAlign w:val="bottom"/>
          </w:tcPr>
          <w:p>
            <w:pPr>
              <w:spacing w:after="0"/>
              <w:rPr>
                <w:sz w:val="14"/>
                <w:szCs w:val="14"/>
                <w:color w:val="auto"/>
              </w:rPr>
            </w:pPr>
          </w:p>
        </w:tc>
        <w:tc>
          <w:tcPr>
            <w:tcW w:w="4220" w:type="dxa"/>
            <w:vAlign w:val="bottom"/>
            <w:gridSpan w:val="3"/>
          </w:tcPr>
          <w:p>
            <w:pPr>
              <w:ind w:left="60"/>
              <w:spacing w:after="0"/>
              <w:rPr>
                <w:sz w:val="20"/>
                <w:szCs w:val="20"/>
                <w:color w:val="auto"/>
              </w:rPr>
            </w:pPr>
            <w:r>
              <w:rPr>
                <w:rFonts w:ascii="Arial" w:cs="Arial" w:eastAsia="Arial" w:hAnsi="Arial"/>
                <w:sz w:val="14"/>
                <w:szCs w:val="14"/>
                <w:color w:val="auto"/>
              </w:rPr>
              <w:t>expires 12/28/2028</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12/28/2018</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273,164</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104,138</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104,138</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ind w:left="160"/>
              <w:spacing w:after="0" w:line="130" w:lineRule="exact"/>
              <w:rPr>
                <w:sz w:val="20"/>
                <w:szCs w:val="20"/>
                <w:color w:val="auto"/>
              </w:rPr>
            </w:pPr>
            <w:r>
              <w:rPr>
                <w:rFonts w:ascii="Arial" w:cs="Arial" w:eastAsia="Arial" w:hAnsi="Arial"/>
                <w:sz w:val="14"/>
                <w:szCs w:val="14"/>
                <w:color w:val="auto"/>
              </w:rPr>
              <w:t>Ouster, Inc.</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3"/>
              </w:rPr>
              <w:t>Technology Hardware,</w:t>
            </w:r>
          </w:p>
        </w:tc>
        <w:tc>
          <w:tcPr>
            <w:tcW w:w="42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Warrant for Series A Preferred Stock, exercise price $11.3158/share,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Storage &amp; Peripherals</w:t>
            </w:r>
          </w:p>
        </w:tc>
        <w:tc>
          <w:tcPr>
            <w:tcW w:w="4220" w:type="dxa"/>
            <w:vAlign w:val="bottom"/>
            <w:gridSpan w:val="3"/>
          </w:tcPr>
          <w:p>
            <w:pPr>
              <w:ind w:left="60"/>
              <w:spacing w:after="0" w:line="208" w:lineRule="exact"/>
              <w:rPr>
                <w:sz w:val="20"/>
                <w:szCs w:val="20"/>
                <w:color w:val="auto"/>
              </w:rPr>
            </w:pPr>
            <w:r>
              <w:rPr>
                <w:rFonts w:ascii="Arial" w:cs="Arial" w:eastAsia="Arial" w:hAnsi="Arial"/>
                <w:sz w:val="14"/>
                <w:szCs w:val="14"/>
                <w:color w:val="auto"/>
              </w:rPr>
              <w:t>expires 11/27/2028</w:t>
            </w:r>
            <w:r>
              <w:rPr>
                <w:rFonts w:ascii="Arial" w:cs="Arial" w:eastAsia="Arial" w:hAnsi="Arial"/>
                <w:sz w:val="23"/>
                <w:szCs w:val="23"/>
                <w:color w:val="auto"/>
                <w:vertAlign w:val="superscript"/>
              </w:rPr>
              <w:t>(14)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ind w:left="160"/>
              <w:spacing w:after="0" w:line="130" w:lineRule="exact"/>
              <w:rPr>
                <w:sz w:val="20"/>
                <w:szCs w:val="20"/>
                <w:color w:val="auto"/>
              </w:rPr>
            </w:pPr>
            <w:r>
              <w:rPr>
                <w:rFonts w:ascii="Arial" w:cs="Arial" w:eastAsia="Arial" w:hAnsi="Arial"/>
                <w:sz w:val="14"/>
                <w:szCs w:val="14"/>
                <w:color w:val="auto"/>
              </w:rPr>
              <w:t>Realwear, Inc.</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3"/>
              </w:rPr>
              <w:t>Technology Hardware,</w:t>
            </w:r>
          </w:p>
        </w:tc>
        <w:tc>
          <w:tcPr>
            <w:tcW w:w="42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8"/>
              </w:rPr>
              <w:t>Warrant for Series A Preferred Stock, exercise price $4.4464/share,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Storage &amp; Peripherals</w:t>
            </w:r>
          </w:p>
        </w:tc>
        <w:tc>
          <w:tcPr>
            <w:tcW w:w="4220" w:type="dxa"/>
            <w:vAlign w:val="bottom"/>
            <w:gridSpan w:val="3"/>
          </w:tcPr>
          <w:p>
            <w:pPr>
              <w:ind w:left="60"/>
              <w:spacing w:after="0"/>
              <w:rPr>
                <w:sz w:val="20"/>
                <w:szCs w:val="20"/>
                <w:color w:val="auto"/>
              </w:rPr>
            </w:pPr>
            <w:r>
              <w:rPr>
                <w:rFonts w:ascii="Arial" w:cs="Arial" w:eastAsia="Arial" w:hAnsi="Arial"/>
                <w:sz w:val="14"/>
                <w:szCs w:val="14"/>
                <w:color w:val="auto"/>
              </w:rPr>
              <w:t>expires 10/5/2028</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10/5/2018</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112,451</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135,841</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141,435</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Warrant for Series A Preferred Stock, exercise price $4.4464/share,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12/28/2028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12/28/2018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22,491</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25,248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28,288</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RedSeal, Inc.</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Application Software</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Series C-Prime Preferred Stock, exercise price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$0.27318/share, expires 12/15/2027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12/15/2017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3,569,075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364,046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292,664</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7"/>
              </w:rPr>
              <w:t>SendtoNews Video,</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Advertising</w:t>
            </w:r>
          </w:p>
        </w:tc>
        <w:tc>
          <w:tcPr>
            <w:tcW w:w="42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Class B Non-Voting Stock, exercise price $0.67/share,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46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ind w:left="60"/>
              <w:spacing w:after="0" w:line="208" w:lineRule="exact"/>
              <w:rPr>
                <w:sz w:val="20"/>
                <w:szCs w:val="20"/>
                <w:color w:val="auto"/>
              </w:rPr>
            </w:pPr>
            <w:r>
              <w:rPr>
                <w:rFonts w:ascii="Arial" w:cs="Arial" w:eastAsia="Arial" w:hAnsi="Arial"/>
                <w:sz w:val="14"/>
                <w:szCs w:val="14"/>
                <w:color w:val="auto"/>
              </w:rPr>
              <w:t xml:space="preserve">expires 6/30/2027 </w:t>
            </w:r>
            <w:r>
              <w:rPr>
                <w:rFonts w:ascii="Arial" w:cs="Arial" w:eastAsia="Arial" w:hAnsi="Arial"/>
                <w:sz w:val="23"/>
                <w:szCs w:val="23"/>
                <w:color w:val="auto"/>
                <w:vertAlign w:val="superscript"/>
              </w:rPr>
              <w:t>(3) (7)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191,500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246,461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66,000</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Portfolio Companies</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Sub-Industry</w:t>
            </w:r>
          </w:p>
        </w:tc>
        <w:tc>
          <w:tcPr>
            <w:tcW w:w="280" w:type="dxa"/>
            <w:vAlign w:val="bottom"/>
          </w:tcPr>
          <w:p>
            <w:pPr>
              <w:spacing w:after="0"/>
              <w:rPr>
                <w:sz w:val="16"/>
                <w:szCs w:val="16"/>
                <w:color w:val="auto"/>
              </w:rPr>
            </w:pPr>
          </w:p>
        </w:tc>
        <w:tc>
          <w:tcPr>
            <w:tcW w:w="368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 xml:space="preserve">Investment Description </w:t>
            </w:r>
            <w:r>
              <w:rPr>
                <w:rFonts w:ascii="Arial" w:cs="Arial" w:eastAsia="Arial" w:hAnsi="Arial"/>
                <w:sz w:val="23"/>
                <w:szCs w:val="23"/>
                <w:b w:val="1"/>
                <w:bCs w:val="1"/>
                <w:color w:val="auto"/>
                <w:vertAlign w:val="superscript"/>
              </w:rPr>
              <w:t>(5), (6)</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138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2"/>
            <w:vMerge w:val="continue"/>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(2)</w:t>
            </w: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Borders>
              <w:top w:val="single" w:sz="8" w:color="auto"/>
            </w:tcBorders>
            <w:gridSpan w:val="2"/>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Warrants </w:t>
            </w:r>
            <w:r>
              <w:rPr>
                <w:rFonts w:ascii="Arial" w:cs="Arial" w:eastAsia="Arial" w:hAnsi="Arial"/>
                <w:sz w:val="21"/>
                <w:szCs w:val="21"/>
                <w:b w:val="1"/>
                <w:bCs w:val="1"/>
                <w:color w:val="auto"/>
                <w:vertAlign w:val="superscript"/>
              </w:rPr>
              <w:t>(8)</w:t>
            </w:r>
            <w:r>
              <w:rPr>
                <w:rFonts w:ascii="Arial" w:cs="Arial" w:eastAsia="Arial" w:hAnsi="Arial"/>
                <w:sz w:val="13"/>
                <w:szCs w:val="13"/>
                <w:b w:val="1"/>
                <w:bCs w:val="1"/>
                <w:color w:val="auto"/>
              </w:rPr>
              <w:t xml:space="preserve"> (continued)</w:t>
            </w:r>
          </w:p>
        </w:tc>
        <w:tc>
          <w:tcPr>
            <w:tcW w:w="28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ShareThis, Inc.</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Data Processing &amp;</w:t>
            </w:r>
          </w:p>
        </w:tc>
        <w:tc>
          <w:tcPr>
            <w:tcW w:w="39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D-3 Preferred Stock, exercise price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Outsourced Services</w:t>
            </w:r>
          </w:p>
        </w:tc>
        <w:tc>
          <w:tcPr>
            <w:tcW w:w="39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$2.4320/share, expires 12/3/2028</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12/3/2018</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371,030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1,548,052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1,580,000</w:t>
            </w:r>
          </w:p>
        </w:tc>
        <w:tc>
          <w:tcPr>
            <w:tcW w:w="2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zSpace, Inc.</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Technology</w:t>
            </w:r>
          </w:p>
        </w:tc>
        <w:tc>
          <w:tcPr>
            <w:tcW w:w="39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Warrant for Series E Preferred Stock, exercise price $0.90/share,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Hardware, Storage &amp;</w:t>
            </w:r>
          </w:p>
        </w:tc>
        <w:tc>
          <w:tcPr>
            <w:tcW w:w="39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expires 12/29/2027</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Peripherals</w:t>
            </w:r>
          </w:p>
        </w:tc>
        <w:tc>
          <w:tcPr>
            <w:tcW w:w="2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12/29/2017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1,896,966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707,568</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671,526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Borders>
              <w:bottom w:val="single" w:sz="8" w:color="CCEEFF"/>
            </w:tcBorders>
          </w:tcPr>
          <w:p>
            <w:pPr>
              <w:ind w:left="160"/>
              <w:spacing w:after="0" w:line="142" w:lineRule="exact"/>
              <w:rPr>
                <w:sz w:val="20"/>
                <w:szCs w:val="20"/>
                <w:color w:val="auto"/>
              </w:rPr>
            </w:pPr>
            <w:r>
              <w:rPr>
                <w:rFonts w:ascii="Arial" w:cs="Arial" w:eastAsia="Arial" w:hAnsi="Arial"/>
                <w:sz w:val="14"/>
                <w:szCs w:val="14"/>
                <w:b w:val="1"/>
                <w:bCs w:val="1"/>
                <w:color w:val="auto"/>
              </w:rPr>
              <w:t>Total Warrants</w:t>
            </w:r>
          </w:p>
        </w:tc>
        <w:tc>
          <w:tcPr>
            <w:tcW w:w="13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15,013,511</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15,247,210</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w w:val="95"/>
              </w:rPr>
              <w:t>Total non-control/non-affiliate investments</w:t>
            </w:r>
          </w:p>
        </w:tc>
        <w:tc>
          <w:tcPr>
            <w:tcW w:w="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223,851,892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224,248,389</w:t>
            </w:r>
          </w:p>
        </w:tc>
        <w:tc>
          <w:tcPr>
            <w:tcW w:w="2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133.99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4"/>
                <w:szCs w:val="14"/>
                <w:b w:val="1"/>
                <w:bCs w:val="1"/>
                <w:color w:val="auto"/>
              </w:rPr>
              <w:t>U.S. Treasury</w:t>
            </w:r>
          </w:p>
        </w:tc>
        <w:tc>
          <w:tcPr>
            <w:tcW w:w="1380" w:type="dxa"/>
            <w:vAlign w:val="bottom"/>
          </w:tcPr>
          <w:p>
            <w:pPr>
              <w:spacing w:after="0"/>
              <w:rPr>
                <w:sz w:val="17"/>
                <w:szCs w:val="17"/>
                <w:color w:val="auto"/>
              </w:rPr>
            </w:pPr>
          </w:p>
        </w:tc>
        <w:tc>
          <w:tcPr>
            <w:tcW w:w="3960" w:type="dxa"/>
            <w:vAlign w:val="bottom"/>
            <w:gridSpan w:val="3"/>
          </w:tcPr>
          <w:p>
            <w:pPr>
              <w:ind w:left="80"/>
              <w:spacing w:after="0" w:line="202" w:lineRule="exact"/>
              <w:rPr>
                <w:sz w:val="20"/>
                <w:szCs w:val="20"/>
                <w:color w:val="auto"/>
              </w:rPr>
            </w:pPr>
            <w:r>
              <w:rPr>
                <w:rFonts w:ascii="Arial" w:cs="Arial" w:eastAsia="Arial" w:hAnsi="Arial"/>
                <w:sz w:val="14"/>
                <w:szCs w:val="14"/>
                <w:color w:val="auto"/>
              </w:rPr>
              <w:t>U.S. Treasury Bill, 2.254%, due 1/3/2019</w:t>
            </w:r>
            <w:r>
              <w:rPr>
                <w:rFonts w:ascii="Arial" w:cs="Arial" w:eastAsia="Arial" w:hAnsi="Arial"/>
                <w:sz w:val="23"/>
                <w:szCs w:val="23"/>
                <w:color w:val="auto"/>
                <w:vertAlign w:val="superscript"/>
              </w:rPr>
              <w:t>(12)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$ 80,000,000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79,959,928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79,959,928</w:t>
            </w:r>
          </w:p>
        </w:tc>
        <w:tc>
          <w:tcPr>
            <w:tcW w:w="2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rPr>
              <w:t>Total Investments</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303,811,820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304,208,317</w:t>
            </w:r>
          </w:p>
        </w:tc>
        <w:tc>
          <w:tcPr>
            <w:tcW w:w="220" w:type="dxa"/>
            <w:vAlign w:val="bottom"/>
          </w:tcPr>
          <w:p>
            <w:pPr>
              <w:spacing w:after="0"/>
              <w:rPr>
                <w:sz w:val="15"/>
                <w:szCs w:val="15"/>
                <w:color w:val="auto"/>
              </w:rPr>
            </w:pPr>
          </w:p>
        </w:tc>
        <w:tc>
          <w:tcPr>
            <w:tcW w:w="800" w:type="dxa"/>
            <w:vAlign w:val="bottom"/>
            <w:gridSpan w:val="3"/>
          </w:tcPr>
          <w:p>
            <w:pPr>
              <w:jc w:val="right"/>
              <w:spacing w:after="0" w:line="176" w:lineRule="exact"/>
              <w:rPr>
                <w:sz w:val="20"/>
                <w:szCs w:val="20"/>
                <w:color w:val="auto"/>
              </w:rPr>
            </w:pPr>
            <w:r>
              <w:rPr>
                <w:rFonts w:ascii="Arial" w:cs="Arial" w:eastAsia="Arial" w:hAnsi="Arial"/>
                <w:sz w:val="12"/>
                <w:szCs w:val="12"/>
                <w:color w:val="auto"/>
              </w:rPr>
              <w:t>181.76</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2018, the 3-Month LIBOR was 2.80% and the U.S. Prime Rate was 5.50%.</w:t>
      </w:r>
    </w:p>
    <w:p>
      <w:pPr>
        <w:spacing w:after="0" w:line="1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December 31, 2018 represented 133.99% of the Company’s net assets, are restricted as to resale and were valued at fair value as determined in good faith by the Company’s Board of Directors.</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is not a qualifying investment as defined under Section 55(a) of the Investment Company Act of 1940, as amended. Non-qualifying assets represent 0.04% of total investments at fair value as of December 31, 2018.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PIK security. If the interest rate goes above the cap of 12.00%, PIK interest will be accrued on the excess amount and paid at maturity.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 which is valued using observable inputs.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September 29, 2018, the Mojix, Inc. (“Mojix”) loan and security agreement was amended to: (a) increase the LIBOR spread from 10.0% to 10.5%; (b) require existing shareholders to invest additional amounts of equity in Mojix; and, (c) make certain adjustments to the length and timing of interest-only periods based on the accomplishment of performance milestones. In exchange, the Company has agreed to provide forbearance on certain covenant defaults and make available, upon certain additional equity investment by the shareholders, the remaining $2,000,000 under the original loan commitment. As of December 31, 2018, the Company has funded $1,000,000 in a third and fourth tranche in the amount of $500,000 each.</w:t>
      </w:r>
    </w:p>
    <w:p>
      <w:pPr>
        <w:spacing w:after="0" w:line="193"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Amended and Restated Certificate of Incorporation dated September 4, 2018, each one warrant share of Series E Preferred Stock converted into one one-hundredth of a warrant share of Common Stock. The Company previously held 16,442,732 in warrants for Series E Preferred Stock which converted into 164,427 warrants for common stock.</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are held at Fair Value net of the Fair Value of Unfunded Commitments. See Note 3 for additional detail.</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treasury bill with $80,000,000 of par value was purchased pursuant to a 4.90% reverse repurchase agreement with Goldman Sachs, dated December 26, 2018, due January 2, 2019, with a repurchase price of $80,000,000 and collateralized by a 2.254% U.S. Treasury Bill due January 3, 2019 with a par value of $80,000,000 and fair value of $79,959,928.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Disclosures of end-of-term-payments (“ETP”) are one-time payments stated as a percentage of original principal amount.</w:t>
      </w:r>
    </w:p>
    <w:p>
      <w:pPr>
        <w:spacing w:after="0" w:line="225" w:lineRule="exact"/>
        <w:rPr>
          <w:rFonts w:ascii="Arial" w:cs="Arial" w:eastAsia="Arial" w:hAnsi="Arial"/>
          <w:sz w:val="18"/>
          <w:szCs w:val="18"/>
          <w:color w:val="auto"/>
        </w:rPr>
      </w:pPr>
    </w:p>
    <w:p>
      <w:pPr>
        <w:jc w:val="both"/>
        <w:ind w:left="660" w:hanging="328"/>
        <w:spacing w:after="0" w:line="29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November 27, 2018, the Company entered into a Loan &amp; Security Agreement whereby, upon attainment of certain financial milestones Ouster may borrow up to $10,000,000 under the facility. As of December 31, 2018, Ouster had not met the conditions required to borrow any amount under the loan facility. Upon borrowing under the loan facility the Company will receive a Warrant to purchase up to $400,000, or 353,348 shares of Series A preferred stock of Ouster at an exercise price of $11.3158 per share, with the number of shares calculated based on the amount of borrowings under the facility. In the event Ouster fails to meet required financial milestone for borrowing by March 31, 2019, the facility will terminate.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2018:</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Investments at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80" w:type="dxa"/>
            <w:vAlign w:val="bottom"/>
          </w:tcPr>
          <w:p>
            <w:pPr>
              <w:spacing w:after="0"/>
              <w:rPr>
                <w:sz w:val="16"/>
                <w:szCs w:val="16"/>
                <w:color w:val="auto"/>
              </w:rPr>
            </w:pPr>
          </w:p>
        </w:tc>
      </w:tr>
      <w:tr>
        <w:trPr>
          <w:trHeight w:val="234"/>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Geographic Region</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Net Assets</w:t>
            </w:r>
          </w:p>
        </w:tc>
        <w:tc>
          <w:tcPr>
            <w:tcW w:w="180" w:type="dxa"/>
            <w:vAlign w:val="bottom"/>
            <w:tcBorders>
              <w:bottom w:val="single" w:sz="8" w:color="CCEEFF"/>
            </w:tcBorders>
          </w:tcPr>
          <w:p>
            <w:pPr>
              <w:spacing w:after="0"/>
              <w:rPr>
                <w:sz w:val="20"/>
                <w:szCs w:val="20"/>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154,566,480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Southeastern United States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24,487,720</w:t>
            </w:r>
          </w:p>
        </w:tc>
        <w:tc>
          <w:tcPr>
            <w:tcW w:w="1080" w:type="dxa"/>
            <w:vAlign w:val="bottom"/>
          </w:tcPr>
          <w:p>
            <w:pPr>
              <w:jc w:val="right"/>
              <w:spacing w:after="0"/>
              <w:rPr>
                <w:sz w:val="20"/>
                <w:szCs w:val="20"/>
                <w:color w:val="auto"/>
              </w:rPr>
            </w:pPr>
            <w:r>
              <w:rPr>
                <w:rFonts w:ascii="Arial" w:cs="Arial" w:eastAsia="Arial" w:hAnsi="Arial"/>
                <w:sz w:val="18"/>
                <w:szCs w:val="18"/>
                <w:color w:val="auto"/>
              </w:rPr>
              <w:t>14.63</w:t>
            </w:r>
          </w:p>
        </w:tc>
        <w:tc>
          <w:tcPr>
            <w:tcW w:w="1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Northeastern United States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22,358,524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South Central United States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15,939,397</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9.52</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Midwestern United States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6,830,268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4.08</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66,000</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0.04</w:t>
            </w:r>
          </w:p>
        </w:tc>
      </w:tr>
      <w:tr>
        <w:trPr>
          <w:trHeight w:val="223"/>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224,248,389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Investments at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80" w:type="dxa"/>
            <w:vAlign w:val="bottom"/>
          </w:tcPr>
          <w:p>
            <w:pPr>
              <w:spacing w:after="0"/>
              <w:rPr>
                <w:sz w:val="16"/>
                <w:szCs w:val="16"/>
                <w:color w:val="auto"/>
              </w:rPr>
            </w:pPr>
          </w:p>
        </w:tc>
      </w:tr>
      <w:tr>
        <w:trPr>
          <w:trHeight w:val="234"/>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Industry</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Net Assets</w:t>
            </w:r>
          </w:p>
        </w:tc>
        <w:tc>
          <w:tcPr>
            <w:tcW w:w="180" w:type="dxa"/>
            <w:vAlign w:val="bottom"/>
            <w:tcBorders>
              <w:bottom w:val="single" w:sz="8" w:color="CCEEFF"/>
            </w:tcBorders>
          </w:tcPr>
          <w:p>
            <w:pPr>
              <w:spacing w:after="0"/>
              <w:rPr>
                <w:sz w:val="20"/>
                <w:szCs w:val="20"/>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97,077,931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58.01%</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Healthcare Technology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45,863,112</w:t>
            </w:r>
          </w:p>
        </w:tc>
        <w:tc>
          <w:tcPr>
            <w:tcW w:w="1080" w:type="dxa"/>
            <w:vAlign w:val="bottom"/>
          </w:tcPr>
          <w:p>
            <w:pPr>
              <w:jc w:val="right"/>
              <w:spacing w:after="0"/>
              <w:rPr>
                <w:sz w:val="20"/>
                <w:szCs w:val="20"/>
                <w:color w:val="auto"/>
              </w:rPr>
            </w:pPr>
            <w:r>
              <w:rPr>
                <w:rFonts w:ascii="Arial" w:cs="Arial" w:eastAsia="Arial" w:hAnsi="Arial"/>
                <w:sz w:val="18"/>
                <w:szCs w:val="18"/>
                <w:color w:val="auto"/>
              </w:rPr>
              <w:t>27.41</w:t>
            </w:r>
          </w:p>
        </w:tc>
        <w:tc>
          <w:tcPr>
            <w:tcW w:w="1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34,045,151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16,234,215</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9.70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15,939,397</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9.52</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Semiconductors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14,429,583</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8.62</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0.35</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Advertising</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66,000</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0.04</w:t>
            </w:r>
          </w:p>
        </w:tc>
      </w:tr>
      <w:tr>
        <w:trPr>
          <w:trHeight w:val="223"/>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224,248,389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and intends to qualify annually, as a regulated investment company (“RIC”) under Subchapter M of the Internal Revenue Code of 1986, as amended (the “Code”).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Runway Administrator Services LLC (the “Administrator”) is a wholly owned subsidiary of RGC and provides administrative services necessary for the Company to operate.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As of September 30, 2019, in connection with the Initial Private Offering, the Company had no remaining outstanding capital commitments and had issued 18,241,157 shares of its common stock for a total purchase price of $275,000,000. The Company has issued an additional 2,081,327 shares of its common stock as part of the Company’s dividend reinvestment plan since inception. Refer to Note 6 for further detail.</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2019, the Company had completed multiple closings under its second private offering (the “Second Private Offering”). As of September 30, 2019, the Company had accepted capital commitments of $170,573,500. Subsequent to September 30, 2019, the Company has completed additional closings under the Second Private Offering totaling $2,000,000 and had issued 1,666,667 shares of its common stock for a total purchase price of $25,000,000 in connection with the Second Private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2019. The interim unaudited financial statements and notes hereto should be read in conjunction with the audited financial statements and notes thereto contained in the Company’s annual report on Form 10-K for the year ended December 31, 2018 filed with the SEC on March 29,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At times,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 receivable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Subscriptions receivable represents amounts due from investors when capital is called under subscription agreements and not yet received; and, dividend amounts to be paid in stock under the Company’s dividend reinvestment plan. As of September 30, 2019, $649,123 represented shares to be issued under the dividend reinvestment plan relating to the special dividend declared on September 27, 2019 to shareholders of record as of September 30, 2019 and paid on November 12, 2019. As of November 13, 2019, there were no subscriptions receivable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fees and expenses associated with opening the KeyBank loan facilities or Credit Agreement (as defined below) are being deferred and amortized as part of interest expense using the effective interest method over the term of the Credit Agreement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fees and expenses associated with opening the CIBC USA Credit Facilities (as defined below) are being deferred and amortized as part of interest expense using the effective interest method over the term of the Credit Facilities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may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repurchase agreements. The Company requires the custodian to take possession, to have legally segregated in the Federal Reserve Book Entry System, or to have segregated within the custodian’s vault, all securities held as collateral for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repurchase agreement of one-day duration and 102 percent of the repurchase price in the case of all other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reverse repurchase agreement with Goldman Sachs, which expired on October 4, 2019, the Company purchased a U.S. Treasury Bill, due October 8, 2019. The value of the related collateral that the Company received for this agreement was $59,970,914 at September 30, 2019. Pursuant to a reverse repurchase agreement with Goldman Sachs which expired on January 2, 2019, the Company purchased a U.S. Treasury Bill, due January 3, 2019. The value of the related collateral that the Company received for this agreement was $79,959,928 at December 31, 2018. At September 30, 2019 and December 31, 2018, the repurchase liability is $59,671,060 and $79,560,129, respectively, which is reflected as Reverse Repurchase Agreement on the Statement of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in the statement of operations.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648"/>
        <w:spacing w:after="0" w:line="271" w:lineRule="auto"/>
        <w:rPr>
          <w:sz w:val="20"/>
          <w:szCs w:val="20"/>
          <w:color w:val="auto"/>
        </w:rPr>
      </w:pPr>
      <w:r>
        <w:rPr>
          <w:rFonts w:ascii="Arial" w:cs="Arial" w:eastAsia="Arial" w:hAnsi="Arial"/>
          <w:sz w:val="17"/>
          <w:szCs w:val="17"/>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or warrants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due to a restructuring such that the interest and dividend income is deemed to be collectible. As of September 30, 2019, and December 31, 2018, the Company has not written off any accrued and uncollected PIK interest and dividends. As of September 30, 2019, the Company had one loan on non-accrual status with total interest of $563,961 that would have been accrued into income. Had the loan not been on non-accrual status, $271,847 would be payable, and $292,113 would be original issue discount. For the three and nine months ended September 30, 2019, approximately 4.6% and 2.7%, respectively, of the Company’s total investment income was attributable to non-cash PIK interest and dividend income. The Company did not have non-cash PIK interest and dividend income for the three and nine months ended September 30, 2018.</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 and Disclosure</w:t>
      </w:r>
      <w:r>
        <w:rPr>
          <w:rFonts w:ascii="Arial" w:cs="Arial" w:eastAsia="Arial" w:hAnsi="Arial"/>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audit committee of the Company’s Board of Directors (the “Audit Committee”) is responsible for assisting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82" w:lineRule="exact"/>
        <w:rPr>
          <w:sz w:val="20"/>
          <w:szCs w:val="20"/>
          <w:color w:val="auto"/>
        </w:rPr>
      </w:pPr>
    </w:p>
    <w:p>
      <w:pPr>
        <w:jc w:val="both"/>
        <w:ind w:firstLine="701"/>
        <w:spacing w:after="0" w:line="257" w:lineRule="auto"/>
        <w:rPr>
          <w:sz w:val="20"/>
          <w:szCs w:val="20"/>
          <w:color w:val="auto"/>
        </w:rPr>
      </w:pPr>
      <w:r>
        <w:rPr>
          <w:rFonts w:ascii="Arial" w:cs="Arial" w:eastAsia="Arial" w:hAnsi="Arial"/>
          <w:sz w:val="18"/>
          <w:szCs w:val="18"/>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1—Valuations are based on quoted prices in active markets for identical assets or liabilities that are accessible at the measurement date.</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Board of Directors reviews the recommended preliminary valuations and determines the fair value of each investment in the Company’s portfolio, in good faith, based on the input of RGC, the applicable independent valuation firm and the Audit Committee.</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707"/>
        <w:spacing w:after="0" w:line="293"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To determine the fair value of the Company’s debt investments, the Company compares the cost basis of the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 held warrants and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valued based on an analysis of various factors including, but not limited to, the following: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9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7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86"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amounts of the Company’s financial instruments, including cash and accrued liabilities, approximate fair value due to their short-term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in the Statements of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elected to be treated as a RIC under Subchapter M of the Code starting with its taxable year ended December 31, 2016, has qualified, currently qualifies, and intends to qualify annually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U.S. federal income tax liability related to income earned by the Company represents obligations of the Company’s investors and will not be reflected in the financial statements of the Company. The Company intends to make sufficient distributions to maintain its RIC tax treatment each year and it does not anticipate paying any material U.S. federal income taxes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48"/>
        <w:spacing w:after="0" w:line="291" w:lineRule="auto"/>
        <w:rPr>
          <w:sz w:val="20"/>
          <w:szCs w:val="20"/>
          <w:color w:val="auto"/>
        </w:rPr>
      </w:pPr>
      <w:r>
        <w:rPr>
          <w:rFonts w:ascii="Arial" w:cs="Arial" w:eastAsia="Arial" w:hAnsi="Arial"/>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Basic and diluted earnings per common share is calculated using the weighted-average number of common shares outstanding for the period presented. For the three and nine months ended September 30, 2019 and 2018, basic and diluted earnings per share of common stock were the same because there were no potentially dilutive securities outstanding. Per share data is based on the weighted-average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three and nine months ended September 30, 2019, the Company declared dividends in the amount of $9,722,744 and $31,855,046, respectively, of which $1,987,041 and $6,469,908, respectively, was cash and the remainder shares of common stock to stockholders pursuant to the Company’s dividend reinvestment plan. Of these distributions for the three and nine months ended September 30, 2019, $8,911,541 and $31,043,843 was paid as of September 30, 2019, respectively, of which $1,824,961 and $6,307,828, respectively, was cash distributed and the remainder distributed in shares to stockholders pursuant to the Company’s dividend reinvestment plan. The remainder of dividends declared during the three months ended September 30, 2019 was paid on November 12, 2019 in the amount of $162,080 in cash and $649,123 in common stock. For the three months ended September 30, 2018, the Company declared and paid dividends in the amount of $2,184,724 of which $430,480 was distributed in cash and the remainder distributed in shares to stockholders pursuant to the Company’s dividend reinvestment plan. For the nine months ended September 30, 2018, the Company declared and paid dividends in the amount of $3,484,974 of which $685,160 was distributed in cash and the remainder distributed in shares to stockholders pursuant to the Company’s dividend reinvestment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Organization costs include, among other things, the cost of organizing as a Maryland corporation, including the cost of legal services and other fees pertaining to our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 Company and RGC, as subsequently amended and restated (the “Amended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As a result, for year ended December 31, 2018, the Company did not incur any organization or offering expenses.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255" w:lineRule="auto"/>
        <w:rPr>
          <w:sz w:val="20"/>
          <w:szCs w:val="20"/>
          <w:color w:val="auto"/>
        </w:rPr>
      </w:pPr>
      <w:r>
        <w:rPr>
          <w:rFonts w:ascii="Arial" w:cs="Arial" w:eastAsia="Arial" w:hAnsi="Arial"/>
          <w:sz w:val="18"/>
          <w:szCs w:val="18"/>
          <w:color w:val="auto"/>
        </w:rPr>
        <w:t>Offering costs related to new or follow on offerings will be accumulated and charged to additional paid in capital at the time of closing. These offering costs are subject to a cap of $600,000, excluding placement agent fees which have no cap, of which the Company will bear the cost. As of September 30, 2019 and December 31, 2018, respectively, the Company had accumulated and recorded $409,735 and $102,865 of deferred offering costs. As of September 30, 2019, $98,602 in placement agent fees had been incurred and included within deferred offering costs. As of December 31, 2018, no placement agent fees had been incurred. Under the terms of the Second Private Offering, offering costs in excess of $600,000, excluding placement agent fees, will be reimbursed by RGC.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which changes the fair value measurement disclosure requirements of ASC 820. The key provisions include new,</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financial statements, however the impact of the adoption is not expected to be material.</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2019, the SEC issued Final Rule Release No. 33-10618, </w:t>
      </w:r>
      <w:r>
        <w:rPr>
          <w:rFonts w:ascii="Arial" w:cs="Arial" w:eastAsia="Arial" w:hAnsi="Arial"/>
          <w:sz w:val="18"/>
          <w:szCs w:val="18"/>
          <w:i w:val="1"/>
          <w:iCs w:val="1"/>
          <w:color w:val="auto"/>
        </w:rPr>
        <w:t>FAST Act Modernization and Simplification of Regulation S-K</w:t>
      </w:r>
      <w:r>
        <w:rPr>
          <w:rFonts w:ascii="Arial" w:cs="Arial" w:eastAsia="Arial" w:hAnsi="Arial"/>
          <w:sz w:val="18"/>
          <w:szCs w:val="18"/>
          <w:color w:val="auto"/>
        </w:rPr>
        <w:t>, which amends certain SEC disclosure requirements. The amendments are intended to simplify certain disclosure requirements, improve readability and navigability of disclosure documents, and discourage repetition and disclosure of immaterial information. The amendments are effective for all filings submitted on or after May 2, 2019. The Company adopted the requisite amendments effective May 9, 2019. As it pertains to the Company for this Quarterly Report on Form 10-Q, there were no significant changes to the Company’s financial position or disclosures. The Company is still evaluating the impact this amendment will have on its future periodic filings.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2019, the Company had $35,875,000 in unfunded loan commitments to provide debt financing to its portfolio companies. The balance of unfunded commitments to extend financing as of September 30, 2019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04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1720" w:type="dxa"/>
            <w:vAlign w:val="bottom"/>
            <w:gridSpan w:val="4"/>
          </w:tcPr>
          <w:p>
            <w:pPr>
              <w:ind w:left="120"/>
              <w:spacing w:after="0"/>
              <w:rPr>
                <w:sz w:val="20"/>
                <w:szCs w:val="20"/>
                <w:color w:val="auto"/>
              </w:rPr>
            </w:pPr>
            <w:r>
              <w:rPr>
                <w:rFonts w:ascii="Arial" w:cs="Arial" w:eastAsia="Arial" w:hAnsi="Arial"/>
                <w:sz w:val="18"/>
                <w:szCs w:val="18"/>
                <w:b w:val="1"/>
                <w:bCs w:val="1"/>
                <w:color w:val="auto"/>
                <w:w w:val="93"/>
              </w:rPr>
              <w:t>September 30, 2019</w:t>
            </w:r>
          </w:p>
        </w:tc>
      </w:tr>
      <w:tr>
        <w:trPr>
          <w:trHeight w:val="210"/>
        </w:trPr>
        <w:tc>
          <w:tcPr>
            <w:tcW w:w="7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Aginity, Inc.</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Extension Loan</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Aria Systems, Inc.</w:t>
            </w:r>
          </w:p>
        </w:tc>
        <w:tc>
          <w:tcPr>
            <w:tcW w:w="2040" w:type="dxa"/>
            <w:vAlign w:val="bottom"/>
          </w:tcPr>
          <w:p>
            <w:pPr>
              <w:spacing w:after="0"/>
              <w:rPr>
                <w:sz w:val="20"/>
                <w:szCs w:val="20"/>
                <w:color w:val="auto"/>
              </w:rPr>
            </w:pPr>
            <w:r>
              <w:rPr>
                <w:rFonts w:ascii="Arial" w:cs="Arial" w:eastAsia="Arial" w:hAnsi="Arial"/>
                <w:sz w:val="18"/>
                <w:szCs w:val="18"/>
                <w:color w:val="auto"/>
                <w:w w:val="93"/>
              </w:rPr>
              <w:t>Senior Secured Term Loan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Brilliant Earth, LLC</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3"/>
              </w:rPr>
              <w:t>Senior Secured Term Loan</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CloudPassage, Inc.</w:t>
            </w:r>
          </w:p>
        </w:tc>
        <w:tc>
          <w:tcPr>
            <w:tcW w:w="2040" w:type="dxa"/>
            <w:vAlign w:val="bottom"/>
          </w:tcPr>
          <w:p>
            <w:pPr>
              <w:spacing w:after="0"/>
              <w:rPr>
                <w:sz w:val="20"/>
                <w:szCs w:val="20"/>
                <w:color w:val="auto"/>
              </w:rPr>
            </w:pPr>
            <w:r>
              <w:rPr>
                <w:rFonts w:ascii="Arial" w:cs="Arial" w:eastAsia="Arial" w:hAnsi="Arial"/>
                <w:sz w:val="18"/>
                <w:szCs w:val="18"/>
                <w:color w:val="auto"/>
                <w:w w:val="93"/>
              </w:rPr>
              <w:t>Senior Secured Term Loan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Dejero Labs, Inc.</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3"/>
              </w:rPr>
              <w:t>Senior Secured Term Loan</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Dtex Systems, Inc.</w:t>
            </w:r>
          </w:p>
        </w:tc>
        <w:tc>
          <w:tcPr>
            <w:tcW w:w="2040" w:type="dxa"/>
            <w:vAlign w:val="bottom"/>
          </w:tcPr>
          <w:p>
            <w:pPr>
              <w:spacing w:after="0"/>
              <w:rPr>
                <w:sz w:val="20"/>
                <w:szCs w:val="20"/>
                <w:color w:val="auto"/>
              </w:rPr>
            </w:pPr>
            <w:r>
              <w:rPr>
                <w:rFonts w:ascii="Arial" w:cs="Arial" w:eastAsia="Arial" w:hAnsi="Arial"/>
                <w:sz w:val="18"/>
                <w:szCs w:val="18"/>
                <w:color w:val="auto"/>
                <w:w w:val="93"/>
              </w:rPr>
              <w:t>Senior Secured Term Loan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 Holdings, Inc.</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3"/>
              </w:rPr>
              <w:t>Senior Secured Term Loan</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eSilicon Corporation</w:t>
            </w:r>
          </w:p>
        </w:tc>
        <w:tc>
          <w:tcPr>
            <w:tcW w:w="2040" w:type="dxa"/>
            <w:vAlign w:val="bottom"/>
          </w:tcPr>
          <w:p>
            <w:pPr>
              <w:spacing w:after="0"/>
              <w:rPr>
                <w:sz w:val="20"/>
                <w:szCs w:val="20"/>
                <w:color w:val="auto"/>
              </w:rPr>
            </w:pPr>
            <w:r>
              <w:rPr>
                <w:rFonts w:ascii="Arial" w:cs="Arial" w:eastAsia="Arial" w:hAnsi="Arial"/>
                <w:sz w:val="18"/>
                <w:szCs w:val="18"/>
                <w:color w:val="auto"/>
              </w:rPr>
              <w:t>Revolving Line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INRIX Inc.</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ROSE Loan</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Massdrop Inc.</w:t>
            </w:r>
          </w:p>
        </w:tc>
        <w:tc>
          <w:tcPr>
            <w:tcW w:w="2040" w:type="dxa"/>
            <w:vAlign w:val="bottom"/>
          </w:tcPr>
          <w:p>
            <w:pPr>
              <w:spacing w:after="0"/>
              <w:rPr>
                <w:sz w:val="20"/>
                <w:szCs w:val="20"/>
                <w:color w:val="auto"/>
              </w:rPr>
            </w:pPr>
            <w:r>
              <w:rPr>
                <w:rFonts w:ascii="Arial" w:cs="Arial" w:eastAsia="Arial" w:hAnsi="Arial"/>
                <w:sz w:val="18"/>
                <w:szCs w:val="18"/>
                <w:color w:val="auto"/>
                <w:w w:val="93"/>
              </w:rPr>
              <w:t>Senior Secured Term Loan</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223"/>
        </w:trPr>
        <w:tc>
          <w:tcPr>
            <w:tcW w:w="7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the Company had $41,250,000 in unfunded loan commitments.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management believes that its available cash balances, availability under the Credit Agreement and/or ability to drawdown capital from investors provides sufficient funds to cover its unfunded commitments as of September 30, 2019. The Company has evaluated the expected net future cash flows related to unfunded commitments and determined the fair value to be zero as of September 30, 2019 and December 31, 2018.</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information sets forth the computation of basic income/losses per common share for the three and nine months ended September 30,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120" w:type="dxa"/>
            <w:vAlign w:val="bottom"/>
          </w:tcPr>
          <w:p>
            <w:pPr>
              <w:spacing w:after="0"/>
              <w:rPr>
                <w:sz w:val="20"/>
                <w:szCs w:val="20"/>
                <w:color w:val="auto"/>
              </w:rPr>
            </w:pPr>
          </w:p>
        </w:tc>
        <w:tc>
          <w:tcPr>
            <w:tcW w:w="280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19,171,066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7,191,100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for period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19,990,416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8,865,358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17,520,157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8,742,743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19,990,416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8,865,358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17,520,157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8,742,743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Basic and diluted income per common share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Per share data is based on average weighted shares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has the authority to issue 100,000,000 shares of common stock, $0.01 par value per share. The common shares issued, the price per share and the proceeds raised, since inception, are detailed in the following table: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Shares Issued</w:t>
            </w:r>
          </w:p>
        </w:tc>
        <w:tc>
          <w:tcPr>
            <w:tcW w:w="10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Price Per Share</w:t>
            </w:r>
          </w:p>
        </w:tc>
        <w:tc>
          <w:tcPr>
            <w:tcW w:w="20" w:type="dxa"/>
            <w:vAlign w:val="bottom"/>
          </w:tcPr>
          <w:p>
            <w:pPr>
              <w:spacing w:after="0"/>
              <w:rPr>
                <w:sz w:val="20"/>
                <w:szCs w:val="20"/>
                <w:color w:val="auto"/>
              </w:rPr>
            </w:pPr>
          </w:p>
        </w:tc>
        <w:tc>
          <w:tcPr>
            <w:tcW w:w="138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Gross Proceeds</w:t>
            </w: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December 22, 2016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333,333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19,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1120" w:type="dxa"/>
            <w:vAlign w:val="bottom"/>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40,000,000</w:t>
            </w:r>
          </w:p>
        </w:tc>
        <w:tc>
          <w:tcPr>
            <w:tcW w:w="8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December 22, 2017</w:t>
            </w:r>
          </w:p>
        </w:tc>
        <w:tc>
          <w:tcPr>
            <w:tcW w:w="112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45,000,000</w:t>
            </w:r>
          </w:p>
        </w:tc>
        <w:tc>
          <w:tcPr>
            <w:tcW w:w="80" w:type="dxa"/>
            <w:vAlign w:val="bottom"/>
          </w:tcPr>
          <w:p>
            <w:pPr>
              <w:spacing w:after="0"/>
              <w:rPr>
                <w:sz w:val="18"/>
                <w:szCs w:val="18"/>
                <w:color w:val="auto"/>
              </w:rPr>
            </w:pPr>
          </w:p>
        </w:tc>
      </w:tr>
      <w:tr>
        <w:trPr>
          <w:trHeight w:val="257"/>
        </w:trPr>
        <w:tc>
          <w:tcPr>
            <w:tcW w:w="5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May 31, 2018 </w:t>
            </w:r>
            <w:r>
              <w:rPr>
                <w:rFonts w:ascii="Arial" w:cs="Arial" w:eastAsia="Arial" w:hAnsi="Arial"/>
                <w:sz w:val="29"/>
                <w:szCs w:val="29"/>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70,563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14.82</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1,045,570</w:t>
            </w:r>
          </w:p>
        </w:tc>
        <w:tc>
          <w:tcPr>
            <w:tcW w:w="80" w:type="dxa"/>
            <w:vAlign w:val="bottom"/>
            <w:shd w:val="clear" w:color="auto" w:fill="CCEEFF"/>
          </w:tcPr>
          <w:p>
            <w:pPr>
              <w:spacing w:after="0"/>
              <w:rPr>
                <w:sz w:val="22"/>
                <w:szCs w:val="22"/>
                <w:color w:val="auto"/>
              </w:rPr>
            </w:pPr>
          </w:p>
        </w:tc>
      </w:tr>
      <w:tr>
        <w:trPr>
          <w:trHeight w:val="257"/>
        </w:trPr>
        <w:tc>
          <w:tcPr>
            <w:tcW w:w="5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August 31, 2018 </w:t>
            </w:r>
            <w:r>
              <w:rPr>
                <w:rFonts w:ascii="Arial" w:cs="Arial" w:eastAsia="Arial" w:hAnsi="Arial"/>
                <w:sz w:val="29"/>
                <w:szCs w:val="29"/>
                <w:color w:val="auto"/>
                <w:vertAlign w:val="superscript"/>
              </w:rPr>
              <w:t>(1)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117,582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1,754,244</w:t>
            </w:r>
          </w:p>
        </w:tc>
        <w:tc>
          <w:tcPr>
            <w:tcW w:w="80" w:type="dxa"/>
            <w:vAlign w:val="bottom"/>
          </w:tcPr>
          <w:p>
            <w:pPr>
              <w:spacing w:after="0"/>
              <w:rPr>
                <w:sz w:val="22"/>
                <w:szCs w:val="22"/>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80" w:type="dxa"/>
            <w:vAlign w:val="bottom"/>
            <w:shd w:val="clear" w:color="auto" w:fill="CCEEFF"/>
          </w:tcPr>
          <w:p>
            <w:pPr>
              <w:spacing w:after="0"/>
              <w:rPr>
                <w:sz w:val="18"/>
                <w:szCs w:val="18"/>
                <w:color w:val="auto"/>
              </w:rPr>
            </w:pPr>
          </w:p>
        </w:tc>
      </w:tr>
      <w:tr>
        <w:trPr>
          <w:trHeight w:val="257"/>
        </w:trPr>
        <w:tc>
          <w:tcPr>
            <w:tcW w:w="5840" w:type="dxa"/>
            <w:vAlign w:val="bottom"/>
            <w:gridSpan w:val="2"/>
          </w:tcPr>
          <w:p>
            <w:pPr>
              <w:spacing w:after="0" w:line="256" w:lineRule="exact"/>
              <w:rPr>
                <w:sz w:val="20"/>
                <w:szCs w:val="20"/>
                <w:color w:val="auto"/>
              </w:rPr>
            </w:pPr>
            <w:r>
              <w:rPr>
                <w:rFonts w:ascii="Arial" w:cs="Arial" w:eastAsia="Arial" w:hAnsi="Arial"/>
                <w:sz w:val="18"/>
                <w:szCs w:val="18"/>
                <w:color w:val="auto"/>
              </w:rPr>
              <w:t>November 15, 2018</w:t>
            </w:r>
            <w:r>
              <w:rPr>
                <w:rFonts w:ascii="Arial" w:cs="Arial" w:eastAsia="Arial" w:hAnsi="Arial"/>
                <w:sz w:val="29"/>
                <w:szCs w:val="29"/>
                <w:color w:val="auto"/>
                <w:vertAlign w:val="superscript"/>
              </w:rPr>
              <w:t>(1)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202,779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3,055,498</w:t>
            </w:r>
          </w:p>
        </w:tc>
        <w:tc>
          <w:tcPr>
            <w:tcW w:w="80" w:type="dxa"/>
            <w:vAlign w:val="bottom"/>
          </w:tcPr>
          <w:p>
            <w:pPr>
              <w:spacing w:after="0"/>
              <w:rPr>
                <w:sz w:val="22"/>
                <w:szCs w:val="22"/>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66,000,000</w:t>
            </w:r>
          </w:p>
        </w:tc>
        <w:tc>
          <w:tcPr>
            <w:tcW w:w="80" w:type="dxa"/>
            <w:vAlign w:val="bottom"/>
            <w:shd w:val="clear" w:color="auto" w:fill="CCEEFF"/>
          </w:tcPr>
          <w:p>
            <w:pPr>
              <w:spacing w:after="0"/>
              <w:rPr>
                <w:sz w:val="18"/>
                <w:szCs w:val="18"/>
                <w:color w:val="auto"/>
              </w:rPr>
            </w:pPr>
          </w:p>
        </w:tc>
      </w:tr>
      <w:tr>
        <w:trPr>
          <w:trHeight w:val="257"/>
        </w:trPr>
        <w:tc>
          <w:tcPr>
            <w:tcW w:w="5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March 26, 2019 </w:t>
            </w:r>
            <w:r>
              <w:rPr>
                <w:rFonts w:ascii="Arial" w:cs="Arial" w:eastAsia="Arial" w:hAnsi="Arial"/>
                <w:sz w:val="29"/>
                <w:szCs w:val="29"/>
                <w:color w:val="auto"/>
                <w:vertAlign w:val="superscript"/>
              </w:rPr>
              <w:t>(1)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326,431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15.14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4,942,168</w:t>
            </w:r>
          </w:p>
        </w:tc>
        <w:tc>
          <w:tcPr>
            <w:tcW w:w="80" w:type="dxa"/>
            <w:vAlign w:val="bottom"/>
          </w:tcPr>
          <w:p>
            <w:pPr>
              <w:spacing w:after="0"/>
              <w:rPr>
                <w:sz w:val="22"/>
                <w:szCs w:val="22"/>
                <w:color w:val="auto"/>
              </w:rPr>
            </w:pPr>
          </w:p>
        </w:tc>
      </w:tr>
      <w:tr>
        <w:trPr>
          <w:trHeight w:val="257"/>
        </w:trPr>
        <w:tc>
          <w:tcPr>
            <w:tcW w:w="5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May 21, 2019 </w:t>
            </w:r>
            <w:r>
              <w:rPr>
                <w:rFonts w:ascii="Arial" w:cs="Arial" w:eastAsia="Arial" w:hAnsi="Arial"/>
                <w:sz w:val="29"/>
                <w:szCs w:val="29"/>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374,783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15.13</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5,670,467</w:t>
            </w:r>
          </w:p>
        </w:tc>
        <w:tc>
          <w:tcPr>
            <w:tcW w:w="80" w:type="dxa"/>
            <w:vAlign w:val="bottom"/>
            <w:shd w:val="clear" w:color="auto" w:fill="CCEEFF"/>
          </w:tcPr>
          <w:p>
            <w:pPr>
              <w:spacing w:after="0"/>
              <w:rPr>
                <w:sz w:val="22"/>
                <w:szCs w:val="22"/>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May 24, 2019</w:t>
            </w:r>
          </w:p>
        </w:tc>
        <w:tc>
          <w:tcPr>
            <w:tcW w:w="1120" w:type="dxa"/>
            <w:vAlign w:val="bottom"/>
          </w:tcPr>
          <w:p>
            <w:pPr>
              <w:jc w:val="right"/>
              <w:spacing w:after="0"/>
              <w:rPr>
                <w:sz w:val="20"/>
                <w:szCs w:val="20"/>
                <w:color w:val="auto"/>
              </w:rPr>
            </w:pPr>
            <w:r>
              <w:rPr>
                <w:rFonts w:ascii="Arial" w:cs="Arial" w:eastAsia="Arial" w:hAnsi="Arial"/>
                <w:sz w:val="18"/>
                <w:szCs w:val="18"/>
                <w:color w:val="auto"/>
              </w:rPr>
              <w:t>3,232,189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49,000,000</w:t>
            </w:r>
          </w:p>
        </w:tc>
        <w:tc>
          <w:tcPr>
            <w:tcW w:w="80" w:type="dxa"/>
            <w:vAlign w:val="bottom"/>
          </w:tcPr>
          <w:p>
            <w:pPr>
              <w:spacing w:after="0"/>
              <w:rPr>
                <w:sz w:val="18"/>
                <w:szCs w:val="18"/>
                <w:color w:val="auto"/>
              </w:rPr>
            </w:pPr>
          </w:p>
        </w:tc>
      </w:tr>
      <w:tr>
        <w:trPr>
          <w:trHeight w:val="257"/>
        </w:trPr>
        <w:tc>
          <w:tcPr>
            <w:tcW w:w="5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July 16, 2019 </w:t>
            </w:r>
            <w:r>
              <w:rPr>
                <w:rFonts w:ascii="Arial" w:cs="Arial" w:eastAsia="Arial" w:hAnsi="Arial"/>
                <w:sz w:val="29"/>
                <w:szCs w:val="29"/>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465,090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15.13</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7,036,800</w:t>
            </w:r>
          </w:p>
        </w:tc>
        <w:tc>
          <w:tcPr>
            <w:tcW w:w="80" w:type="dxa"/>
            <w:vAlign w:val="bottom"/>
            <w:shd w:val="clear" w:color="auto" w:fill="CCEEFF"/>
          </w:tcPr>
          <w:p>
            <w:pPr>
              <w:spacing w:after="0"/>
              <w:rPr>
                <w:sz w:val="22"/>
                <w:szCs w:val="22"/>
                <w:color w:val="auto"/>
              </w:rPr>
            </w:pPr>
          </w:p>
        </w:tc>
      </w:tr>
      <w:tr>
        <w:trPr>
          <w:trHeight w:val="257"/>
        </w:trPr>
        <w:tc>
          <w:tcPr>
            <w:tcW w:w="5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August 26, 2019 </w:t>
            </w:r>
            <w:r>
              <w:rPr>
                <w:rFonts w:ascii="Arial" w:cs="Arial" w:eastAsia="Arial" w:hAnsi="Arial"/>
                <w:sz w:val="29"/>
                <w:szCs w:val="29"/>
                <w:color w:val="auto"/>
                <w:vertAlign w:val="superscript"/>
              </w:rPr>
              <w:t>(1)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480,121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7,086,580</w:t>
            </w:r>
          </w:p>
        </w:tc>
        <w:tc>
          <w:tcPr>
            <w:tcW w:w="80" w:type="dxa"/>
            <w:vAlign w:val="bottom"/>
          </w:tcPr>
          <w:p>
            <w:pPr>
              <w:spacing w:after="0"/>
              <w:rPr>
                <w:sz w:val="22"/>
                <w:szCs w:val="22"/>
                <w:color w:val="auto"/>
              </w:rPr>
            </w:pPr>
          </w:p>
        </w:tc>
      </w:tr>
      <w:tr>
        <w:trPr>
          <w:trHeight w:val="270"/>
        </w:trPr>
        <w:tc>
          <w:tcPr>
            <w:tcW w:w="58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November 12, 2019 </w:t>
            </w:r>
            <w:r>
              <w:rPr>
                <w:rFonts w:ascii="Arial" w:cs="Arial" w:eastAsia="Arial" w:hAnsi="Arial"/>
                <w:sz w:val="30"/>
                <w:szCs w:val="30"/>
                <w:color w:val="auto"/>
                <w:vertAlign w:val="superscript"/>
              </w:rPr>
              <w:t>(1)(2)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649,123</w:t>
            </w:r>
          </w:p>
        </w:tc>
        <w:tc>
          <w:tcPr>
            <w:tcW w:w="80" w:type="dxa"/>
            <w:vAlign w:val="bottom"/>
            <w:shd w:val="clear" w:color="auto" w:fill="CCEEFF"/>
          </w:tcPr>
          <w:p>
            <w:pPr>
              <w:spacing w:after="0"/>
              <w:rPr>
                <w:sz w:val="23"/>
                <w:szCs w:val="23"/>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20,324,152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306,265,450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Shares were issued as part of the dividend reinvestment plan.</w:t>
      </w:r>
    </w:p>
    <w:p>
      <w:pPr>
        <w:spacing w:after="0" w:line="1" w:lineRule="exact"/>
        <w:rPr>
          <w:rFonts w:ascii="Arial" w:cs="Arial" w:eastAsia="Arial" w:hAnsi="Arial"/>
          <w:sz w:val="30"/>
          <w:szCs w:val="30"/>
          <w:color w:val="auto"/>
          <w:vertAlign w:val="superscript"/>
        </w:rPr>
      </w:pPr>
    </w:p>
    <w:p>
      <w:pPr>
        <w:ind w:left="980" w:hanging="324"/>
        <w:spacing w:after="0" w:line="186" w:lineRule="auto"/>
        <w:tabs>
          <w:tab w:leader="none" w:pos="9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Dividend reinvestment plan shares pending issue as of September 30, 2019.</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September 30, 2019 and December 31, 2018, the Company had total remaining commitments of $0 and $275,000,000 under the Company’s Initial Private Offering, respectively. As of September 30, 2019, all capital commitments under the Initial Private Offering had been drawn. As of December 31, 2018, $115,000,000 was undrawn. Between June 14, 2019 and September 30, 2019, the Company accepted $170,573,500 in capital commitments under its Second Private Offering. No capital commitments under the Second Private Offering had been drawn as of September 30, 2019. On October 1, 2019, the Company called $25,000,000 of capital under the Second Private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firstLine="648"/>
        <w:spacing w:after="0" w:line="312" w:lineRule="auto"/>
        <w:rPr>
          <w:sz w:val="20"/>
          <w:szCs w:val="20"/>
          <w:color w:val="auto"/>
        </w:rPr>
      </w:pPr>
      <w:r>
        <w:rPr>
          <w:rFonts w:ascii="Arial" w:cs="Arial" w:eastAsia="Arial" w:hAnsi="Arial"/>
          <w:sz w:val="16"/>
          <w:szCs w:val="16"/>
          <w:color w:val="auto"/>
        </w:rPr>
        <w:t>Capital commitments may be drawn down by the Company on a pro rata basis, as needed, upon not less than ten (10) days’ prior written notice for the purposes of funding the Company’s investments (including follow-on investments), paying the Company’s expenses, including fees under the Amended Advisory Agreement, by and between the Company and RGC, and/or maintaining a reserve account for the payment of future expenses or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On August 3, 2017, the Board of Directors approved the Amended Advisory Agreement and recommended that the Company’s stockholders approve the Amended Advisory Agreement. The Amended Advisory Agreement became effective on September 12, 2017 after approval by the stockholders at a special meeting of stockholders of the Company. Under the terms of the Amended Advisory Agreement, RGC:</w:t>
      </w:r>
    </w:p>
    <w:p>
      <w:pPr>
        <w:spacing w:after="0" w:line="173"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Amended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Amended Advisory Agreement, “Capital Commitments” is defined as the aggregate amount of capital committed to the Company by investors as of the end of the most recently completed calendar quarter. On September 12, 2017, without changing the base management fee percentage, the Advisory Agreement was amended to provide clarification as to the calculation of the base management fee. Prior to amendment, the base management fee was collected on the first day of each quarter based on an estimate of actual operating expenses, not to exceed 1.75% per annum, for the following quarter with an implied, though not defined “true-up” mechanism effected once all actual costs were known. The Amended Advisory Agreement defines the process and timing of the true-up and base management fee. The base management fee is now collected at the maximum annualized rate of 1.75% per 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69" w:lineRule="auto"/>
        <w:rPr>
          <w:sz w:val="20"/>
          <w:szCs w:val="20"/>
          <w:color w:val="auto"/>
        </w:rPr>
      </w:pPr>
      <w:r>
        <w:rPr>
          <w:rFonts w:ascii="Arial" w:cs="Arial" w:eastAsia="Arial" w:hAnsi="Arial"/>
          <w:sz w:val="17"/>
          <w:szCs w:val="17"/>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 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 operating expenses of RGC for a particular year will not include any reduction in base management fees as a result of Excess Fees paid by the Company.</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purposes of the Amended Advisory Agreement, a “Spin-Off transaction” includes a transaction whereby the Company offers its stockholders the option to elect to either (i) retain their ownership of shares of the Company’s common stock; (ii) exchange their shares 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 (iii) 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Following the earlier of (1) the consummation of an IPO of the Public Fund in connection with a Spin-Off transaction and (2) 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Amended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13, 2019, the Company had called all Capital Commitments and held less than 10% of its total assets in cash. As such, pursuant to the Amended Advisory Agreement, the base management fee payable to the Company is now calculated as an amount equal to 0.4375% (1.75% annualized) of the Company’s average daily Gross Assets during the most recently completed calendar quarter for so long as the aggregate amount of Gross Assets of the Company as of the end of the most recently completed calendar quarter is less than $500,000,000.</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RGC earned base management fees of $1,238,835 and $1,203,125 respectively, for the three months ended September 30, 2019 and 2018 respectively; and earned base management fees of $3,645,085 and $3,609,375 respectively, for the nine months ended September 30, 2019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85" w:lineRule="auto"/>
        <w:rPr>
          <w:sz w:val="20"/>
          <w:szCs w:val="20"/>
          <w:color w:val="auto"/>
        </w:rPr>
      </w:pPr>
      <w:r>
        <w:rPr>
          <w:rFonts w:ascii="Arial" w:cs="Arial" w:eastAsia="Arial" w:hAnsi="Arial"/>
          <w:sz w:val="16"/>
          <w:szCs w:val="16"/>
          <w:color w:val="auto"/>
        </w:rPr>
        <w:t>Under the investment-income component (the “Income Incentive Fee”), the Company will pay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 “Administration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will pay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Until the consummation of an IPO of the Public Fund in connection with a Spin-Off transaction, in the event that (a) 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 (x) 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87" w:lineRule="auto"/>
        <w:rPr>
          <w:sz w:val="20"/>
          <w:szCs w:val="20"/>
          <w:color w:val="auto"/>
        </w:rPr>
      </w:pPr>
      <w:r>
        <w:rPr>
          <w:rFonts w:ascii="Arial" w:cs="Arial" w:eastAsia="Arial" w:hAnsi="Arial"/>
          <w:sz w:val="16"/>
          <w:szCs w:val="16"/>
          <w:color w:val="auto"/>
        </w:rPr>
        <w:t>After the consummation of an IPO of the Public Fund in connection with a Spin-Off transaction, in the event that (a) 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 (ii) 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Look-Back Period is less than 10.0% no Income Incentive Fee will be payable for such quarter until the first subsequent quarter in which (x) the sum of the Company’s 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 (2) 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RGC earned incentive fees of $1,669,053 and $6,285,048 for the three and nine months ended September 30, 2019. RGC earned incentive fees of $479,538 for the three and nine months ended September 30, 2018. $1,120,903 and $5,126,159, respectively, of the incentive fees for the three and nine months ended September 30, 2019 were earned, payable in cash, and $548,150 and $1,158,889, respectively of the incentive fees for the three and nine months ended September 30, 2019 were accrued and generated from deferred interest (i.e., PIK interest and certain discount accretion) and are not payable pending receipt of cash by the Company. $339,758 of the incentive fees for the three and nine months ended September 30, 2018 were earned, payable in cash, and $139,780 of the incentive fees for the three and nine months ended September 30, 2018 were accrued and generated from deferred interest (i.e., PIK interest and certain discount accretion) and are not payable pending receipt of cash by the Company. Both currently payable in cash and deferred incentive fees are included in accrued incentive fees in the statement of assets and liabilities as of September 30, 2019.</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Amended Advisory Agreement. As of each of September 30, 2019 and December 31, 2018, there was no capital gains incentive fee accrued, earned or payable to RGC under the Amended Advisory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a Spin-Off transaction (x) include the portion of the 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 without taking into account the exchanged shares of the Company’s common stock (or contributions, distributions or proceeds relating thereto).</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reimbursed the Administrator $281,849 and $846,296 for the three and nine months ended September 30, 2019, respectively, and $171,520 and $447,581 for the three and nine months ended September 30, 2018, respectively. As of September 30, 2019, the Company had accrued a payable to the Administrator of $111,685. Of the total amount reimbursed and accrued during the three and nine months ended September 30, 2019, $207,345 and $567,121, respectively, was related to overhead allocation expense. Of the total amount reimbursed and accrued during the three and nine months ended September 30, 2018, $60,388 and $178,502, respectively, was related to overhead allocation expense. The Company reimbursed the Administrator $614,405 during the year ended December 31, 2018 and accrued a payable of $116,697 due to the Administrator as of December 31, 2018. Administration fees were $97,995 and $382,860 for the three and nine months ended September 30, 2019, respectively. Administration fees were $49,054 and $147,357 for the three and nine months ended September 30, 2018,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“Initial OCM Commitment”). On June 14, 2019, the Company accepted a capital commitment from OCM in the amount of $112.5 million (the “Subsequent OCM Commitment and, together with the Initial OCM Commitment, the “OCM Commitment”). OCM has granted a proxy to the Company pursuant to which the shares held by OCM will be voted in the same proportion as the Company’s other stockholders vote their shares.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 Directors as OCM’s representative. OCM also holds an interest in RGC and has the right to appoint a member of RGC’s board of managers and a member of RGC’s investment committee. Brian Laibow is OCM’s initial appointee to RGC’s board of managers and investment committee. In connection with the Subsequent OCM Commitment, the Company expects OCM to purchase additional equity in RGC.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policies.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assets measured at fair value as of September 30, 2019 and December 31, 2018,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w w:val="92"/>
              </w:rPr>
              <w:t>As of September 30, 2019 (Unaudited)</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Senior Secured Term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340,145,055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340,145,055</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461,826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17,132,000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17,132,000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357,738,881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357,738,881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59,970,914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59,970,914</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59,970,914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357,738,881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417,709,795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Senior Secured Term Loans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208,539,353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208,539,353</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15,247,210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15,247,210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79,959,928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79,959,928</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79,959,928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224,348,389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34</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6" w:name="page37"/>
    <w:bookmarkEnd w:id="36"/>
    <w:p>
      <w:pPr>
        <w:ind w:right="440"/>
        <w:spacing w:after="0" w:line="277" w:lineRule="auto"/>
        <w:rPr>
          <w:sz w:val="20"/>
          <w:szCs w:val="20"/>
          <w:color w:val="auto"/>
        </w:rPr>
      </w:pPr>
      <w:r>
        <w:rPr>
          <w:rFonts w:ascii="Arial" w:cs="Arial" w:eastAsia="Arial" w:hAnsi="Arial"/>
          <w:sz w:val="18"/>
          <w:szCs w:val="18"/>
          <w:color w:val="auto"/>
        </w:rPr>
        <w:t>The Company recognizes transfers into and out of the levels indicated above at the end of the reporting period. There were no transfers into or out of the levels during the period ended September 30, 2019 and the year ended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Senior Secured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Preferred Stock</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Term Loans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208,539,353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15,247,210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Amortization of fixed income premiums or discounts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8,730,554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8,730,554</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Purchases of investments </w:t>
            </w:r>
            <w:r>
              <w:rPr>
                <w:rFonts w:ascii="Arial" w:cs="Arial" w:eastAsia="Arial" w:hAnsi="Arial"/>
                <w:sz w:val="29"/>
                <w:szCs w:val="29"/>
                <w:color w:val="auto"/>
                <w:vertAlign w:val="superscript"/>
              </w:rPr>
              <w:t>(1)</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222,753,543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3,886,158</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226,639,701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Sales of investments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(94,029,510)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(73,507)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(94,103,017)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Reorganizations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Realized gain</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493,308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493,308</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(loss)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(5,848,887)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(2,421,167)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(8,270,054)</w:t>
            </w: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September 30, 2019</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461,826</w:t>
            </w: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340,145,053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17,132,002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357,738,881</w:t>
            </w:r>
          </w:p>
        </w:tc>
        <w:tc>
          <w:tcPr>
            <w:tcW w:w="100" w:type="dxa"/>
            <w:vAlign w:val="bottom"/>
            <w:tcBorders>
              <w:bottom w:val="single" w:sz="8" w:color="CCEEFF"/>
            </w:tcBorders>
          </w:tcPr>
          <w:p>
            <w:pPr>
              <w:spacing w:after="0"/>
              <w:rPr>
                <w:sz w:val="22"/>
                <w:szCs w:val="22"/>
                <w:color w:val="auto"/>
              </w:rPr>
            </w:pPr>
          </w:p>
        </w:tc>
      </w:tr>
      <w:tr>
        <w:trPr>
          <w:trHeight w:val="155"/>
        </w:trPr>
        <w:tc>
          <w:tcPr>
            <w:tcW w:w="56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9"/>
              </w:rPr>
              <w:t>Change in unrealized gain (loss) on Level 3 investments still held as of</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(5,410,607)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(1,733,408)</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(7,144,015)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Includes PIK interest, reorganization and restructuring of investments.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September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Senior Secured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Preferred Stock</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Term Loans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2017</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63,977,756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4,239,103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68,216,859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Amortization of fixed income premiums or discounts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3,137,837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3,137,837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81,040,276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1,924,638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83,214,914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Sales of investments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(11,375,629)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(92,724)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(11,468,353)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Reorganizations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Realized gain</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59,792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(loss)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(248,775)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September 30, 2018</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136,612,3699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5,996,663</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142,859,032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6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9"/>
              </w:rPr>
              <w:t>Change in unrealized gain (loss) on Level 3 investments still held as of</w:t>
            </w: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(53,242)</w:t>
            </w:r>
          </w:p>
        </w:tc>
        <w:tc>
          <w:tcPr>
            <w:tcW w:w="2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(250,307)</w:t>
            </w:r>
          </w:p>
        </w:tc>
        <w:tc>
          <w:tcPr>
            <w:tcW w:w="2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(302,017)</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2018</w:t>
            </w:r>
          </w:p>
        </w:tc>
        <w:tc>
          <w:tcPr>
            <w:tcW w:w="3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ind w:left="84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Fair Value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Valuation Technique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Range (Weighted 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merger and acquisition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22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transaction prices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6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w w:val="96"/>
              </w:rPr>
              <w:t xml:space="preserve">Senior Secured Term Loans </w:t>
            </w:r>
            <w:r>
              <w:rPr>
                <w:rFonts w:ascii="Arial" w:cs="Arial" w:eastAsia="Arial" w:hAnsi="Arial"/>
                <w:sz w:val="29"/>
                <w:szCs w:val="29"/>
                <w:b w:val="1"/>
                <w:bCs w:val="1"/>
                <w:color w:val="auto"/>
                <w:w w:val="96"/>
                <w:vertAlign w:val="superscript"/>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328,626,186</w:t>
            </w:r>
          </w:p>
        </w:tc>
        <w:tc>
          <w:tcPr>
            <w:tcW w:w="220" w:type="dxa"/>
            <w:vAlign w:val="bottom"/>
            <w:shd w:val="clear" w:color="auto" w:fill="CCEEFF"/>
          </w:tcPr>
          <w:p>
            <w:pPr>
              <w:spacing w:after="0"/>
              <w:rPr>
                <w:sz w:val="22"/>
                <w:szCs w:val="22"/>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Discounted Cash Flow analysis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13.3%-30.1% (16.9%)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Origination yield</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12.3%-26.0% (14.9%)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11,518,869</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PWERM</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22.3%-29.1% (25.2%)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6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29"/>
                <w:szCs w:val="29"/>
                <w:b w:val="1"/>
                <w:bCs w:val="1"/>
                <w:color w:val="auto"/>
                <w:vertAlign w:val="superscript"/>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14,970,000</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Black-Scholes model</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1.5%-1.8% (1.3%)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Average industry</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volatility</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25.0%-65.0% (32.5%)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Estimated time to exit</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1.0 years-6.2 years (2.8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2,162,000</w:t>
            </w:r>
          </w:p>
        </w:tc>
        <w:tc>
          <w:tcPr>
            <w:tcW w:w="2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PWERM</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22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20.69%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Level 3 Investments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357,738,881</w:t>
            </w:r>
          </w:p>
        </w:tc>
        <w:tc>
          <w:tcPr>
            <w:tcW w:w="22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Valuation</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ind w:left="86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ind w:left="440"/>
              <w:spacing w:after="0"/>
              <w:rPr>
                <w:sz w:val="20"/>
                <w:szCs w:val="20"/>
                <w:color w:val="auto"/>
              </w:rPr>
            </w:pPr>
            <w:r>
              <w:rPr>
                <w:rFonts w:ascii="Arial" w:cs="Arial" w:eastAsia="Arial" w:hAnsi="Arial"/>
                <w:sz w:val="18"/>
                <w:szCs w:val="18"/>
                <w:b w:val="1"/>
                <w:bCs w:val="1"/>
                <w:color w:val="auto"/>
              </w:rPr>
              <w:t>Fair Value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Technique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Range (Weighted 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merger and acquisition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461,826</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transaction prices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6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w w:val="96"/>
              </w:rPr>
              <w:t xml:space="preserve">Senior Secured Term Loans </w:t>
            </w:r>
            <w:r>
              <w:rPr>
                <w:rFonts w:ascii="Arial" w:cs="Arial" w:eastAsia="Arial" w:hAnsi="Arial"/>
                <w:sz w:val="29"/>
                <w:szCs w:val="29"/>
                <w:b w:val="1"/>
                <w:bCs w:val="1"/>
                <w:color w:val="auto"/>
                <w:w w:val="96"/>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200,740,155</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Discounted Cash Flow analysis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14.6%-30.3% (18.4%)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Origination yield</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13.8%-26.0% (16.8%)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7,799,198</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PWERM</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24.4%-62.0% (40.3%)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6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29"/>
                <w:szCs w:val="29"/>
                <w:b w:val="1"/>
                <w:bCs w:val="1"/>
                <w:color w:val="auto"/>
                <w:vertAlign w:val="superscript"/>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13,667,210</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Black-Scholes model</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2.5%-2.6% (2.5%)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Average industry</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volatility</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8.0%-60.0% (25.2%)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Estimated time to exit</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0.5 years-7.1 years (4.1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1,580,000</w:t>
            </w:r>
          </w:p>
        </w:tc>
        <w:tc>
          <w:tcPr>
            <w:tcW w:w="2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Monte Carlo simulation</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Average industry</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volatility</w:t>
            </w:r>
          </w:p>
        </w:tc>
        <w:tc>
          <w:tcPr>
            <w:tcW w:w="2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Level 3 Investments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224,248,389</w:t>
            </w:r>
          </w:p>
        </w:tc>
        <w:tc>
          <w:tcPr>
            <w:tcW w:w="2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0" w:lineRule="auto"/>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207" w:lineRule="exact"/>
        <w:rPr>
          <w:rFonts w:ascii="Arial" w:cs="Arial" w:eastAsia="Arial" w:hAnsi="Arial"/>
          <w:sz w:val="30"/>
          <w:szCs w:val="30"/>
          <w:color w:val="auto"/>
          <w:vertAlign w:val="superscript"/>
        </w:rPr>
      </w:pPr>
    </w:p>
    <w:p>
      <w:pPr>
        <w:jc w:val="both"/>
        <w:ind w:left="660" w:hanging="328"/>
        <w:spacing w:after="0" w:line="242" w:lineRule="auto"/>
        <w:tabs>
          <w:tab w:leader="none" w:pos="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The significant unobservable inputs used in the fair value measurement of the Company’s warrant and equity-related securities are inputs used in the Black Scholes option pricing model (“OPM”) which include industry volatility, risk free interest rate and estimated time to exit.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Credit Facilities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31, 2019, the Company entered into a Credit Agreement (the “Credit Agreement”) by and among the Company, as borrower, KeyBank National Association, as administrative agent, syndication agent, and a lender, CIBC Bank USA, as documentation agent and a lender, U.S. Bank National Association, as paying agent, the guarantors from time to time party thereto, and the other lenders from time to time party thereto.</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w:t>
      </w:r>
    </w:p>
    <w:p>
      <w:pPr>
        <w:spacing w:after="0" w:line="3" w:lineRule="exact"/>
        <w:rPr>
          <w:sz w:val="20"/>
          <w:szCs w:val="20"/>
          <w:color w:val="auto"/>
        </w:rPr>
      </w:pPr>
    </w:p>
    <w:p>
      <w:pPr>
        <w:jc w:val="both"/>
        <w:ind w:firstLine="8"/>
        <w:spacing w:after="0" w:line="254" w:lineRule="auto"/>
        <w:tabs>
          <w:tab w:leader="none" w:pos="2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availability period under the Credit Agreement expires on May 31, 2022 and is followed by a two-year amortization period. The stated maturity date under the Credit Agreement is May 31, 2024.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Agreement is secured by a perfected first priority security interest in substantially all of the Company’s assets and portfolio investments.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648"/>
        <w:spacing w:after="0" w:line="288" w:lineRule="auto"/>
        <w:rPr>
          <w:sz w:val="20"/>
          <w:szCs w:val="20"/>
          <w:color w:val="auto"/>
        </w:rPr>
      </w:pPr>
      <w:r>
        <w:rPr>
          <w:rFonts w:ascii="Arial" w:cs="Arial" w:eastAsia="Arial" w:hAnsi="Arial"/>
          <w:sz w:val="16"/>
          <w:szCs w:val="16"/>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187" w:lineRule="exact"/>
        <w:rPr>
          <w:sz w:val="20"/>
          <w:szCs w:val="20"/>
          <w:color w:val="auto"/>
        </w:rPr>
      </w:pPr>
    </w:p>
    <w:p>
      <w:pPr>
        <w:jc w:val="both"/>
        <w:ind w:firstLine="692"/>
        <w:spacing w:after="0" w:line="257" w:lineRule="auto"/>
        <w:rPr>
          <w:sz w:val="20"/>
          <w:szCs w:val="20"/>
          <w:color w:val="auto"/>
        </w:rPr>
      </w:pPr>
      <w:r>
        <w:rPr>
          <w:rFonts w:ascii="Arial" w:cs="Arial" w:eastAsia="Arial" w:hAnsi="Arial"/>
          <w:sz w:val="18"/>
          <w:szCs w:val="18"/>
          <w:color w:val="auto"/>
        </w:rPr>
        <w:t>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Borrowings under the Credit Facilities bear interest, at the Company’s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Facilities are secured by a perfected first priority security interest in the Company’s right, title, and interest in and to the capital commitments of the Company’s private investors, including the Company’s right to make capital calls, receive and apply capital contributions, enforce remedies and claims related thereto together with capital call proceeds and related rights, and a pledge of the collateral account into which capital call proceeds are deposited.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Facilities contain customary covenants and events of default for such subscription credit facilities (with customary cure and notice provisions), including, without limitation, maintenance of RIC status; nonpayment; misrepresentation of representations and warranties; breach of covenant; certain bankruptcy and liquidation events; change of control at RGC; the Amended Advisory Agreement or the Administration Agreement, ceasing to remain in effect; investors with aggregate capital commitments to the Company in excess of fifteen percent (15%) of the aggregate capital commitments of all investors in the Company failing to make capital contributions within ten (10) business days of when required; and the commitment period of the Company’s investors terminating because the Company engages in a Spin-Off transaction.</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three and nine months ended September 30, 2019, the weighted average outstanding debt balance was $26,141,304 and $12,355,311, respectively, and the weighted average effective interest rate under the Credit Agreement and Credit Facilities was 5.40% and 5.25%,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2019, the Company had $65,000,000 outstanding under the Credit Agreement and the Credit Facilities with the maturities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Date of</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auto"/>
            </w:tcBorders>
          </w:tcPr>
          <w:p>
            <w:pPr>
              <w:jc w:val="right"/>
              <w:ind w:right="2150"/>
              <w:spacing w:after="0"/>
              <w:rPr>
                <w:sz w:val="20"/>
                <w:szCs w:val="20"/>
                <w:color w:val="auto"/>
              </w:rPr>
            </w:pPr>
            <w:r>
              <w:rPr>
                <w:rFonts w:ascii="Arial" w:cs="Arial" w:eastAsia="Arial" w:hAnsi="Arial"/>
                <w:sz w:val="18"/>
                <w:szCs w:val="18"/>
                <w:b w:val="1"/>
                <w:bCs w:val="1"/>
                <w:color w:val="auto"/>
              </w:rPr>
              <w:t>Loan Facility</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Advance</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Due Date</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Rate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jc w:val="right"/>
              <w:ind w:right="2150"/>
              <w:spacing w:after="0"/>
              <w:rPr>
                <w:sz w:val="20"/>
                <w:szCs w:val="20"/>
                <w:color w:val="auto"/>
              </w:rPr>
            </w:pPr>
            <w:r>
              <w:rPr>
                <w:rFonts w:ascii="Arial" w:cs="Arial" w:eastAsia="Arial" w:hAnsi="Arial"/>
                <w:sz w:val="18"/>
                <w:szCs w:val="18"/>
                <w:color w:val="auto"/>
                <w:w w:val="93"/>
              </w:rPr>
              <w:t>KeyBank National Association Loan Facility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7/22/2019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7"/>
              </w:rPr>
              <w:t>5/31/2022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5620" w:type="dxa"/>
            <w:vAlign w:val="bottom"/>
            <w:gridSpan w:val="2"/>
          </w:tcPr>
          <w:p>
            <w:pPr>
              <w:jc w:val="right"/>
              <w:ind w:right="2360"/>
              <w:spacing w:after="0"/>
              <w:rPr>
                <w:sz w:val="20"/>
                <w:szCs w:val="20"/>
                <w:color w:val="auto"/>
              </w:rPr>
            </w:pPr>
            <w:r>
              <w:rPr>
                <w:rFonts w:ascii="Arial" w:cs="Arial" w:eastAsia="Arial" w:hAnsi="Arial"/>
                <w:sz w:val="18"/>
                <w:szCs w:val="18"/>
                <w:color w:val="auto"/>
                <w:w w:val="93"/>
              </w:rPr>
              <w:t>KeyBank National Association Loan Facility</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7/26/2019</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5/31/2022</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27,500,000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jc w:val="right"/>
              <w:ind w:right="2360"/>
              <w:spacing w:after="0"/>
              <w:rPr>
                <w:sz w:val="20"/>
                <w:szCs w:val="20"/>
                <w:color w:val="auto"/>
              </w:rPr>
            </w:pPr>
            <w:r>
              <w:rPr>
                <w:rFonts w:ascii="Arial" w:cs="Arial" w:eastAsia="Arial" w:hAnsi="Arial"/>
                <w:sz w:val="18"/>
                <w:szCs w:val="18"/>
                <w:color w:val="auto"/>
                <w:w w:val="93"/>
              </w:rPr>
              <w:t>KeyBank National Association Loan Facility</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9/30/2019</w:t>
            </w:r>
          </w:p>
        </w:tc>
        <w:tc>
          <w:tcPr>
            <w:tcW w:w="1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5/31/2022</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65,000,000</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vMerge w:val="restart"/>
          </w:tcPr>
          <w:p>
            <w:pPr>
              <w:jc w:val="right"/>
              <w:ind w:right="1070"/>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As of December 31, 2018, the Company had $59,500,000 outstanding under the Credit Facilities with maturities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Date of</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50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Loan Facility</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Advance</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Due Date</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Rate</w:t>
            </w:r>
          </w:p>
        </w:tc>
        <w:tc>
          <w:tcPr>
            <w:tcW w:w="160" w:type="dxa"/>
            <w:vAlign w:val="bottom"/>
            <w:tcBorders>
              <w:bottom w:val="single" w:sz="8" w:color="CCEEFF"/>
            </w:tcBorders>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CIBC Bank USA Committed Loan Facility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10/22/2018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CIBC Bank USA Committed Loan Facility</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11/23/2018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5/22/2019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Bank USA Committed Loan Facility</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12/3/2018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6/1/2019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12/3/2018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6/1/2019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Bank USA Demand Loan Facility</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12/20/2018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6/18/2019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12/28/2018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6/26/2019</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23"/>
        </w:trPr>
        <w:tc>
          <w:tcPr>
            <w:tcW w:w="5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Note 11 – Financial Highlights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r>
      <w:tr>
        <w:trPr>
          <w:trHeight w:val="216"/>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2018</w:t>
            </w:r>
          </w:p>
        </w:tc>
      </w:tr>
      <w:tr>
        <w:trPr>
          <w:trHeight w:val="234"/>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r>
      <w:tr>
        <w:trPr>
          <w:trHeight w:val="237"/>
        </w:trPr>
        <w:tc>
          <w:tcPr>
            <w:tcW w:w="708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Per Share Data </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w:t>
            </w:r>
          </w:p>
        </w:tc>
        <w:tc>
          <w:tcPr>
            <w:tcW w:w="120" w:type="dxa"/>
            <w:vAlign w:val="bottom"/>
            <w:tcBorders>
              <w:top w:val="single" w:sz="8" w:color="auto"/>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14.76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14.92</w:t>
            </w:r>
          </w:p>
        </w:tc>
      </w:tr>
      <w:tr>
        <w:trPr>
          <w:trHeight w:val="257"/>
        </w:trPr>
        <w:tc>
          <w:tcPr>
            <w:tcW w:w="7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Realized gain (loss)</w:t>
            </w:r>
          </w:p>
        </w:tc>
        <w:tc>
          <w:tcPr>
            <w:tcW w:w="120" w:type="dxa"/>
            <w:vAlign w:val="bottom"/>
          </w:tcPr>
          <w:p>
            <w:pPr>
              <w:spacing w:after="0"/>
              <w:rPr>
                <w:sz w:val="18"/>
                <w:szCs w:val="18"/>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(0.49)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70"/>
        </w:trPr>
        <w:tc>
          <w:tcPr>
            <w:tcW w:w="70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Accretion </w:t>
            </w:r>
            <w:r>
              <w:rPr>
                <w:rFonts w:ascii="Arial" w:cs="Arial" w:eastAsia="Arial" w:hAnsi="Arial"/>
                <w:sz w:val="30"/>
                <w:szCs w:val="30"/>
                <w:color w:val="auto"/>
                <w:vertAlign w:val="superscript"/>
              </w:rPr>
              <w:t>(4)</w:t>
            </w:r>
          </w:p>
        </w:tc>
        <w:tc>
          <w:tcPr>
            <w:tcW w:w="12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63"/>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Borders>
              <w:bottom w:val="single" w:sz="8" w:color="CCEEFF"/>
            </w:tcBorders>
          </w:tcPr>
          <w:p>
            <w:pPr>
              <w:spacing w:after="0"/>
              <w:rPr>
                <w:sz w:val="22"/>
                <w:szCs w:val="22"/>
                <w:color w:val="auto"/>
              </w:rPr>
            </w:pPr>
          </w:p>
        </w:tc>
      </w:tr>
      <w:tr>
        <w:trPr>
          <w:trHeight w:val="210"/>
        </w:trPr>
        <w:tc>
          <w:tcPr>
            <w:tcW w:w="70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Total return based on net asset value </w:t>
            </w:r>
            <w:r>
              <w:rPr>
                <w:rFonts w:ascii="Arial" w:cs="Arial" w:eastAsia="Arial" w:hAnsi="Arial"/>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Weighted-average shares outstanding for period, basic</w:t>
            </w:r>
          </w:p>
        </w:tc>
        <w:tc>
          <w:tcPr>
            <w:tcW w:w="120" w:type="dxa"/>
            <w:vAlign w:val="bottom"/>
          </w:tcPr>
          <w:p>
            <w:pPr>
              <w:spacing w:after="0"/>
              <w:rPr>
                <w:sz w:val="18"/>
                <w:szCs w:val="18"/>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19,990,416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8,865,358</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295,070,551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163,546,317</w:t>
            </w:r>
          </w:p>
        </w:tc>
      </w:tr>
      <w:tr>
        <w:trPr>
          <w:trHeight w:val="257"/>
        </w:trPr>
        <w:tc>
          <w:tcPr>
            <w:tcW w:w="7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29"/>
                <w:szCs w:val="29"/>
                <w:color w:val="auto"/>
                <w:vertAlign w:val="superscript"/>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295,926,068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138,601,701</w:t>
            </w:r>
          </w:p>
        </w:tc>
      </w:tr>
      <w:tr>
        <w:trPr>
          <w:trHeight w:val="257"/>
        </w:trPr>
        <w:tc>
          <w:tcPr>
            <w:tcW w:w="7080" w:type="dxa"/>
            <w:vAlign w:val="bottom"/>
          </w:tcPr>
          <w:p>
            <w:pPr>
              <w:spacing w:after="0" w:line="256" w:lineRule="exact"/>
              <w:rPr>
                <w:sz w:val="20"/>
                <w:szCs w:val="20"/>
                <w:color w:val="auto"/>
              </w:rPr>
            </w:pPr>
            <w:r>
              <w:rPr>
                <w:rFonts w:ascii="Arial" w:cs="Arial" w:eastAsia="Arial" w:hAnsi="Arial"/>
                <w:sz w:val="18"/>
                <w:szCs w:val="18"/>
                <w:color w:val="auto"/>
              </w:rPr>
              <w:t xml:space="preserve">Annualized ratio of net operating expenses to average net assets </w:t>
            </w:r>
            <w:r>
              <w:rPr>
                <w:rFonts w:ascii="Arial" w:cs="Arial" w:eastAsia="Arial" w:hAnsi="Arial"/>
                <w:sz w:val="29"/>
                <w:szCs w:val="29"/>
                <w:color w:val="auto"/>
                <w:vertAlign w:val="superscript"/>
              </w:rPr>
              <w:t>(6)</w:t>
            </w:r>
          </w:p>
        </w:tc>
        <w:tc>
          <w:tcPr>
            <w:tcW w:w="120" w:type="dxa"/>
            <w:vAlign w:val="bottom"/>
          </w:tcPr>
          <w:p>
            <w:pPr>
              <w:spacing w:after="0"/>
              <w:rPr>
                <w:sz w:val="22"/>
                <w:szCs w:val="22"/>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r>
      <w:tr>
        <w:trPr>
          <w:trHeight w:val="202"/>
        </w:trPr>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Annualized ratio of net increase (decrease) in net assets resulting from operations to average net</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w:t>
            </w:r>
          </w:p>
        </w:tc>
      </w:tr>
      <w:tr>
        <w:trPr>
          <w:trHeight w:val="648"/>
        </w:trPr>
        <w:tc>
          <w:tcPr>
            <w:tcW w:w="708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September 30, 2019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2018</w:t>
            </w:r>
          </w:p>
        </w:tc>
      </w:tr>
      <w:tr>
        <w:trPr>
          <w:trHeight w:val="234"/>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r>
      <w:tr>
        <w:trPr>
          <w:trHeight w:val="237"/>
        </w:trPr>
        <w:tc>
          <w:tcPr>
            <w:tcW w:w="708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Per Share Data </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w:t>
            </w:r>
          </w:p>
        </w:tc>
        <w:tc>
          <w:tcPr>
            <w:tcW w:w="140" w:type="dxa"/>
            <w:vAlign w:val="bottom"/>
            <w:tcBorders>
              <w:top w:val="single" w:sz="8" w:color="auto"/>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15.14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r>
      <w:tr>
        <w:trPr>
          <w:trHeight w:val="257"/>
        </w:trPr>
        <w:tc>
          <w:tcPr>
            <w:tcW w:w="7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Realized gain (loss)</w:t>
            </w:r>
          </w:p>
        </w:tc>
        <w:tc>
          <w:tcPr>
            <w:tcW w:w="14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r>
      <w:tr>
        <w:trPr>
          <w:trHeight w:val="270"/>
        </w:trPr>
        <w:tc>
          <w:tcPr>
            <w:tcW w:w="70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Accretion </w:t>
            </w:r>
            <w:r>
              <w:rPr>
                <w:rFonts w:ascii="Arial" w:cs="Arial" w:eastAsia="Arial" w:hAnsi="Arial"/>
                <w:sz w:val="30"/>
                <w:szCs w:val="30"/>
                <w:color w:val="auto"/>
                <w:vertAlign w:val="superscript"/>
              </w:rPr>
              <w:t>(4)</w:t>
            </w:r>
          </w:p>
        </w:tc>
        <w:tc>
          <w:tcPr>
            <w:tcW w:w="1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63"/>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Borders>
              <w:bottom w:val="single" w:sz="8" w:color="CCEEFF"/>
            </w:tcBorders>
          </w:tcPr>
          <w:p>
            <w:pPr>
              <w:spacing w:after="0"/>
              <w:rPr>
                <w:sz w:val="22"/>
                <w:szCs w:val="22"/>
                <w:color w:val="auto"/>
              </w:rPr>
            </w:pPr>
          </w:p>
        </w:tc>
      </w:tr>
      <w:tr>
        <w:trPr>
          <w:trHeight w:val="210"/>
        </w:trPr>
        <w:tc>
          <w:tcPr>
            <w:tcW w:w="70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Total return based on net asset value </w:t>
            </w:r>
            <w:r>
              <w:rPr>
                <w:rFonts w:ascii="Arial" w:cs="Arial" w:eastAsia="Arial" w:hAnsi="Arial"/>
                <w:sz w:val="24"/>
                <w:szCs w:val="24"/>
                <w:color w:val="auto"/>
                <w:vertAlign w:val="superscript"/>
              </w:rPr>
              <w:t>(2)</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Weighted-average shares outstanding for period, basic</w:t>
            </w:r>
          </w:p>
        </w:tc>
        <w:tc>
          <w:tcPr>
            <w:tcW w:w="14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17,520,157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8,742,743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295,070,551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163,546,317</w:t>
            </w:r>
          </w:p>
        </w:tc>
      </w:tr>
      <w:tr>
        <w:trPr>
          <w:trHeight w:val="257"/>
        </w:trPr>
        <w:tc>
          <w:tcPr>
            <w:tcW w:w="7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29"/>
                <w:szCs w:val="29"/>
                <w:color w:val="auto"/>
                <w:vertAlign w:val="superscript"/>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265,224,233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132,673,801</w:t>
            </w:r>
          </w:p>
        </w:tc>
      </w:tr>
      <w:tr>
        <w:trPr>
          <w:trHeight w:val="257"/>
        </w:trPr>
        <w:tc>
          <w:tcPr>
            <w:tcW w:w="7080" w:type="dxa"/>
            <w:vAlign w:val="bottom"/>
          </w:tcPr>
          <w:p>
            <w:pPr>
              <w:spacing w:after="0" w:line="256" w:lineRule="exact"/>
              <w:rPr>
                <w:sz w:val="20"/>
                <w:szCs w:val="20"/>
                <w:color w:val="auto"/>
              </w:rPr>
            </w:pPr>
            <w:r>
              <w:rPr>
                <w:rFonts w:ascii="Arial" w:cs="Arial" w:eastAsia="Arial" w:hAnsi="Arial"/>
                <w:sz w:val="18"/>
                <w:szCs w:val="18"/>
                <w:color w:val="auto"/>
              </w:rPr>
              <w:t xml:space="preserve">Annualized ratio of net operating expenses to average net assets </w:t>
            </w:r>
            <w:r>
              <w:rPr>
                <w:rFonts w:ascii="Arial" w:cs="Arial" w:eastAsia="Arial" w:hAnsi="Arial"/>
                <w:sz w:val="29"/>
                <w:szCs w:val="29"/>
                <w:color w:val="auto"/>
                <w:vertAlign w:val="superscript"/>
              </w:rPr>
              <w:t>(6)</w:t>
            </w:r>
          </w:p>
        </w:tc>
        <w:tc>
          <w:tcPr>
            <w:tcW w:w="140" w:type="dxa"/>
            <w:vAlign w:val="bottom"/>
          </w:tcPr>
          <w:p>
            <w:pPr>
              <w:spacing w:after="0"/>
              <w:rPr>
                <w:sz w:val="22"/>
                <w:szCs w:val="22"/>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r>
      <w:tr>
        <w:trPr>
          <w:trHeight w:val="202"/>
        </w:trPr>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Annualized ratio of net increase (decrease) in net assets resulting from operations to average net</w:t>
            </w: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highlights are based on weighted-average shares outstanding.</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return based on net asset value is based upon the change in net asset value per share between the opening and ending net asset values per share in the period. The total returns are not annualized.</w:t>
      </w: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from investment operations was 2.57% and 2.35% for the three months ended September 30, 2019 and 2018, respectively. Return from investment operations was 10.17% and 5.80% for the nine months ended September 30, 2019 and 2018, respectively. Return from investment operations represents returns on net investment income from operations.</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from accretion was 0.04% and (0.07)% for the three months ended September 30, 2019 and 2018, respectively. Return from accretion was 0.68% and (0.14)% for the nine months ended September 30, 2019 and 2018, respectively.</w:t>
      </w: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annualized ratio of net investment income to average net assets was 10.06% and 8.91% for the three months ended September 30, 2019 and 2018, respectively. The annualized ratio of net investment income to average net assets was 13.58% and 7.49% for the nine months ended September 30, 2019 and 2018, respectively.</w:t>
      </w:r>
    </w:p>
    <w:p>
      <w:pPr>
        <w:spacing w:after="0" w:line="1"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annualized ratio of net operating expenses excluding management and incentive fees, to average net assets was 1.35% and 2.92% for the three months ended September 30, 2019 and 2018, respectively. The annualized ratio of net operating expenses excluding management and incentive fees, to average net assets was 1.43% and 2.01% for the nine months ended September 30, 2019 and 2018,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 2019, the Company delivered a capital drawdown notice to investors relating to the sale of 1,666,667 shares of common stock, for an aggregate offering price of $25,000,000. The sale closed on October 15,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1, 2019, the Company funded an additional $150,000 on the extension loan to Aginity,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11, 2019, the Company funded an additional $150,000 on the extension loan to Aginity, Inc.</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October 21, 2019, in conjunction with its sale to Stryker, Mobius Imaging, LLC, prepaid its outstanding principal balance of $15.5 million on the senior secured loan. In addition, the Company received cash proceeds of $1,937,500 in connection with the termination of its warrants in Mobius Imaging, LLC for total proceeds of $18,087,208.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22, 2019, the Company funded an additional $500,000 on the senior secured term loan to Echo 360 Holdings,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28, 2019, the Company funded an additional $75,000 on the extension loan to Aginity,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12, 2019, pursuant to the Company’s dividend reinvestment plan, the Company issued 43,979 shares of its common stock, at a price of $14.76 per share for total proceeds of $649,123, to stockholders of record as of September 30, 2019 that did not opt out of the dividend reinvestment plan in order to satisfy the reinvestment portion of the Company’s dividends.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 w:firstLine="635"/>
        <w:spacing w:after="0" w:line="271"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9" w:lineRule="exact"/>
        <w:rPr>
          <w:sz w:val="20"/>
          <w:szCs w:val="20"/>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to the extent that we use leverage as part of our investment strategy;</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our external investment adviser, RGC, to locate suitable investments for us and to monitor and administer our investments;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Code, and as a BDC;</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our annual report on Form 10-K for the fiscal year ended December 31, 2018 and in our other filings with the Securities and Exchange Commission (the “SEC”).</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fiscal year ended December 31, 2018 filed with the SEC on March 29, 2019.</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have qualified, currently qualify, and intend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 “emerging growth company,” as defined in the JOBS Act. We could remain an emerging growth company until the last day of our fiscal year following the fifth anniversary of an IPO, if any, or until the earliest of (i) the last day of the first fiscal year in which we have total annual gross revenue of $1,070,000,000 or more, (ii) December 31 of the fiscal year in which we become a “large accelerated filer” as defined in Rule 12b-2 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externally managed by RGC, an investment adviser that has registered with the SEC under the Investment Advisers Act of 1940, as amended.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a wholly-owned subsidiary of RGC, provides all the administrative services necessary for us to operate.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71" w:lineRule="auto"/>
        <w:rPr>
          <w:sz w:val="20"/>
          <w:szCs w:val="20"/>
          <w:color w:val="auto"/>
        </w:rPr>
      </w:pPr>
      <w:r>
        <w:rPr>
          <w:rFonts w:ascii="Arial" w:cs="Arial" w:eastAsia="Arial" w:hAnsi="Arial"/>
          <w:sz w:val="17"/>
          <w:szCs w:val="17"/>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 shares of our common stock to investors for an aggregate purchase price of $5,000,000. The final closing of the Initial Private Offering occurred on December 1, 2017. As of September 30, 2019, in connection with the Initial Private Offering, the Company had no remaining outstanding capital commitments and had issued 18,241,157 shares of our common stock to stockholders for a total purchase price of $275,000,000. The Company has issued an additional 2,081,327 shares as part of the dividend reinvestment plan since inception.</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2019, we had completed multiple closings under the Second Private Offering and had accepted capital commitments of $170,573,500. Subsequent to September 30, 2019, we have completed additional closings under the Second Private Offering totaling $2,000,000 and has issued 1,666,667 shares of common stock for a total purchase price of $25,000,000 in connection with the Second Private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September 30, 2019, we had investments in twenty-five portfolio companies and held one U.S. Treasury Bill. At December 31, 2018, we had investments in twenty portfolio companies and held one U.S. Treasury Bill. The following table shows the fair value of our investments, by asset class, as of September 30, 2019 and December 31,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60" w:type="dxa"/>
            <w:vAlign w:val="bottom"/>
            <w:gridSpan w:val="7"/>
          </w:tcPr>
          <w:p>
            <w:pPr>
              <w:jc w:val="right"/>
              <w:ind w:right="970"/>
              <w:spacing w:after="0"/>
              <w:rPr>
                <w:sz w:val="20"/>
                <w:szCs w:val="20"/>
                <w:color w:val="auto"/>
              </w:rPr>
            </w:pPr>
            <w:r>
              <w:rPr>
                <w:rFonts w:ascii="Arial" w:cs="Arial" w:eastAsia="Arial" w:hAnsi="Arial"/>
                <w:sz w:val="18"/>
                <w:szCs w:val="18"/>
                <w:b w:val="1"/>
                <w:bCs w:val="1"/>
                <w:color w:val="auto"/>
              </w:rPr>
              <w:t>September 30, 2019 (Unaudited)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2018</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Percentage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of Total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of Total</w:t>
            </w:r>
          </w:p>
        </w:tc>
        <w:tc>
          <w:tcPr>
            <w:tcW w:w="0" w:type="dxa"/>
            <w:vAlign w:val="bottom"/>
          </w:tcPr>
          <w:p>
            <w:pPr>
              <w:spacing w:after="0"/>
              <w:rPr>
                <w:sz w:val="1"/>
                <w:szCs w:val="1"/>
                <w:color w:val="auto"/>
              </w:rPr>
            </w:pPr>
          </w:p>
        </w:tc>
      </w:tr>
      <w:tr>
        <w:trPr>
          <w:trHeight w:val="234"/>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Investments</w:t>
            </w:r>
          </w:p>
        </w:tc>
        <w:tc>
          <w:tcPr>
            <w:tcW w:w="2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Fair Value</w:t>
            </w:r>
          </w:p>
        </w:tc>
        <w:tc>
          <w:tcPr>
            <w:tcW w:w="14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Portfolio</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Senior Secured Term Loans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346,042,968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340,145,053</w:t>
            </w:r>
          </w:p>
        </w:tc>
        <w:tc>
          <w:tcPr>
            <w:tcW w:w="2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208,588,381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208,539,353</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461,826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19,319,471</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17,132,002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15,013,511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15,247,210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365,612,439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357,738,881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223,851,892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59,970,914</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59,970,914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79,959,928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79,959,928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425,583,353</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417,709,795</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303,811,820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304,208,317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Our primary investment activity for the nine months ended September 30, 2019 was as follows:</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January 17, 2019, the Company funded a $750,000 senior secured term loan (Tranche II) to ShareThis Inc. for a purchase price of $750,000.</w:t>
      </w:r>
    </w:p>
    <w:p>
      <w:pPr>
        <w:spacing w:after="0" w:line="46"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28, 2019, the Company funded a $1,000,000 senior secured term loan (Tranche V) to Mojix, Inc. for a cost of $990,000. An amount of $80,699 was allocated to Tranche V’s cost, which was previously held as another liability regarding the Company’s receipt of 7,182,145 Series 1 Preferred Warrants on December 20, 2018.</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11, 2019, the Company funded a $5,000,000 senior secured term loan (Tranche II) to zSpace, Inc. and purchased a warrant to purchase 2,806,830 shares of Series E Preferred Stock for a total cost of $4,950,000.</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25, 2019, the Company received 205,234 Series A-1 Preferred Warrants with a cost of $244,228, which was allocated to Aginity, Inc.’s original tranche.</w:t>
      </w: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13, 2019, the AllClear ID, Inc. senior secured loans were prepaid and we were compensated for our shares of the billings present value for total proceeds of $17,232,886.</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328" w:hanging="328"/>
        <w:spacing w:after="0" w:line="258"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28, 2019, the Company funded a $10,000,000 senior secured term loan to Ouster, Inc. and purchased a warrant to purchase 35,349 shares of Series A Preferred Stock for a total cost of $9,900,000.</w:t>
      </w:r>
    </w:p>
    <w:p>
      <w:pPr>
        <w:spacing w:after="0" w:line="1"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29, 2019, the Company funded a $15,000,000 senior secured term loan to Scale Computing, Inc. and purchased a warrant to purchase 2,147,926 shares of Series F-1 Preferred Stock for a total cost of $14,850,000.</w:t>
      </w:r>
    </w:p>
    <w:p>
      <w:pPr>
        <w:ind w:left="328" w:hanging="328"/>
        <w:spacing w:after="0"/>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March 29, 2019, the Company funded a $2,500,000 senior secured revolving promissory note to RealWear, Inc. for a total cost of $2,495,500.</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April 9, 2019, the RedSeal, Inc. senior secured loan was prepaid for total proceeds of $16,521,572. The associated warrants were terminated.</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April 9, 2019, the Company funded a $500,000 senior secured revolving promissory note to RealWear, Inc. for a total cost of $500,000.</w:t>
      </w:r>
    </w:p>
    <w:p>
      <w:pPr>
        <w:spacing w:after="0" w:line="20" w:lineRule="exact"/>
        <w:rPr>
          <w:rFonts w:ascii="Arial" w:cs="Arial" w:eastAsia="Arial" w:hAnsi="Arial"/>
          <w:sz w:val="17"/>
          <w:szCs w:val="17"/>
          <w:color w:val="auto"/>
        </w:rPr>
      </w:pPr>
    </w:p>
    <w:p>
      <w:pPr>
        <w:jc w:val="both"/>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17, 2019, pursuant to the Company’s Amended and Restated Warrant to Purchase Preferred Stock, warrants of 1,557,956 Series C Preferred Stock of CareCloud Corporation, with a warrant price of $1.2035 per share were converted to warrants of 2,262,579 Series A-1 Preferred Stock with a warrant price of $0.8287.</w:t>
      </w:r>
    </w:p>
    <w:p>
      <w:pPr>
        <w:spacing w:after="0" w:line="1"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3, 2019, the Company funded a $15,500,000 senior secured term loan to Echo 360 Holdings, Inc. and purchased a warrant to purchase 1,066,767 shares of Series E Preferred Stock for a total cost of $15,330,000.</w:t>
      </w: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7, 2019, the zSpace, Inc. senior secured loans were prepaid for total proceeds of $17,964,520.</w:t>
      </w:r>
    </w:p>
    <w:p>
      <w:pPr>
        <w:spacing w:after="0" w:line="9"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13, 2019, the Company funded a $20,000,000 senior secured term loan to Pivot3, Inc. and purchased a warrant to purchase 2,033,898 shares of Series D Preferred Stock for a total cost of $19,800,000.</w:t>
      </w: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30, 2019, the Company funded a $1,000,000 bridge loan to Mojix, Inc. and purchased a warrant to purchase 358,849 shares of Series 1 Preferred Stock for a total cost of $1,000,000.</w:t>
      </w: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31, 2019, the Company funded a $11,000,000 senior secured term loan to Dejero Labs Inc. and purchased a warrant to purchase 333,621 shares of Common Stock for a total cost of $10,850,000.</w:t>
      </w: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12, 2019, the Company funded a $500,000 senior secured term loan (Tranche II) to 3DNA Corp. (dba NationBuilder) for a purchase price of $495,000.</w:t>
      </w:r>
    </w:p>
    <w:p>
      <w:pPr>
        <w:ind w:left="328" w:right="20"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13, 2019, the Company funded a $7,500,000 senior secured term loan to CloudPassage, Inc. and purchased a warrant to purchase 210,938 shares of Series D-1 Stock for a total cost of $7,425,000.</w:t>
      </w:r>
    </w:p>
    <w:p>
      <w:pPr>
        <w:jc w:val="both"/>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14, 2019, in conjunction with its sale to Microsoft Corporation's LinkedIn, Drawbridge, Inc., prepaid its outstanding principal balance of $15.0 million on the senior secured loan. In addition, the Company received cash proceeds of $1,158,359 in connection with the termination of its warrants in Drawbridge, Inc. for total proceeds of $17,502,423.</w:t>
      </w:r>
    </w:p>
    <w:p>
      <w:pPr>
        <w:spacing w:after="0" w:line="1" w:lineRule="exact"/>
        <w:rPr>
          <w:rFonts w:ascii="Arial" w:cs="Arial" w:eastAsia="Arial" w:hAnsi="Arial"/>
          <w:sz w:val="18"/>
          <w:szCs w:val="18"/>
          <w:color w:val="auto"/>
        </w:rPr>
      </w:pPr>
    </w:p>
    <w:p>
      <w:pPr>
        <w:jc w:val="both"/>
        <w:ind w:left="328" w:right="20"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17, 2019, in conjunction with its sale to iCIMS Inc., Jibe, Inc., prepaid its outstanding principal of $7.0 million on the senior secured loan. In addition, the Company received cash proceeds of $146,075 in connection with the termination of its warrants in Jibe, Inc. for total proceeds of $7,716,445.</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21, 2019, the Company funded a $10,000,000 senior secured term loan (Tranche III) to eSilicon Corporation and purchased a warrant to purchase 990,099 shares of Series H Preferred Stock for a total cost of $9,900,000.</w:t>
      </w:r>
    </w:p>
    <w:p>
      <w:pPr>
        <w:ind w:left="328" w:hanging="328"/>
        <w:spacing w:after="0"/>
        <w:tabs>
          <w:tab w:leader="none" w:pos="3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June 21, 2019, the Company funded a $5,500,000 revolving line (Tranche IV) to eSilicon Corporation for a purchase price of $5,500,000.</w:t>
      </w:r>
    </w:p>
    <w:p>
      <w:pPr>
        <w:spacing w:after="0" w:line="20" w:lineRule="exact"/>
        <w:rPr>
          <w:rFonts w:ascii="Arial" w:cs="Arial" w:eastAsia="Arial" w:hAnsi="Arial"/>
          <w:sz w:val="17"/>
          <w:szCs w:val="17"/>
          <w:color w:val="auto"/>
        </w:rPr>
      </w:pP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27, 2019, the Company funded an additional $5,500,000 on the revolving line (Tranche IV) to eSilicon Corporation for a purchase price of $5,500,000.</w:t>
      </w:r>
    </w:p>
    <w:p>
      <w:pPr>
        <w:jc w:val="both"/>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28, 2019, pursuant to the Company’s Amended and Restated Loan and Security Agreement, RealWear, Inc. paid down the $3,000,000 revolving note and the Company funded an additional $16,000,000 senior secured term loan to RealWear, Inc. and purchased a warrant to purchase 123,894 shares of Series A Preferred Stock for a total cost of $24,840,000.</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10, 2019, the Company funded an additional $1,000,000 on the senior secured term loan (Tranche II) to Echo 360 Holdings, Inc. for a purchase price of $1,000,000.</w:t>
      </w:r>
    </w:p>
    <w:p>
      <w:pPr>
        <w:ind w:left="328" w:right="20"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11, 2019, the Company received 833,333 Series C-Prime Preferred Warrants with a cost of $114,719, which was allocated to Dtex Systems, Inc.’s original tranche.</w:t>
      </w: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22, 2019, the Company funded a $17,500,000 senior secured term loan to Massdrop Inc. and purchased a warrant to purchase 848,093 shares of Series B Preferred Stock for a total cost of $17,240,000.</w:t>
      </w:r>
    </w:p>
    <w:p>
      <w:pPr>
        <w:jc w:val="both"/>
        <w:ind w:left="328" w:hanging="328"/>
        <w:spacing w:after="0" w:line="281" w:lineRule="auto"/>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July 24, 2019, the Company funded a $1,000,000 senior secured term loan (Tranche III) to ShareThis Inc. for a purchase price of $990,000. Pursuant to the Company’s Amended and Restated Warrant to Purchase Warrant Shares, warrants of 371,030 Series D-3 Preferred Stock with a warrant price of $2.4320 per share, were increased to warrants of 647,615 Series D-3 Preferred Stock with a warrant price of $2.4320 per share.</w:t>
      </w:r>
    </w:p>
    <w:p>
      <w:pPr>
        <w:spacing w:after="0" w:line="2" w:lineRule="exact"/>
        <w:rPr>
          <w:rFonts w:ascii="Arial" w:cs="Arial" w:eastAsia="Arial" w:hAnsi="Arial"/>
          <w:sz w:val="16"/>
          <w:szCs w:val="16"/>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25, 2019, the Company funded a $625,000 extension loan (Tranche II) to Aginity, Inc. for a purchase price of $625,000.</w:t>
      </w:r>
    </w:p>
    <w:p>
      <w:pPr>
        <w:spacing w:after="0" w:line="9"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26, 2019, the Company funded a $25,000,000 senior secured term loan to INRIX, Inc. and purchased a warrant to purchase 150,804 shares of Common Stock for a total cost of $24,670,000.</w:t>
      </w:r>
    </w:p>
    <w:p>
      <w:pPr>
        <w:ind w:left="328" w:right="20" w:hanging="328"/>
        <w:spacing w:after="0" w:line="261"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31, 2019, the Mojix, Inc. $1,000,000 bridge loan matured and was repaid pursuant to the amended loan and security agreement for total proceeds of $1,020,830.</w:t>
      </w: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46" w:name="page47"/>
    <w:bookmarkEnd w:id="46"/>
    <w:p>
      <w:pPr>
        <w:jc w:val="both"/>
        <w:ind w:left="66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August 5, 2019, pursuant to the Company’s Amended and Restated Warrant to Purchase Preferred Stock, warrants of 35,349 Series A Preferred Stock of Ouster, Inc., with a warrant price of $11.3158 per share were increased to warrants of 53,023 Series A Preferred Stock with a warrant price of $11.3158.</w:t>
      </w: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August 13, 2019, the Company funded an additional $400,000 on the extension loan (Tranche II) to Aginity, Inc. for a purchase price of $400,000.</w:t>
      </w: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August 28, 2019, the Company funded an additional $100,000 on the extension loan (Tranche II) to Aginity, Inc. for a purchase price of $100,000.</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September 4, 2019, the Company funded an additional $300,000 on the extension loan (Tranche II) to Aginity, Inc. for a purchase price of $300,000.</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September 17, 2019, the Company funded an additional $200,000 on the extension loan (Tranche II) to Aginity, Inc. for a purchase price of $200,000.</w:t>
      </w:r>
    </w:p>
    <w:p>
      <w:pPr>
        <w:ind w:left="6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September 30, 2019, the Company funded a $35,000,000 senior secured term loan to Brilliant Earth, LLC and purchased a warrant to purchase 333,333 shares of Class P Units for a total cost of $34,550,000.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our investment portfolio, including U.S. Treasury Bills, for the nine months ended September 30, 2019 and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2960" w:type="dxa"/>
            <w:vAlign w:val="bottom"/>
            <w:gridSpan w:val="4"/>
          </w:tcPr>
          <w:p>
            <w:pPr>
              <w:ind w:left="1200"/>
              <w:spacing w:after="0"/>
              <w:rPr>
                <w:sz w:val="20"/>
                <w:szCs w:val="20"/>
                <w:color w:val="auto"/>
              </w:rPr>
            </w:pPr>
            <w:r>
              <w:rPr>
                <w:rFonts w:ascii="Arial" w:cs="Arial" w:eastAsia="Arial" w:hAnsi="Arial"/>
                <w:sz w:val="18"/>
                <w:szCs w:val="18"/>
                <w:b w:val="1"/>
                <w:bCs w:val="1"/>
                <w:color w:val="auto"/>
              </w:rPr>
              <w:t>Nine Months Ended</w:t>
            </w: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w w:val="96"/>
              </w:rPr>
              <w:t>Nine Months Ended</w:t>
            </w:r>
          </w:p>
        </w:tc>
      </w:tr>
      <w:tr>
        <w:trPr>
          <w:trHeight w:val="216"/>
        </w:trPr>
        <w:tc>
          <w:tcPr>
            <w:tcW w:w="6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2019</w:t>
            </w: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w w:val="96"/>
              </w:rPr>
              <w:t>September 30, 2018</w:t>
            </w:r>
          </w:p>
        </w:tc>
      </w:tr>
      <w:tr>
        <w:trPr>
          <w:trHeight w:val="234"/>
        </w:trPr>
        <w:tc>
          <w:tcPr>
            <w:tcW w:w="6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(unaudited)</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140,721,508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226,257,065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83,214,914</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 of U.S. Treasury Bills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215,871,217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190,456,264</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Amortization of Fixed Income Premiums and Discounts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8,837,895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3,170,957</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Portfolio Investments Repaid</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(87,281,884)</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(11,468,353)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and Maturities of Investments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(6,438,497)</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(235,966,606)</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(211,503,227)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Realized gain on Investments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493,308</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59,792</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U.S. Treasury Bills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(8,270,054)</w:t>
            </w: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(302,017)</w:t>
            </w: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U.S. Treasury Bills</w:t>
            </w: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Ending Investment Portfolio</w:t>
            </w:r>
          </w:p>
        </w:tc>
        <w:tc>
          <w:tcPr>
            <w:tcW w:w="1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417,709,795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194,350,277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jc w:val="center"/>
        <w:ind w:right="384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384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340"/>
        <w:spacing w:after="0"/>
        <w:rPr>
          <w:sz w:val="20"/>
          <w:szCs w:val="20"/>
          <w:color w:val="auto"/>
        </w:rPr>
      </w:pPr>
      <w:r>
        <w:rPr>
          <w:rFonts w:ascii="Arial" w:cs="Arial" w:eastAsia="Arial" w:hAnsi="Arial"/>
          <w:sz w:val="16"/>
          <w:szCs w:val="16"/>
          <w:b w:val="1"/>
          <w:bCs w:val="1"/>
          <w:color w:val="auto"/>
        </w:rPr>
        <w:t>Rating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31750</wp:posOffset>
            </wp:positionV>
            <wp:extent cx="63715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5020" w:space="720"/>
            <w:col w:w="5680"/>
          </w:cols>
          <w:pgMar w:left="240" w:top="905" w:right="239" w:bottom="1440" w:gutter="0" w:footer="0" w:header="0"/>
        </w:sectPr>
      </w:pPr>
    </w:p>
    <w:p>
      <w:pPr>
        <w:spacing w:after="0" w:line="24" w:lineRule="exact"/>
        <w:rPr>
          <w:sz w:val="20"/>
          <w:szCs w:val="20"/>
          <w:color w:val="auto"/>
        </w:rPr>
      </w:pPr>
    </w:p>
    <w:p>
      <w:pPr>
        <w:ind w:left="1380" w:right="20" w:hanging="843"/>
        <w:spacing w:after="0" w:line="258"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1" w:lineRule="exact"/>
        <w:rPr>
          <w:sz w:val="20"/>
          <w:szCs w:val="20"/>
          <w:color w:val="auto"/>
        </w:rPr>
      </w:pPr>
    </w:p>
    <w:p>
      <w:pPr>
        <w:ind w:left="1380" w:hanging="843"/>
        <w:spacing w:after="0" w:line="250"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Performing at or reasonably close to plan. Acceptable business prospects, enterprise value, financial coverage. Maintaining key covenant and payment compliance as agreed. All new loans are initially graded Category 2.</w:t>
      </w:r>
    </w:p>
    <w:p>
      <w:pPr>
        <w:spacing w:after="0" w:line="1" w:lineRule="exact"/>
        <w:rPr>
          <w:sz w:val="20"/>
          <w:szCs w:val="20"/>
          <w:color w:val="auto"/>
        </w:rPr>
      </w:pPr>
    </w:p>
    <w:p>
      <w:pPr>
        <w:ind w:left="1380" w:hanging="843"/>
        <w:spacing w:after="0"/>
        <w:tabs>
          <w:tab w:leader="none" w:pos="1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Performing below plan of record. Potential elements of concern over performance, trends and business outlook. Loan-to-value remains</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adequate. Potential key covenant non-compliance. Full payment compliance.</w:t>
      </w:r>
    </w:p>
    <w:p>
      <w:pPr>
        <w:spacing w:after="0" w:line="9" w:lineRule="exact"/>
        <w:rPr>
          <w:sz w:val="20"/>
          <w:szCs w:val="20"/>
          <w:color w:val="auto"/>
        </w:rPr>
      </w:pPr>
    </w:p>
    <w:p>
      <w:pPr>
        <w:jc w:val="both"/>
        <w:ind w:left="1380" w:hanging="843"/>
        <w:spacing w:after="0" w:line="281" w:lineRule="auto"/>
        <w:tabs>
          <w:tab w:leader="none" w:pos="1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may be in workout, and there is a possibility of loss of return but no loss of principal is expected.</w:t>
      </w:r>
    </w:p>
    <w:p>
      <w:pPr>
        <w:spacing w:after="0" w:line="9" w:lineRule="exact"/>
        <w:rPr>
          <w:sz w:val="20"/>
          <w:szCs w:val="20"/>
          <w:color w:val="auto"/>
        </w:rPr>
      </w:pPr>
    </w:p>
    <w:p>
      <w:pPr>
        <w:ind w:left="1380" w:right="20" w:hanging="843"/>
        <w:spacing w:after="0" w:line="261"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investment rankings of our debt investments at fair value as of September 30, 2019 and December 31,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b w:val="1"/>
                <w:bCs w:val="1"/>
                <w:color w:val="auto"/>
              </w:rPr>
              <w:t>As of September 30, 2019 (Unaudited)</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w w:val="93"/>
              </w:rPr>
              <w:t>As of December 31, 2018</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left="270"/>
              <w:spacing w:after="0" w:line="191" w:lineRule="exact"/>
              <w:rPr>
                <w:sz w:val="20"/>
                <w:szCs w:val="20"/>
                <w:color w:val="auto"/>
              </w:rPr>
            </w:pPr>
            <w:r>
              <w:rPr>
                <w:rFonts w:ascii="Arial" w:cs="Arial" w:eastAsia="Arial" w:hAnsi="Arial"/>
                <w:sz w:val="18"/>
                <w:szCs w:val="18"/>
                <w:b w:val="1"/>
                <w:bCs w:val="1"/>
                <w:color w:val="auto"/>
                <w:w w:val="94"/>
              </w:rPr>
              <w:t>% of</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left="130"/>
              <w:spacing w:after="0" w:line="191"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9"/>
              </w:rPr>
              <w:t>% of</w:t>
            </w:r>
          </w:p>
        </w:tc>
        <w:tc>
          <w:tcPr>
            <w:tcW w:w="12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gridSpan w:val="2"/>
          </w:tcPr>
          <w:p>
            <w:pPr>
              <w:spacing w:after="0"/>
              <w:rPr>
                <w:sz w:val="16"/>
                <w:szCs w:val="16"/>
                <w:color w:val="auto"/>
              </w:rPr>
            </w:pPr>
          </w:p>
        </w:tc>
      </w:tr>
      <w:tr>
        <w:trPr>
          <w:trHeight w:val="216"/>
        </w:trPr>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Total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Portfolio</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Total</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Portfolio</w:t>
            </w:r>
          </w:p>
        </w:tc>
      </w:tr>
      <w:tr>
        <w:trPr>
          <w:trHeight w:val="234"/>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Rating</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1"/>
              </w:rPr>
              <w:t>Portfolio</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Companies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Companies</w:t>
            </w:r>
          </w:p>
        </w:tc>
        <w:tc>
          <w:tcPr>
            <w:tcW w:w="100" w:type="dxa"/>
            <w:vAlign w:val="bottom"/>
            <w:tcBorders>
              <w:bottom w:val="single" w:sz="8" w:color="CCEEFF"/>
            </w:tcBorders>
            <w:gridSpan w:val="2"/>
          </w:tcPr>
          <w:p>
            <w:pPr>
              <w:spacing w:after="0"/>
              <w:rPr>
                <w:sz w:val="20"/>
                <w:szCs w:val="20"/>
                <w:color w:val="auto"/>
              </w:rPr>
            </w:pPr>
          </w:p>
        </w:tc>
      </w:tr>
      <w:tr>
        <w:trPr>
          <w:trHeight w:val="210"/>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14,762,697</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214,882,297</w:t>
            </w:r>
          </w:p>
        </w:tc>
        <w:tc>
          <w:tcPr>
            <w:tcW w:w="112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51.4%</w:t>
            </w:r>
          </w:p>
        </w:tc>
        <w:tc>
          <w:tcPr>
            <w:tcW w:w="1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107,685,007</w:t>
            </w:r>
          </w:p>
        </w:tc>
        <w:tc>
          <w:tcPr>
            <w:tcW w:w="22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1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112,265,265</w:t>
            </w: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3"/>
              </w:rPr>
              <w:t>26.9%</w:t>
            </w: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78,292,451</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8,616,367</w:t>
            </w:r>
          </w:p>
        </w:tc>
        <w:tc>
          <w:tcPr>
            <w:tcW w:w="112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7,799,198</w:t>
            </w:r>
          </w:p>
        </w:tc>
        <w:tc>
          <w:tcPr>
            <w:tcW w:w="22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30"/>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4,381,124</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340,145,053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81.4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208,539,353</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September 30, 2019, we had two loans to Aginity, Inc. representing an aggregate principal funded of $8,625,000 at a fair market value of $4,381,124 on non-accrual status. As of December 31, 2018, we did not have any loans on non-accrual status.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 net realized gain/(loss) and net unrealized appreciation/(depreciation). Net investment income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Comparison of the Three Months Ended September 30, 2019 and 2018.</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September 30, 2018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b w:val="1"/>
                <w:bCs w:val="1"/>
                <w:color w:val="auto"/>
              </w:rPr>
              <w:t>Per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10"/>
              <w:spacing w:after="0" w:line="195"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440"/>
              <w:spacing w:after="0" w:line="271" w:lineRule="exact"/>
              <w:rPr>
                <w:sz w:val="20"/>
                <w:szCs w:val="20"/>
                <w:color w:val="auto"/>
              </w:rPr>
            </w:pPr>
            <w:r>
              <w:rPr>
                <w:rFonts w:ascii="Arial" w:cs="Arial" w:eastAsia="Arial" w:hAnsi="Arial"/>
                <w:sz w:val="18"/>
                <w:szCs w:val="18"/>
                <w:b w:val="1"/>
                <w:bCs w:val="1"/>
                <w:color w:val="auto"/>
                <w:w w:val="95"/>
              </w:rPr>
              <w:t xml:space="preserve">Share </w:t>
            </w:r>
            <w:r>
              <w:rPr>
                <w:rFonts w:ascii="Arial" w:cs="Arial" w:eastAsia="Arial" w:hAnsi="Arial"/>
                <w:sz w:val="30"/>
                <w:szCs w:val="30"/>
                <w:b w:val="1"/>
                <w:bCs w:val="1"/>
                <w:color w:val="auto"/>
                <w:w w:val="95"/>
                <w:vertAlign w:val="superscript"/>
              </w:rPr>
              <w:t>(1)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00"/>
              <w:spacing w:after="0" w:line="271" w:lineRule="exact"/>
              <w:rPr>
                <w:sz w:val="20"/>
                <w:szCs w:val="20"/>
                <w:color w:val="auto"/>
              </w:rPr>
            </w:pPr>
            <w:r>
              <w:rPr>
                <w:rFonts w:ascii="Arial" w:cs="Arial" w:eastAsia="Arial" w:hAnsi="Arial"/>
                <w:sz w:val="18"/>
                <w:szCs w:val="18"/>
                <w:b w:val="1"/>
                <w:bCs w:val="1"/>
                <w:color w:val="auto"/>
                <w:w w:val="82"/>
              </w:rPr>
              <w:t xml:space="preserve">Share </w:t>
            </w:r>
            <w:r>
              <w:rPr>
                <w:rFonts w:ascii="Arial" w:cs="Arial" w:eastAsia="Arial" w:hAnsi="Arial"/>
                <w:sz w:val="30"/>
                <w:szCs w:val="30"/>
                <w:b w:val="1"/>
                <w:bCs w:val="1"/>
                <w:color w:val="auto"/>
                <w:w w:val="82"/>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11,634,915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5,453,435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Total investment income</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11,834,485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5,516,079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1,669,053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479,538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217,741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164,948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Overhead allocation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Directors’ fees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Administration fees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12,830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414,549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4,329,742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2,411,145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7,504,743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3,104,934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gain (loss) on investments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w w:val="95"/>
              </w:rPr>
              <w:t>Net change in unrealized appreciation (depreciation) on investments</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(2,782,423)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493,648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4,721,354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weighted averages of 19,990,416 and 8,865,358 shares outstanding for the three months ended September 30, 2019 and 2018,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$30.0 million, and the upper end of this range may increase as we raise additional capital.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648"/>
        <w:spacing w:after="0" w:line="272"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 income for the three months ended September 30, 2019 was $11,834,485 due primarily to interest income earned on our portfolio investments. Investment income for the three months ended September 30, 2018 was $5,516,079 due primarily to interest income earned on our portfolio investments. The increase in interest income for the three months ended September 30, 2019 compared to the three months ended September 30, 2018 was a result of our deployment of capital and increased investment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operating expenses include the payment of fees to RGC under the Amended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1" w:lineRule="exact"/>
        <w:rPr>
          <w:sz w:val="20"/>
          <w:szCs w:val="20"/>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of preparing and filing reports or other documents required by the SEC, the Financial Industry Regulatory Authority or other regulators;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allocable portion of any fidelity bond, directors’ and officers’ errors and omissions liability insurance, and any other insurance premiums;</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Operating expenses for the three months ended September 30, 2019 and 2018 were $4,329,742 and $2,411,145, respectively. Operating expenses increased for the three months ended September 30, 2019 from the three months ended September 30, 2018 primarily due to increased portfolio activity which resulted in increased overhead allocation expense, professional fees, and payment of incentive fees. The increase in overhead allocation expense was driven by allocation of RGC personnel, time, and resources utilized on fund activity. Operating expenses per share for the three months ended September 30, 2019 and 2018 were $0.21 per share and $0.27 per share,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Incentive fees for the three months ended September 30, 2019 and 2018 were $1,669,053 and $479,538, respectively. Incentive fees increased for the three months ended September 30, 2019 from the three months ended September 30, 2018 primarily due to the increase in investment income. $1,120,903 of the incentive fees for the three months ended September 30, 2019 were earned, payable in cash, and included in accrued incentive fees in the statement of assets and liabilities as of September 30, 2019. $548,150 of the incentive fees for the three months ended September 30, 2019 were deferred and accrued, and included in accrued incentive fees in the statement of assets and liabilities as of September 30, 2019. $339,758 of the incentive fees for the three months ended September 30, 2018 were earned, payable in cash, and included in accrued incentive fees in the statement of assets and liabilities as of September 30, 2018. $139,780 of the incentive fees for the three months ended September 30, 2018 were deferred and accrued, and included in accrued incentive fees in the statement of assets and liabilities as of September 30, 2018. Incentive fees per share for the three months ended September 30, 2019 and September 30, 2018 were $0.08 per share and $0.05 per share,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investment income for the three months ended September 30, 2019 and 2018 was $7,504,743 and $3,104,934 respectively. The net investment income increased for the three months ended September 30, 2019 from the three months ended September 30, 2018 primarily due to interest income earned on our portfolio investments, partially offset by increased management and incentive fees and the other operating expenses discussed above. Net investment income per share for the three months ended September 30, 2019 and 2018 was $0.38 per share and $0.35 per share,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on Investment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change in realized gain on investments of $966 for the three months ended September 30, 2019 was due to sale of U.S. Treasury Bills. There were no net realized gains or losses on investments for the three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net change in unrealized depreciation on investments of $2,782,423 for the three months ended September 30, 2019 was primarily due to a decrease in the fair value of our senior secured loan to Aginity, Inc. The net change in unrealized appreciation on investments of $493,648 for the three months ended September 30, 2018 was primarily due to a increase in the fair value of our warrants for preferred stock of eSilicon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an increase in net assets resulting from operations for the three months ended September 30, 2019 and 2018 of $4,721,354 and $3,598,582, respectively. The increase in net assets resulting from operations for the three months ended September 30, 2019 was primarily due to interest and other income earned from portfolio investments, partially offset by increased management and incentive fees, professional fees incurred and the net change in unrealized depreciation related to a senior secured loan in our portfolio, Aginity, Inc. The net increase in net assets resulting from operations for the three months ended September 30, 2018 was primarily due to interest and other income earned from our portfolio investments, partially offset by management fees and professional fees incurred.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Comparison of the Nine Months Ended September 30, 2019 and 2018.</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 2018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b w:val="1"/>
                <w:bCs w:val="1"/>
                <w:color w:val="auto"/>
              </w:rPr>
              <w:t>Per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b w:val="1"/>
                <w:bCs w:val="1"/>
                <w:color w:val="auto"/>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440"/>
              <w:spacing w:after="0" w:line="271" w:lineRule="exact"/>
              <w:rPr>
                <w:sz w:val="20"/>
                <w:szCs w:val="20"/>
                <w:color w:val="auto"/>
              </w:rPr>
            </w:pPr>
            <w:r>
              <w:rPr>
                <w:rFonts w:ascii="Arial" w:cs="Arial" w:eastAsia="Arial" w:hAnsi="Arial"/>
                <w:sz w:val="18"/>
                <w:szCs w:val="18"/>
                <w:b w:val="1"/>
                <w:bCs w:val="1"/>
                <w:color w:val="auto"/>
                <w:w w:val="95"/>
              </w:rPr>
              <w:t xml:space="preserve">Share </w:t>
            </w:r>
            <w:r>
              <w:rPr>
                <w:rFonts w:ascii="Arial" w:cs="Arial" w:eastAsia="Arial" w:hAnsi="Arial"/>
                <w:sz w:val="30"/>
                <w:szCs w:val="30"/>
                <w:b w:val="1"/>
                <w:bCs w:val="1"/>
                <w:color w:val="auto"/>
                <w:w w:val="95"/>
                <w:vertAlign w:val="superscript"/>
              </w:rPr>
              <w:t>(1)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400"/>
              <w:spacing w:after="0" w:line="271" w:lineRule="exact"/>
              <w:rPr>
                <w:sz w:val="20"/>
                <w:szCs w:val="20"/>
                <w:color w:val="auto"/>
              </w:rPr>
            </w:pPr>
            <w:r>
              <w:rPr>
                <w:rFonts w:ascii="Arial" w:cs="Arial" w:eastAsia="Arial" w:hAnsi="Arial"/>
                <w:sz w:val="18"/>
                <w:szCs w:val="18"/>
                <w:b w:val="1"/>
                <w:bCs w:val="1"/>
                <w:color w:val="auto"/>
                <w:w w:val="93"/>
              </w:rPr>
              <w:t xml:space="preserve">Share </w:t>
            </w:r>
            <w:r>
              <w:rPr>
                <w:rFonts w:ascii="Arial" w:cs="Arial" w:eastAsia="Arial" w:hAnsi="Arial"/>
                <w:sz w:val="30"/>
                <w:szCs w:val="30"/>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39,880,156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12,081,038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500,647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1,214,654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Total investment income</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40,380,803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13,295,692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3,645,085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3,609,375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6,285,048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479,538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702,244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509,034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Overhead allocation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315,122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Directors’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Administration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15,129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86,472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195,892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13,432,025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5,862,806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26,948,778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7,432,886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gain on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59,792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w w:val="95"/>
              </w:rPr>
              <w:t>Net change in unrealized appreciation (depreciation) on investments</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(8,270,054)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(301,578)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19,171,066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7,191,100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weighted averages of 17,520,157 and 8,742,743 shares outstanding for the nine months ended September 30, 2019 and 2018,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income for the nine months ended September 30, 2019 was $40,380,803 due primarily to interest income earned on our portfolio investments. Investment income for the nine months ended September 30, 2018 was $13,295,692 due primarily to interest income earned on our portfolio investments. The increase in interest income for the nine months ended September 30, 2019 compared to the nine months ended September 30, 2018 was a result of our deployment of capital and increased investment portfolio. Investment income further increased due to prepayment fees and end of term payments received during the nine months ended September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Operating expenses for the nine months ended September 30, 2019 and 2018 were $13,432,025 and $5,862,806, respectively. Operating expenses increased for the nine months ended September 30, 2019 from the nine months ended September 30, 2018 primarily due to increased portfolio activity which resulted in increased overhead allocation expense, professional fees, the payment of incentive fees and interest expense. The increase in interest expense was a result of the use of our credit facilities to support our deployment of capital and increasing invested balance. The increase in overhead allocation expense was driven by allocation of RGC personnel, time, and resources utilized on fund activity. Operating expenses per share for the nine months ended September 30, 2019 and 2018 were $0.77 per share and $0.66 per share,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Incentive fees for the nine months ended September 30, 2019 and 2018 were $6,285,048 and $479,538, respectively. Incentive fees increased for the nine months ended September 30, 2019 from the nine months ended September 30, 2018 due primarily to the increase in investment income. $5,126,159 of the incentive fees for the nine months ended September 30, 2019 were earned, payable in cash, and included in accrued incentive fees in the statement of assets and liabilities as of September 30, 2019. $1,158,889 of the incentive fees for the nine months ended September 30, 2019 were deferred and accrued, and included in accrued incentive fees in the statement of assets and liabilities as of September 30, 2019. $339,758 of the incentive fees for the nine months ended September 30, 2018 were earned, payable in cash, and included in accrued incentive fees in the statement of assets and liabilities as of September 30, 2018. $139,780 of the incentive fees for the nine months ended September 30, 2018 were deferred and accrued, and included in accrued incentive fees in the statement of assets and liabilities as of September 30, 2018. Incentive fees per share for the nine months ended September 30, 2019 and 2018 were $0.36 per share and $0.05 per share,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investment income for the nine months ended September 30, 2019 and 2018 was $26,948,778 and $7,432,886, respectively. The net investment income increased for the nine months ended September 30, 2019 from the nine months ended September 30, 2018 primarily due to interest income earned on our portfolio investments, prepayment fees, and end of term payments, partially offset by increased incentive fees and the other operating expenses discussed above. Net investment income per share for the nine months ended September 30, 2019 and 2018 were $1.54 per share and $0.85 per share,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on Investment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$492,342 in net realized gains on investments for the nine months ended September 30, 2019, primarily due to the gains on our warrants for preferred stock on Drawbridge, Inc. and Jibe, Inc. Our net realized gain on investments of $59,792 for the nine months ended September 30, 2018 was primarily due to the net realized gain on our warrants for preferred stock of Placecast,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net change in unrealized depreciation on investments of $8,270,054 for the nine months ended September 30, 2019 was primarily due to a decrease in the fair value of a senior secured loan in our portfolio, Aginity, Inc. The net change in unrealized depreciation on investments of $301,578 for the nine months ended September 30, 2018 was primarily due to a decrease in the fair value of our senior secured loan to Mojix, Inc. and our warrants for preferred stock of Mojix, Inc., and our warrants for common stock of Aspen Group, Inc. This was partially offset by increases in the fair value of our senior secured loans to AllClear ID, Inc., eSilicon Corporation, RedSeal, Inc. and zSpace, Inc., and our warrants for preferred stock of eSilicon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had an increase in net assets resulting from operations for the nine months ended September 30, 2019 and 2018 of $19,171,066 and $7,191,100, respectively. The increase in net assets resulting from operations for the nine months ended September 30, 2019 was primarily due to interest and other income earned from portfolio investments, prepayment fees, and end of term payments, partially offset by increased management and incentive fees, professional fees incurred and the net change in unrealized depreciation related to a senior secured loan in our portfolio, Aginity, Inc. The net increase in net assets resulting from operations for the nine months ended September 30, 2018 was primarily due to interest and other income earned from our portfolio investments, partially offset by management fees and professional fees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Our primary use of funds is to make investments in eligible portfolio companies, pay our operating expenses and make distributions to holders of our common stock.</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nine months ended September 30, 2019, cash and cash equivalents increased to $2,668,355 from $2,527,474 as of December 31, 2018. This increase was primarily the result of the drawing on the remaining capital commitments under the Initial Private Offering net of the purchase of investments in portfolio companies and U.S. Treasury Bills, and was partially offset by the maturity of the U.S. Treasury Bills for $235,966,606.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648"/>
        <w:spacing w:after="0" w:line="264" w:lineRule="auto"/>
        <w:rPr>
          <w:sz w:val="20"/>
          <w:szCs w:val="20"/>
          <w:color w:val="auto"/>
        </w:rPr>
      </w:pPr>
      <w:r>
        <w:rPr>
          <w:rFonts w:ascii="Arial" w:cs="Arial" w:eastAsia="Arial" w:hAnsi="Arial"/>
          <w:sz w:val="18"/>
          <w:szCs w:val="18"/>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or pursuant to our dividend reinvestment plan, as follows: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Price Per</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Gross</w:t>
            </w:r>
          </w:p>
        </w:tc>
      </w:tr>
      <w:tr>
        <w:trPr>
          <w:trHeight w:val="234"/>
        </w:trPr>
        <w:tc>
          <w:tcPr>
            <w:tcW w:w="6380" w:type="dxa"/>
            <w:vAlign w:val="bottom"/>
            <w:gridSpan w:val="2"/>
          </w:tcPr>
          <w:p>
            <w:pPr>
              <w:ind w:left="2540"/>
              <w:spacing w:after="0"/>
              <w:rPr>
                <w:sz w:val="20"/>
                <w:szCs w:val="20"/>
                <w:color w:val="auto"/>
              </w:rPr>
            </w:pPr>
            <w:r>
              <w:rPr>
                <w:rFonts w:ascii="Arial" w:cs="Arial" w:eastAsia="Arial" w:hAnsi="Arial"/>
                <w:sz w:val="18"/>
                <w:szCs w:val="18"/>
                <w:b w:val="1"/>
                <w:bCs w:val="1"/>
                <w:color w:val="auto"/>
              </w:rPr>
              <w:t>Issuance Date</w:t>
            </w: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Shares Issued</w:t>
            </w:r>
          </w:p>
        </w:tc>
        <w:tc>
          <w:tcPr>
            <w:tcW w:w="14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Proceeds</w:t>
            </w:r>
          </w:p>
        </w:tc>
      </w:t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April 19, 2017</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26,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September 12, 2017</w:t>
            </w:r>
          </w:p>
        </w:tc>
        <w:tc>
          <w:tcPr>
            <w:tcW w:w="1160" w:type="dxa"/>
            <w:vAlign w:val="bottom"/>
          </w:tcPr>
          <w:p>
            <w:pPr>
              <w:jc w:val="right"/>
              <w:spacing w:after="0"/>
              <w:rPr>
                <w:sz w:val="20"/>
                <w:szCs w:val="20"/>
                <w:color w:val="auto"/>
              </w:rPr>
            </w:pPr>
            <w:r>
              <w:rPr>
                <w:rFonts w:ascii="Arial" w:cs="Arial" w:eastAsia="Arial" w:hAnsi="Arial"/>
                <w:sz w:val="18"/>
                <w:szCs w:val="18"/>
                <w:color w:val="auto"/>
              </w:rPr>
              <w:t>2,666,667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40,000,000</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45,000,000</w:t>
            </w:r>
          </w:p>
        </w:tc>
      </w:tr>
      <w:tr>
        <w:trPr>
          <w:trHeight w:val="257"/>
        </w:trPr>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May 31, 2018 </w:t>
            </w:r>
            <w:r>
              <w:rPr>
                <w:rFonts w:ascii="Arial" w:cs="Arial" w:eastAsia="Arial" w:hAnsi="Arial"/>
                <w:sz w:val="29"/>
                <w:szCs w:val="29"/>
                <w:color w:val="auto"/>
                <w:vertAlign w:val="superscript"/>
              </w:rPr>
              <w:t>(1)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70,563</w:t>
            </w:r>
          </w:p>
        </w:tc>
        <w:tc>
          <w:tcPr>
            <w:tcW w:w="14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1,045,570</w:t>
            </w:r>
          </w:p>
        </w:tc>
      </w:tr>
      <w:tr>
        <w:trPr>
          <w:trHeight w:val="257"/>
        </w:trPr>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August 31, 2018 </w:t>
            </w:r>
            <w:r>
              <w:rPr>
                <w:rFonts w:ascii="Arial" w:cs="Arial" w:eastAsia="Arial" w:hAnsi="Arial"/>
                <w:sz w:val="29"/>
                <w:szCs w:val="29"/>
                <w:color w:val="auto"/>
                <w:vertAlign w:val="superscript"/>
              </w:rPr>
              <w:t>(1)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117,582</w:t>
            </w: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1,754,244</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September 27, 2018</w:t>
            </w:r>
          </w:p>
        </w:tc>
        <w:tc>
          <w:tcPr>
            <w:tcW w:w="1160" w:type="dxa"/>
            <w:vAlign w:val="bottom"/>
          </w:tcPr>
          <w:p>
            <w:pPr>
              <w:jc w:val="right"/>
              <w:spacing w:after="0"/>
              <w:rPr>
                <w:sz w:val="20"/>
                <w:szCs w:val="20"/>
                <w:color w:val="auto"/>
              </w:rPr>
            </w:pPr>
            <w:r>
              <w:rPr>
                <w:rFonts w:ascii="Arial" w:cs="Arial" w:eastAsia="Arial" w:hAnsi="Arial"/>
                <w:sz w:val="18"/>
                <w:szCs w:val="18"/>
                <w:color w:val="auto"/>
              </w:rPr>
              <w:t>1,997,337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r>
      <w:tr>
        <w:trPr>
          <w:trHeight w:val="257"/>
        </w:trPr>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November 15, 2018 </w:t>
            </w:r>
            <w:r>
              <w:rPr>
                <w:rFonts w:ascii="Arial" w:cs="Arial" w:eastAsia="Arial" w:hAnsi="Arial"/>
                <w:sz w:val="29"/>
                <w:szCs w:val="29"/>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3,055,498</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January 14, 2019</w:t>
            </w:r>
          </w:p>
        </w:tc>
        <w:tc>
          <w:tcPr>
            <w:tcW w:w="1160" w:type="dxa"/>
            <w:vAlign w:val="bottom"/>
          </w:tcPr>
          <w:p>
            <w:pPr>
              <w:jc w:val="right"/>
              <w:spacing w:after="0"/>
              <w:rPr>
                <w:sz w:val="20"/>
                <w:szCs w:val="20"/>
                <w:color w:val="auto"/>
              </w:rPr>
            </w:pPr>
            <w:r>
              <w:rPr>
                <w:rFonts w:ascii="Arial" w:cs="Arial" w:eastAsia="Arial" w:hAnsi="Arial"/>
                <w:sz w:val="18"/>
                <w:szCs w:val="18"/>
                <w:color w:val="auto"/>
              </w:rPr>
              <w:t>4,344,964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66,000,000</w:t>
            </w:r>
          </w:p>
        </w:tc>
      </w:tr>
      <w:tr>
        <w:trPr>
          <w:trHeight w:val="257"/>
        </w:trPr>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March 26, 2019 </w:t>
            </w:r>
            <w:r>
              <w:rPr>
                <w:rFonts w:ascii="Arial" w:cs="Arial" w:eastAsia="Arial" w:hAnsi="Arial"/>
                <w:sz w:val="29"/>
                <w:szCs w:val="29"/>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4,942,168</w:t>
            </w:r>
          </w:p>
        </w:tc>
      </w:tr>
      <w:tr>
        <w:trPr>
          <w:trHeight w:val="257"/>
        </w:trPr>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May 21, 2019 </w:t>
            </w:r>
            <w:r>
              <w:rPr>
                <w:rFonts w:ascii="Arial" w:cs="Arial" w:eastAsia="Arial" w:hAnsi="Arial"/>
                <w:sz w:val="29"/>
                <w:szCs w:val="29"/>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374,783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5,670,467</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24,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49,000,000</w:t>
            </w:r>
          </w:p>
        </w:tc>
      </w:tr>
      <w:tr>
        <w:trPr>
          <w:trHeight w:val="257"/>
        </w:trPr>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July 16, 2019 </w:t>
            </w:r>
            <w:r>
              <w:rPr>
                <w:rFonts w:ascii="Arial" w:cs="Arial" w:eastAsia="Arial" w:hAnsi="Arial"/>
                <w:sz w:val="29"/>
                <w:szCs w:val="29"/>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465,090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7,036,800</w:t>
            </w:r>
          </w:p>
        </w:tc>
      </w:tr>
      <w:tr>
        <w:trPr>
          <w:trHeight w:val="257"/>
        </w:trPr>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August 26, 2019 </w:t>
            </w:r>
            <w:r>
              <w:rPr>
                <w:rFonts w:ascii="Arial" w:cs="Arial" w:eastAsia="Arial" w:hAnsi="Arial"/>
                <w:sz w:val="29"/>
                <w:szCs w:val="29"/>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7,086,580</w:t>
            </w:r>
          </w:p>
        </w:tc>
      </w:tr>
      <w:tr>
        <w:trPr>
          <w:trHeight w:val="270"/>
        </w:trPr>
        <w:tc>
          <w:tcPr>
            <w:tcW w:w="638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November 12, 2019 </w:t>
            </w:r>
            <w:r>
              <w:rPr>
                <w:rFonts w:ascii="Arial" w:cs="Arial" w:eastAsia="Arial" w:hAnsi="Arial"/>
                <w:sz w:val="30"/>
                <w:szCs w:val="30"/>
                <w:color w:val="auto"/>
                <w:vertAlign w:val="superscript"/>
              </w:rPr>
              <w:t>(1)(2)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43,979</w:t>
            </w:r>
          </w:p>
        </w:tc>
        <w:tc>
          <w:tcPr>
            <w:tcW w:w="14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14.76</w:t>
            </w:r>
          </w:p>
        </w:tc>
        <w:tc>
          <w:tcPr>
            <w:tcW w:w="1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649,123</w:t>
            </w:r>
          </w:p>
        </w:tc>
      </w:tr>
      <w:tr>
        <w:trPr>
          <w:trHeight w:val="223"/>
        </w:trPr>
        <w:tc>
          <w:tcPr>
            <w:tcW w:w="6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20,322,485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306,240,450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September 30, 2019, the Company had $35,875,000 in unfunded loan commitments to provide debt financing to ten portfolio companies.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797"/>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6"/>
              </w:rPr>
              <w:t>Less than 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20" w:type="dxa"/>
            <w:vAlign w:val="bottom"/>
          </w:tcPr>
          <w:p>
            <w:pPr>
              <w:spacing w:after="0"/>
              <w:rPr>
                <w:sz w:val="16"/>
                <w:szCs w:val="16"/>
                <w:color w:val="auto"/>
              </w:rPr>
            </w:pPr>
          </w:p>
        </w:tc>
      </w:tr>
      <w:tr>
        <w:trPr>
          <w:trHeight w:val="234"/>
        </w:trPr>
        <w:tc>
          <w:tcPr>
            <w:tcW w:w="31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1-3 years</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 years</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20" w:type="dxa"/>
            <w:vAlign w:val="bottom"/>
            <w:tcBorders>
              <w:bottom w:val="single" w:sz="8" w:color="CCEEFF"/>
            </w:tcBorders>
          </w:tcPr>
          <w:p>
            <w:pPr>
              <w:spacing w:after="0"/>
              <w:rPr>
                <w:sz w:val="20"/>
                <w:szCs w:val="20"/>
                <w:color w:val="auto"/>
              </w:rPr>
            </w:pPr>
          </w:p>
        </w:tc>
      </w:tr>
      <w:tr>
        <w:trPr>
          <w:trHeight w:val="237"/>
        </w:trPr>
        <w:tc>
          <w:tcPr>
            <w:tcW w:w="31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Reverse repurchase agreement </w:t>
            </w:r>
            <w:r>
              <w:rPr>
                <w:rFonts w:ascii="Arial" w:cs="Arial" w:eastAsia="Arial" w:hAnsi="Arial"/>
                <w:sz w:val="27"/>
                <w:szCs w:val="27"/>
                <w:color w:val="auto"/>
                <w:vertAlign w:val="superscript"/>
              </w:rPr>
              <w:t>(1)</w:t>
            </w:r>
          </w:p>
        </w:tc>
        <w:tc>
          <w:tcPr>
            <w:tcW w:w="9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59,671,060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59,671,060</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r>
      <w:tr>
        <w:trPr>
          <w:trHeight w:val="270"/>
        </w:trPr>
        <w:tc>
          <w:tcPr>
            <w:tcW w:w="316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30"/>
                <w:szCs w:val="30"/>
                <w:color w:val="auto"/>
                <w:vertAlign w:val="superscript"/>
              </w:rPr>
              <w:t>(2)</w:t>
            </w:r>
          </w:p>
        </w:tc>
        <w:tc>
          <w:tcPr>
            <w:tcW w:w="7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65,000,000</w:t>
            </w:r>
          </w:p>
        </w:tc>
        <w:tc>
          <w:tcPr>
            <w:tcW w:w="2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65,000,000</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r>
      <w:tr>
        <w:trPr>
          <w:trHeight w:val="22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124,671,060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59,671,060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65,000,000</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line="258"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Reverse repurchase agreement relates to the purchase of the U.S. Treasury Bill on margin. The reverse repurchase agreement purchased was subsequently repaid in October 2019.</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10 – Credit Facilities.” to our financial statements in Part I of this Form 10-Q for more information.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May 31, 2019, we entered into the Credit Agreement with KeyBank National Association, as administrative agent, syndication agent, and a lender, CIBC Bank USA,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22, 2018, as amended on September 24, 2018, we entered into the Uncommitted Facility and the Committed Facility with CIBC. 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Borrowings under the Credit Facilities bear interest, at our election at the time of drawdown, at a rate per annum equal to (i) in the case of LIBOR rate loans, the LIBOR rate for the applicable interest period plus 2.50% or (ii) in the case of prime rate loans, CIBC’s prime commercial rate at the time of the borrowing minus 0.50%. The Credit Facilities mature on September 19, 2019 and are secured by a perfected first priority security interest in our right, title, and interest in and to the capital commitments of our private investors, including our right to make capital calls, receive and apply capital contributions, enforce remedies and claims related thereto together with capital call proceeds and related rights, and a pledge of the collateral account into which capital call proceeds are deposited. On May 31, 2019, in conjunction with securing and entering into the new Credit Agreement, we terminated the Credit Facilities.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months ended September 30, 2019, the Company drew down $82,750,000 and repaid $77,250,000, of which $65,000,000 remains outstanding at September 30, 2019. At September 31, 2019 interest was accruing at a rate of 5.40%. During the year ended December 31, 2018, the Company drew down $74,500,000 and repaid $15,000,000, of which $59,500,000 remained outstanding at December 31, 2018. At December 31, 2018 interest was accruing at a rate of 5.00% per annum. See “Note 10 – Credit Facilities” to our financial statements in Part I, Item 1 of this Form 10-Q for more information on the 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nine months ended September 30, 2019, we declared dividends in the amount of $31,855,046, of which $6,469,908, was paid in cash and the remainder distributed in shares to stockholders pursuant to our dividend reinvestment plan. During the year ended December 31, 2018 we declared and paid dividends in the amount of $7,283,810, of which $1,428,498 was distributed in cash and the remainder distributed in shares to stockholders pursuant to our dividend reinvestment plan.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firstLine="648"/>
        <w:spacing w:after="0" w:line="277"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September 30, 2019.</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Amount per</w:t>
            </w: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1780" w:type="dxa"/>
            <w:vAlign w:val="bottom"/>
            <w:gridSpan w:val="2"/>
          </w:tcPr>
          <w:p>
            <w:pPr>
              <w:ind w:left="360"/>
              <w:spacing w:after="0"/>
              <w:rPr>
                <w:sz w:val="20"/>
                <w:szCs w:val="20"/>
                <w:color w:val="auto"/>
              </w:rPr>
            </w:pPr>
            <w:r>
              <w:rPr>
                <w:rFonts w:ascii="Arial" w:cs="Arial" w:eastAsia="Arial" w:hAnsi="Arial"/>
                <w:sz w:val="18"/>
                <w:szCs w:val="18"/>
                <w:b w:val="1"/>
                <w:bCs w:val="1"/>
                <w:color w:val="auto"/>
              </w:rPr>
              <w:t>Record Date</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Payment Date</w:t>
            </w:r>
          </w:p>
        </w:tc>
        <w:tc>
          <w:tcPr>
            <w:tcW w:w="20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August 15, 2018</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August 31, 2018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October 31, 2018</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November 15, 2018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March 22, 2019</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March 26, 2019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May 7, 2019</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May 21, 2019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May 31, 2019</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July 16, 2019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0.46</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August 8, 2019</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August 26, 2019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r>
      <w:tr>
        <w:trPr>
          <w:trHeight w:val="390"/>
        </w:trPr>
        <w:tc>
          <w:tcPr>
            <w:tcW w:w="3360" w:type="dxa"/>
            <w:vAlign w:val="bottom"/>
            <w:gridSpan w:val="2"/>
          </w:tcPr>
          <w:p>
            <w:pPr>
              <w:spacing w:after="0"/>
              <w:rPr>
                <w:sz w:val="20"/>
                <w:szCs w:val="20"/>
                <w:color w:val="auto"/>
              </w:rPr>
            </w:pPr>
            <w:r>
              <w:rPr>
                <w:rFonts w:ascii="Arial" w:cs="Arial" w:eastAsia="Arial" w:hAnsi="Arial"/>
                <w:sz w:val="18"/>
                <w:szCs w:val="18"/>
                <w:color w:val="auto"/>
              </w:rPr>
              <w:t xml:space="preserve">September 27, 2019 </w:t>
            </w:r>
            <w:r>
              <w:rPr>
                <w:rFonts w:ascii="Arial" w:cs="Arial" w:eastAsia="Arial" w:hAnsi="Arial"/>
                <w:sz w:val="30"/>
                <w:szCs w:val="30"/>
                <w:color w:val="auto"/>
                <w:vertAlign w:val="superscript"/>
              </w:rPr>
              <w:t>(1)</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September 30, 2019</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November 12, 2019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bl>
    <w:p>
      <w:pPr>
        <w:spacing w:after="0" w:line="109" w:lineRule="exact"/>
        <w:rPr>
          <w:sz w:val="20"/>
          <w:szCs w:val="20"/>
          <w:color w:val="auto"/>
        </w:rPr>
      </w:pPr>
    </w:p>
    <w:p>
      <w:pPr>
        <w:ind w:left="5640" w:right="5320" w:hanging="4984"/>
        <w:spacing w:after="0" w:line="756" w:lineRule="auto"/>
        <w:tabs>
          <w:tab w:leader="none" w:pos="1156"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color w:val="auto"/>
        </w:rPr>
        <w:t>Distribution recorded as dividend payable as of September 30, 2019.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measure the value of our investments at fair value in accordance with ASC Topic 820, issued by the FASB. Fair value is the price that would be received to sell an asset or paid to transfer a liability in an orderly transaction between market participants at the measurement date.</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Audit Committee is responsible for assisting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1—Valuations are based on quoted prices in active markets for identical assets or liabilities that are accessible at the measurement date.</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both"/>
        <w:ind w:firstLine="648"/>
        <w:spacing w:after="0" w:line="255"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investments are primarily loans made to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our debt investments, we compare the cost basis of the debt investment, which includes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 held warrants and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valued based on an analysis of various factors including, but not limited to, the following: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left="980" w:hanging="324"/>
        <w:spacing w:after="0" w:line="25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92" w:lineRule="exact"/>
        <w:rPr>
          <w:rFonts w:ascii="Arial" w:cs="Arial" w:eastAsia="Arial" w:hAnsi="Arial"/>
          <w:sz w:val="18"/>
          <w:szCs w:val="18"/>
          <w:color w:val="auto"/>
        </w:rPr>
      </w:pPr>
    </w:p>
    <w:p>
      <w:pPr>
        <w:jc w:val="both"/>
        <w:ind w:left="980" w:hanging="324"/>
        <w:spacing w:after="0" w:line="30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4" w:lineRule="exact"/>
        <w:rPr>
          <w:rFonts w:ascii="Arial" w:cs="Arial" w:eastAsia="Arial" w:hAnsi="Arial"/>
          <w:sz w:val="16"/>
          <w:szCs w:val="16"/>
          <w:color w:val="auto"/>
        </w:rPr>
      </w:pPr>
    </w:p>
    <w:p>
      <w:pPr>
        <w:jc w:val="both"/>
        <w:ind w:left="980" w:hanging="324"/>
        <w:spacing w:after="0" w:line="30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54"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86"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 invested. We adjust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assets measured at fair value on a recurring basis subject to the requirements of ASC Topic 820 at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w w:val="92"/>
              </w:rPr>
              <w:t>As of September 30, 2019 (Unaudited)</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color w:val="auto"/>
              </w:rPr>
              <w:t>Senior Secured Term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340,145,055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340,145,055</w:t>
            </w: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461,826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17,132,000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17,132,000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357,738,881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357,738,881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59,970,914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59,970,914</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59,970,914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357,738,881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417,709,795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color w:val="auto"/>
              </w:rPr>
              <w:t>Senior Secured Term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208,539,353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208,539,353</w:t>
            </w: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461,826</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15,247,210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15,247,210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79,959,928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79,959,928</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79,959,928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recognized transfers into and out of the levels indicated above at the end of the reporting period. There were no transfers into or out of the levels during the nine months ended September 30, 2019 and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Dividends are recorded on the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 Item 1 of this Form 10-Q for more information on the Amended Advisory Agreement and the fee structure thereunder.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 2019, the Company delivered a capital drawdown notice to investors relating to the sale of 1,666,667 shares of common stock, for an aggregate offering price of $25,000,000. The sale closed on October 15,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1, 2019, the Company funded an additional $150,000 on the extension loan to Aginity,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11, 2019, the Company funded an additional $150,000 on the extension loan to Aginity, Inc.</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October 21, 2019, in conjunction with its sale to Stryker, Mobius Imaging, LLC, prepaid its outstanding principal balance of $15.5 million on the senior secured loan. In addition, the Company received cash proceeds of $1,937,500 in connection with the termination of its warrants in Mobius Imaging, LLC for total proceeds of $18,087,208.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22, 2019, the Company funded an additional $500,000 on the senior secured term loan to Echo 360 Holdings,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28, 2019, the Company funded an additional $75,000 on the extension loan to Aginity,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12, 2019, pursuant to the Company’s dividend reinvestment plan, the Company issued 43,979 shares of its common stock, at a price of $14.76 per share for total proceeds of $649,123, to stockholders of record as of September 30, 2019 that did not opt out of the dividend reinvestment plan in order to satisfy the reinvestment portion of the Company’s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commenced investment activities in portfolio securities during the quarter ended June 30, 2017 and commenced investment activities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Bills during the quarter ended December 31, 2016.</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typically expect that interest rates on the investments held in our portfolio will be based on LIBOR, with many of these investments also having a LIBOR floor. As of September 30, 2019, 100.0%, or $346,042,968 (at cost), of our debt portfolio investments bore interest at variable rates, which are U.S. Prime Rate or LIBOR-based and subject to certain floors, and none of our debt portfolio investments bore interest at fixed rates. As of September 30, 2019, 2.4% of our debt portfolio investments, or $8,363,015 (at cost), are subject to a 11.5% cap on cash interest. Any interest above the cap will accrue to principal and be treated as PIK interest. A hypothetical 200 basis point increase or decrease in the interest rates on our variable-rate debt investments could increase our investment income by a maximum of approximately $7,135,245 and decrease our investment income by a maximum of approximately $554,357 on an annual basis.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United Kingdom's Financial Conduct Authority, which regulates LIBOR, has announced that it intends to phase out LIBOR by the end of 2021. It is unclear if at that time whether LIBOR will cease to exist or if new methods of calculating LIBOR will be established such that it continues to exist after 2021.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note currently known to us or that we currently deem to be immaterial also may materially adversely affect our business, financial condition and/or operating results.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during the period ended September 30, 2019 to the risk factors discussed in “Risk Factors” in Part I, Item 1A of our annual report on Form 10-K for the fiscal year ended December 31, 2018, filed with the SEC on March 29, 2019.</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interest rates of our loans to our portfolio companies that extend beyond 2021 might be subject to change based on recent regulatory changes.</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July 27, 2017, the United Kingdom's Financial Conduct Authority, which regulates LIBOR, announced that it intends to phase out LIBOR by the end of 2021. It is unclear if at that time whether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Technology-related sectors, including those involving data processing and outsourced services and technology hardware, in which we invest are subject to many risks, including volatility, intense competition, decreasing life cycles, product obsolescence, changing consumer preferences and periodic downturns.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Economic downturn may cause a decline in spending on information technology and technology hardware products.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 in technology-related sectors may decrease over time, which could adversely affect their operating results and, correspondingly, the value of any securities that we may hold. This could, in turn, materially adversely affect our business, financial condition and results of operations.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semiconductor industry is subject to many risks, including intense competition, volatility, and increasing costs and complexity of research and development.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number of the companies in which invest operate in the semiconductor industry. The semiconductor industry is highly cyclical and is characterized by constant and rapid technological change, price erosion, evolving standards, short product life cycles and wide fluctuations in product supply and demand. Any future downturns may result in diminished product demand, production overcapacity, high inventory levels and accelerated erosion of average selling prices for our portfolio companies. Furthermore, any upturn in the semiconductor industry could result in increased competition for access to third-party foundry and assembly capacity for our portfolio companies. Our portfolio companies are dependent on the availability of this capacity to manufacture and assemble all of their products. These risks that our portfolio companies face could, in turn, materially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internet retail industry is subject to many risks and is highly competitive.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may be more successful in the recruitment and</w:t>
      </w:r>
    </w:p>
    <w:p>
      <w:pPr>
        <w:sectPr>
          <w:pgSz w:w="11900" w:h="16952" w:orient="portrait"/>
          <w:cols w:equalWidth="0" w:num="1">
            <w:col w:w="11420"/>
          </w:cols>
          <w:pgMar w:left="240" w:top="905" w:right="239" w:bottom="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color w:val="auto"/>
        </w:rPr>
        <w:t>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60" w:type="dxa"/>
            <w:vAlign w:val="bottom"/>
            <w:gridSpan w:val="14"/>
          </w:tcPr>
          <w:p>
            <w:pPr>
              <w:ind w:left="340"/>
              <w:spacing w:after="0"/>
              <w:rPr>
                <w:sz w:val="20"/>
                <w:szCs w:val="20"/>
                <w:color w:val="auto"/>
              </w:rPr>
            </w:pPr>
            <w:r>
              <w:rPr>
                <w:rFonts w:ascii="Arial" w:cs="Arial" w:eastAsia="Arial" w:hAnsi="Arial"/>
                <w:sz w:val="18"/>
                <w:szCs w:val="18"/>
                <w:color w:val="auto"/>
                <w:w w:val="92"/>
              </w:rPr>
              <w:t>The following exhibits are filed as part of this report or hereby incorporated by reference to exhibits previously filed with the SEC:</w:t>
            </w:r>
          </w:p>
        </w:tc>
        <w:tc>
          <w:tcPr>
            <w:tcW w:w="0" w:type="dxa"/>
            <w:vAlign w:val="bottom"/>
          </w:tcPr>
          <w:p>
            <w:pPr>
              <w:spacing w:after="0"/>
              <w:rPr>
                <w:sz w:val="1"/>
                <w:szCs w:val="1"/>
                <w:color w:val="auto"/>
              </w:rPr>
            </w:pPr>
          </w:p>
        </w:tc>
      </w:tr>
      <w:tr>
        <w:trPr>
          <w:trHeight w:val="365"/>
        </w:trPr>
        <w:tc>
          <w:tcPr>
            <w:tcW w:w="240" w:type="dxa"/>
            <w:vAlign w:val="bottom"/>
            <w:vMerge w:val="restart"/>
          </w:tcPr>
          <w:p>
            <w:pPr>
              <w:spacing w:after="0"/>
              <w:rPr>
                <w:rFonts w:ascii="Arial" w:cs="Arial" w:eastAsia="Arial" w:hAnsi="Arial"/>
                <w:sz w:val="18"/>
                <w:szCs w:val="18"/>
                <w:color w:val="0000EE"/>
                <w:w w:val="87"/>
              </w:rPr>
            </w:pPr>
            <w:hyperlink r:id="rId10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gridSpan w:val="7"/>
            <w:vMerge w:val="restart"/>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Articles of Amendment and Restatement</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(1)</w:t>
            </w:r>
          </w:p>
        </w:tc>
        <w:tc>
          <w:tcPr>
            <w:tcW w:w="406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980" w:type="dxa"/>
            <w:vAlign w:val="bottom"/>
            <w:gridSpan w:val="7"/>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0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2980" w:type="dxa"/>
            <w:vAlign w:val="bottom"/>
            <w:tcBorders>
              <w:bottom w:val="single" w:sz="8" w:color="0000EE"/>
            </w:tcBorders>
            <w:gridSpan w:val="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0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vMerge w:val="restart"/>
          </w:tcPr>
          <w:p>
            <w:pPr>
              <w:spacing w:after="0"/>
              <w:rPr>
                <w:rFonts w:ascii="Arial" w:cs="Arial" w:eastAsia="Arial" w:hAnsi="Arial"/>
                <w:sz w:val="18"/>
                <w:szCs w:val="18"/>
                <w:color w:val="0000EE"/>
                <w:w w:val="94"/>
              </w:rPr>
            </w:pPr>
            <w:hyperlink r:id="rId102">
              <w:r>
                <w:rPr>
                  <w:rFonts w:ascii="Arial" w:cs="Arial" w:eastAsia="Arial" w:hAnsi="Arial"/>
                  <w:sz w:val="18"/>
                  <w:szCs w:val="18"/>
                  <w:color w:val="0000EE"/>
                  <w:w w:val="94"/>
                </w:rPr>
                <w:t>Articles of Amendment</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(2)</w:t>
            </w:r>
          </w:p>
        </w:tc>
        <w:tc>
          <w:tcPr>
            <w:tcW w:w="38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4620" w:type="dxa"/>
            <w:vAlign w:val="bottom"/>
            <w:gridSpan w:val="3"/>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2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0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Borders>
              <w:bottom w:val="single" w:sz="8" w:color="0000EE"/>
            </w:tcBorders>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5"/>
                <w:szCs w:val="15"/>
                <w:color w:val="0000EE"/>
                <w:w w:val="87"/>
              </w:rPr>
              <w:t>(2)</w:t>
            </w:r>
          </w:p>
        </w:tc>
        <w:tc>
          <w:tcPr>
            <w:tcW w:w="120" w:type="dxa"/>
            <w:vAlign w:val="bottom"/>
            <w:vMerge w:val="continue"/>
          </w:tcPr>
          <w:p>
            <w:pPr>
              <w:spacing w:after="0" w:line="20" w:lineRule="exact"/>
              <w:rPr>
                <w:sz w:val="1"/>
                <w:szCs w:val="1"/>
                <w:color w:val="auto"/>
              </w:rPr>
            </w:pPr>
          </w:p>
        </w:tc>
        <w:tc>
          <w:tcPr>
            <w:tcW w:w="462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gridSpan w:val="3"/>
            <w:vMerge w:val="restart"/>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Amended and Restated Bylaws</w:t>
              </w:r>
            </w:hyperlink>
          </w:p>
        </w:tc>
        <w:tc>
          <w:tcPr>
            <w:tcW w:w="180" w:type="dxa"/>
            <w:vAlign w:val="bottom"/>
            <w:tcBorders>
              <w:bottom w:val="single" w:sz="8" w:color="0000EE"/>
            </w:tcBorders>
            <w:gridSpan w:val="2"/>
            <w:vMerge w:val="continue"/>
          </w:tcPr>
          <w:p>
            <w:pPr>
              <w:spacing w:after="0"/>
              <w:rPr>
                <w:sz w:val="24"/>
                <w:szCs w:val="24"/>
                <w:color w:val="auto"/>
              </w:rPr>
            </w:pPr>
          </w:p>
        </w:tc>
        <w:tc>
          <w:tcPr>
            <w:tcW w:w="120" w:type="dxa"/>
            <w:vAlign w:val="bottom"/>
            <w:vMerge w:val="restart"/>
          </w:tcPr>
          <w:p>
            <w:pPr>
              <w:spacing w:after="0"/>
              <w:rPr>
                <w:sz w:val="24"/>
                <w:szCs w:val="24"/>
                <w:color w:val="auto"/>
              </w:rPr>
            </w:pPr>
          </w:p>
        </w:tc>
        <w:tc>
          <w:tcPr>
            <w:tcW w:w="4620" w:type="dxa"/>
            <w:vAlign w:val="bottom"/>
            <w:gridSpan w:val="3"/>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2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0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tcBorders>
              <w:bottom w:val="single" w:sz="8" w:color="0000EE"/>
            </w:tcBorders>
            <w:gridSpan w:val="3"/>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5"/>
                <w:szCs w:val="15"/>
                <w:color w:val="0000EE"/>
                <w:w w:val="87"/>
              </w:rPr>
              <w:t>(3)</w:t>
            </w:r>
          </w:p>
        </w:tc>
        <w:tc>
          <w:tcPr>
            <w:tcW w:w="462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4"/>
            <w:vMerge w:val="restart"/>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Form of Subscription Agreement</w:t>
              </w:r>
            </w:hyperlink>
          </w:p>
        </w:tc>
        <w:tc>
          <w:tcPr>
            <w:tcW w:w="180" w:type="dxa"/>
            <w:vAlign w:val="bottom"/>
            <w:tcBorders>
              <w:bottom w:val="single" w:sz="8" w:color="0000EE"/>
            </w:tcBorders>
            <w:gridSpan w:val="2"/>
            <w:vMerge w:val="continue"/>
          </w:tcPr>
          <w:p>
            <w:pPr>
              <w:spacing w:after="0"/>
              <w:rPr>
                <w:sz w:val="24"/>
                <w:szCs w:val="24"/>
                <w:color w:val="auto"/>
              </w:rPr>
            </w:pPr>
          </w:p>
        </w:tc>
        <w:tc>
          <w:tcPr>
            <w:tcW w:w="4620" w:type="dxa"/>
            <w:vAlign w:val="bottom"/>
            <w:gridSpan w:val="3"/>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gridSpan w:val="4"/>
            <w:vMerge w:val="continue"/>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62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Borders>
              <w:bottom w:val="single" w:sz="8" w:color="0000EE"/>
            </w:tcBorders>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62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500" w:type="dxa"/>
            <w:vAlign w:val="bottom"/>
          </w:tcPr>
          <w:p>
            <w:pPr>
              <w:spacing w:after="0"/>
              <w:rPr>
                <w:sz w:val="24"/>
                <w:szCs w:val="24"/>
                <w:color w:val="auto"/>
              </w:rPr>
            </w:pPr>
          </w:p>
        </w:tc>
        <w:tc>
          <w:tcPr>
            <w:tcW w:w="85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Certification of Chief Executive Officer pursuant to Rule 13a-14 of the Securities Exchange Act of 1934, as amended*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500" w:type="dxa"/>
            <w:vAlign w:val="bottom"/>
          </w:tcPr>
          <w:p>
            <w:pPr>
              <w:spacing w:after="0"/>
              <w:rPr>
                <w:sz w:val="24"/>
                <w:szCs w:val="24"/>
                <w:color w:val="auto"/>
              </w:rPr>
            </w:pPr>
          </w:p>
        </w:tc>
        <w:tc>
          <w:tcPr>
            <w:tcW w:w="9260" w:type="dxa"/>
            <w:vAlign w:val="bottom"/>
            <w:gridSpan w:val="13"/>
          </w:tcPr>
          <w:p>
            <w:pPr>
              <w:spacing w:after="0"/>
              <w:rPr>
                <w:sz w:val="20"/>
                <w:szCs w:val="20"/>
                <w:color w:val="auto"/>
              </w:rPr>
            </w:pPr>
            <w:r>
              <w:rPr>
                <w:rFonts w:ascii="Arial" w:cs="Arial" w:eastAsia="Arial" w:hAnsi="Arial"/>
                <w:sz w:val="18"/>
                <w:szCs w:val="18"/>
                <w:color w:val="0000EE"/>
                <w:w w:val="99"/>
              </w:rPr>
              <w:t>Certification of Chief Financial Officer pursuant to Rule 13a-14 of the Securities Exchange Act of 1934, as amended*</w:t>
            </w: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500" w:type="dxa"/>
            <w:vAlign w:val="bottom"/>
          </w:tcPr>
          <w:p>
            <w:pPr>
              <w:spacing w:after="0"/>
              <w:rPr>
                <w:sz w:val="24"/>
                <w:szCs w:val="24"/>
                <w:color w:val="auto"/>
              </w:rPr>
            </w:pPr>
          </w:p>
        </w:tc>
        <w:tc>
          <w:tcPr>
            <w:tcW w:w="72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2"/>
              </w:rPr>
              <w:t>Certification of Chief Executive Officer pursuant to Section 906 of the Sarbanes-Oxley Act of 2002*</w:t>
            </w:r>
          </w:p>
        </w:tc>
        <w:tc>
          <w:tcPr>
            <w:tcW w:w="1220" w:type="dxa"/>
            <w:vAlign w:val="bottom"/>
            <w:tcBorders>
              <w:top w:val="single" w:sz="8" w:color="0000EE"/>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500" w:type="dxa"/>
            <w:vAlign w:val="bottom"/>
          </w:tcPr>
          <w:p>
            <w:pPr>
              <w:spacing w:after="0"/>
              <w:rPr>
                <w:sz w:val="24"/>
                <w:szCs w:val="24"/>
                <w:color w:val="auto"/>
              </w:rPr>
            </w:pPr>
          </w:p>
        </w:tc>
        <w:tc>
          <w:tcPr>
            <w:tcW w:w="9260" w:type="dxa"/>
            <w:vAlign w:val="bottom"/>
            <w:gridSpan w:val="13"/>
          </w:tcPr>
          <w:p>
            <w:pPr>
              <w:spacing w:after="0"/>
              <w:rPr>
                <w:sz w:val="20"/>
                <w:szCs w:val="20"/>
                <w:color w:val="auto"/>
              </w:rPr>
            </w:pPr>
            <w:r>
              <w:rPr>
                <w:rFonts w:ascii="Arial" w:cs="Arial" w:eastAsia="Arial" w:hAnsi="Arial"/>
                <w:sz w:val="18"/>
                <w:szCs w:val="18"/>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14,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vMerge w:val="restart"/>
          </w:tcPr>
          <w:p>
            <w:pPr>
              <w:spacing w:after="0"/>
              <w:rPr>
                <w:sz w:val="20"/>
                <w:szCs w:val="20"/>
                <w:color w:val="auto"/>
              </w:rPr>
            </w:pPr>
            <w:r>
              <w:rPr>
                <w:rFonts w:ascii="Arial" w:cs="Arial" w:eastAsia="Arial" w:hAnsi="Arial"/>
                <w:sz w:val="18"/>
                <w:szCs w:val="18"/>
                <w:color w:val="auto"/>
              </w:rPr>
              <w:t>Date: November 13, 2019</w:t>
            </w: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RUNWAY GROWTH CREDIT FUND INC.</w:t>
            </w: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7660" w:type="dxa"/>
            <w:vAlign w:val="bottom"/>
            <w:gridSpan w:val="2"/>
            <w:vMerge w:val="restart"/>
          </w:tcPr>
          <w:p>
            <w:pPr>
              <w:ind w:left="1960"/>
              <w:spacing w:after="0"/>
              <w:rPr>
                <w:sz w:val="20"/>
                <w:szCs w:val="20"/>
                <w:color w:val="auto"/>
              </w:rPr>
            </w:pPr>
            <w:r>
              <w:rPr>
                <w:rFonts w:ascii="Arial" w:cs="Arial" w:eastAsia="Arial" w:hAnsi="Arial"/>
                <w:sz w:val="18"/>
                <w:szCs w:val="18"/>
                <w:color w:val="auto"/>
              </w:rPr>
              <w:t>By:  /s/ R. David Spreng</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7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David Spreng</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13, 2019</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Thomas B. Raterman</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Raterman</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648"/>
        </w:trPr>
        <w:tc>
          <w:tcPr>
            <w:tcW w:w="3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64</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Financial Officer, certify that:</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Thomas B. Raterman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9192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three months ended September 30, 2019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81"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David Spreng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three months ended September 30, 2019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81"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B. Raterman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9"/>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8"/>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lowerRoman"/>
      <w:start w:val="10"/>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bullet"/>
      <w:start w:val="1"/>
    </w:lvl>
  </w:abstractNum>
  <w:abstractNum w:abstractNumId="22">
    <w:nsid w:val="22221A70"/>
    <w:multiLevelType w:val="hybridMultilevel"/>
    <w:lvl w:ilvl="0">
      <w:lvlJc w:val="left"/>
      <w:lvlText w:val="2"/>
      <w:numFmt w:val="bullet"/>
      <w:start w:val="1"/>
    </w:lvl>
  </w:abstractNum>
  <w:abstractNum w:abstractNumId="23">
    <w:nsid w:val="4516DDE9"/>
    <w:multiLevelType w:val="hybridMultilevel"/>
    <w:lvl w:ilvl="0">
      <w:lvlJc w:val="left"/>
      <w:lvlText w:val="3"/>
      <w:numFmt w:val="bullet"/>
      <w:start w:val="1"/>
    </w:lvl>
  </w:abstractNum>
  <w:abstractNum w:abstractNumId="24">
    <w:nsid w:val="3006C83E"/>
    <w:multiLevelType w:val="hybridMultilevel"/>
    <w:lvl w:ilvl="0">
      <w:lvlJc w:val="left"/>
      <w:lvlText w:val="4"/>
      <w:numFmt w:val="bullet"/>
      <w:start w:val="1"/>
    </w:lvl>
  </w:abstractNum>
  <w:abstractNum w:abstractNumId="25">
    <w:nsid w:val="614FD4A1"/>
    <w:multiLevelType w:val="hybridMultilevel"/>
    <w:lvl w:ilvl="0">
      <w:lvlJc w:val="left"/>
      <w:lvlText w:val="5"/>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01" Type="http://schemas.openxmlformats.org/officeDocument/2006/relationships/hyperlink" Target="http://www.sec.gov/Archives/edgar/data/1653384/000114420416140270/v454968_ex3-1.htm" TargetMode="External"/><Relationship Id="rId102" Type="http://schemas.openxmlformats.org/officeDocument/2006/relationships/hyperlink" Target="http://www.sec.gov/Archives/edgar/data/1653384/000114420417032477/v468943_ex3-1.htm" TargetMode="External"/><Relationship Id="rId103" Type="http://schemas.openxmlformats.org/officeDocument/2006/relationships/hyperlink" Target="http://www.sec.gov/Archives/edgar/data/1653384/000114420417032477/v468943_ex3-2.htm" TargetMode="External"/><Relationship Id="rId104" Type="http://schemas.openxmlformats.org/officeDocument/2006/relationships/hyperlink" Target="http://www.sec.gov/Archives/edgar/data/1653384/000114420417042059/v47278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2019-11-28T07:42:11Z</dcterms:created>
  <dcterms:modified xsi:type="dcterms:W3CDTF">2019-11-28T07:42:11Z</dcterms:modified>
</cp:coreProperties>
</file>