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0" w:after="200"/>
        <w:ind w:left="200" w:right="200" w:hanging="0"/>
        <w:jc w:val="left"/>
        <w:rPr/>
      </w:pPr>
      <w:hyperlink w:anchor="TOC">
        <w:bookmarkStart w:id="0" w:name="rway-20260127x424b2.htm"/>
        <w:bookmarkStart w:id="1" w:name="ksrway20260127x424b2"/>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21" w:right="200" w:hanging="0"/>
        <w:jc w:val="right"/>
        <w:rPr>
          <w:rFonts w:ascii="Times New Roman;Times;serif" w:hAnsi="Times New Roman;Times;serif"/>
          <w:sz w:val="20"/>
        </w:rPr>
      </w:pPr>
      <w:bookmarkStart w:id="2" w:name="_094780d3_0167_48b7_89cc_cbe4f9f71008"/>
      <w:bookmarkEnd w:id="2"/>
      <w:r>
        <w:rPr>
          <w:rFonts w:ascii="Times New Roman;Times;serif" w:hAnsi="Times New Roman;Times;serif"/>
          <w:b/>
          <w:color w:val="231F20"/>
          <w:sz w:val="14"/>
        </w:rPr>
        <w:t xml:space="preserve">Filed pursuant to Rule </w:t>
      </w:r>
      <w:r>
        <w:rPr>
          <w:rFonts w:ascii="Times New Roman;Times;serif" w:hAnsi="Times New Roman;Times;serif"/>
          <w:b/>
          <w:i w:val="false"/>
          <w:caps w:val="false"/>
          <w:smallCaps w:val="false"/>
          <w:color w:val="231F20"/>
          <w:sz w:val="14"/>
        </w:rPr>
        <w:t>424(b)(2)</w:t>
      </w:r>
    </w:p>
    <w:p>
      <w:pPr>
        <w:pStyle w:val="TextBody"/>
        <w:bidi w:val="0"/>
        <w:spacing w:before="0" w:after="0"/>
        <w:ind w:left="321" w:right="200" w:hanging="0"/>
        <w:jc w:val="right"/>
        <w:rPr>
          <w:color w:val="231F20"/>
        </w:rPr>
      </w:pPr>
      <w:r>
        <w:rPr>
          <w:color w:val="231F20"/>
        </w:rPr>
        <w:t>  </w:t>
      </w:r>
      <w:r>
        <w:rPr>
          <w:rFonts w:ascii="Times New Roman;Times;serif" w:hAnsi="Times New Roman;Times;serif"/>
          <w:b/>
          <w:color w:val="231F20"/>
          <w:sz w:val="14"/>
        </w:rPr>
        <w:t>Registration No. 333-284781</w:t>
      </w:r>
    </w:p>
    <w:p>
      <w:pPr>
        <w:pStyle w:val="TextBody"/>
        <w:bidi w:val="0"/>
        <w:spacing w:before="0" w:after="0"/>
        <w:ind w:left="200" w:right="200" w:hanging="0"/>
        <w:jc w:val="left"/>
        <w:rPr>
          <w:color w:val="231F20"/>
        </w:rPr>
      </w:pPr>
      <w:r>
        <w:rPr>
          <w:color w:val="231F20"/>
        </w:rPr>
        <w:t>​</w:t>
      </w:r>
    </w:p>
    <w:p>
      <w:pPr>
        <w:pStyle w:val="TextBody"/>
        <w:bidi w:val="0"/>
        <w:spacing w:before="0" w:after="100"/>
        <w:ind w:left="200" w:right="200" w:hanging="0"/>
        <w:jc w:val="left"/>
        <w:rPr>
          <w:rFonts w:ascii="Times New Roman;Times;serif" w:hAnsi="Times New Roman;Times;serif"/>
          <w:sz w:val="14"/>
        </w:rPr>
      </w:pPr>
      <w:r>
        <w:rPr>
          <w:rFonts w:ascii="Times New Roman;Times;serif" w:hAnsi="Times New Roman;Times;serif"/>
          <w:b/>
          <w:color w:val="231F20"/>
          <w:sz w:val="14"/>
        </w:rPr>
        <w:t xml:space="preserve">EXPLANATORY NOTE: </w:t>
      </w:r>
      <w:r>
        <w:rPr>
          <w:rFonts w:ascii="Times New Roman;Times;serif" w:hAnsi="Times New Roman;Times;serif"/>
          <w:color w:val="231F20"/>
          <w:sz w:val="14"/>
        </w:rPr>
        <w:t>THE SOLE PURPOSE OF THIS FILING IS TO ADD INLINE XBRL TAGGING TO THE REGISTRANT’S PROSPECTUS SUPPLEMENT DATED JANUARY 27, 2026, FILED ON JANUARY 29, 2026 WITH THE SECURITIES AND EXCHANGE COMMISSION PURSUANT TO RULE 424(B)(2) UNDER THE SECURITIES ACT OF 1933 (THE “PROSPECTUS SUPPLEMENT”). THIS FILING DOES NOT MAKE ANY CHANGES TO THE PROSPECTUS SUPPLEMENT. THIS FILING DOES NOT MODIFY OR UPDATE IN ANY WAY DISCLOSURES MADE IN THE ORIGINAL FILING OF PROSPECTUS SUPPLEMENT.</w:t>
      </w:r>
    </w:p>
    <w:p>
      <w:pPr>
        <w:pStyle w:val="TextBody"/>
        <w:bidi w:val="0"/>
        <w:spacing w:before="0" w:after="0"/>
        <w:ind w:left="200" w:right="200" w:hanging="0"/>
        <w:jc w:val="left"/>
        <w:rPr>
          <w:rFonts w:ascii="Times New Roman;Times;serif" w:hAnsi="Times New Roman;Times;serif"/>
          <w:b/>
          <w:color w:val="231F20"/>
          <w:sz w:val="14"/>
        </w:rPr>
      </w:pPr>
      <w:r>
        <w:rPr>
          <w:rFonts w:ascii="Times New Roman;Times;serif" w:hAnsi="Times New Roman;Times;serif"/>
          <w:b/>
          <w:color w:val="231F20"/>
          <w:sz w:val="14"/>
        </w:rPr>
        <w:t>PROSPECTUS SUPPLEMENT</w:t>
      </w:r>
    </w:p>
    <w:p>
      <w:pPr>
        <w:pStyle w:val="TextBody"/>
        <w:bidi w:val="0"/>
        <w:spacing w:before="0" w:after="100"/>
        <w:ind w:left="200" w:right="200" w:hanging="0"/>
        <w:jc w:val="left"/>
        <w:rPr>
          <w:rFonts w:ascii="Times New Roman;Times;serif" w:hAnsi="Times New Roman;Times;serif"/>
          <w:b/>
          <w:color w:val="231F20"/>
          <w:sz w:val="14"/>
        </w:rPr>
      </w:pPr>
      <w:r>
        <w:rPr>
          <w:rFonts w:ascii="Times New Roman;Times;serif" w:hAnsi="Times New Roman;Times;serif"/>
          <w:b/>
          <w:color w:val="231F20"/>
          <w:sz w:val="14"/>
        </w:rPr>
        <w:t>(to Prospectus dated March 19, 2025)</w:t>
      </w:r>
    </w:p>
    <w:p>
      <w:pPr>
        <w:pStyle w:val="TextBody"/>
        <w:bidi w:val="0"/>
        <w:spacing w:before="0" w:after="10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$100,000,000</w:t>
      </w:r>
    </w:p>
    <w:p>
      <w:pPr>
        <w:pStyle w:val="TextBody"/>
        <w:bidi w:val="0"/>
        <w:spacing w:before="0" w:after="10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Runway Growth Finance Corp.</w:t>
      </w:r>
    </w:p>
    <w:p>
      <w:pPr>
        <w:pStyle w:val="TextBody"/>
        <w:bidi w:val="0"/>
        <w:spacing w:before="0" w:after="10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7.25% Notes due 2031</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are a specialty finance company focused on providing senior secured loans to high growth-potential companies in technology, healthcare, business services, financial services, select consumer services and products and other high-growth industries. We invest in senior secured term loans and other senior debt obligations and may on occasion invest in second lien loans. We have and expect to continue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gains on our warrants and other equity positions.</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are a closed-end management investment company that has elected to be regulated as a business development company (“BDC”) under the Investment Company Act of 1940, as amended (the “1940 Act”). We have elected to be treated, and intend to qualify annually, as a regulated investment company (“RIC”) under the Internal Revenue Code of 1986, as amended (the “Code”) for U.S. federal income tax purposes. As a BDC and a RIC, we are required to comply with certain regulatory requirements.</w:t>
      </w:r>
    </w:p>
    <w:p>
      <w:pPr>
        <w:pStyle w:val="TextBody"/>
        <w:bidi w:val="0"/>
        <w:spacing w:before="0" w:after="100"/>
        <w:ind w:left="200" w:right="200" w:firstLine="360"/>
        <w:jc w:val="left"/>
        <w:rPr>
          <w:rFonts w:ascii="Times New Roman;Times;serif" w:hAnsi="Times New Roman;Times;serif"/>
          <w:sz w:val="20"/>
        </w:rPr>
      </w:pPr>
      <w:r>
        <w:rPr>
          <w:rFonts w:ascii="Times New Roman;Times;serif" w:hAnsi="Times New Roman;Times;serif"/>
          <w:color w:val="231F20"/>
          <w:sz w:val="14"/>
        </w:rPr>
        <w:t>We are offering $100,000,000 in aggregate principal amount of 7.25% notes due 2031</w:t>
      </w:r>
      <w:r>
        <w:rPr>
          <w:rFonts w:ascii="Times New Roman;Times;serif" w:hAnsi="Times New Roman;Times;serif"/>
          <w:color w:val="231F20"/>
          <w:sz w:val="20"/>
        </w:rPr>
        <w:t xml:space="preserve"> </w:t>
      </w:r>
      <w:r>
        <w:rPr>
          <w:rFonts w:ascii="Times New Roman;Times;serif" w:hAnsi="Times New Roman;Times;serif"/>
          <w:color w:val="231F20"/>
          <w:sz w:val="14"/>
        </w:rPr>
        <w:t>(the “Notes”). The Notes will mature on February 3, 2031. We will pay interest on the Notes on March 1, June 1, September 1 and December 1 of each year, beginning on March 1, 2026. We may redeem the Notes in whole or in part at any time or from time to time on or after February 3, 2028, at our sole option at $25. Holders of the Notes will not have the option to have the Notes repaid prior to the stated maturity. The Notes will be issued in minimum denominations of $25 and integral multiples of $25 in excess thereof.</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Runway Growth Finance Corp. and not of any of our subsidiaries.</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 xml:space="preserve">We intend to list the Notes on the Nasdaq Global Select Market (“Nasdaq”) and we expect trading in the Notes on Nasdaq to begin within 30 days of the original issue date. The Notes are expected to trade “flat,” which means that purchasers will not pay, and sellers will not receive, any accrued and unpaid interest on the Notes that is not reflected in the trading price. Currently, there is no public market for the Notes. </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The underwriters may also purchase up to an additional $15,000,000 aggregate principal amount of Notes offered hereby, within 30 days of the date of this prospectus supplement, to cover overallotments. If the underwriters exercise this overallotment option in full, the net proceeds to us, after payment of underwriting commissions but before deducting other expenses payable by us, will be $111,550,000.</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w:t>
      </w:r>
    </w:p>
    <w:p>
      <w:pPr>
        <w:pStyle w:val="TextBody"/>
        <w:bidi w:val="0"/>
        <w:spacing w:before="0" w:after="100"/>
        <w:ind w:left="200" w:right="200" w:firstLine="360"/>
        <w:jc w:val="left"/>
        <w:rPr>
          <w:rFonts w:ascii="Times New Roman;Times;serif" w:hAnsi="Times New Roman;Times;serif"/>
          <w:sz w:val="14"/>
        </w:rPr>
      </w:pPr>
      <w:r>
        <w:rPr>
          <w:rFonts w:ascii="Times New Roman;Times;serif" w:hAnsi="Times New Roman;Times;serif"/>
          <w:b/>
          <w:color w:val="231F20"/>
          <w:sz w:val="14"/>
        </w:rPr>
        <w:t>Investing in our securities is highly speculative and involves a high degree of risk, and you could lose your entire investment if any of the risks occur. Before buying any Notes, you should read the material risks described in the “Supplementary Risk Factors” section beginning on page S-13</w:t>
      </w:r>
      <w:r>
        <w:rPr>
          <w:rFonts w:ascii="Times New Roman;Times;serif" w:hAnsi="Times New Roman;Times;serif"/>
          <w:color w:val="231F20"/>
          <w:sz w:val="14"/>
        </w:rPr>
        <w:t xml:space="preserve"> </w:t>
      </w:r>
      <w:r>
        <w:rPr>
          <w:rFonts w:ascii="Times New Roman;Times;serif" w:hAnsi="Times New Roman;Times;serif"/>
          <w:b/>
          <w:color w:val="231F20"/>
          <w:sz w:val="14"/>
        </w:rPr>
        <w:t>of this prospectus supplement and “Risk Factors” beginning on page 18</w:t>
      </w:r>
      <w:r>
        <w:rPr>
          <w:rFonts w:ascii="Times New Roman;Times;serif" w:hAnsi="Times New Roman;Times;serif"/>
          <w:color w:val="231F20"/>
          <w:sz w:val="14"/>
        </w:rPr>
        <w:t xml:space="preserve"> </w:t>
      </w:r>
      <w:r>
        <w:rPr>
          <w:rFonts w:ascii="Times New Roman;Times;serif" w:hAnsi="Times New Roman;Times;serif"/>
          <w:b/>
          <w:color w:val="231F20"/>
          <w:sz w:val="14"/>
        </w:rPr>
        <w:t>of the accompanying prospectus and in our most recent Annual Report on Form 10-K, our most recent Quarterly Report on Form 10-Q as well as any of our subsequent SEC filings incorporated by reference herein. The individual securities in which we invest will not be rated by any rating agency. If they were, they would be rated as below investment grade or “junk.” Indebtedness of below investment grade quality has predominantly speculative characteristics with respect to the issuer’s capacity to pay interest and repay principal.</w:t>
      </w:r>
    </w:p>
    <w:p>
      <w:pPr>
        <w:pStyle w:val="TextBody"/>
        <w:bidi w:val="0"/>
        <w:spacing w:before="0" w:after="100"/>
        <w:ind w:left="200" w:right="200" w:firstLine="360"/>
        <w:jc w:val="left"/>
        <w:rPr>
          <w:rFonts w:ascii="Times New Roman;Times;serif" w:hAnsi="Times New Roman;Times;serif"/>
          <w:sz w:val="14"/>
        </w:rPr>
      </w:pPr>
      <w:r>
        <w:rPr>
          <w:rFonts w:ascii="Times New Roman;Times;serif" w:hAnsi="Times New Roman;Times;serif"/>
          <w:color w:val="231F20"/>
          <w:sz w:val="14"/>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r>
        <w:rPr>
          <w:rFonts w:ascii="Times New Roman;Times;serif" w:hAnsi="Times New Roman;Times;serif"/>
          <w:i/>
          <w:color w:val="231F20"/>
          <w:sz w:val="14"/>
        </w:rPr>
        <w:t>www.sec.gov</w:t>
      </w:r>
      <w:r>
        <w:rPr>
          <w:rFonts w:ascii="Times New Roman;Times;serif" w:hAnsi="Times New Roman;Times;serif"/>
          <w:color w:val="231F20"/>
          <w:sz w:val="14"/>
        </w:rPr>
        <w:t xml:space="preserve">. We maintain a website at </w:t>
      </w:r>
      <w:r>
        <w:rPr>
          <w:rFonts w:ascii="Times New Roman;Times;serif" w:hAnsi="Times New Roman;Times;serif"/>
          <w:i/>
          <w:color w:val="231F20"/>
          <w:sz w:val="14"/>
        </w:rPr>
        <w:t xml:space="preserve">https://investors.runwaygrowth.com </w:t>
      </w:r>
      <w:r>
        <w:rPr>
          <w:rFonts w:ascii="Times New Roman;Times;serif" w:hAnsi="Times New Roman;Times;serif"/>
          <w:color w:val="231F20"/>
          <w:sz w:val="14"/>
        </w:rPr>
        <w:t xml:space="preserve">and make all of the foregoing information available, free of charge, on or through our website. This information is also available free of charge by contacting us in writing at 205 N. Michigan Ave., Suite 4200, Chicago, IL 60601, calling us at (312) 698-6902 or visiting our corporate website located at </w:t>
      </w:r>
      <w:r>
        <w:rPr>
          <w:rFonts w:ascii="Times New Roman;Times;serif" w:hAnsi="Times New Roman;Times;serif"/>
          <w:i/>
          <w:color w:val="231F20"/>
          <w:sz w:val="14"/>
        </w:rPr>
        <w:t>https://investors.runwaygrowth.com</w:t>
      </w:r>
      <w:r>
        <w:rPr>
          <w:rFonts w:ascii="Times New Roman;Times;serif" w:hAnsi="Times New Roman;Times;serif"/>
          <w:color w:val="231F20"/>
          <w:sz w:val="14"/>
        </w:rPr>
        <w:t xml:space="preserve">. The SEC also maintains a website at </w:t>
      </w:r>
      <w:r>
        <w:rPr>
          <w:rFonts w:ascii="Times New Roman;Times;serif" w:hAnsi="Times New Roman;Times;serif"/>
          <w:i/>
          <w:color w:val="231F20"/>
          <w:sz w:val="14"/>
        </w:rPr>
        <w:t xml:space="preserve">http://www.sec.gov </w:t>
      </w:r>
      <w:r>
        <w:rPr>
          <w:rFonts w:ascii="Times New Roman;Times;serif" w:hAnsi="Times New Roman;Times;serif"/>
          <w:color w:val="231F20"/>
          <w:sz w:val="14"/>
        </w:rPr>
        <w:t>that contains such information.</w:t>
      </w:r>
    </w:p>
    <w:p>
      <w:pPr>
        <w:pStyle w:val="TextBody"/>
        <w:bidi w:val="0"/>
        <w:spacing w:before="0" w:after="10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pStyle w:val="TextBody"/>
        <w:bidi w:val="0"/>
        <w:spacing w:before="0" w:after="0"/>
        <w:ind w:left="200" w:right="200" w:firstLine="360"/>
        <w:jc w:val="left"/>
        <w:rPr>
          <w:rFonts w:ascii="Times New Roman;Times;serif" w:hAnsi="Times New Roman;Times;serif"/>
          <w:b/>
          <w:color w:val="231F20"/>
          <w:sz w:val="14"/>
        </w:rPr>
      </w:pPr>
      <w:r>
        <w:rPr>
          <w:rFonts w:ascii="Times New Roman;Times;serif" w:hAnsi="Times New Roman;Times;serif"/>
          <w:b/>
          <w:color w:val="231F20"/>
          <w:sz w:val="14"/>
        </w:rPr>
        <w:t>Neither the SEC nor any state securities commission has approved or disapproved of these securities or passed upon the adequacy or accuracy of this prospectus supplement or the accompanying prospectus. Any representation to the contrary is a criminal offense.</w:t>
      </w:r>
    </w:p>
    <w:tbl>
      <w:tblPr>
        <w:tblW w:w="4506" w:type="dxa"/>
        <w:jc w:val="left"/>
        <w:tblInd w:w="200" w:type="dxa"/>
        <w:tblLayout w:type="fixed"/>
        <w:tblCellMar>
          <w:top w:w="0" w:type="dxa"/>
          <w:left w:w="0" w:type="dxa"/>
          <w:bottom w:w="0" w:type="dxa"/>
          <w:right w:w="0" w:type="dxa"/>
        </w:tblCellMar>
      </w:tblPr>
      <w:tblGrid>
        <w:gridCol w:w="2146"/>
        <w:gridCol w:w="346"/>
        <w:gridCol w:w="601"/>
        <w:gridCol w:w="346"/>
        <w:gridCol w:w="181"/>
        <w:gridCol w:w="886"/>
      </w:tblGrid>
      <w:tr>
        <w:trPr/>
        <w:tc>
          <w:tcPr>
            <w:tcW w:w="2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62710" cy="175260"/>
                      <wp:effectExtent l="0" t="0" r="0" b="0"/>
                      <wp:wrapNone/>
                      <wp:docPr id="1" name="Frame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81635" cy="175260"/>
                      <wp:effectExtent l="0" t="0" r="0" b="0"/>
                      <wp:wrapNone/>
                      <wp:docPr id="3" name="Frame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14935" cy="175260"/>
                      <wp:effectExtent l="0" t="0" r="0" b="0"/>
                      <wp:wrapNone/>
                      <wp:docPr id="5" name="Frame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62610" cy="175260"/>
                      <wp:effectExtent l="0" t="0" r="0" b="0"/>
                      <wp:wrapNone/>
                      <wp:docPr id="6" name="Frame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 Note</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Public offering price</w:t>
            </w:r>
            <w:r>
              <w:rPr>
                <w:rFonts w:ascii="Times New Roman;Times;serif" w:hAnsi="Times New Roman;Times;serif"/>
                <w:sz w:val="11"/>
              </w:rPr>
              <w:t xml:space="preserve">(1) </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100,000,000</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Underwriting discount (sales load) </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3,000,000</w:t>
            </w:r>
          </w:p>
        </w:tc>
      </w:tr>
      <w:tr>
        <w:trPr/>
        <w:tc>
          <w:tcPr>
            <w:tcW w:w="21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Proceeds to us, before expenses</w:t>
            </w:r>
            <w:r>
              <w:rPr>
                <w:rFonts w:ascii="Times New Roman;Times;serif" w:hAnsi="Times New Roman;Times;serif"/>
                <w:sz w:val="11"/>
              </w:rPr>
              <w:t xml:space="preserve">(2) </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14"/>
              </w:rPr>
            </w:pPr>
            <w:r>
              <w:rPr>
                <w:rFonts w:ascii="Times New Roman;Times;serif" w:hAnsi="Times New Roman;Times;serif"/>
                <w:sz w:val="14"/>
              </w:rPr>
              <w:t>97,000,000</w:t>
            </w:r>
          </w:p>
        </w:tc>
      </w:tr>
    </w:tbl>
    <w:tbl>
      <w:tblPr>
        <w:tblW w:w="9805" w:type="dxa"/>
        <w:jc w:val="left"/>
        <w:tblInd w:w="200" w:type="dxa"/>
        <w:tblLayout w:type="fixed"/>
        <w:tblCellMar>
          <w:top w:w="0" w:type="dxa"/>
          <w:left w:w="0" w:type="dxa"/>
          <w:bottom w:w="0" w:type="dxa"/>
          <w:right w:w="0" w:type="dxa"/>
        </w:tblCellMar>
      </w:tblPr>
      <w:tblGrid>
        <w:gridCol w:w="274"/>
        <w:gridCol w:w="9531"/>
      </w:tblGrid>
      <w:tr>
        <w:trPr/>
        <w:tc>
          <w:tcPr>
            <w:tcW w:w="274" w:type="dxa"/>
            <w:tcBorders/>
            <w:vAlign w:val="center"/>
          </w:tcPr>
          <w:p>
            <w:pPr>
              <w:pStyle w:val="TableContents"/>
              <w:bidi w:val="0"/>
              <w:spacing w:before="0" w:after="100"/>
              <w:jc w:val="left"/>
              <w:rPr>
                <w:rFonts w:ascii="Times New Roman;Times;serif" w:hAnsi="Times New Roman;Times;serif"/>
                <w:color w:val="231F20"/>
                <w:sz w:val="14"/>
              </w:rPr>
            </w:pPr>
            <w:r>
              <w:rPr>
                <w:rFonts w:ascii="Times New Roman;Times;serif" w:hAnsi="Times New Roman;Times;serif"/>
                <w:color w:val="231F20"/>
                <w:sz w:val="14"/>
              </w:rPr>
              <w:t>(1)</w:t>
            </w:r>
          </w:p>
        </w:tc>
        <w:tc>
          <w:tcPr>
            <w:tcW w:w="9531" w:type="dxa"/>
            <w:tcBorders/>
            <w:vAlign w:val="center"/>
          </w:tcPr>
          <w:p>
            <w:pPr>
              <w:pStyle w:val="TableContents"/>
              <w:bidi w:val="0"/>
              <w:spacing w:before="0" w:after="100"/>
              <w:jc w:val="left"/>
              <w:rPr>
                <w:rFonts w:ascii="Times New Roman;Times;serif" w:hAnsi="Times New Roman;Times;serif"/>
                <w:color w:val="231F20"/>
                <w:sz w:val="14"/>
              </w:rPr>
            </w:pPr>
            <w:r>
              <w:rPr>
                <w:rFonts w:ascii="Times New Roman;Times;serif" w:hAnsi="Times New Roman;Times;serif"/>
                <w:color w:val="231F20"/>
                <w:sz w:val="14"/>
              </w:rPr>
              <w:t>The public offering price set forth above does not include accrued interest, if any. Interest on the Notes will accrue from February 3, 2026 and must be paid by the purchaser if the Notes are delivered after February 3, 2026.</w:t>
            </w:r>
          </w:p>
        </w:tc>
      </w:tr>
    </w:tbl>
    <w:tbl>
      <w:tblPr>
        <w:tblW w:w="5492" w:type="dxa"/>
        <w:jc w:val="left"/>
        <w:tblInd w:w="200" w:type="dxa"/>
        <w:tblLayout w:type="fixed"/>
        <w:tblCellMar>
          <w:top w:w="0" w:type="dxa"/>
          <w:left w:w="0" w:type="dxa"/>
          <w:bottom w:w="0" w:type="dxa"/>
          <w:right w:w="0" w:type="dxa"/>
        </w:tblCellMar>
      </w:tblPr>
      <w:tblGrid>
        <w:gridCol w:w="286"/>
        <w:gridCol w:w="5206"/>
      </w:tblGrid>
      <w:tr>
        <w:trPr/>
        <w:tc>
          <w:tcPr>
            <w:tcW w:w="286" w:type="dxa"/>
            <w:tcBorders/>
            <w:vAlign w:val="center"/>
          </w:tcPr>
          <w:p>
            <w:pPr>
              <w:pStyle w:val="TableContents"/>
              <w:bidi w:val="0"/>
              <w:spacing w:before="0" w:after="100"/>
              <w:jc w:val="left"/>
              <w:rPr>
                <w:rFonts w:ascii="Times New Roman;Times;serif" w:hAnsi="Times New Roman;Times;serif"/>
                <w:color w:val="231F20"/>
                <w:sz w:val="14"/>
              </w:rPr>
            </w:pPr>
            <w:r>
              <w:rPr>
                <w:rFonts w:ascii="Times New Roman;Times;serif" w:hAnsi="Times New Roman;Times;serif"/>
                <w:color w:val="231F20"/>
                <w:sz w:val="14"/>
              </w:rPr>
              <w:t>(2)</w:t>
            </w:r>
          </w:p>
        </w:tc>
        <w:tc>
          <w:tcPr>
            <w:tcW w:w="5206" w:type="dxa"/>
            <w:tcBorders/>
            <w:vAlign w:val="center"/>
          </w:tcPr>
          <w:p>
            <w:pPr>
              <w:pStyle w:val="TableContents"/>
              <w:bidi w:val="0"/>
              <w:spacing w:before="0" w:after="100"/>
              <w:jc w:val="left"/>
              <w:rPr>
                <w:rFonts w:ascii="Times New Roman;Times;serif" w:hAnsi="Times New Roman;Times;serif"/>
                <w:color w:val="231F20"/>
                <w:sz w:val="14"/>
              </w:rPr>
            </w:pPr>
            <w:r>
              <w:rPr>
                <w:rFonts w:ascii="Times New Roman;Times;serif" w:hAnsi="Times New Roman;Times;serif"/>
                <w:color w:val="231F20"/>
                <w:sz w:val="14"/>
              </w:rPr>
              <w:t>Before deducting expenses payable by us related to this offering, estimated at $255,000.</w:t>
            </w:r>
          </w:p>
        </w:tc>
      </w:tr>
    </w:tbl>
    <w:p>
      <w:pPr>
        <w:pStyle w:val="TextBody"/>
        <w:bidi w:val="0"/>
        <w:spacing w:before="0" w:after="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The underwriters are offering the Notes as set forth in “Underwriting.” Delivery of the Notes in book-entry form through The Depository Trust Company (“DTC”) will be made on or about February 3, 2026.</w:t>
      </w:r>
    </w:p>
    <w:p>
      <w:pPr>
        <w:pStyle w:val="TextBody"/>
        <w:bidi w:val="0"/>
        <w:spacing w:before="0" w:after="0"/>
        <w:ind w:left="200" w:right="200" w:hanging="0"/>
        <w:jc w:val="center"/>
        <w:rPr>
          <w:rFonts w:ascii="Times New Roman;Times;serif" w:hAnsi="Times New Roman;Times;serif"/>
          <w:i/>
          <w:color w:val="231F20"/>
          <w:sz w:val="14"/>
        </w:rPr>
      </w:pPr>
      <w:r>
        <w:rPr>
          <w:rFonts w:ascii="Times New Roman;Times;serif" w:hAnsi="Times New Roman;Times;serif"/>
          <w:i/>
          <w:color w:val="231F20"/>
          <w:sz w:val="14"/>
        </w:rPr>
        <w:t>Joint Book-Running Managers</w:t>
      </w:r>
    </w:p>
    <w:p>
      <w:pPr>
        <w:pStyle w:val="TextBody"/>
        <w:bidi w:val="0"/>
        <w:spacing w:before="0" w:after="0"/>
        <w:ind w:left="200" w:right="200" w:hanging="0"/>
        <w:jc w:val="left"/>
        <w:rPr/>
      </w:pPr>
      <w:r>
        <w:rPr/>
        <w:t>​</w:t>
      </w:r>
    </w:p>
    <w:tbl>
      <w:tblPr>
        <w:tblW w:w="6919" w:type="dxa"/>
        <w:jc w:val="left"/>
        <w:tblInd w:w="200" w:type="dxa"/>
        <w:tblLayout w:type="fixed"/>
        <w:tblCellMar>
          <w:top w:w="0" w:type="dxa"/>
          <w:left w:w="0" w:type="dxa"/>
          <w:bottom w:w="0" w:type="dxa"/>
          <w:right w:w="0" w:type="dxa"/>
        </w:tblCellMar>
      </w:tblPr>
      <w:tblGrid>
        <w:gridCol w:w="1681"/>
        <w:gridCol w:w="1486"/>
        <w:gridCol w:w="1861"/>
        <w:gridCol w:w="1891"/>
      </w:tblGrid>
      <w:tr>
        <w:trPr/>
        <w:tc>
          <w:tcPr>
            <w:tcW w:w="16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Oppenheimer &amp; Co.</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 Riley Securities</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Lucid Capital Markets</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BC Partners Securities</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i/>
          <w:color w:val="231F20"/>
          <w:sz w:val="14"/>
        </w:rPr>
      </w:pPr>
      <w:r>
        <w:rPr>
          <w:rFonts w:ascii="Times New Roman;Times;serif" w:hAnsi="Times New Roman;Times;serif"/>
          <w:i/>
          <w:color w:val="231F20"/>
          <w:sz w:val="14"/>
        </w:rPr>
        <w:t>Co-Managers</w:t>
      </w:r>
    </w:p>
    <w:p>
      <w:pPr>
        <w:pStyle w:val="TextBody"/>
        <w:bidi w:val="0"/>
        <w:spacing w:before="0" w:after="0"/>
        <w:ind w:left="200" w:right="200" w:hanging="0"/>
        <w:jc w:val="left"/>
        <w:rPr/>
      </w:pPr>
      <w:r>
        <w:rPr/>
        <w:t>​</w:t>
      </w:r>
    </w:p>
    <w:tbl>
      <w:tblPr>
        <w:tblW w:w="2012" w:type="dxa"/>
        <w:jc w:val="left"/>
        <w:tblInd w:w="200" w:type="dxa"/>
        <w:tblLayout w:type="fixed"/>
        <w:tblCellMar>
          <w:top w:w="0" w:type="dxa"/>
          <w:left w:w="0" w:type="dxa"/>
          <w:bottom w:w="0" w:type="dxa"/>
          <w:right w:w="0" w:type="dxa"/>
        </w:tblCellMar>
      </w:tblPr>
      <w:tblGrid>
        <w:gridCol w:w="841"/>
        <w:gridCol w:w="1171"/>
      </w:tblGrid>
      <w:tr>
        <w:trPr/>
        <w:tc>
          <w:tcPr>
            <w:tcW w:w="8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InspereX</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William Blair</w:t>
            </w:r>
          </w:p>
        </w:tc>
      </w:tr>
    </w:tbl>
    <w:p>
      <w:pPr>
        <w:pStyle w:val="TextBody"/>
        <w:bidi w:val="0"/>
        <w:spacing w:before="0" w:after="0"/>
        <w:ind w:left="200" w:right="200" w:hanging="0"/>
        <w:jc w:val="center"/>
        <w:rPr>
          <w:rFonts w:ascii="Times New Roman;Times;serif" w:hAnsi="Times New Roman;Times;serif"/>
          <w:color w:val="231F20"/>
          <w:sz w:val="14"/>
        </w:rPr>
      </w:pPr>
      <w:r>
        <w:rPr>
          <w:rFonts w:ascii="Times New Roman;Times;serif" w:hAnsi="Times New Roman;Times;serif"/>
          <w:color w:val="231F20"/>
          <w:sz w:val="14"/>
        </w:rPr>
        <w:t>The date of this prospectus supplement is January 27, 2026.</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3" w:name="_c84b7036_20b3_4e1a_a790_080b78057b7b"/>
      <w:bookmarkEnd w:id="3"/>
      <w:r>
        <w:rPr>
          <w:rFonts w:ascii="Times New Roman;Times;serif" w:hAnsi="Times New Roman;Times;serif"/>
          <w:b/>
          <w:color w:val="231F20"/>
          <w:sz w:val="20"/>
        </w:rPr>
        <w:t>ABOUT THIS PROSPECTUS SUPPLEMENT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should rely only on the information contained in this prospectus supplement, the accompanying prospectus, any free writing prospectus, the documents incorporated by reference in this prospectus supplement and the accompanying prospectus, or any other information which we have referred you. Neither we nor the underwriters have authorized any other person to provide you with different information from that contained in this prospectus supplement, the accompanying prospectus and in any free writing prospectus. If anyone provides you with different or inconsistent information, you should not rely on it. This prospectus supplement, the accompanying prospectus, or any free writing prospectus do not constitute an offer to sell, or a solicitation of an offer to buy, any shares of our common stock by any person in any jurisdiction where it is unlawful for that person to make such an offer or solicitation or to any person in any jurisdiction to whom it is unlawful to make such an offer or solicitation. The information contained in this prospectus supplement, the accompanying prospectus, and any free writing prospectus is complete and accurate only as of their respective dates, regardless of the time of their delivery or sale of our common stock. Our business, financial condition, results of operations and prospects may have changed since that date.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document is in two parts. The first part is this prospectus supplement, which describes the terms of this offering and the Notes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control.You should read this prospectus supplement and the accompanying prospectus together with the additional information described under the heading “Available Information” before investing in the Notes.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color w:val="231F20"/>
          <w:sz w:val="20"/>
        </w:rPr>
      </w:pPr>
      <w:bookmarkStart w:id="4" w:name="_dd03e363_a716_4614_9639_a4ffd18bd08d"/>
      <w:bookmarkStart w:id="5" w:name="TOC"/>
      <w:bookmarkEnd w:id="4"/>
      <w:bookmarkEnd w:id="5"/>
      <w:r>
        <w:rPr>
          <w:rFonts w:ascii="Times New Roman;Times;serif" w:hAnsi="Times New Roman;Times;serif"/>
          <w:b/>
          <w:color w:val="231F20"/>
          <w:sz w:val="20"/>
        </w:rPr>
        <w:t>TABLE OF CONTENTS</w:t>
      </w:r>
    </w:p>
    <w:p>
      <w:pPr>
        <w:pStyle w:val="TextBody"/>
        <w:bidi w:val="0"/>
        <w:spacing w:before="0" w:after="20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Prospectus Supplement</w:t>
      </w:r>
    </w:p>
    <w:tbl>
      <w:tblPr>
        <w:tblW w:w="6872" w:type="dxa"/>
        <w:jc w:val="left"/>
        <w:tblInd w:w="200" w:type="dxa"/>
        <w:tblLayout w:type="fixed"/>
        <w:tblCellMar>
          <w:top w:w="0" w:type="dxa"/>
          <w:left w:w="0" w:type="dxa"/>
          <w:bottom w:w="0" w:type="dxa"/>
          <w:right w:w="0" w:type="dxa"/>
        </w:tblCellMar>
      </w:tblPr>
      <w:tblGrid>
        <w:gridCol w:w="6346"/>
        <w:gridCol w:w="526"/>
      </w:tblGrid>
      <w:tr>
        <w:trPr/>
        <w:tc>
          <w:tcPr>
            <w:tcW w:w="6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r>
      <w:tr>
        <w:trPr/>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029710" cy="175260"/>
                      <wp:effectExtent l="0" t="0" r="0" b="0"/>
                      <wp:wrapNone/>
                      <wp:docPr id="7" name="Frame7"/>
                      <a:graphic xmlns:a="http://schemas.openxmlformats.org/drawingml/2006/main">
                        <a:graphicData uri="http://schemas.microsoft.com/office/word/2010/wordprocessingShape">
                          <wps:wsp>
                            <wps:cNvSpPr txBox="1"/>
                            <wps:spPr>
                              <a:xfrm>
                                <a:off x="0" y="0"/>
                                <a:ext cx="402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34010" cy="29210"/>
                      <wp:effectExtent l="0" t="0" r="0" b="0"/>
                      <wp:wrapNone/>
                      <wp:docPr id="8" name="Frame8"/>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346" w:type="dxa"/>
            <w:tcBorders/>
            <w:vAlign w:val="center"/>
          </w:tcPr>
          <w:p>
            <w:pPr>
              <w:pStyle w:val="TableContents"/>
              <w:bidi w:val="0"/>
              <w:spacing w:before="0" w:after="2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346" w:type="dxa"/>
            <w:tcBorders/>
            <w:shd w:fill="CCEEFF" w:val="clear"/>
            <w:vAlign w:val="center"/>
          </w:tcPr>
          <w:p>
            <w:pPr>
              <w:pStyle w:val="TableContents"/>
              <w:bidi w:val="0"/>
              <w:spacing w:before="0" w:after="20"/>
              <w:ind w:left="0" w:right="0" w:hanging="0"/>
              <w:jc w:val="left"/>
              <w:rPr/>
            </w:pPr>
            <w:hyperlink w:anchor="PROSPECTUSSUPPLEMENT_135418">
              <w:r>
                <w:rPr>
                  <w:rStyle w:val="InternetLink"/>
                  <w:rFonts w:ascii="Times New Roman;Times;serif" w:hAnsi="Times New Roman;Times;serif"/>
                  <w:b w:val="false"/>
                  <w:i w:val="false"/>
                  <w:caps w:val="false"/>
                  <w:smallCaps w:val="false"/>
                  <w:sz w:val="20"/>
                </w:rPr>
                <w:t>PROSPECTUS SUPPLEMENT SUMMARY</w:t>
              </w:r>
            </w:hyperlink>
          </w:p>
        </w:tc>
        <w:tc>
          <w:tcPr>
            <w:tcW w:w="526" w:type="dxa"/>
            <w:tcBorders>
              <w:top w:val="single" w:sz="2" w:space="0" w:color="000000"/>
            </w:tcBorders>
            <w:shd w:fill="CCEEFF" w:val="clear"/>
            <w:tcMar>
              <w:top w:w="28" w:type="dxa"/>
            </w:tcM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S-1</w:t>
            </w:r>
          </w:p>
        </w:tc>
      </w:tr>
      <w:tr>
        <w:trPr/>
        <w:tc>
          <w:tcPr>
            <w:tcW w:w="6346" w:type="dxa"/>
            <w:tcBorders/>
            <w:vAlign w:val="center"/>
          </w:tcPr>
          <w:p>
            <w:pPr>
              <w:pStyle w:val="TableContents"/>
              <w:bidi w:val="0"/>
              <w:spacing w:before="0" w:after="20"/>
              <w:ind w:left="0" w:right="0" w:hanging="0"/>
              <w:jc w:val="left"/>
              <w:rPr/>
            </w:pPr>
            <w:hyperlink w:anchor="THEOFFERING_344489">
              <w:r>
                <w:rPr>
                  <w:rStyle w:val="InternetLink"/>
                  <w:rFonts w:ascii="Times New Roman;Times;serif" w:hAnsi="Times New Roman;Times;serif"/>
                  <w:b w:val="false"/>
                  <w:i w:val="false"/>
                  <w:caps w:val="false"/>
                  <w:smallCaps w:val="false"/>
                  <w:sz w:val="20"/>
                </w:rPr>
                <w:t>THE OFFERING</w:t>
              </w:r>
            </w:hyperlink>
          </w:p>
        </w:tc>
        <w:tc>
          <w:tcPr>
            <w:tcW w:w="526"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S-10</w:t>
            </w:r>
          </w:p>
        </w:tc>
      </w:tr>
      <w:tr>
        <w:trPr/>
        <w:tc>
          <w:tcPr>
            <w:tcW w:w="6346" w:type="dxa"/>
            <w:tcBorders/>
            <w:shd w:fill="CCEEFF" w:val="clear"/>
            <w:vAlign w:val="center"/>
          </w:tcPr>
          <w:p>
            <w:pPr>
              <w:pStyle w:val="TableContents"/>
              <w:bidi w:val="0"/>
              <w:spacing w:before="0" w:after="20"/>
              <w:ind w:left="0" w:right="0" w:hanging="0"/>
              <w:jc w:val="left"/>
              <w:rPr/>
            </w:pPr>
            <w:hyperlink w:anchor="SUPPLEMENTARYRISKFACTORS_439381">
              <w:r>
                <w:rPr>
                  <w:rStyle w:val="InternetLink"/>
                  <w:rFonts w:ascii="Times New Roman;Times;serif" w:hAnsi="Times New Roman;Times;serif"/>
                  <w:b w:val="false"/>
                  <w:i w:val="false"/>
                  <w:caps w:val="false"/>
                  <w:smallCaps w:val="false"/>
                  <w:sz w:val="20"/>
                </w:rPr>
                <w:t>SUPPLEMENTARY RISK FACTORS</w:t>
              </w:r>
            </w:hyperlink>
          </w:p>
        </w:tc>
        <w:tc>
          <w:tcPr>
            <w:tcW w:w="526"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S-13</w:t>
            </w:r>
          </w:p>
        </w:tc>
      </w:tr>
      <w:tr>
        <w:trPr/>
        <w:tc>
          <w:tcPr>
            <w:tcW w:w="6346" w:type="dxa"/>
            <w:tcBorders/>
            <w:vAlign w:val="center"/>
          </w:tcPr>
          <w:p>
            <w:pPr>
              <w:pStyle w:val="TableContents"/>
              <w:bidi w:val="0"/>
              <w:spacing w:before="0" w:after="20"/>
              <w:ind w:left="0" w:right="0" w:hanging="0"/>
              <w:jc w:val="left"/>
              <w:rPr/>
            </w:pPr>
            <w:hyperlink w:anchor="CAUTIONARYNOTE_904079">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26"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S-16</w:t>
            </w:r>
          </w:p>
        </w:tc>
      </w:tr>
      <w:tr>
        <w:trPr/>
        <w:tc>
          <w:tcPr>
            <w:tcW w:w="6346" w:type="dxa"/>
            <w:tcBorders/>
            <w:shd w:fill="CCEEFF" w:val="clear"/>
            <w:vAlign w:val="center"/>
          </w:tcPr>
          <w:p>
            <w:pPr>
              <w:pStyle w:val="TableContents"/>
              <w:bidi w:val="0"/>
              <w:spacing w:before="0" w:after="20"/>
              <w:ind w:left="0" w:right="0" w:hanging="0"/>
              <w:jc w:val="left"/>
              <w:rPr/>
            </w:pPr>
            <w:hyperlink w:anchor="USEOFPROCEEDS_327140">
              <w:r>
                <w:rPr>
                  <w:rStyle w:val="InternetLink"/>
                  <w:rFonts w:ascii="Times New Roman;Times;serif" w:hAnsi="Times New Roman;Times;serif"/>
                  <w:b w:val="false"/>
                  <w:i w:val="false"/>
                  <w:caps w:val="false"/>
                  <w:smallCaps w:val="false"/>
                  <w:sz w:val="20"/>
                </w:rPr>
                <w:t>USE OF PROCEEDS</w:t>
              </w:r>
            </w:hyperlink>
          </w:p>
        </w:tc>
        <w:tc>
          <w:tcPr>
            <w:tcW w:w="526"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S-19</w:t>
            </w:r>
          </w:p>
        </w:tc>
      </w:tr>
      <w:tr>
        <w:trPr/>
        <w:tc>
          <w:tcPr>
            <w:tcW w:w="6346" w:type="dxa"/>
            <w:tcBorders/>
            <w:vAlign w:val="center"/>
          </w:tcPr>
          <w:p>
            <w:pPr>
              <w:pStyle w:val="TableContents"/>
              <w:bidi w:val="0"/>
              <w:spacing w:before="0" w:after="20"/>
              <w:ind w:left="0" w:right="0" w:hanging="0"/>
              <w:jc w:val="left"/>
              <w:rPr/>
            </w:pPr>
            <w:hyperlink w:anchor="CAPITALIZATION_625936">
              <w:r>
                <w:rPr>
                  <w:rStyle w:val="InternetLink"/>
                  <w:rFonts w:ascii="Times New Roman;Times;serif" w:hAnsi="Times New Roman;Times;serif"/>
                  <w:b w:val="false"/>
                  <w:i w:val="false"/>
                  <w:caps w:val="false"/>
                  <w:smallCaps w:val="false"/>
                  <w:sz w:val="20"/>
                </w:rPr>
                <w:t>CAPITALIZATION</w:t>
              </w:r>
            </w:hyperlink>
          </w:p>
        </w:tc>
        <w:tc>
          <w:tcPr>
            <w:tcW w:w="526"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S-20</w:t>
            </w:r>
          </w:p>
        </w:tc>
      </w:tr>
      <w:tr>
        <w:trPr/>
        <w:tc>
          <w:tcPr>
            <w:tcW w:w="6346" w:type="dxa"/>
            <w:tcBorders/>
            <w:shd w:fill="CCEEFF" w:val="clear"/>
            <w:vAlign w:val="center"/>
          </w:tcPr>
          <w:p>
            <w:pPr>
              <w:pStyle w:val="TableContents"/>
              <w:bidi w:val="0"/>
              <w:spacing w:before="0" w:after="20"/>
              <w:ind w:left="0" w:right="0" w:hanging="0"/>
              <w:jc w:val="left"/>
              <w:rPr/>
            </w:pPr>
            <w:hyperlink w:anchor="DESCRIPTIONOFTHENOTES_961283">
              <w:r>
                <w:rPr>
                  <w:rStyle w:val="InternetLink"/>
                  <w:rFonts w:ascii="Times New Roman;Times;serif" w:hAnsi="Times New Roman;Times;serif"/>
                  <w:b w:val="false"/>
                  <w:i w:val="false"/>
                  <w:caps w:val="false"/>
                  <w:smallCaps w:val="false"/>
                  <w:sz w:val="20"/>
                </w:rPr>
                <w:t>DESCRIPTION OF THE NOTES</w:t>
              </w:r>
            </w:hyperlink>
          </w:p>
        </w:tc>
        <w:tc>
          <w:tcPr>
            <w:tcW w:w="526"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S-21</w:t>
            </w:r>
          </w:p>
        </w:tc>
      </w:tr>
      <w:tr>
        <w:trPr/>
        <w:tc>
          <w:tcPr>
            <w:tcW w:w="6346" w:type="dxa"/>
            <w:tcBorders/>
            <w:vAlign w:val="center"/>
          </w:tcPr>
          <w:p>
            <w:pPr>
              <w:pStyle w:val="TableContents"/>
              <w:bidi w:val="0"/>
              <w:spacing w:before="0" w:after="20"/>
              <w:ind w:left="0" w:right="0" w:hanging="0"/>
              <w:jc w:val="left"/>
              <w:rPr/>
            </w:pPr>
            <w:hyperlink w:anchor="MATERIALUNITEDSTATES_536388">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526"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S-30</w:t>
            </w:r>
          </w:p>
        </w:tc>
      </w:tr>
      <w:tr>
        <w:trPr/>
        <w:tc>
          <w:tcPr>
            <w:tcW w:w="6346" w:type="dxa"/>
            <w:tcBorders/>
            <w:shd w:fill="CCEEFF" w:val="clear"/>
            <w:vAlign w:val="center"/>
          </w:tcPr>
          <w:p>
            <w:pPr>
              <w:pStyle w:val="TableContents"/>
              <w:bidi w:val="0"/>
              <w:spacing w:before="0" w:after="20"/>
              <w:ind w:left="0" w:right="0" w:hanging="0"/>
              <w:jc w:val="left"/>
              <w:rPr/>
            </w:pPr>
            <w:hyperlink w:anchor="UNDERWRITING_14441">
              <w:r>
                <w:rPr>
                  <w:rStyle w:val="InternetLink"/>
                  <w:rFonts w:ascii="Times New Roman;Times;serif" w:hAnsi="Times New Roman;Times;serif"/>
                  <w:b w:val="false"/>
                  <w:i w:val="false"/>
                  <w:caps w:val="false"/>
                  <w:smallCaps w:val="false"/>
                  <w:sz w:val="20"/>
                </w:rPr>
                <w:t>UNDERWRITING</w:t>
              </w:r>
            </w:hyperlink>
          </w:p>
        </w:tc>
        <w:tc>
          <w:tcPr>
            <w:tcW w:w="526"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S-35</w:t>
            </w:r>
          </w:p>
        </w:tc>
      </w:tr>
      <w:tr>
        <w:trPr/>
        <w:tc>
          <w:tcPr>
            <w:tcW w:w="6346" w:type="dxa"/>
            <w:tcBorders/>
            <w:vAlign w:val="center"/>
          </w:tcPr>
          <w:p>
            <w:pPr>
              <w:pStyle w:val="TableContents"/>
              <w:bidi w:val="0"/>
              <w:spacing w:before="0" w:after="20"/>
              <w:ind w:left="0" w:right="0" w:hanging="0"/>
              <w:jc w:val="left"/>
              <w:rPr/>
            </w:pPr>
            <w:hyperlink w:anchor="LEGALMATTERS_482078">
              <w:r>
                <w:rPr>
                  <w:rStyle w:val="InternetLink"/>
                  <w:rFonts w:ascii="Times New Roman;Times;serif" w:hAnsi="Times New Roman;Times;serif"/>
                  <w:b w:val="false"/>
                  <w:i w:val="false"/>
                  <w:caps w:val="false"/>
                  <w:smallCaps w:val="false"/>
                  <w:sz w:val="20"/>
                </w:rPr>
                <w:t>LEGAL MATTERS</w:t>
              </w:r>
            </w:hyperlink>
          </w:p>
        </w:tc>
        <w:tc>
          <w:tcPr>
            <w:tcW w:w="526"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S-38</w:t>
            </w:r>
          </w:p>
        </w:tc>
      </w:tr>
      <w:tr>
        <w:trPr/>
        <w:tc>
          <w:tcPr>
            <w:tcW w:w="6346" w:type="dxa"/>
            <w:tcBorders/>
            <w:shd w:fill="CCEEFF" w:val="clear"/>
            <w:vAlign w:val="center"/>
          </w:tcPr>
          <w:p>
            <w:pPr>
              <w:pStyle w:val="TableContents"/>
              <w:bidi w:val="0"/>
              <w:spacing w:before="0" w:after="20"/>
              <w:ind w:left="0" w:right="0" w:hanging="0"/>
              <w:jc w:val="left"/>
              <w:rPr/>
            </w:pPr>
            <w:hyperlink w:anchor="INDEPENDENTREGIST_877795">
              <w:r>
                <w:rPr>
                  <w:rStyle w:val="InternetLink"/>
                  <w:rFonts w:ascii="Times New Roman;Times;serif" w:hAnsi="Times New Roman;Times;serif"/>
                  <w:b w:val="false"/>
                  <w:i w:val="false"/>
                  <w:caps w:val="false"/>
                  <w:smallCaps w:val="false"/>
                  <w:sz w:val="20"/>
                </w:rPr>
                <w:t>INDEPENDENT REGISTERED PUBLIC ACCOUNTING FIRM</w:t>
              </w:r>
            </w:hyperlink>
          </w:p>
        </w:tc>
        <w:tc>
          <w:tcPr>
            <w:tcW w:w="526"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S-38</w:t>
            </w:r>
          </w:p>
        </w:tc>
      </w:tr>
      <w:tr>
        <w:trPr/>
        <w:tc>
          <w:tcPr>
            <w:tcW w:w="6346" w:type="dxa"/>
            <w:tcBorders/>
            <w:vAlign w:val="center"/>
          </w:tcPr>
          <w:p>
            <w:pPr>
              <w:pStyle w:val="TableContents"/>
              <w:bidi w:val="0"/>
              <w:spacing w:before="0" w:after="20"/>
              <w:ind w:left="0" w:right="0" w:hanging="0"/>
              <w:jc w:val="left"/>
              <w:rPr/>
            </w:pPr>
            <w:hyperlink w:anchor="AVAILABLEINFORMATION_387161">
              <w:r>
                <w:rPr>
                  <w:rStyle w:val="InternetLink"/>
                  <w:rFonts w:ascii="Times New Roman;Times;serif" w:hAnsi="Times New Roman;Times;serif"/>
                  <w:b w:val="false"/>
                  <w:i w:val="false"/>
                  <w:caps w:val="false"/>
                  <w:smallCaps w:val="false"/>
                  <w:sz w:val="20"/>
                </w:rPr>
                <w:t>AVAILABLE INFORMATION</w:t>
              </w:r>
            </w:hyperlink>
          </w:p>
        </w:tc>
        <w:tc>
          <w:tcPr>
            <w:tcW w:w="526"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S-38</w:t>
            </w:r>
          </w:p>
        </w:tc>
      </w:tr>
      <w:tr>
        <w:trPr/>
        <w:tc>
          <w:tcPr>
            <w:tcW w:w="6346" w:type="dxa"/>
            <w:tcBorders/>
            <w:shd w:fill="CCEEFF" w:val="clear"/>
            <w:vAlign w:val="center"/>
          </w:tcPr>
          <w:p>
            <w:pPr>
              <w:pStyle w:val="TableContents"/>
              <w:bidi w:val="0"/>
              <w:spacing w:before="0" w:after="20"/>
              <w:ind w:left="0" w:right="0" w:hanging="0"/>
              <w:jc w:val="left"/>
              <w:rPr/>
            </w:pPr>
            <w:hyperlink w:anchor="INCORPORATIONBYREFERENCE_594736">
              <w:r>
                <w:rPr>
                  <w:rStyle w:val="InternetLink"/>
                  <w:rFonts w:ascii="Times New Roman;Times;serif" w:hAnsi="Times New Roman;Times;serif"/>
                  <w:b w:val="false"/>
                  <w:i w:val="false"/>
                  <w:caps w:val="false"/>
                  <w:smallCaps w:val="false"/>
                  <w:sz w:val="20"/>
                </w:rPr>
                <w:t>INCORPORATION BY REFERENCE</w:t>
              </w:r>
            </w:hyperlink>
          </w:p>
        </w:tc>
        <w:tc>
          <w:tcPr>
            <w:tcW w:w="526"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S-39</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Prospectus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444"/>
        <w:gridCol w:w="361"/>
      </w:tblGrid>
      <w:tr>
        <w:trPr/>
        <w:tc>
          <w:tcPr>
            <w:tcW w:w="94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9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96940" cy="29210"/>
                      <wp:effectExtent l="0" t="0" r="0" b="0"/>
                      <wp:wrapNone/>
                      <wp:docPr id="9" name="Frame9"/>
                      <a:graphic xmlns:a="http://schemas.openxmlformats.org/drawingml/2006/main">
                        <a:graphicData uri="http://schemas.microsoft.com/office/word/2010/wordprocessingShape">
                          <wps:wsp>
                            <wps:cNvSpPr txBox="1"/>
                            <wps:spPr>
                              <a:xfrm>
                                <a:off x="0" y="0"/>
                                <a:ext cx="5996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44" w:type="dxa"/>
            <w:tcBorders/>
            <w:shd w:fill="CCEEFF" w:val="clear"/>
            <w:vAlign w:val="center"/>
          </w:tcPr>
          <w:p>
            <w:pPr>
              <w:pStyle w:val="TableContents"/>
              <w:bidi w:val="0"/>
              <w:spacing w:before="0" w:after="20"/>
              <w:ind w:left="0" w:right="0" w:hanging="0"/>
              <w:jc w:val="left"/>
              <w:rPr/>
            </w:pPr>
            <w:hyperlink w:anchor="ABOUTTHISPROSPECTUS_557308">
              <w:r>
                <w:rPr>
                  <w:rStyle w:val="InternetLink"/>
                  <w:rFonts w:ascii="Times New Roman;Times;serif" w:hAnsi="Times New Roman;Times;serif"/>
                  <w:b w:val="false"/>
                  <w:i w:val="false"/>
                  <w:caps w:val="false"/>
                  <w:smallCaps w:val="false"/>
                  <w:sz w:val="20"/>
                </w:rPr>
                <w:t>ABOUT THIS PROSPECTUS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444" w:type="dxa"/>
            <w:tcBorders/>
            <w:vAlign w:val="center"/>
          </w:tcPr>
          <w:p>
            <w:pPr>
              <w:pStyle w:val="TableContents"/>
              <w:bidi w:val="0"/>
              <w:spacing w:before="0" w:after="20"/>
              <w:ind w:left="0" w:right="0" w:hanging="0"/>
              <w:jc w:val="left"/>
              <w:rPr/>
            </w:pPr>
            <w:hyperlink w:anchor="PROSPECTUSSUMMARY_148139">
              <w:r>
                <w:rPr>
                  <w:rStyle w:val="InternetLink"/>
                  <w:rFonts w:ascii="Times New Roman;Times;serif" w:hAnsi="Times New Roman;Times;serif"/>
                  <w:b w:val="false"/>
                  <w:i w:val="false"/>
                  <w:caps w:val="false"/>
                  <w:smallCaps w:val="false"/>
                  <w:sz w:val="20"/>
                </w:rPr>
                <w:t>PROSPECTUS SUMMARY</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444" w:type="dxa"/>
            <w:tcBorders/>
            <w:shd w:fill="CCEEFF" w:val="clear"/>
            <w:vAlign w:val="center"/>
          </w:tcPr>
          <w:p>
            <w:pPr>
              <w:pStyle w:val="TableContents"/>
              <w:bidi w:val="0"/>
              <w:spacing w:before="0" w:after="20"/>
              <w:ind w:left="0" w:right="0" w:hanging="0"/>
              <w:jc w:val="left"/>
              <w:rPr/>
            </w:pPr>
            <w:hyperlink w:anchor="FEESANDEXPENSES_40074">
              <w:r>
                <w:rPr>
                  <w:rStyle w:val="InternetLink"/>
                  <w:rFonts w:ascii="Times New Roman;Times;serif" w:hAnsi="Times New Roman;Times;serif"/>
                  <w:b w:val="false"/>
                  <w:i w:val="false"/>
                  <w:caps w:val="false"/>
                  <w:smallCaps w:val="false"/>
                  <w:sz w:val="20"/>
                </w:rPr>
                <w:t>FEES AND EXPENSES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444" w:type="dxa"/>
            <w:tcBorders/>
            <w:vAlign w:val="center"/>
          </w:tcPr>
          <w:p>
            <w:pPr>
              <w:pStyle w:val="TableContents"/>
              <w:bidi w:val="0"/>
              <w:spacing w:before="0" w:after="20"/>
              <w:ind w:left="0" w:right="0" w:hanging="0"/>
              <w:jc w:val="left"/>
              <w:rPr/>
            </w:pPr>
            <w:hyperlink w:anchor="FINANCIALHIGHLIGHTS_619969">
              <w:r>
                <w:rPr>
                  <w:rStyle w:val="InternetLink"/>
                  <w:rFonts w:ascii="Times New Roman;Times;serif" w:hAnsi="Times New Roman;Times;serif"/>
                  <w:b w:val="false"/>
                  <w:i w:val="false"/>
                  <w:caps w:val="false"/>
                  <w:smallCaps w:val="false"/>
                  <w:sz w:val="20"/>
                </w:rPr>
                <w:t>FINANCIAL HIGHLIGHTS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444" w:type="dxa"/>
            <w:tcBorders/>
            <w:shd w:fill="CCEEFF" w:val="clear"/>
            <w:vAlign w:val="center"/>
          </w:tcPr>
          <w:p>
            <w:pPr>
              <w:pStyle w:val="TableContents"/>
              <w:bidi w:val="0"/>
              <w:spacing w:before="0" w:after="20"/>
              <w:ind w:left="0" w:right="0" w:hanging="0"/>
              <w:jc w:val="left"/>
              <w:rPr/>
            </w:pPr>
            <w:hyperlink w:anchor="SELECTEDFINANCIALINFORMATIONANDOTHERDATA">
              <w:r>
                <w:rPr>
                  <w:rStyle w:val="InternetLink"/>
                  <w:rFonts w:ascii="Times New Roman;Times;serif" w:hAnsi="Times New Roman;Times;serif"/>
                  <w:b w:val="false"/>
                  <w:i w:val="false"/>
                  <w:caps w:val="false"/>
                  <w:smallCaps w:val="false"/>
                  <w:sz w:val="20"/>
                </w:rPr>
                <w:t>SELECTED FINANCIAL INFORMATION AND OTHER DATA</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444" w:type="dxa"/>
            <w:tcBorders/>
            <w:vAlign w:val="center"/>
          </w:tcPr>
          <w:p>
            <w:pPr>
              <w:pStyle w:val="TableContents"/>
              <w:bidi w:val="0"/>
              <w:spacing w:before="0" w:after="20"/>
              <w:ind w:left="0" w:right="0" w:hanging="0"/>
              <w:jc w:val="left"/>
              <w:rPr/>
            </w:pPr>
            <w:hyperlink w:anchor="RISKFACTORS_658759">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444" w:type="dxa"/>
            <w:tcBorders/>
            <w:shd w:fill="CCEEFF" w:val="clear"/>
            <w:vAlign w:val="center"/>
          </w:tcPr>
          <w:p>
            <w:pPr>
              <w:pStyle w:val="TableContents"/>
              <w:bidi w:val="0"/>
              <w:spacing w:before="0" w:after="20"/>
              <w:ind w:left="0" w:right="0" w:hanging="0"/>
              <w:jc w:val="left"/>
              <w:rPr/>
            </w:pPr>
            <w:hyperlink w:anchor="SPECIALNOTEREGARDINGFORWARDLOOKINGSTATEM">
              <w:r>
                <w:rPr>
                  <w:rStyle w:val="InternetLink"/>
                  <w:rFonts w:ascii="Times New Roman;Times;serif" w:hAnsi="Times New Roman;Times;serif"/>
                  <w:b w:val="false"/>
                  <w:i w:val="false"/>
                  <w:caps w:val="false"/>
                  <w:smallCaps w:val="false"/>
                  <w:sz w:val="20"/>
                </w:rPr>
                <w:t>SPECIAL NOTE REGARDING FORWARD-LOOKING STATEMENTS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444" w:type="dxa"/>
            <w:tcBorders/>
            <w:vAlign w:val="center"/>
          </w:tcPr>
          <w:p>
            <w:pPr>
              <w:pStyle w:val="TableContents"/>
              <w:bidi w:val="0"/>
              <w:spacing w:before="0" w:after="20"/>
              <w:ind w:left="0" w:right="0" w:hanging="0"/>
              <w:jc w:val="left"/>
              <w:rPr/>
            </w:pPr>
            <w:hyperlink w:anchor="USEOFPROCEEDS_588465">
              <w:r>
                <w:rPr>
                  <w:rStyle w:val="InternetLink"/>
                  <w:rFonts w:ascii="Times New Roman;Times;serif" w:hAnsi="Times New Roman;Times;serif"/>
                  <w:b w:val="false"/>
                  <w:i w:val="false"/>
                  <w:caps w:val="false"/>
                  <w:smallCaps w:val="false"/>
                  <w:sz w:val="20"/>
                </w:rPr>
                <w:t>USE OF PROCEEDS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444" w:type="dxa"/>
            <w:tcBorders/>
            <w:shd w:fill="CCEEFF" w:val="clear"/>
            <w:vAlign w:val="center"/>
          </w:tcPr>
          <w:p>
            <w:pPr>
              <w:pStyle w:val="TableContents"/>
              <w:bidi w:val="0"/>
              <w:spacing w:before="0" w:after="20"/>
              <w:ind w:left="0" w:right="0" w:hanging="0"/>
              <w:jc w:val="left"/>
              <w:rPr/>
            </w:pPr>
            <w:hyperlink w:anchor="PRICERANGEOFCOMMONSTOCKANDDISTRIBUTIONS_">
              <w:r>
                <w:rPr>
                  <w:rStyle w:val="InternetLink"/>
                  <w:rFonts w:ascii="Times New Roman;Times;serif" w:hAnsi="Times New Roman;Times;serif"/>
                  <w:b w:val="false"/>
                  <w:i w:val="false"/>
                  <w:caps w:val="false"/>
                  <w:smallCaps w:val="false"/>
                  <w:sz w:val="20"/>
                </w:rPr>
                <w:t>PRICE RANGE OF COMMON STOCK AND DISTRIBUTIONS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444" w:type="dxa"/>
            <w:tcBorders/>
            <w:vAlign w:val="center"/>
          </w:tcPr>
          <w:p>
            <w:pPr>
              <w:pStyle w:val="TableContents"/>
              <w:bidi w:val="0"/>
              <w:spacing w:before="0" w:after="20"/>
              <w:ind w:left="0" w:right="0" w:hanging="0"/>
              <w:jc w:val="left"/>
              <w:rPr/>
            </w:pPr>
            <w:hyperlink w:anchor="MANAGEMENTSDISCUSSIONANDANALYSISOFFINANC">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444" w:type="dxa"/>
            <w:tcBorders/>
            <w:shd w:fill="CCEEFF" w:val="clear"/>
            <w:vAlign w:val="center"/>
          </w:tcPr>
          <w:p>
            <w:pPr>
              <w:pStyle w:val="TableContents"/>
              <w:bidi w:val="0"/>
              <w:spacing w:before="0" w:after="20"/>
              <w:ind w:left="0" w:right="0" w:hanging="0"/>
              <w:jc w:val="left"/>
              <w:rPr/>
            </w:pPr>
            <w:hyperlink w:anchor="BUSINESS_283682">
              <w:r>
                <w:rPr>
                  <w:rStyle w:val="InternetLink"/>
                  <w:rFonts w:ascii="Times New Roman;Times;serif" w:hAnsi="Times New Roman;Times;serif"/>
                  <w:b w:val="false"/>
                  <w:i w:val="false"/>
                  <w:caps w:val="false"/>
                  <w:smallCaps w:val="false"/>
                  <w:sz w:val="20"/>
                </w:rPr>
                <w:t>BUSINESS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444" w:type="dxa"/>
            <w:tcBorders/>
            <w:vAlign w:val="center"/>
          </w:tcPr>
          <w:p>
            <w:pPr>
              <w:pStyle w:val="TableContents"/>
              <w:bidi w:val="0"/>
              <w:spacing w:before="0" w:after="20"/>
              <w:ind w:left="0" w:right="0" w:hanging="0"/>
              <w:jc w:val="left"/>
              <w:rPr/>
            </w:pPr>
            <w:hyperlink w:anchor="SENIORSECURITIES_884033">
              <w:r>
                <w:rPr>
                  <w:rStyle w:val="InternetLink"/>
                  <w:rFonts w:ascii="Times New Roman;Times;serif" w:hAnsi="Times New Roman;Times;serif"/>
                  <w:b w:val="false"/>
                  <w:i w:val="false"/>
                  <w:caps w:val="false"/>
                  <w:smallCaps w:val="false"/>
                  <w:sz w:val="20"/>
                </w:rPr>
                <w:t>SENIOR SECURITIES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444" w:type="dxa"/>
            <w:tcBorders/>
            <w:shd w:fill="CCEEFF" w:val="clear"/>
            <w:vAlign w:val="center"/>
          </w:tcPr>
          <w:p>
            <w:pPr>
              <w:pStyle w:val="TableContents"/>
              <w:bidi w:val="0"/>
              <w:spacing w:before="0" w:after="20"/>
              <w:ind w:left="0" w:right="0" w:hanging="0"/>
              <w:jc w:val="left"/>
              <w:rPr/>
            </w:pPr>
            <w:hyperlink w:anchor="PORTFOLIOCOMPANIES_318382">
              <w:r>
                <w:rPr>
                  <w:rStyle w:val="InternetLink"/>
                  <w:rFonts w:ascii="Times New Roman;Times;serif" w:hAnsi="Times New Roman;Times;serif"/>
                  <w:b w:val="false"/>
                  <w:i w:val="false"/>
                  <w:caps w:val="false"/>
                  <w:smallCaps w:val="false"/>
                  <w:sz w:val="20"/>
                </w:rPr>
                <w:t>PORTFOLIO COMPANIES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444" w:type="dxa"/>
            <w:tcBorders/>
            <w:vAlign w:val="center"/>
          </w:tcPr>
          <w:p>
            <w:pPr>
              <w:pStyle w:val="TableContents"/>
              <w:bidi w:val="0"/>
              <w:spacing w:before="0" w:after="20"/>
              <w:ind w:left="0" w:right="0" w:hanging="0"/>
              <w:jc w:val="left"/>
              <w:rPr/>
            </w:pPr>
            <w:hyperlink w:anchor="MANAGEMENT_796802">
              <w:r>
                <w:rPr>
                  <w:rStyle w:val="InternetLink"/>
                  <w:rFonts w:ascii="Times New Roman;Times;serif" w:hAnsi="Times New Roman;Times;serif"/>
                  <w:b w:val="false"/>
                  <w:i w:val="false"/>
                  <w:caps w:val="false"/>
                  <w:smallCaps w:val="false"/>
                  <w:sz w:val="20"/>
                </w:rPr>
                <w:t>MANAGEMENT</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444" w:type="dxa"/>
            <w:tcBorders/>
            <w:shd w:fill="CCEEFF" w:val="clear"/>
            <w:vAlign w:val="center"/>
          </w:tcPr>
          <w:p>
            <w:pPr>
              <w:pStyle w:val="TableContents"/>
              <w:bidi w:val="0"/>
              <w:spacing w:before="0" w:after="20"/>
              <w:ind w:left="0" w:right="0" w:hanging="0"/>
              <w:jc w:val="left"/>
              <w:rPr/>
            </w:pPr>
            <w:hyperlink w:anchor="MANAGEMENTANDOTHERAGREEMENTS_309250">
              <w:r>
                <w:rPr>
                  <w:rStyle w:val="InternetLink"/>
                  <w:rFonts w:ascii="Times New Roman;Times;serif" w:hAnsi="Times New Roman;Times;serif"/>
                  <w:b w:val="false"/>
                  <w:i w:val="false"/>
                  <w:caps w:val="false"/>
                  <w:smallCaps w:val="false"/>
                  <w:sz w:val="20"/>
                </w:rPr>
                <w:t>MANAGEMENT AND OTHER AGREEMENTS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444" w:type="dxa"/>
            <w:tcBorders/>
            <w:vAlign w:val="center"/>
          </w:tcPr>
          <w:p>
            <w:pPr>
              <w:pStyle w:val="TableContents"/>
              <w:bidi w:val="0"/>
              <w:spacing w:before="0" w:after="20"/>
              <w:ind w:left="0" w:right="0" w:hanging="0"/>
              <w:jc w:val="left"/>
              <w:rPr/>
            </w:pPr>
            <w:hyperlink w:anchor="RELATEDPARTYTRANSACTIONSANDCERTAINRELATI">
              <w:r>
                <w:rPr>
                  <w:rStyle w:val="InternetLink"/>
                  <w:rFonts w:ascii="Times New Roman;Times;serif" w:hAnsi="Times New Roman;Times;serif"/>
                  <w:b w:val="false"/>
                  <w:i w:val="false"/>
                  <w:caps w:val="false"/>
                  <w:smallCaps w:val="false"/>
                  <w:sz w:val="20"/>
                </w:rPr>
                <w:t>RELATED-PARTY TRANSACTIONS AND CERTAIN RELATIONSHIPS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444" w:type="dxa"/>
            <w:tcBorders/>
            <w:shd w:fill="CCEEFF" w:val="clear"/>
            <w:vAlign w:val="center"/>
          </w:tcPr>
          <w:p>
            <w:pPr>
              <w:pStyle w:val="TableContents"/>
              <w:bidi w:val="0"/>
              <w:spacing w:before="0" w:after="20"/>
              <w:ind w:left="0" w:right="0" w:hanging="0"/>
              <w:jc w:val="left"/>
              <w:rPr/>
            </w:pPr>
            <w:hyperlink w:anchor="CONTROLPERSONSANDPRINCIPALSHAREHOLDERS_6">
              <w:r>
                <w:rPr>
                  <w:rStyle w:val="InternetLink"/>
                  <w:rFonts w:ascii="Times New Roman;Times;serif" w:hAnsi="Times New Roman;Times;serif"/>
                  <w:b w:val="false"/>
                  <w:i w:val="false"/>
                  <w:caps w:val="false"/>
                  <w:smallCaps w:val="false"/>
                  <w:sz w:val="20"/>
                </w:rPr>
                <w:t>CONTROL PERSONS AND PRINCIPAL SHAREHOLDERS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444" w:type="dxa"/>
            <w:tcBorders/>
            <w:vAlign w:val="center"/>
          </w:tcPr>
          <w:p>
            <w:pPr>
              <w:pStyle w:val="TableContents"/>
              <w:bidi w:val="0"/>
              <w:spacing w:before="0" w:after="20"/>
              <w:ind w:left="0" w:right="0" w:hanging="0"/>
              <w:jc w:val="left"/>
              <w:rPr/>
            </w:pPr>
            <w:hyperlink w:anchor="DETERMINATIONOFNETASSETVALUE_837708">
              <w:r>
                <w:rPr>
                  <w:rStyle w:val="InternetLink"/>
                  <w:rFonts w:ascii="Times New Roman;Times;serif" w:hAnsi="Times New Roman;Times;serif"/>
                  <w:b w:val="false"/>
                  <w:i w:val="false"/>
                  <w:caps w:val="false"/>
                  <w:smallCaps w:val="false"/>
                  <w:sz w:val="20"/>
                </w:rPr>
                <w:t>DETERMINATION OF NET ASSET VALUE</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444" w:type="dxa"/>
            <w:tcBorders/>
            <w:shd w:fill="CCEEFF" w:val="clear"/>
            <w:vAlign w:val="center"/>
          </w:tcPr>
          <w:p>
            <w:pPr>
              <w:pStyle w:val="TableContents"/>
              <w:bidi w:val="0"/>
              <w:spacing w:before="0" w:after="20"/>
              <w:ind w:left="0" w:right="0" w:hanging="0"/>
              <w:jc w:val="left"/>
              <w:rPr/>
            </w:pPr>
            <w:hyperlink w:anchor="DIVIDENDREINVESTMENTPLAN_250695">
              <w:r>
                <w:rPr>
                  <w:rStyle w:val="InternetLink"/>
                  <w:rFonts w:ascii="Times New Roman;Times;serif" w:hAnsi="Times New Roman;Times;serif"/>
                  <w:b w:val="false"/>
                  <w:i w:val="false"/>
                  <w:caps w:val="false"/>
                  <w:smallCaps w:val="false"/>
                  <w:sz w:val="20"/>
                </w:rPr>
                <w:t>DIVIDEND REINVESTMENT PLAN</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444" w:type="dxa"/>
            <w:tcBorders/>
            <w:vAlign w:val="center"/>
          </w:tcPr>
          <w:p>
            <w:pPr>
              <w:pStyle w:val="TableContents"/>
              <w:bidi w:val="0"/>
              <w:spacing w:before="0" w:after="20"/>
              <w:ind w:left="0" w:right="0" w:hanging="0"/>
              <w:jc w:val="left"/>
              <w:rPr/>
            </w:pPr>
            <w:hyperlink w:anchor="CERTAINUSFEDERALINCOMETAXCONSIDERATIONS_">
              <w:r>
                <w:rPr>
                  <w:rStyle w:val="InternetLink"/>
                  <w:rFonts w:ascii="Times New Roman;Times;serif" w:hAnsi="Times New Roman;Times;serif"/>
                  <w:b w:val="false"/>
                  <w:i w:val="false"/>
                  <w:caps w:val="false"/>
                  <w:smallCaps w:val="false"/>
                  <w:sz w:val="20"/>
                </w:rPr>
                <w:t>CERTAIN U.S. FEDERAL INCOME TAX CONSIDERATIONS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tbl>
      <w:tblPr>
        <w:tblW w:w="7082" w:type="dxa"/>
        <w:jc w:val="left"/>
        <w:tblInd w:w="200" w:type="dxa"/>
        <w:tblLayout w:type="fixed"/>
        <w:tblCellMar>
          <w:top w:w="0" w:type="dxa"/>
          <w:left w:w="0" w:type="dxa"/>
          <w:bottom w:w="0" w:type="dxa"/>
          <w:right w:w="0" w:type="dxa"/>
        </w:tblCellMar>
      </w:tblPr>
      <w:tblGrid>
        <w:gridCol w:w="6721"/>
        <w:gridCol w:w="361"/>
      </w:tblGrid>
      <w:tr>
        <w:trPr/>
        <w:tc>
          <w:tcPr>
            <w:tcW w:w="67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shd w:fill="CCEEFF" w:val="clear"/>
            <w:vAlign w:val="center"/>
          </w:tcPr>
          <w:p>
            <w:pPr>
              <w:pStyle w:val="TableContents"/>
              <w:bidi w:val="0"/>
              <w:spacing w:before="0" w:after="20"/>
              <w:ind w:left="0" w:right="0" w:hanging="0"/>
              <w:jc w:val="left"/>
              <w:rPr/>
            </w:pPr>
            <w:hyperlink w:anchor="DESCRIPTIONOFOURSECURITIES_489296">
              <w:r>
                <w:rPr>
                  <w:rStyle w:val="InternetLink"/>
                  <w:rFonts w:ascii="Times New Roman;Times;serif" w:hAnsi="Times New Roman;Times;serif"/>
                  <w:b w:val="false"/>
                  <w:i w:val="false"/>
                  <w:caps w:val="false"/>
                  <w:smallCaps w:val="false"/>
                  <w:sz w:val="20"/>
                </w:rPr>
                <w:t>DESCRIPTION OF OUR SECURITIES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721" w:type="dxa"/>
            <w:tcBorders/>
            <w:vAlign w:val="center"/>
          </w:tcPr>
          <w:p>
            <w:pPr>
              <w:pStyle w:val="TableContents"/>
              <w:bidi w:val="0"/>
              <w:spacing w:before="0" w:after="20"/>
              <w:ind w:left="0" w:right="0" w:hanging="0"/>
              <w:jc w:val="left"/>
              <w:rPr/>
            </w:pPr>
            <w:hyperlink w:anchor="DESCRIPTIONOFOURCAPITALSTOCK_353374">
              <w:r>
                <w:rPr>
                  <w:rStyle w:val="InternetLink"/>
                  <w:rFonts w:ascii="Times New Roman;Times;serif" w:hAnsi="Times New Roman;Times;serif"/>
                  <w:b w:val="false"/>
                  <w:i w:val="false"/>
                  <w:caps w:val="false"/>
                  <w:smallCaps w:val="false"/>
                  <w:sz w:val="20"/>
                </w:rPr>
                <w:t>DESCRIPTION OF OUR CAPITAL STOCK</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721" w:type="dxa"/>
            <w:tcBorders/>
            <w:shd w:fill="CCEEFF" w:val="clear"/>
            <w:vAlign w:val="center"/>
          </w:tcPr>
          <w:p>
            <w:pPr>
              <w:pStyle w:val="TableContents"/>
              <w:bidi w:val="0"/>
              <w:spacing w:before="0" w:after="20"/>
              <w:ind w:left="0" w:right="0" w:hanging="0"/>
              <w:jc w:val="left"/>
              <w:rPr/>
            </w:pPr>
            <w:hyperlink w:anchor="DESCRIPTIONOFOURPREFERREDSTOCK_414964">
              <w:r>
                <w:rPr>
                  <w:rStyle w:val="InternetLink"/>
                  <w:rFonts w:ascii="Times New Roman;Times;serif" w:hAnsi="Times New Roman;Times;serif"/>
                  <w:b w:val="false"/>
                  <w:i w:val="false"/>
                  <w:caps w:val="false"/>
                  <w:smallCaps w:val="false"/>
                  <w:sz w:val="20"/>
                </w:rPr>
                <w:t>DESCRIPTION OF OUR PREFERRED STOCK</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6721" w:type="dxa"/>
            <w:tcBorders/>
            <w:vAlign w:val="center"/>
          </w:tcPr>
          <w:p>
            <w:pPr>
              <w:pStyle w:val="TableContents"/>
              <w:bidi w:val="0"/>
              <w:spacing w:before="0" w:after="20"/>
              <w:ind w:left="0" w:right="0" w:hanging="0"/>
              <w:jc w:val="left"/>
              <w:rPr/>
            </w:pPr>
            <w:hyperlink w:anchor="DESCRIPTIONOFOURSUBSCRIPTIONRIGHTS_66141">
              <w:r>
                <w:rPr>
                  <w:rStyle w:val="InternetLink"/>
                  <w:rFonts w:ascii="Times New Roman;Times;serif" w:hAnsi="Times New Roman;Times;serif"/>
                  <w:b w:val="false"/>
                  <w:i w:val="false"/>
                  <w:caps w:val="false"/>
                  <w:smallCaps w:val="false"/>
                  <w:sz w:val="20"/>
                </w:rPr>
                <w:t>DESCRIPTION OF OUR SUBSCRIPTION RIGHTS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721" w:type="dxa"/>
            <w:tcBorders/>
            <w:shd w:fill="CCEEFF" w:val="clear"/>
            <w:vAlign w:val="center"/>
          </w:tcPr>
          <w:p>
            <w:pPr>
              <w:pStyle w:val="TableContents"/>
              <w:bidi w:val="0"/>
              <w:spacing w:before="0" w:after="20"/>
              <w:ind w:left="0" w:right="0" w:hanging="0"/>
              <w:jc w:val="left"/>
              <w:rPr/>
            </w:pPr>
            <w:hyperlink w:anchor="DESCRIPTIONOFOURWARRANTS_440594">
              <w:r>
                <w:rPr>
                  <w:rStyle w:val="InternetLink"/>
                  <w:rFonts w:ascii="Times New Roman;Times;serif" w:hAnsi="Times New Roman;Times;serif"/>
                  <w:b w:val="false"/>
                  <w:i w:val="false"/>
                  <w:caps w:val="false"/>
                  <w:smallCaps w:val="false"/>
                  <w:sz w:val="20"/>
                </w:rPr>
                <w:t>DESCRIPTION OF OUR WARRANTS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6721" w:type="dxa"/>
            <w:tcBorders/>
            <w:vAlign w:val="center"/>
          </w:tcPr>
          <w:p>
            <w:pPr>
              <w:pStyle w:val="TableContents"/>
              <w:bidi w:val="0"/>
              <w:spacing w:before="0" w:after="20"/>
              <w:ind w:left="0" w:right="0" w:hanging="0"/>
              <w:jc w:val="left"/>
              <w:rPr/>
            </w:pPr>
            <w:hyperlink w:anchor="DESCRIPTIONOFOURDEBTSECURITIES_292288">
              <w:r>
                <w:rPr>
                  <w:rStyle w:val="InternetLink"/>
                  <w:rFonts w:ascii="Times New Roman;Times;serif" w:hAnsi="Times New Roman;Times;serif"/>
                  <w:b w:val="false"/>
                  <w:i w:val="false"/>
                  <w:caps w:val="false"/>
                  <w:smallCaps w:val="false"/>
                  <w:sz w:val="20"/>
                </w:rPr>
                <w:t>DESCRIPTION OF OUR DEBT SECURITIES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6721" w:type="dxa"/>
            <w:tcBorders/>
            <w:shd w:fill="CCEEFF" w:val="clear"/>
            <w:vAlign w:val="center"/>
          </w:tcPr>
          <w:p>
            <w:pPr>
              <w:pStyle w:val="TableContents"/>
              <w:bidi w:val="0"/>
              <w:spacing w:before="0" w:after="20"/>
              <w:ind w:left="0" w:right="0" w:hanging="0"/>
              <w:jc w:val="left"/>
              <w:rPr/>
            </w:pPr>
            <w:hyperlink w:anchor="REGULATION_247825">
              <w:r>
                <w:rPr>
                  <w:rStyle w:val="InternetLink"/>
                  <w:rFonts w:ascii="Times New Roman;Times;serif" w:hAnsi="Times New Roman;Times;serif"/>
                  <w:b w:val="false"/>
                  <w:i w:val="false"/>
                  <w:caps w:val="false"/>
                  <w:smallCaps w:val="false"/>
                  <w:sz w:val="20"/>
                </w:rPr>
                <w:t>REGULATION</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721" w:type="dxa"/>
            <w:tcBorders/>
            <w:vAlign w:val="center"/>
          </w:tcPr>
          <w:p>
            <w:pPr>
              <w:pStyle w:val="TableContents"/>
              <w:bidi w:val="0"/>
              <w:spacing w:before="0" w:after="20"/>
              <w:ind w:left="0" w:right="0" w:hanging="0"/>
              <w:jc w:val="left"/>
              <w:rPr/>
            </w:pPr>
            <w:hyperlink w:anchor="PLANOFDISTRIBUTION_693318">
              <w:r>
                <w:rPr>
                  <w:rStyle w:val="InternetLink"/>
                  <w:rFonts w:ascii="Times New Roman;Times;serif" w:hAnsi="Times New Roman;Times;serif"/>
                  <w:b w:val="false"/>
                  <w:i w:val="false"/>
                  <w:caps w:val="false"/>
                  <w:smallCaps w:val="false"/>
                  <w:sz w:val="20"/>
                </w:rPr>
                <w:t>PLAN OF DISTRIBUTION</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6721" w:type="dxa"/>
            <w:tcBorders/>
            <w:shd w:fill="CCEEFF" w:val="clear"/>
            <w:vAlign w:val="center"/>
          </w:tcPr>
          <w:p>
            <w:pPr>
              <w:pStyle w:val="TableContents"/>
              <w:bidi w:val="0"/>
              <w:spacing w:before="0" w:after="20"/>
              <w:ind w:left="0" w:right="0" w:hanging="0"/>
              <w:jc w:val="left"/>
              <w:rPr/>
            </w:pPr>
            <w:hyperlink w:anchor="CUSTODIANTRANSFERANDDIVIDENDPAYINGAGENTA">
              <w:r>
                <w:rPr>
                  <w:rStyle w:val="InternetLink"/>
                  <w:rFonts w:ascii="Times New Roman;Times;serif" w:hAnsi="Times New Roman;Times;serif"/>
                  <w:b w:val="false"/>
                  <w:i w:val="false"/>
                  <w:caps w:val="false"/>
                  <w:smallCaps w:val="false"/>
                  <w:sz w:val="20"/>
                </w:rPr>
                <w:t>CUSTODIAN, TRANSFER AND DIVIDEND PAYING AGENT AND REGISTRAR</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6721" w:type="dxa"/>
            <w:tcBorders/>
            <w:vAlign w:val="center"/>
          </w:tcPr>
          <w:p>
            <w:pPr>
              <w:pStyle w:val="TableContents"/>
              <w:bidi w:val="0"/>
              <w:spacing w:before="0" w:after="20"/>
              <w:ind w:left="0" w:right="0" w:hanging="0"/>
              <w:jc w:val="left"/>
              <w:rPr/>
            </w:pPr>
            <w:hyperlink w:anchor="BROKERAGEALLOCATIONANDOTHERPRACTICES_509">
              <w:r>
                <w:rPr>
                  <w:rStyle w:val="InternetLink"/>
                  <w:rFonts w:ascii="Times New Roman;Times;serif" w:hAnsi="Times New Roman;Times;serif"/>
                  <w:b w:val="false"/>
                  <w:i w:val="false"/>
                  <w:caps w:val="false"/>
                  <w:smallCaps w:val="false"/>
                  <w:sz w:val="20"/>
                </w:rPr>
                <w:t>BROKERAGE ALLOCATION AND OTHER PRACTICES</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6721" w:type="dxa"/>
            <w:tcBorders/>
            <w:shd w:fill="CCEEFF" w:val="clear"/>
            <w:vAlign w:val="center"/>
          </w:tcPr>
          <w:p>
            <w:pPr>
              <w:pStyle w:val="TableContents"/>
              <w:bidi w:val="0"/>
              <w:spacing w:before="0" w:after="20"/>
              <w:ind w:left="0" w:right="0" w:hanging="0"/>
              <w:jc w:val="left"/>
              <w:rPr/>
            </w:pPr>
            <w:hyperlink w:anchor="LEGALMATTERS_296006">
              <w:r>
                <w:rPr>
                  <w:rStyle w:val="InternetLink"/>
                  <w:rFonts w:ascii="Times New Roman;Times;serif" w:hAnsi="Times New Roman;Times;serif"/>
                  <w:b w:val="false"/>
                  <w:i w:val="false"/>
                  <w:caps w:val="false"/>
                  <w:smallCaps w:val="false"/>
                  <w:sz w:val="20"/>
                </w:rPr>
                <w:t>LEGAL MATTERS</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6721" w:type="dxa"/>
            <w:tcBorders/>
            <w:vAlign w:val="center"/>
          </w:tcPr>
          <w:p>
            <w:pPr>
              <w:pStyle w:val="TableContents"/>
              <w:bidi w:val="0"/>
              <w:spacing w:before="0" w:after="20"/>
              <w:ind w:left="0" w:right="0" w:hanging="0"/>
              <w:jc w:val="left"/>
              <w:rPr/>
            </w:pPr>
            <w:hyperlink w:anchor="INDEPENDENTREGISTEREDPUBLICACCOUNTINGFIR">
              <w:r>
                <w:rPr>
                  <w:rStyle w:val="InternetLink"/>
                  <w:rFonts w:ascii="Times New Roman;Times;serif" w:hAnsi="Times New Roman;Times;serif"/>
                  <w:b w:val="false"/>
                  <w:i w:val="false"/>
                  <w:caps w:val="false"/>
                  <w:smallCaps w:val="false"/>
                  <w:sz w:val="20"/>
                </w:rPr>
                <w:t>INDEPENDENT REGISTERED PUBLIC ACCOUNTING FIRM</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6721" w:type="dxa"/>
            <w:tcBorders/>
            <w:shd w:fill="CCEEFF" w:val="clear"/>
            <w:vAlign w:val="center"/>
          </w:tcPr>
          <w:p>
            <w:pPr>
              <w:pStyle w:val="TableContents"/>
              <w:bidi w:val="0"/>
              <w:spacing w:before="0" w:after="20"/>
              <w:ind w:left="0" w:right="0" w:hanging="0"/>
              <w:jc w:val="left"/>
              <w:rPr/>
            </w:pPr>
            <w:hyperlink w:anchor="AVAILABLEINFORMATION_984735">
              <w:r>
                <w:rPr>
                  <w:rStyle w:val="InternetLink"/>
                  <w:rFonts w:ascii="Times New Roman;Times;serif" w:hAnsi="Times New Roman;Times;serif"/>
                  <w:b w:val="false"/>
                  <w:i w:val="false"/>
                  <w:caps w:val="false"/>
                  <w:smallCaps w:val="false"/>
                  <w:sz w:val="20"/>
                </w:rPr>
                <w:t>AVAILABLE INFORMATION</w:t>
              </w:r>
            </w:hyperlink>
          </w:p>
        </w:tc>
        <w:tc>
          <w:tcPr>
            <w:tcW w:w="361" w:type="dxa"/>
            <w:tcBorders/>
            <w:shd w:fill="CCEEFF" w:val="clear"/>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6721" w:type="dxa"/>
            <w:tcBorders/>
            <w:vAlign w:val="center"/>
          </w:tcPr>
          <w:p>
            <w:pPr>
              <w:pStyle w:val="TableContents"/>
              <w:bidi w:val="0"/>
              <w:spacing w:before="0" w:after="20"/>
              <w:ind w:left="0" w:right="0" w:hanging="0"/>
              <w:jc w:val="left"/>
              <w:rPr/>
            </w:pPr>
            <w:hyperlink w:anchor="INCORPORATIONOFCERTAININFORMATIONBYREFER">
              <w:r>
                <w:rPr>
                  <w:rStyle w:val="InternetLink"/>
                  <w:rFonts w:ascii="Times New Roman;Times;serif" w:hAnsi="Times New Roman;Times;serif"/>
                  <w:b w:val="false"/>
                  <w:i w:val="false"/>
                  <w:caps w:val="false"/>
                  <w:smallCaps w:val="false"/>
                  <w:sz w:val="20"/>
                </w:rPr>
                <w:t>INCORPORATION OF CERTAIN INFORMATION BY REFERENCE</w:t>
              </w:r>
            </w:hyperlink>
          </w:p>
        </w:tc>
        <w:tc>
          <w:tcPr>
            <w:tcW w:w="361" w:type="dxa"/>
            <w:tcBorders/>
            <w:vAlign w:val="center"/>
          </w:tcPr>
          <w:p>
            <w:pPr>
              <w:pStyle w:val="TableContents"/>
              <w:bidi w:val="0"/>
              <w:spacing w:before="0" w:after="20"/>
              <w:ind w:left="0" w:right="0" w:hanging="0"/>
              <w:jc w:val="right"/>
              <w:rPr>
                <w:rFonts w:ascii="Times New Roman;Times;serif" w:hAnsi="Times New Roman;Times;serif"/>
                <w:sz w:val="20"/>
              </w:rPr>
            </w:pPr>
            <w:r>
              <w:rPr>
                <w:rFonts w:ascii="Times New Roman;Times;serif" w:hAnsi="Times New Roman;Times;serif"/>
                <w:sz w:val="20"/>
              </w:rPr>
              <w:t>82</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S-ii</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color w:val="231F20"/>
          <w:sz w:val="20"/>
          <w:bdr w:val="single" w:sz="2" w:space="4" w:color="000000"/>
        </w:rPr>
      </w:pPr>
      <w:bookmarkStart w:id="6" w:name="PROSPECTUSSUPPLEMENT_135418"/>
      <w:bookmarkStart w:id="7" w:name="_d13079dc_03a6_4833_b43d_f66e94243854"/>
      <w:bookmarkEnd w:id="6"/>
      <w:bookmarkEnd w:id="7"/>
      <w:r>
        <w:rPr>
          <w:rFonts w:ascii="Times New Roman;Times;serif" w:hAnsi="Times New Roman;Times;serif"/>
          <w:b/>
          <w:color w:val="231F20"/>
          <w:sz w:val="20"/>
          <w:bdr w:val="single" w:sz="2" w:space="4" w:color="000000"/>
        </w:rPr>
        <w:t>PROSPECTUS SUPPLEMENT SUMMARY</w:t>
      </w:r>
    </w:p>
    <w:p>
      <w:pPr>
        <w:pStyle w:val="TextBody"/>
        <w:bidi w:val="0"/>
        <w:spacing w:before="0" w:after="240"/>
        <w:ind w:left="840" w:right="840" w:firstLine="36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The following summary highlights some of the information included elsewhere, or incorporated by reference, in this prospectus supplement or the accompanying prospectus. It is not complete and may not contain all the information that you may want to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contained elsewhere or incorporated by reference in this prospectus supplement and the accompanying prospectus. Together, these documents describe the specific terms of the Notes we are offering. Throughout this prospectus we refer to Runway Growth Finance Corp. as “we,” “us,” “our” or the “Company,” and to “Runway Growth Capital LLC,” our investment adviser, as “Runway Growth Capital” or the “Adviser.”</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Runway Growth Finance Corp.</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We are managed by Runway Growth Capital, an experienced provider of growth financing for dynamic, late- and growth-stage companies. As of September 30, 2025, we had an investment portfolio of $946.0 million at fair value, and a net asset value of $489.5 million.</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structured as an externally managed, non-diversified closed-end management investment company that has elected to be regulated as a business development company (“BDC”) under the Investment Company Act of 1940, as amended (the “1940 Act”). We have also elected to be treated, and intend to qualify annually, as a regulated investment company (“RIC”) under subchapter M of the Internal Revenue Code of 1986, as amended (the “Code”), for U.S. federal income tax purposes. See “Material United States Federal Income Tax Consequences.”</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Our Adviser</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externally managed by Runway Growth Capital. Runway Growth Capital was formed in 2015 to pursue an investment strategy focused on providing growth financing for dynamic, late- and growth-stage companies. David Spreng, Chief Executive Officer and President, formed Runway Growth Capital following a more than 25-year career in venture capital investing and lending. Runway Growth Capital has 26 employees across three offices in the United States, including 14 investment professionals focused on origination, underwriting, and managing our investment portfolio. Runway Growth Capital consistently demonstrates a credit-first culture while maintaining what they believe is an admirable reputation among borrowers for industry knowledge, creativity, and understanding of the challenges often faced by late- and growth-stage companies.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In January 2025, Runway Growth Capital was acquired by a private investment fund advised by BC Partners Advisors L.P. (“BC Partners Credit”) and Mount Logan Capital Inc. (“MLCI”), an affiliate of BC Partners Credit.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the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w:t>
      </w:r>
    </w:p>
    <w:p>
      <w:pPr>
        <w:pStyle w:val="TextBody"/>
        <w:bidi w:val="0"/>
        <w:spacing w:before="0" w:after="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Runway Growth Capital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Runway Growth </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S-1</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sz w:val="20"/>
          <w:bdr w:val="single" w:sz="2" w:space="4" w:color="000000"/>
        </w:rPr>
      </w:pPr>
      <w:r>
        <w:rPr>
          <w:rFonts w:ascii="Times New Roman;Times;serif" w:hAnsi="Times New Roman;Times;serif"/>
          <w:color w:val="231F20"/>
          <w:sz w:val="20"/>
          <w:bdr w:val="single" w:sz="2" w:space="4" w:color="000000"/>
        </w:rPr>
        <w:t>Capital a fee for its investment advisory and management services consisting of two components: a base management fee and an incentive fee. The cost of the base management fee and incentive fee are each borne by our stockholders. For more information, see “</w:t>
      </w:r>
      <w:r>
        <w:rPr>
          <w:rFonts w:ascii="Times New Roman;Times;serif" w:hAnsi="Times New Roman;Times;serif"/>
          <w:i/>
          <w:color w:val="231F20"/>
          <w:sz w:val="20"/>
          <w:bdr w:val="single" w:sz="2" w:space="4" w:color="000000"/>
        </w:rPr>
        <w:t>Management and Other Agreements</w:t>
      </w:r>
      <w:r>
        <w:rPr>
          <w:rFonts w:ascii="Times New Roman;Times;serif" w:hAnsi="Times New Roman;Times;serif"/>
          <w:color w:val="231F20"/>
          <w:sz w:val="20"/>
          <w:bdr w:val="single" w:sz="2" w:space="4" w:color="000000"/>
        </w:rPr>
        <w:t>” in the accompanying Prospectus.</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Our Portfolio</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As of September 30, 2025, we had investments in 54 companies, including 22 companies in which we held debt and warrant investments, 1 company in which we held debt investments and shares of common stock, 7 companies in which we held a debt investment only, 15 companies in which we held warrant investments only, and 9 companies in which we held shares of common stock/units, preferred stock/units, equity interests, or a combination thereof with warrants. As of September 30, 2025, our debt investment portfolio had an aggregate fair value of approximately $878.8 million and our equity portfolio had an aggregate fair value of approximately $67.1 million.</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As of September 30, 2025, 100%, or $878.8 million, of our debt investment portfolio at fair value consisted of senior term loans and 97.6% of our debt investments were secured by a first lien on all or a portion of the tangible and intangible assets of the applicable portfolio company.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As of September 30, 2025, we had a total of $143.7 million in unfunded commitments, which was comprised of $120.9 million to provide debt financing to our portfolio companies and $22.7 million in unfunded commitments to provide equity financing to Runway-Cadma I LLC, a joint venture entity established with Cadma Capital Partners LLC, pursuant to a joint venture agreement dated March 6, 2024. We believe that our available cash balances and availability under our Credit Agreement with KeyBank National Association (as amended, the “Credit Facility”) provide sufficient funds to cover our unfunded commitments as of September 30, 2025.</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For the three and nine months ended September 30, 2025, our debt investment portfolio had a dollar- weighted annualized yield of 16.8% and 15.3%,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2025, our debt investments had a dollar- weighted average outstanding term of 54 months at origination and a dollar-weighted average remaining term of 33 months, or approximately 2.8 years. As of September 30, 2025, substantially all of our debt investments had an original committed principal amount of between $6.0 million and $68.5 million and paid cash interest at annual interest rates of between 6.3% and 13.8%.</w:t>
      </w:r>
    </w:p>
    <w:p>
      <w:pPr>
        <w:pStyle w:val="TextBody"/>
        <w:bidi w:val="0"/>
        <w:spacing w:before="0" w:after="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The following table shows our dollar-weighted annualized yield by investment type for the three and nine months ended September 30, 2025 and 2024:</w:t>
      </w:r>
    </w:p>
    <w:p>
      <w:pPr>
        <w:pStyle w:val="TextBody"/>
        <w:bidi w:val="0"/>
        <w:spacing w:before="0" w:after="0"/>
        <w:ind w:left="840" w:right="840" w:hanging="0"/>
        <w:jc w:val="left"/>
        <w:rPr>
          <w:bdr w:val="single" w:sz="2" w:space="4" w:color="000000"/>
        </w:rPr>
      </w:pPr>
      <w:r>
        <w:rPr>
          <w:bdr w:val="single" w:sz="2" w:space="4" w:color="000000"/>
        </w:rPr>
        <w:t>​</w:t>
      </w:r>
    </w:p>
    <w:tbl>
      <w:tblPr>
        <w:tblW w:w="8969" w:type="dxa"/>
        <w:jc w:val="left"/>
        <w:tblInd w:w="840" w:type="dxa"/>
        <w:tblLayout w:type="fixed"/>
        <w:tblCellMar>
          <w:top w:w="0" w:type="dxa"/>
          <w:left w:w="0" w:type="dxa"/>
          <w:bottom w:w="0" w:type="dxa"/>
          <w:right w:w="0" w:type="dxa"/>
        </w:tblCellMar>
      </w:tblPr>
      <w:tblGrid>
        <w:gridCol w:w="1096"/>
        <w:gridCol w:w="346"/>
        <w:gridCol w:w="610"/>
        <w:gridCol w:w="385"/>
        <w:gridCol w:w="611"/>
        <w:gridCol w:w="361"/>
        <w:gridCol w:w="571"/>
        <w:gridCol w:w="361"/>
        <w:gridCol w:w="571"/>
        <w:gridCol w:w="361"/>
        <w:gridCol w:w="610"/>
        <w:gridCol w:w="385"/>
        <w:gridCol w:w="611"/>
        <w:gridCol w:w="271"/>
        <w:gridCol w:w="571"/>
        <w:gridCol w:w="361"/>
        <w:gridCol w:w="571"/>
        <w:gridCol w:w="316"/>
      </w:tblGrid>
      <w:tr>
        <w:trPr/>
        <w:tc>
          <w:tcPr>
            <w:tcW w:w="1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5960" cy="175260"/>
                      <wp:effectExtent l="0" t="0" r="0" b="0"/>
                      <wp:wrapNone/>
                      <wp:docPr id="11" name="Frame1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87350" cy="175260"/>
                      <wp:effectExtent l="0" t="0" r="0" b="0"/>
                      <wp:wrapNone/>
                      <wp:docPr id="13" name="Frame13"/>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44475" cy="175260"/>
                      <wp:effectExtent l="0" t="0" r="0" b="0"/>
                      <wp:wrapNone/>
                      <wp:docPr id="14" name="Frame1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87985" cy="175260"/>
                      <wp:effectExtent l="0" t="0" r="0" b="0"/>
                      <wp:wrapNone/>
                      <wp:docPr id="15" name="Frame15"/>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9235" cy="175260"/>
                      <wp:effectExtent l="0" t="0" r="0" b="0"/>
                      <wp:wrapNone/>
                      <wp:docPr id="16" name="Frame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62585" cy="175260"/>
                      <wp:effectExtent l="0" t="0" r="0" b="0"/>
                      <wp:wrapNone/>
                      <wp:docPr id="17" name="Frame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9235" cy="175260"/>
                      <wp:effectExtent l="0" t="0" r="0" b="0"/>
                      <wp:wrapNone/>
                      <wp:docPr id="18" name="Frame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62585" cy="175260"/>
                      <wp:effectExtent l="0" t="0" r="0" b="0"/>
                      <wp:wrapNone/>
                      <wp:docPr id="19" name="Frame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9235" cy="175260"/>
                      <wp:effectExtent l="0" t="0" r="0" b="0"/>
                      <wp:wrapNone/>
                      <wp:docPr id="20" name="Frame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87350" cy="175260"/>
                      <wp:effectExtent l="0" t="0" r="0" b="0"/>
                      <wp:wrapNone/>
                      <wp:docPr id="21" name="Frame21"/>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4475" cy="175260"/>
                      <wp:effectExtent l="0" t="0" r="0" b="0"/>
                      <wp:wrapNone/>
                      <wp:docPr id="22" name="Frame2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87985" cy="175260"/>
                      <wp:effectExtent l="0" t="0" r="0" b="0"/>
                      <wp:wrapNone/>
                      <wp:docPr id="23" name="Frame23"/>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2085" cy="175260"/>
                      <wp:effectExtent l="0" t="0" r="0" b="0"/>
                      <wp:wrapNone/>
                      <wp:docPr id="24" name="Frame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62585" cy="175260"/>
                      <wp:effectExtent l="0" t="0" r="0" b="0"/>
                      <wp:wrapNone/>
                      <wp:docPr id="25" name="Frame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9235" cy="175260"/>
                      <wp:effectExtent l="0" t="0" r="0" b="0"/>
                      <wp:wrapNone/>
                      <wp:docPr id="26" name="Frame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62585" cy="175260"/>
                      <wp:effectExtent l="0" t="0" r="0" b="0"/>
                      <wp:wrapNone/>
                      <wp:docPr id="27" name="Frame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0660" cy="175260"/>
                      <wp:effectExtent l="0" t="0" r="0" b="0"/>
                      <wp:wrapNone/>
                      <wp:docPr id="28" name="Frame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0"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Fair Value</w:t>
            </w:r>
            <w:r>
              <w:rPr>
                <w:rFonts w:ascii="Times New Roman;Times;serif" w:hAnsi="Times New Roman;Times;serif"/>
                <w:b/>
                <w:sz w:val="12"/>
              </w:rPr>
              <w:t>(1)</w:t>
            </w:r>
          </w:p>
        </w:tc>
        <w:tc>
          <w:tcPr>
            <w:tcW w:w="361" w:type="dxa"/>
            <w:tcBorders/>
            <w:vAlign w:val="center"/>
          </w:tcPr>
          <w:p>
            <w:pPr>
              <w:pStyle w:val="TableContents"/>
              <w:bidi w:val="0"/>
              <w:spacing w:before="0" w:after="0"/>
              <w:ind w:left="0" w:right="0" w:hanging="0"/>
              <w:jc w:val="left"/>
              <w:rPr/>
            </w:pPr>
            <w:r>
              <w:rPr/>
              <w:t>​</w:t>
            </w:r>
          </w:p>
        </w:tc>
        <w:tc>
          <w:tcPr>
            <w:tcW w:w="3380"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w:t>
            </w:r>
            <w:r>
              <w:rPr>
                <w:rFonts w:ascii="Times New Roman;Times;serif" w:hAnsi="Times New Roman;Times;serif"/>
                <w:b/>
                <w:sz w:val="12"/>
              </w:rPr>
              <w:t>(2)</w:t>
            </w:r>
          </w:p>
        </w:tc>
        <w:tc>
          <w:tcPr>
            <w:tcW w:w="316" w:type="dxa"/>
            <w:tcBorders/>
            <w:vAlign w:val="center"/>
          </w:tcPr>
          <w:p>
            <w:pPr>
              <w:pStyle w:val="TableContents"/>
              <w:bidi w:val="0"/>
              <w:spacing w:before="0" w:after="0"/>
              <w:ind w:left="0" w:right="0" w:hanging="0"/>
              <w:jc w:val="center"/>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0"/>
              <w:ind w:left="0" w:right="0" w:hanging="0"/>
              <w:jc w:val="left"/>
              <w:rPr/>
            </w:pPr>
            <w:r>
              <w:rPr/>
              <w:t>​</w:t>
            </w:r>
          </w:p>
        </w:tc>
        <w:tc>
          <w:tcPr>
            <w:tcW w:w="150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61" w:type="dxa"/>
            <w:tcBorders/>
            <w:vAlign w:val="center"/>
          </w:tcPr>
          <w:p>
            <w:pPr>
              <w:pStyle w:val="TableContents"/>
              <w:bidi w:val="0"/>
              <w:spacing w:before="0" w:after="0"/>
              <w:ind w:left="0" w:right="0" w:hanging="0"/>
              <w:jc w:val="left"/>
              <w:rPr/>
            </w:pPr>
            <w:r>
              <w:rPr/>
              <w:t>​</w:t>
            </w:r>
          </w:p>
        </w:tc>
        <w:tc>
          <w:tcPr>
            <w:tcW w:w="160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71" w:type="dxa"/>
            <w:tcBorders/>
            <w:vAlign w:val="center"/>
          </w:tcPr>
          <w:p>
            <w:pPr>
              <w:pStyle w:val="TableContents"/>
              <w:bidi w:val="0"/>
              <w:spacing w:before="0" w:after="0"/>
              <w:ind w:left="0" w:right="0" w:hanging="0"/>
              <w:jc w:val="center"/>
              <w:rPr/>
            </w:pPr>
            <w:r>
              <w:rPr/>
              <w:t>​</w:t>
            </w:r>
          </w:p>
        </w:tc>
        <w:tc>
          <w:tcPr>
            <w:tcW w:w="150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16" w:type="dxa"/>
            <w:tcBorders/>
            <w:vAlign w:val="center"/>
          </w:tcPr>
          <w:p>
            <w:pPr>
              <w:pStyle w:val="TableContents"/>
              <w:bidi w:val="0"/>
              <w:spacing w:before="0" w:after="0"/>
              <w:ind w:left="0" w:right="0" w:hanging="0"/>
              <w:jc w:val="center"/>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0"/>
              <w:ind w:left="0" w:right="0" w:hanging="0"/>
              <w:jc w:val="left"/>
              <w:rPr/>
            </w:pPr>
            <w:r>
              <w:rPr/>
              <w:t>​</w:t>
            </w:r>
          </w:p>
        </w:tc>
        <w:tc>
          <w:tcPr>
            <w:tcW w:w="1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0"/>
              <w:ind w:left="0" w:right="0" w:hanging="0"/>
              <w:jc w:val="left"/>
              <w:rPr/>
            </w:pPr>
            <w:r>
              <w:rPr/>
              <w:t>​</w:t>
            </w:r>
          </w:p>
        </w:tc>
        <w:tc>
          <w:tcPr>
            <w:tcW w:w="16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271" w:type="dxa"/>
            <w:tcBorders/>
            <w:vAlign w:val="center"/>
          </w:tcPr>
          <w:p>
            <w:pPr>
              <w:pStyle w:val="TableContents"/>
              <w:bidi w:val="0"/>
              <w:spacing w:before="0" w:after="0"/>
              <w:ind w:left="0" w:right="0" w:hanging="0"/>
              <w:jc w:val="center"/>
              <w:rPr/>
            </w:pPr>
            <w:r>
              <w:rPr/>
              <w:t>​</w:t>
            </w:r>
          </w:p>
        </w:tc>
        <w:tc>
          <w:tcPr>
            <w:tcW w:w="1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16" w:type="dxa"/>
            <w:tcBorders/>
            <w:vAlign w:val="center"/>
          </w:tcPr>
          <w:p>
            <w:pPr>
              <w:pStyle w:val="TableContents"/>
              <w:bidi w:val="0"/>
              <w:spacing w:before="0" w:after="0"/>
              <w:ind w:left="0" w:right="0" w:hanging="0"/>
              <w:jc w:val="center"/>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5" w:type="dxa"/>
            <w:tcBorders/>
            <w:vAlign w:val="center"/>
          </w:tcPr>
          <w:p>
            <w:pPr>
              <w:pStyle w:val="TableContents"/>
              <w:bidi w:val="0"/>
              <w:spacing w:before="0" w:after="0"/>
              <w:ind w:left="0" w:right="0" w:hanging="0"/>
              <w:jc w:val="left"/>
              <w:rPr/>
            </w:pPr>
            <w:r>
              <w:rPr/>
              <w:t>  ​ ​ ​</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5" w:type="dxa"/>
            <w:tcBorders/>
            <w:vAlign w:val="center"/>
          </w:tcPr>
          <w:p>
            <w:pPr>
              <w:pStyle w:val="TableContents"/>
              <w:bidi w:val="0"/>
              <w:spacing w:before="0" w:after="0"/>
              <w:ind w:left="0" w:right="0" w:hanging="0"/>
              <w:jc w:val="left"/>
              <w:rPr/>
            </w:pPr>
            <w:r>
              <w:rPr/>
              <w:t>  ​ ​ ​</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w:t>
            </w:r>
          </w:p>
        </w:tc>
      </w:tr>
      <w:tr>
        <w:trPr/>
        <w:tc>
          <w:tcPr>
            <w:tcW w:w="10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type:</w:t>
            </w:r>
          </w:p>
        </w:tc>
        <w:tc>
          <w:tcPr>
            <w:tcW w:w="34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investments</w:t>
            </w:r>
          </w:p>
        </w:tc>
        <w:tc>
          <w:tcPr>
            <w:tcW w:w="34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investments</w:t>
            </w:r>
          </w:p>
        </w:tc>
        <w:tc>
          <w:tcPr>
            <w:tcW w:w="34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525" w:type="dxa"/>
        <w:jc w:val="left"/>
        <w:tblInd w:w="840" w:type="dxa"/>
        <w:tblLayout w:type="fixed"/>
        <w:tblCellMar>
          <w:top w:w="0" w:type="dxa"/>
          <w:left w:w="0" w:type="dxa"/>
          <w:bottom w:w="0" w:type="dxa"/>
          <w:right w:w="0" w:type="dxa"/>
        </w:tblCellMar>
      </w:tblPr>
      <w:tblGrid>
        <w:gridCol w:w="296"/>
        <w:gridCol w:w="8229"/>
      </w:tblGrid>
      <w:tr>
        <w:trPr/>
        <w:tc>
          <w:tcPr>
            <w:tcW w:w="29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(1)</w:t>
            </w:r>
          </w:p>
        </w:tc>
        <w:tc>
          <w:tcPr>
            <w:tcW w:w="822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tc>
      </w:tr>
    </w:tbl>
    <w:tbl>
      <w:tblPr>
        <w:tblW w:w="8525" w:type="dxa"/>
        <w:jc w:val="left"/>
        <w:tblInd w:w="840" w:type="dxa"/>
        <w:tblLayout w:type="fixed"/>
        <w:tblCellMar>
          <w:top w:w="0" w:type="dxa"/>
          <w:left w:w="0" w:type="dxa"/>
          <w:bottom w:w="0" w:type="dxa"/>
          <w:right w:w="0" w:type="dxa"/>
        </w:tblCellMar>
      </w:tblPr>
      <w:tblGrid>
        <w:gridCol w:w="296"/>
        <w:gridCol w:w="8229"/>
      </w:tblGrid>
      <w:tr>
        <w:trPr/>
        <w:tc>
          <w:tcPr>
            <w:tcW w:w="296"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(2)</w:t>
            </w:r>
          </w:p>
        </w:tc>
        <w:tc>
          <w:tcPr>
            <w:tcW w:w="8229" w:type="dxa"/>
            <w:tcBorders/>
            <w:vAlign w:val="center"/>
          </w:tcPr>
          <w:p>
            <w:pPr>
              <w:pStyle w:val="TableContents"/>
              <w:bidi w:val="0"/>
              <w:spacing w:before="0" w:after="240"/>
              <w:jc w:val="left"/>
              <w:rPr>
                <w:rFonts w:ascii="Times New Roman;Times;serif" w:hAnsi="Times New Roman;Times;serif"/>
                <w:color w:val="231F20"/>
                <w:sz w:val="20"/>
              </w:rPr>
            </w:pPr>
            <w:r>
              <w:rPr>
                <w:rFonts w:ascii="Times New Roman;Times;serif" w:hAnsi="Times New Roman;Times;serif"/>
                <w:color w:val="231F20"/>
                <w:sz w:val="20"/>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tc>
      </w:tr>
    </w:tbl>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S-2</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Investment Strategy and Approach</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Our investment objective is to maximize our total return to our stockholders primarily through current income on our loan portfolio and secondarily through capital gains on our warrants and other equity positions. We invest in senior secured term loans and other senior debt obligations and may on occasion invest in second lien loans. We have and expect to continue to acquire warrants and other equity securities from portfolio companies in connection with our investments in loans to these companies.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focus on lending to late- and growth-stage companies in technology, life sciences, healthcare information and services, business services, financial services, select consumer sectors and other high-growth industries.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generally the sole lender to our portfolio companies and do not actively syndicate the loans we originate to other lenders. We may on occasion participate in syndications built by other lenders. We expect to co-invest frequently with funds that are affiliated with BC Partners Credit.</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originate our investments through two strategies: Sponsored Growth Lending and Non-Sponsored Growth Lending. In addition to our core strategies of providing Sponsored Growth Lending and Non-Sponsored Growth Lending, we may also opportunistically participate in the secondary markets for investments that are consistent with our broader investment strategy.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Sponsored Growth Lending</w:t>
      </w:r>
      <w:r>
        <w:rPr>
          <w:rFonts w:ascii="Times New Roman;Times;serif" w:hAnsi="Times New Roman;Times;serif"/>
          <w:color w:val="231F20"/>
          <w:sz w:val="20"/>
          <w:bdr w:val="single" w:sz="2" w:space="4" w:color="000000"/>
        </w:rPr>
        <w:t xml:space="preserve">.Our Sponsored Growth Lending strategy generally includes loans to late- and growth-stage companies that are already backed by established venture capital firms. Our Sponsored Growth Lending strategy typically includes the receipt of warrants and/or other equity from these venture- backed companies.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provides us access to many high-quality companies backed by top-tier venture capital and private equity investors; </w:t>
            </w:r>
          </w:p>
        </w:tc>
      </w:tr>
    </w:tbl>
    <w:tbl>
      <w:tblPr>
        <w:tblW w:w="5751" w:type="dxa"/>
        <w:jc w:val="left"/>
        <w:tblInd w:w="84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delivers consistent returns through double-digit loan yields; and</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often offers us the ability to participate in equity upside of portfolio companies through the acquisition of warrants.</w:t>
            </w:r>
          </w:p>
        </w:tc>
      </w:tr>
    </w:tbl>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Non-Sponsored Growth Lending</w:t>
      </w:r>
      <w:r>
        <w:rPr>
          <w:rFonts w:ascii="Times New Roman;Times;serif" w:hAnsi="Times New Roman;Times;serif"/>
          <w:color w:val="231F20"/>
          <w:sz w:val="20"/>
          <w:bdr w:val="single" w:sz="2" w:space="4" w:color="000000"/>
        </w:rPr>
        <w:t>. Our Non-Sponsored Growth Lending strategy generally includes loans to late- and growth-stage, private companies that are funded directly by entrepreneurs and founders, or companies that no longer require institutional equity investment (which may selectively include publicly traded companies). We refer to these target borrowers as “non-sponsored growth companies.”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Generally, financing available to these non-sponsored growth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seek to construct a balanced portfolio with diversification among sponsored and non-sponsored transactions, diversification among sponsors within the Sponsored Growth Lending strategy, and diversification among industry, geography, and stage of development, all contributing to a favorable risk adjusted return for the portfolio viewed as a whole. Borrowers tend to use the proceeds of our financings to invest in sales and marketing, expand the capacity of the overall business or refinance existing debt.</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Market Opportunity</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that the market environment is favorable for us to continue to pursue an investment strategy primarily focused on late-stage and high-growth companies in technology, healthcare, business services, financial services and select consumer services and products in other high-growth industries.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S-3</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Focus on Innovative Companies Across a Variety of High-Growth Industries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Diversified high growth-potential industries</w:t>
      </w:r>
      <w:r>
        <w:rPr>
          <w:rFonts w:ascii="Times New Roman;Times;serif" w:hAnsi="Times New Roman;Times;serif"/>
          <w:color w:val="231F20"/>
          <w:sz w:val="20"/>
          <w:bdr w:val="single" w:sz="2" w:space="4" w:color="000000"/>
        </w:rPr>
        <w:t>: We target companies active in industries that support high growth-potential. Our Sponsored Growth Lending strategy is focused on the largest industry sectors where venture capital investors are active, primarily technology, life sciences,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 backed companies.</w:t>
      </w:r>
    </w:p>
    <w:p>
      <w:pPr>
        <w:pStyle w:val="TextBody"/>
        <w:bidi w:val="0"/>
        <w:spacing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Sponsored and Non-Sponsored Growth Lending Represents an Attractive Source of Funding</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Sponsored Growth Lending</w:t>
      </w:r>
      <w:r>
        <w:rPr>
          <w:rFonts w:ascii="Times New Roman;Times;serif" w:hAnsi="Times New Roman;Times;serif"/>
          <w:color w:val="231F20"/>
          <w:sz w:val="20"/>
          <w:bdr w:val="single" w:sz="2" w:space="4" w:color="000000"/>
        </w:rPr>
        <w:t>: An attractive market opportunity exists for a lender that invests in secured loans to late- and growth-stage companies that have not yet achieved profitability. Sponsored growth lending provides an attractive source of funds for venture-backed companies, their management teams, and their equity capital investors, as it:</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is typically less dilutive and complements equity financing from venture capital and private equity funds;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often extends the time period during which a company can operate before seeking additional equity capital or pursuing a sale transaction or other liquidity event; and</w:t>
            </w:r>
          </w:p>
        </w:tc>
      </w:tr>
    </w:tbl>
    <w:tbl>
      <w:tblPr>
        <w:tblW w:w="5931" w:type="dxa"/>
        <w:jc w:val="left"/>
        <w:tblInd w:w="84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generally allows companies to better match cash sources with uses.</w:t>
            </w:r>
          </w:p>
        </w:tc>
      </w:tr>
    </w:tbl>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Non-Sponsored Growth Lending</w:t>
      </w:r>
      <w:r>
        <w:rPr>
          <w:rFonts w:ascii="Times New Roman;Times;serif" w:hAnsi="Times New Roman;Times;serif"/>
          <w:color w:val="231F20"/>
          <w:sz w:val="20"/>
          <w:bdr w:val="single" w:sz="2" w:space="4" w:color="000000"/>
        </w:rPr>
        <w:t>: An attractive market opportunity exists for a lender that invests in secured loans to late- and growth-stage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access to growth capital without the requirement to take on institutional-size investments that may exceed the company’s capital requirements;</w:t>
            </w:r>
          </w:p>
        </w:tc>
      </w:tr>
    </w:tbl>
    <w:tbl>
      <w:tblPr>
        <w:tblW w:w="3231" w:type="dxa"/>
        <w:jc w:val="left"/>
        <w:tblInd w:w="84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tax deductible interest payments;</w:t>
            </w:r>
          </w:p>
        </w:tc>
      </w:tr>
    </w:tbl>
    <w:tbl>
      <w:tblPr>
        <w:tblW w:w="3771" w:type="dxa"/>
        <w:jc w:val="left"/>
        <w:tblInd w:w="84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significant operational involvement;</w:t>
            </w:r>
          </w:p>
        </w:tc>
      </w:tr>
    </w:tbl>
    <w:tbl>
      <w:tblPr>
        <w:tblW w:w="2451" w:type="dxa"/>
        <w:jc w:val="left"/>
        <w:tblInd w:w="84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personal guarantees;</w:t>
            </w:r>
          </w:p>
        </w:tc>
      </w:tr>
    </w:tbl>
    <w:tbl>
      <w:tblPr>
        <w:tblW w:w="3186" w:type="dxa"/>
        <w:jc w:val="left"/>
        <w:tblInd w:w="84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very modest dilution, if any; and</w:t>
            </w:r>
          </w:p>
        </w:tc>
      </w:tr>
    </w:tbl>
    <w:tbl>
      <w:tblPr>
        <w:tblW w:w="4671" w:type="dxa"/>
        <w:jc w:val="left"/>
        <w:tblInd w:w="84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loss of managerial control or forced redemption.</w:t>
            </w:r>
          </w:p>
        </w:tc>
      </w:tr>
    </w:tbl>
    <w:p>
      <w:pPr>
        <w:pStyle w:val="TextBody"/>
        <w:bidi w:val="0"/>
        <w:spacing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Large and Growing Market for Debt Financing to Venture Capital-Backed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 xml:space="preserve">Healthy, stable venture environment: </w:t>
      </w:r>
      <w:r>
        <w:rPr>
          <w:rFonts w:ascii="Times New Roman;Times;serif" w:hAnsi="Times New Roman;Times;serif"/>
          <w:color w:val="231F20"/>
          <w:sz w:val="20"/>
          <w:bdr w:val="single" w:sz="2" w:space="4" w:color="000000"/>
        </w:rPr>
        <w:t>Approximately 14,716 companies received venture capital financing in 2025, according to the Pitchbook-NVCA Venture Monitor, a quarterly report published jointly by NVCA and Pitchbook on venture capital activity (“Pitchbook-NVCA”). Despite the broader economic challenges of 2025, we anticipate that the market for borrowers will gradually improve over the coming quarters. The venture debt lending market, as defined in the Q4 2025 Pitchbook-NVCA Venture Monitor, is estimated at $62.4 billion, or roughly 18.4% of total U.S. venture capital deal value.</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S-4</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 xml:space="preserve">Growing pool of target companies: </w:t>
      </w:r>
      <w:r>
        <w:rPr>
          <w:rFonts w:ascii="Times New Roman;Times;serif" w:hAnsi="Times New Roman;Times;serif"/>
          <w:color w:val="231F20"/>
          <w:sz w:val="20"/>
          <w:bdr w:val="single" w:sz="2" w:space="4" w:color="000000"/>
        </w:rPr>
        <w:t>The time from initial venture capital investment to exit of such investment, either by an initial public offering or merger and acquisition transaction, compressed slightly over the last couple of years, but increased slightly in 2025 to an average of 6.2 years. According to the Q4 2025 Pitchbook-NVCA Venture Monitor, in 2025, the median number of years from initial venture investment to initial public offering of a U.S. venture capital-backed company was 7.4 years, and the median number of years from initial venture investment to merger and acquisition transaction was 4.7 years. Exit transactions are a small proportion of companies financed by venture capital each year. As a result, the pool of target companies has grown larger with increased demand for private capital.</w:t>
      </w:r>
    </w:p>
    <w:p>
      <w:pPr>
        <w:pStyle w:val="TextBody"/>
        <w:bidi w:val="0"/>
        <w:spacing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Highly Fragmented, Underserved Market with High Barriers to Entry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color w:val="231F20"/>
          <w:sz w:val="20"/>
          <w:bdr w:val="single" w:sz="2" w:space="4" w:color="000000"/>
        </w:rPr>
        <w:t>Unfulfilled demand and limited competition</w:t>
      </w:r>
      <w:r>
        <w:rPr>
          <w:rFonts w:ascii="Times New Roman;Times;serif" w:hAnsi="Times New Roman;Times;serif"/>
          <w:color w:val="231F20"/>
          <w:sz w:val="20"/>
          <w:bdr w:val="single" w:sz="2" w:space="4" w:color="000000"/>
        </w:rPr>
        <w:t>: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Competitive Advantages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we are well positioned to address the market for growth lending in a manner that will result in a competitive advantage over other established sponsored growth lenders. We believe our competitive strengths and key differentiators include: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color w:val="231F20"/>
          <w:sz w:val="20"/>
          <w:bdr w:val="single" w:sz="2" w:space="4" w:color="000000"/>
        </w:rPr>
        <w:t xml:space="preserve">Experienced, Proven Management Team Supported by a Deep Bench of Dedicated Investment Professionals. </w:t>
      </w:r>
      <w:r>
        <w:rPr>
          <w:rFonts w:ascii="Times New Roman;Times;serif" w:hAnsi="Times New Roman;Times;serif"/>
          <w:color w:val="231F20"/>
          <w:sz w:val="20"/>
          <w:bdr w:val="single" w:sz="2" w:space="4" w:color="000000"/>
        </w:rPr>
        <w:t>Runway Growth Capital’s executive team, with an average of more than 35 years of experience, and our senior investment professionals, including origination and underwriting, with an average of 21 years of experience, have developed a disciplined and repeatable approach to investing and managing investments in high-growth potential businesses. We believe that the experience, relationships and disciplined investment and risk management processes of Runway Growth Capital’s investment professionals are a competitive advantage for us.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Our President and Chief Executive Officer, David Spreng, who is also the founder and Chief Executive Officer of Runway Growth Capital, has a unique combination of experience as a senior executive of a $20 billion asset management firm and over 30 years as a venture capital equity and debt investor. Mr. Spreng has been a leader in applying risk management processes to investing in equity and debt of small, fast- growing, private companies. Our Chief Financial Officer, Chief Operating Officer, Treasurer and Secretary, Thomas Raterman, has more than 30 years of corporate finance, investment banking, private equity and financial executive management experience with rapidly growing entrepreneurial companies. Greg Greifeld, Chief Investment Officer at Runway Growth Capital, has over 16 years of lending, venture capital, and investment management experience.</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Runway Growth Capital has a broad team of professionals focused on every aspect of the investment lifecycle. Runway Growth Capital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S-5</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color w:val="231F20"/>
          <w:sz w:val="20"/>
          <w:bdr w:val="single" w:sz="2" w:space="4" w:color="000000"/>
        </w:rPr>
        <w:t>Provide Capital to Robust, High-Growth Venture-Backed Companies</w:t>
      </w:r>
      <w:r>
        <w:rPr>
          <w:rFonts w:ascii="Times New Roman;Times;serif" w:hAnsi="Times New Roman;Times;serif"/>
          <w:color w:val="231F20"/>
          <w:sz w:val="20"/>
          <w:bdr w:val="single" w:sz="2" w:space="4" w:color="000000"/>
        </w:rPr>
        <w:t>. We believe we are favorably positioned within the venture lending ecosystem, targeting primarily growth-focused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2025 Pitchbook-NVCA Venture Monitor and Pitchbook-NVCA industry classifications, venture capital deal volume in the technology industry totaled approximately $313.8 billion in 2025, representing a 16.2% CAGR from 2015 to 2025. Venture capital deal volume in the life sciences industry totaled approximately $36.3 billion in 2025, representing an 8.0% CAGR from 2015 to 2025. We believe companies within these industries can often be characterized as having asset-light business models, attractive recurring revenue streams and strong growth trajectories.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invest across industries to diversify risk and deliver more stable returns. The investment professionals at Runway Growth Capital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fastest-growing companies in the United States.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color w:val="231F20"/>
          <w:sz w:val="20"/>
          <w:bdr w:val="single" w:sz="2" w:space="4" w:color="000000"/>
        </w:rPr>
        <w:t>Robust, Disciplined Investment Process and Credit Analysis</w:t>
      </w:r>
      <w:r>
        <w:rPr>
          <w:rFonts w:ascii="Times New Roman;Times;serif" w:hAnsi="Times New Roman;Times;serif"/>
          <w:color w:val="231F20"/>
          <w:sz w:val="20"/>
          <w:bdr w:val="single" w:sz="2" w:space="4" w:color="000000"/>
        </w:rPr>
        <w:t>. Runway Growth Capital’s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color w:val="231F20"/>
          <w:sz w:val="20"/>
          <w:bdr w:val="single" w:sz="2" w:space="4" w:color="000000"/>
        </w:rPr>
        <w:t>Proprietary Risk Analytics and Return Optimization</w:t>
      </w:r>
      <w:r>
        <w:rPr>
          <w:rFonts w:ascii="Times New Roman;Times;serif" w:hAnsi="Times New Roman;Times;serif"/>
          <w:color w:val="231F20"/>
          <w:sz w:val="20"/>
          <w:bdr w:val="single" w:sz="2" w:space="4" w:color="000000"/>
        </w:rPr>
        <w:t>. Over the past 20 years, Runway Growth Capital’s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color w:val="231F20"/>
          <w:sz w:val="20"/>
          <w:bdr w:val="single" w:sz="2" w:space="4" w:color="000000"/>
        </w:rPr>
        <w:t>Flexible, Opportunity-Specific Pricing and Structure</w:t>
      </w:r>
      <w:r>
        <w:rPr>
          <w:rFonts w:ascii="Times New Roman;Times;serif" w:hAnsi="Times New Roman;Times;serif"/>
          <w:color w:val="231F20"/>
          <w:sz w:val="20"/>
          <w:bdr w:val="single" w:sz="2" w:space="4" w:color="000000"/>
        </w:rPr>
        <w:t>. Runway Growth Capital’s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but have been unable to access sufficient capital to fund current growth opportunities. We believe that gaining a comprehensive picture of an opportunity based on Runway Growth Capital’s defined assessment factors allows us to be more flexible, to identify price and structure inefficiencies in the debt market, better support our portfolio companies, and to maximize loan and warrant returns while minimizing losses. In our Sponsored Growth Lending and Non-Sponsored Growth Lending strategies, we target our loan to be less than 25% of enterprise value at inception.</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S-6</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color w:val="231F20"/>
          <w:sz w:val="20"/>
          <w:bdr w:val="single" w:sz="2" w:space="4" w:color="000000"/>
        </w:rPr>
        <w:t>Strong Reputation and Deep Relationships</w:t>
      </w:r>
      <w:r>
        <w:rPr>
          <w:rFonts w:ascii="Times New Roman;Times;serif" w:hAnsi="Times New Roman;Times;serif"/>
          <w:color w:val="231F20"/>
          <w:sz w:val="20"/>
          <w:bdr w:val="single" w:sz="2" w:space="4" w:color="000000"/>
        </w:rPr>
        <w:t>. Runway Growth Capital’s senior investment professionals enjoy reputations as innovative thought leaders, ingrained in the fabric of the venture community. Runway Growth Capital’s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Runway Growth Capital’s senior investment professionals also have established a network of relationships over two decades with various venture capital firms, venture banks, institutional investors, entrepreneurs and other venture capital market participants, which has allowed Runway Growth Capital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Company Information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color w:val="231F20"/>
          <w:sz w:val="20"/>
          <w:bdr w:val="single" w:sz="2" w:space="4" w:color="000000"/>
        </w:rPr>
        <w:t xml:space="preserve">Our corporate headquarters are located at 205 N. Michigan Ave., Suite 4200, Chicago, IL 60601, and our telephone number is (312) 698-6902. Our corporate website is located at </w:t>
      </w:r>
      <w:r>
        <w:rPr>
          <w:rFonts w:ascii="Times New Roman;Times;serif" w:hAnsi="Times New Roman;Times;serif"/>
          <w:i/>
          <w:color w:val="231F20"/>
          <w:sz w:val="20"/>
          <w:bdr w:val="single" w:sz="2" w:space="4" w:color="000000"/>
        </w:rPr>
        <w:t>https://investors.runwaygrowth.com</w:t>
      </w:r>
      <w:r>
        <w:rPr>
          <w:rFonts w:ascii="Times New Roman;Times;serif" w:hAnsi="Times New Roman;Times;serif"/>
          <w:color w:val="231F20"/>
          <w:sz w:val="20"/>
          <w:bdr w:val="single" w:sz="2" w:space="4" w:color="000000"/>
        </w:rPr>
        <w:t>.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pStyle w:val="TextBody"/>
        <w:bidi w:val="0"/>
        <w:spacing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Recent Developments</w:t>
      </w:r>
    </w:p>
    <w:p>
      <w:pPr>
        <w:pStyle w:val="TextBody"/>
        <w:bidi w:val="0"/>
        <w:spacing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 xml:space="preserve">January 2026 Financial Update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On January 26, 2026, we released management’s preliminary estimates of certain financial results for the fiscal quarter and year ended December 31, 2025. </w:t>
      </w:r>
    </w:p>
    <w:p>
      <w:pPr>
        <w:pStyle w:val="TextBody"/>
        <w:bidi w:val="0"/>
        <w:spacing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 xml:space="preserve">Preliminary Estimates of Certain Financial Results </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Management’s unaudited estimate of the range of our net asset value per share of our common stock at December 31, 2025 is between $13.41 and $13.43. </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Management’s unaudited estimate of the range of our net investment income per share of our common stock for the period ended December 31, 2025 is between $0.31 and $0.33.</w:t>
            </w:r>
          </w:p>
        </w:tc>
      </w:tr>
    </w:tbl>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These preliminary financial estimates are based on management’s preliminary determinations and current expectations as of the date of this prospectus supplement, and such information is inherently uncertain. The preliminary estimates provided herein have been prepared by, and are the responsibility of, management of the Company. The Company’s independent registered public accounting firm has not audited, reviewed, compiled, or performed any procedures with respect to the preliminary estimates, and, accordingly, does not express an opinion or any form of assurance with respect thereto.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These preliminary financial estimates are subject to completion of the Company’s financial closing and review procedures and are not a comprehensive statement of the Company’s financial results or valuations as of, or for the period ended, December 31, 2025. Actual results, including those set forth in the Company’s annual report on Form 10-K for the fiscal year ended December 31, 2025, may differ materially from these preliminary financial estimates as a result of the completion of the Company’s financial closing and review procedures, final adjustments, valuation process and other developments that may arise between now and the time that the Company’s financial results for such period are finalized. </w:t>
      </w:r>
    </w:p>
    <w:p>
      <w:pPr>
        <w:pStyle w:val="TextBody"/>
        <w:bidi w:val="0"/>
        <w:spacing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 xml:space="preserve">Repayment of the April 2026 Notes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The 8.54% Series 2023A Senior Notes due 2026 (the “April 2026 Notes”) bore an interest rate of 8.54% per year and were due on April 13, 2026, unless redeemed, purchased or prepaid prior to such date by us or our affiliates in accordance with their terms. The April 2026 Notes were repaid in full on January 21, 2026 and are no longer outstanding. Interest on the April 2026 Notes was due semiannually in arrears on April 13 and October 13 of each year. </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S-7</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 xml:space="preserve">SWK Agreement and Plan of Merger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On October 9, 2025, we entered into an Agreement and Plan of Merger (the “Merger Agreement”) with RWAY Portfolio Holding Corp., a Delaware corporation and our direct wholly owned subsidiary (“Intermediary Sub”), RWAY Portfolio Corp., a Delaware corporation and a direct wholly owned subsidiary of Intermediary Sub (“Acquisition Sub”), Runway Growth Capital and SWK Holdings Corporation, a Delaware corporation (“SWK”). The Merger Agreement provides that, subject to the conditions set forth in the Merger Agreement, Acquisition Sub will merge with and into SWK, with SWK continuing as the surviving company and as a wholly owned subsidiary of Intermediary Sub, or, in the alternative, SWK will merge with and into Acquisition Sub, with Acquisition Sub continuing as the surviving company and as a wholly owned subsidiary of Intermediary Sub (in either case, the “First Merger”). Immediately after the effectiveness of the First Merger, SWK or Acquisition Sub, as applicable, will merge with and into Intermediary Sub (the “Second Merger”), with Intermediary Sub continuing as the surviving company and as our wholly owned subsidiary. Immediately after the effectiveness of the Second Merger, Intermediary Sub will merge with and into us (the “Third Merger” and together with the First Merger and the Second Merger, the “Mergers”), and we will continue as the surviving corporation. The Board of Directors and the board of directors of SWK have approved, among other things, the Merger Agreement and the transactions contemplated thereby (the “Transactions”).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Subject to the terms and conditions of the Merger Agreement, at the time a certificate of merger with respect to the First Merger is executed and filed with the Secretary of State of the State of Delaware as provided under the Delaware General Corporation Law (the “Effective Time”), each share of common stock, par value $0.001 per share, of SWK (“SWK Common Stock”) issued and outstanding immediately prior to the Effective Time (other than shares of SWK Common Stock held by a subsidiary of SWK or held, directly or indirectly, by us or any of our consolidated subsidiaries, including Intermediary Sub and Acquisition Sub and all treasury shares (the “Cancelled Shares”)) will be converted, at the election of the respective SWK stockholder, into the right to receive newly issued shares of our common stock, par value $0.01 per share (“Common Stock”), equal to the Exchange Ratio (as defined below) (the “Per Share Stock Consideration”) or an amount of cash equal to the SWK Per Share NAV (as defined below) (the “Per Share Cash Consideration” and, together with the Per Share Stock Consideration, the “Total Per Share Merger Consideration”) and, in either case, an amount of cash, to be provided by Runway Growth Capital, equal to the quotient of (i) $9.0 million divided by (ii) the number of shares of SWK Common Stock issued and outstanding as of the Determination Date (as defined below) (excluding any Cancelled Shares).</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Two (2) days (excluding Sundays and holidays) prior to the Effective Time (such date, the “Determination Date”), the Company and SWK will deliver to the other a calculation of its net asset value as of such date (such calculation with respect to SWK, the “Closing SWK NAV” and such calculation with respect to us, the “Closing RWAY NAV”), in each case calculated in good faith and determined in accordance with the accounting and reporting guidance set forth in the Financial Accounting Standards Board’s Accounting Standards Codification Topic 946, “Financial Services — Investment Companies,” as modified pursuant to the terms of the Merger Agreement. Based on such calculations, the parties will calculate: (1) the “SWK Per Share NAV,”which will be equal to (i) the Closing SWK NAV divided by (ii) the number of shares of SWK Common Stock issued and outstanding as of the Determination Date (excluding the Cancelled Shares) and (2) the “RWAY Per Share NAV,” which will be equal to (i) the Closing RWAY NAV divided by (ii) the number of shares of our Common Stock issued and outstanding as of the Determination Date. The “Exchange Ratio” will be equal to the quotient (rounded to four decimal places) of (i) the SWK Per Share NAV divided by (ii) the RWAY Per Share NAV.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and SWK will update and redeliver the Closing RWAY NAV or the Closing SWK NAV, as applicable, in the event that the closing of the Mergers is subsequently materially delayed or there is a material change to either such calculation between the Determination Date and the closing of the Mergers and as needed to ensure that the calculation is determined within two (2) days (excluding Sundays and holidays) prior to the Effective Time.</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The Merger Agreement contains customary pre-closing covenants, including covenants requiring the Company and/or SWK, as applicable, to (i) use reasonable best efforts to cause the consummation of the Transactions, (ii) conduct its business in the ordinary course, (iii) cooperate with the other party in the preparation and filing of a registration statement on Form N-14, (iv) duly call, give notice of, convene and hold a special meeting of stockholders of SWK, (v) obtain certain regulatory and third party consents and (vi) refrain from taking, or causing their respective subsidiaries to take, certain actions prior to the consummation of the Mergers without, with respect to us, SWK’s consent and, with respect to SWK, our consent (which consent in each case is not to be unreasonably withheld, delayed or conditioned).</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S-8</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The consummation of the Mergers is subject to the satisfaction or (to the extent permitted by law) waiver of certain customary closing conditions, including effectiveness of the Registration Statement, approval by SWK’s stockholders, absence of a material adverse effect and certain other closing conditions set forth in the Merger Agreement. The obligation of each party to consummate the Mergers is also conditioned upon the other party’s representations and warranties being true and correct (subject to certain materiality exceptions) and the other party having performed in all material respects its obligations under the Merger Agreement. Further, the Merger Agreement provides that SWK will not be obligated to consummate the Mergers should the amount by which a third-party valuation firm values the portfolio assets of SWK as of the Determination Date (as adjusted pursuant to the terms of the Merger Agreement) be more than $5.0 million less than SWK’s good faith determination of the carrying value of the underlying portfolio assets of SWK as of 5:00 p.m. New York City time on the Determination Date (as reflected in the books and records of SWK, determined in accordance with generally accepted accounting principles and in a manner consistent with SWK’s historical calculation of the carrying value of such assets).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On December 2, 2025, the U.S. Federal Trade Commission notified us that early termination of the waiting period under the Hart-Scott-Rodino Antitrust Improvements Act of 1976 was granted effective immediately with respect to the Mergers, satisfying one of the conditions to the consummation of the Mergers. The consummation of the Mergers is conditioned upon other customary closing conditions, including the approval by SWK’s stockholders as specified in the Merger Agreement. </w:t>
      </w:r>
    </w:p>
    <w:p>
      <w:pPr>
        <w:pStyle w:val="TextBody"/>
        <w:bidi w:val="0"/>
        <w:spacing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 xml:space="preserve">Key Stockholder Agreement </w:t>
      </w:r>
    </w:p>
    <w:p>
      <w:pPr>
        <w:pStyle w:val="TextBody"/>
        <w:bidi w:val="0"/>
        <w:spacing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Concurrently with us entering into the Merger Agreement, we also entered into a key stockholder agreement (the “Key Stockholder Agreement”) with Double Black Diamond Offshore Ltd., a Cayman Islands exempted company (the “Key Stockholder”), and, solely for the purposes of Section 4 thereof, Black Diamond Offshore Ltd., a Cayman Islands exempted company. The Key Stockholder owns 8,493,088 shares of SWK Common Stock, representing in the aggregate approximately 69.9% of the outstanding shares of SWK Common Stock as of October 9, 2025. Pursuant to the Key Stockholder Agreement, the Key Stockholder has agreed to vote such shares of SWK Common Stock in favor of the approval and adoption of the Merger Agreement. Additionally, pursuant to the Key Stockholder Agreement, the Key Stockholder has agreed to refrain from, directly or indirectly, absent our prior written consent: (A)(i) engaging in or becoming a participant in any “solicitation” (as such term is used in the proxy rules of the SEC, but without regard to the exclusion set forth in Rule 14a-1(l)(2)(iv) of the Securities Exchange Act of 1934, as amended (the “Exchange Act”)), with respect to us, our Common Stock or any of our other voting securities, of proxies or consents; or conducting any non-binding referendum with respect to any matter or proposal to be voted on by holders of our Common Stock or other voting securities, or (ii) making any public statement in support of any third-party solicitation or referendum with respect to us, our Common Stock or any of our other voting securities; (B) seeking or proposing, alone or in concert with others, to have Runway Growth Capital terminated or replaced, to prevent the adoption of the Advisory Agreement, or to have the Advisory Agreement terminated, amended, modified or otherwise replaced or canceled; (C)(i) seeking or proposing, alone or in concert with others, election or appointment to, or representation on, the Board of Directors; or nominating or proposing the nomination of, or recommending the nomination of, any candidate to the Board of Directors, or (ii) seeking or proposing, alone or in concert with others, the removal of any member of the Board of Directors; (D)(i) seeking or proposing, alone or in concert with others, to call a meeting of our stockholders, or (ii) making or being the proponent of any stockholder proposal (pursuant to Rule 14a-8 under the Exchange Act or otherwise) for consideration by our stockholders; or (E) publicly disclosing any intention, plan or arrangement to take any action inconsistent with the provisions of sections (A) through (D) above.</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S-9</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color w:val="231F20"/>
          <w:sz w:val="20"/>
          <w:bdr w:val="single" w:sz="2" w:space="4" w:color="000000"/>
        </w:rPr>
      </w:pPr>
      <w:bookmarkStart w:id="8" w:name="THEOFFERING_344489"/>
      <w:bookmarkStart w:id="9" w:name="_7201cafc_aa9b_4b37_9e1e_976634bb6888"/>
      <w:bookmarkEnd w:id="8"/>
      <w:bookmarkEnd w:id="9"/>
      <w:r>
        <w:rPr>
          <w:rFonts w:ascii="Times New Roman;Times;serif" w:hAnsi="Times New Roman;Times;serif"/>
          <w:b/>
          <w:color w:val="231F20"/>
          <w:sz w:val="20"/>
          <w:bdr w:val="single" w:sz="2" w:space="4" w:color="000000"/>
        </w:rPr>
        <w:t>THE OFFERING</w:t>
      </w:r>
    </w:p>
    <w:p>
      <w:pPr>
        <w:pStyle w:val="TextBody"/>
        <w:bidi w:val="0"/>
        <w:spacing w:before="0" w:after="240"/>
        <w:ind w:left="840" w:right="840" w:firstLine="36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w:t>
      </w:r>
    </w:p>
    <w:tbl>
      <w:tblPr>
        <w:tblW w:w="8525" w:type="dxa"/>
        <w:jc w:val="left"/>
        <w:tblInd w:w="840" w:type="dxa"/>
        <w:tblLayout w:type="fixed"/>
        <w:tblCellMar>
          <w:top w:w="0" w:type="dxa"/>
          <w:left w:w="0" w:type="dxa"/>
          <w:bottom w:w="0" w:type="dxa"/>
          <w:right w:w="0" w:type="dxa"/>
        </w:tblCellMar>
      </w:tblPr>
      <w:tblGrid>
        <w:gridCol w:w="1878"/>
        <w:gridCol w:w="346"/>
        <w:gridCol w:w="6301"/>
      </w:tblGrid>
      <w:tr>
        <w:trPr/>
        <w:tc>
          <w:tcPr>
            <w:tcW w:w="18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ind w:left="0" w:right="0" w:hanging="0"/>
              <w:jc w:val="left"/>
              <w:rPr>
                <w:sz w:val="4"/>
                <w:szCs w:val="4"/>
              </w:rPr>
            </w:pPr>
            <w:r>
              <w:rPr>
                <w:sz w:val="4"/>
                <w:szCs w:val="4"/>
              </w:rPr>
            </w:r>
          </w:p>
        </w:tc>
      </w:tr>
      <w:tr>
        <w:trPr/>
        <w:tc>
          <w:tcPr>
            <w:tcW w:w="187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6301" w:type="dxa"/>
            <w:tcBorders/>
            <w:vAlign w:val="center"/>
          </w:tcPr>
          <w:p>
            <w:pPr>
              <w:pStyle w:val="TableContents"/>
              <w:bidi w:val="0"/>
              <w:spacing w:before="0" w:after="283"/>
              <w:ind w:left="0" w:right="0" w:hanging="0"/>
              <w:jc w:val="left"/>
              <w:rPr>
                <w:sz w:val="4"/>
                <w:szCs w:val="4"/>
              </w:rPr>
            </w:pPr>
            <w:r>
              <w:rPr>
                <w:sz w:val="4"/>
                <w:szCs w:val="4"/>
              </w:rPr>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Issuer</w:t>
            </w:r>
          </w:p>
        </w:tc>
        <w:tc>
          <w:tcPr>
            <w:tcW w:w="346" w:type="dxa"/>
            <w:tcBorders/>
            <w:vAlign w:val="center"/>
          </w:tcPr>
          <w:p>
            <w:pPr>
              <w:pStyle w:val="TableContents"/>
              <w:bidi w:val="0"/>
              <w:spacing w:before="0" w:after="0"/>
              <w:ind w:left="0" w:right="0" w:hanging="0"/>
              <w:jc w:val="both"/>
              <w:rPr>
                <w:color w:val="231F20"/>
              </w:rPr>
            </w:pPr>
            <w:r>
              <w:rPr>
                <w:color w:val="231F20"/>
              </w:rPr>
              <w:t>  ​ ​ ​</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Runway Growth Finance Corp.</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Title of the securities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7.25% Notes due 2031</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Initial aggregate principal amount being offered</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$100,000,000</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Overallotment Option</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underwriters may also purchase from us up to an additional $15,000,000 aggregate principal amount of Notes to cover overallotments, if any, within 30 days of the date of this prospectus supplement.</w:t>
            </w:r>
          </w:p>
        </w:tc>
      </w:tr>
      <w:tr>
        <w:trPr/>
        <w:tc>
          <w:tcPr>
            <w:tcW w:w="1878"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Listing</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We intend to list the Notes on the Nasdaq Global Select Market (“Nasdaq”) within 30 days of the original issue date under the trading symbol “RWAYI.”</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rate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7.25% per year</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Stated maturity</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February 3, 2031, unless redeemed prior to maturity.</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payment dates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Each March 1, June 1, September 1 and December 1, commencing March 1, 2026. If an interest payment date falls on a non-business day, the applicable interest payment will be made on the next business day and no additional interest will accrue as a result of </w:t>
            </w:r>
          </w:p>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such delayed payment.</w:t>
            </w:r>
          </w:p>
        </w:tc>
      </w:tr>
      <w:tr>
        <w:trPr/>
        <w:tc>
          <w:tcPr>
            <w:tcW w:w="1878" w:type="dxa"/>
            <w:tcBorders/>
            <w:vAlign w:val="center"/>
          </w:tcPr>
          <w:p>
            <w:pPr>
              <w:pStyle w:val="TableContents"/>
              <w:pBdr/>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6301" w:type="dxa"/>
            <w:tcBorders/>
            <w:vAlign w:val="center"/>
          </w:tcPr>
          <w:p>
            <w:pPr>
              <w:pStyle w:val="TableContents"/>
              <w:bidi w:val="0"/>
              <w:spacing w:before="0" w:after="0"/>
              <w:ind w:left="0" w:right="0" w:hanging="0"/>
              <w:jc w:val="left"/>
              <w:rPr>
                <w:color w:val="231F20"/>
              </w:rPr>
            </w:pPr>
            <w:r>
              <w:rPr>
                <w:color w:val="231F20"/>
              </w:rPr>
              <w:t>​</w:t>
            </w:r>
          </w:p>
        </w:tc>
      </w:tr>
      <w:tr>
        <w:trPr/>
        <w:tc>
          <w:tcPr>
            <w:tcW w:w="18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Ranking of Notes</w:t>
            </w:r>
          </w:p>
        </w:tc>
        <w:tc>
          <w:tcPr>
            <w:tcW w:w="346" w:type="dxa"/>
            <w:tcBorders/>
            <w:vAlign w:val="center"/>
          </w:tcPr>
          <w:p>
            <w:pPr>
              <w:pStyle w:val="TableContents"/>
              <w:bidi w:val="0"/>
              <w:spacing w:before="0" w:after="200"/>
              <w:ind w:left="0" w:right="0" w:hanging="0"/>
              <w:jc w:val="left"/>
              <w:rPr>
                <w:color w:val="231F20"/>
              </w:rPr>
            </w:pPr>
            <w:r>
              <w:rPr>
                <w:color w:val="231F20"/>
              </w:rPr>
              <w:t>​</w:t>
            </w:r>
          </w:p>
        </w:tc>
        <w:tc>
          <w:tcPr>
            <w:tcW w:w="6301" w:type="dxa"/>
            <w:tcBorders/>
            <w:vAlign w:val="center"/>
          </w:tcPr>
          <w:p>
            <w:pPr>
              <w:pStyle w:val="TableContents"/>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will be our direct unsecured obligations and will rank:</w:t>
            </w:r>
          </w:p>
          <w:p>
            <w:pPr>
              <w:pStyle w:val="TableContents"/>
              <w:bidi w:val="0"/>
              <w:spacing w:lineRule="auto" w:line="328" w:before="0" w:after="200"/>
              <w:jc w:val="left"/>
              <w:rPr/>
            </w:pPr>
            <w:r>
              <w:rPr/>
              <w:t>●</w:t>
            </w:r>
          </w:p>
          <w:p>
            <w:pPr>
              <w:pStyle w:val="TableContents"/>
              <w:bidi w:val="0"/>
              <w:spacing w:lineRule="auto" w:line="328" w:before="0" w:after="200"/>
              <w:jc w:val="left"/>
              <w:rPr>
                <w:rFonts w:ascii="Times New Roman;Times;serif" w:hAnsi="Times New Roman;Times;serif"/>
                <w:sz w:val="20"/>
              </w:rPr>
            </w:pPr>
            <w:r>
              <w:rPr>
                <w:rFonts w:ascii="Times New Roman;Times;serif" w:hAnsi="Times New Roman;Times;serif"/>
                <w:b w:val="false"/>
                <w:i/>
                <w:color w:val="231F20"/>
                <w:sz w:val="20"/>
              </w:rPr>
              <w:t>pari passu</w:t>
            </w:r>
            <w:r>
              <w:rPr>
                <w:rFonts w:ascii="Times New Roman;Times;serif" w:hAnsi="Times New Roman;Times;serif"/>
                <w:caps w:val="false"/>
                <w:smallCaps w:val="false"/>
                <w:color w:val="231F20"/>
                <w:sz w:val="20"/>
              </w:rPr>
              <w:t xml:space="preserve"> </w:t>
            </w:r>
            <w:r>
              <w:rPr>
                <w:rFonts w:ascii="Times New Roman;Times;serif" w:hAnsi="Times New Roman;Times;serif"/>
                <w:b w:val="false"/>
                <w:i w:val="false"/>
                <w:caps w:val="false"/>
                <w:smallCaps w:val="false"/>
                <w:color w:val="231F20"/>
                <w:sz w:val="20"/>
              </w:rPr>
              <w:t>with our current and future unsecured, unsubordinated indebtedness, including the 7.50% Notes due 2027 (the “July 2027 Notes”), the 8.00% Notes due 2027 (the “December 2027 Notes”) and the 7.51% Series 2025A Senior Notes due 2028 (the “April 2028 Notes”);</w:t>
            </w:r>
          </w:p>
          <w:p>
            <w:pPr>
              <w:pStyle w:val="TableContents"/>
              <w:bidi w:val="0"/>
              <w:spacing w:lineRule="auto" w:line="328" w:before="0" w:after="200"/>
              <w:jc w:val="left"/>
              <w:rPr/>
            </w:pPr>
            <w:r>
              <w:rPr/>
              <w:t>●</w:t>
            </w:r>
          </w:p>
          <w:p>
            <w:pPr>
              <w:pStyle w:val="TableContents"/>
              <w:bidi w:val="0"/>
              <w:spacing w:lineRule="auto" w:line="328"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to any of our future indebtedness that expressly provides it is subordinated to the Notes;</w:t>
            </w:r>
          </w:p>
          <w:p>
            <w:pPr>
              <w:pStyle w:val="TableContents"/>
              <w:bidi w:val="0"/>
              <w:spacing w:lineRule="auto" w:line="328" w:before="0" w:after="200"/>
              <w:jc w:val="left"/>
              <w:rPr>
                <w:color w:val="231F20"/>
              </w:rPr>
            </w:pPr>
            <w:r>
              <w:rPr>
                <w:color w:val="231F20"/>
              </w:rPr>
              <w:t>●</w:t>
            </w:r>
          </w:p>
          <w:p>
            <w:pPr>
              <w:pStyle w:val="TableContents"/>
              <w:bidi w:val="0"/>
              <w:spacing w:lineRule="auto" w:line="328" w:before="0" w:after="20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effectively subordinated to all of our existing and future secured indebtedness (including indebtedness that is initially unsecured to which we subsequently grant security), to the extent of the value of the assets securing such indebtedness, including debt outstanding under our Credit Facility; and</w:t>
            </w:r>
          </w:p>
          <w:p>
            <w:pPr>
              <w:pStyle w:val="TableContents"/>
              <w:bidi w:val="0"/>
              <w:spacing w:lineRule="auto" w:line="328" w:before="0" w:after="0"/>
              <w:jc w:val="left"/>
              <w:rPr>
                <w:color w:val="231F20"/>
              </w:rPr>
            </w:pPr>
            <w:r>
              <w:rPr>
                <w:color w:val="231F20"/>
              </w:rPr>
              <w:t>●</w:t>
            </w:r>
          </w:p>
          <w:p>
            <w:pPr>
              <w:pStyle w:val="TableContents"/>
              <w:bidi w:val="0"/>
              <w:spacing w:lineRule="auto" w:line="328"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structurally subordinated to all existing and future indebtedness and other obligations of any of our subsidiaries, financing vehicles or similar facilities, including debt outstanding under our Credit Facility.</w:t>
            </w:r>
          </w:p>
        </w:tc>
      </w:tr>
    </w:tbl>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S-10</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0" w:type="dxa"/>
          <w:left w:w="0" w:type="dxa"/>
          <w:bottom w:w="0" w:type="dxa"/>
          <w:right w:w="0" w:type="dxa"/>
        </w:tblCellMar>
      </w:tblPr>
      <w:tblGrid>
        <w:gridCol w:w="1725"/>
        <w:gridCol w:w="6800"/>
      </w:tblGrid>
      <w:tr>
        <w:trPr/>
        <w:tc>
          <w:tcPr>
            <w:tcW w:w="1725" w:type="dxa"/>
            <w:tcBorders/>
            <w:vAlign w:val="center"/>
          </w:tcPr>
          <w:p>
            <w:pPr>
              <w:pStyle w:val="TableContents"/>
              <w:bidi w:val="0"/>
              <w:spacing w:before="0" w:after="283"/>
              <w:jc w:val="left"/>
              <w:rPr>
                <w:sz w:val="4"/>
                <w:szCs w:val="4"/>
              </w:rPr>
            </w:pPr>
            <w:r>
              <w:rPr>
                <w:sz w:val="4"/>
                <w:szCs w:val="4"/>
              </w:rPr>
            </w:r>
          </w:p>
        </w:tc>
        <w:tc>
          <w:tcPr>
            <w:tcW w:w="6800" w:type="dxa"/>
            <w:tcBorders/>
            <w:vAlign w:val="center"/>
          </w:tcPr>
          <w:p>
            <w:pPr>
              <w:pStyle w:val="TableContents"/>
              <w:bidi w:val="0"/>
              <w:spacing w:before="0" w:after="283"/>
              <w:ind w:left="0" w:right="0" w:hanging="0"/>
              <w:jc w:val="left"/>
              <w:rPr>
                <w:sz w:val="4"/>
                <w:szCs w:val="4"/>
              </w:rPr>
            </w:pPr>
            <w:r>
              <w:rPr>
                <w:sz w:val="4"/>
                <w:szCs w:val="4"/>
              </w:rPr>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231F20"/>
                <w:sz w:val="20"/>
              </w:rPr>
              <w:t>As of January 23, 2026, our total indebtedness was approximately $422.3 million, $183.0 million of which was secured indebtedness under our Credit Facility. After giving effect to the issuance of the Notes, assuming no repayment of amounts owed under our Credit</w:t>
            </w:r>
            <w:r>
              <w:rPr>
                <w:rFonts w:ascii="Times New Roman;Times;serif" w:hAnsi="Times New Roman;Times;serif"/>
                <w:sz w:val="20"/>
              </w:rPr>
              <w:t xml:space="preserve"> </w:t>
            </w:r>
            <w:r>
              <w:rPr>
                <w:rFonts w:ascii="Times New Roman;Times;serif" w:hAnsi="Times New Roman;Times;serif"/>
                <w:color w:val="231F20"/>
                <w:sz w:val="20"/>
              </w:rPr>
              <w:t>Facility or repayment of the December 2027 Notes or the July 2027 Notes, our total indebtedness would have been approximately $522.3 million aggregate principal amount outstanding as of January 23, 2026 (or approximately $537.3 million if the underwriters fully exercise their overallotment option).</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r>
        <w:trPr/>
        <w:tc>
          <w:tcPr>
            <w:tcW w:w="1725"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Denominations</w:t>
            </w:r>
          </w:p>
        </w:tc>
        <w:tc>
          <w:tcPr>
            <w:tcW w:w="680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We will issue the Notes in denominations of $25 and integral multiples of $25 in excess thereof.</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r>
        <w:trPr/>
        <w:tc>
          <w:tcPr>
            <w:tcW w:w="1725"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Use of Proceeds</w:t>
            </w:r>
          </w:p>
        </w:tc>
        <w:tc>
          <w:tcPr>
            <w:tcW w:w="6800"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color w:val="231F20"/>
                <w:sz w:val="20"/>
              </w:rPr>
              <w:t>We estimate that the net proceeds from the sale of the Notes in this offering will be approximately $96.75 million (or approximately</w:t>
            </w:r>
            <w:r>
              <w:rPr>
                <w:rFonts w:ascii="Times New Roman;Times;serif" w:hAnsi="Times New Roman;Times;serif"/>
                <w:sz w:val="20"/>
              </w:rPr>
              <w:t xml:space="preserve"> </w:t>
            </w:r>
            <w:r>
              <w:rPr>
                <w:rFonts w:ascii="Times New Roman;Times;serif" w:hAnsi="Times New Roman;Times;serif"/>
                <w:color w:val="231F20"/>
                <w:sz w:val="20"/>
              </w:rPr>
              <w:t>$111.30 million if the underwriters fully exercise their overallotment option), after deducting the underwriting discounts and commissions and estimated offering expenses.</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intend to use the net proceeds from this offering to repay outstanding indebtedness, including to redeem all of our outstanding December 2027 Notes, to redeem all or a portion of our outstanding July 2027 Notes and for general corporate purposes.</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January 23, 2026, we had $51.75 million of indebtedness outstanding under the December 2027 Notes, which bore interest at a rate of 8.00% as of such date. The December 2027 Notes mature on December 28, 2027. See the “Use of Proceeds” section of this prospectus supplement.</w:t>
            </w:r>
          </w:p>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 of January 23, 2026, we had $80.50 million of indebtedness outstanding under the July 2027 Notes, which bore interest at a rate of 7.50% as of such date. The July 2027 Notes mature on July 28, 2027. See the “Use of Proceeds” section of this prospectus supplement.</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r>
        <w:trPr/>
        <w:tc>
          <w:tcPr>
            <w:tcW w:w="1725"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Optional redemption</w:t>
            </w:r>
          </w:p>
        </w:tc>
        <w:tc>
          <w:tcPr>
            <w:tcW w:w="680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may be redeemed in whole or in part at any time or from time to time at our option on or after February 3, 2028, upon not less than 30 days nor more than 60 days written notice by mail prior to the date fixed for redemption thereof, at a redemption price of $25 per Note plus accrued and unpaid interest payments otherwise payable for the then-current quarterly interest period accrued to but not including the date fixed for redemption.</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r>
        <w:trPr/>
        <w:tc>
          <w:tcPr>
            <w:tcW w:w="1725"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Repayment at option of Holders</w:t>
            </w:r>
          </w:p>
        </w:tc>
        <w:tc>
          <w:tcPr>
            <w:tcW w:w="680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Holders will not have the option to have the Notes repaid prior to the stated maturity date.</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r>
        <w:trPr/>
        <w:tc>
          <w:tcPr>
            <w:tcW w:w="1725"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Governing Law</w:t>
            </w:r>
          </w:p>
        </w:tc>
        <w:tc>
          <w:tcPr>
            <w:tcW w:w="680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New York</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r>
        <w:trPr/>
        <w:tc>
          <w:tcPr>
            <w:tcW w:w="1725"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Trustee, Paying Agent, Registrar and Transfer Agent</w:t>
            </w:r>
          </w:p>
        </w:tc>
        <w:tc>
          <w:tcPr>
            <w:tcW w:w="6800"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U.S. Bank Trust Company, National Association</w:t>
            </w:r>
          </w:p>
        </w:tc>
      </w:tr>
      <w:tr>
        <w:trPr/>
        <w:tc>
          <w:tcPr>
            <w:tcW w:w="1725" w:type="dxa"/>
            <w:tcBorders/>
            <w:vAlign w:val="center"/>
          </w:tcPr>
          <w:p>
            <w:pPr>
              <w:pStyle w:val="TableContents"/>
              <w:pBdr/>
              <w:bidi w:val="0"/>
              <w:spacing w:before="0" w:after="0"/>
              <w:ind w:left="0" w:right="0" w:hanging="0"/>
              <w:jc w:val="left"/>
              <w:rPr>
                <w:color w:val="231F20"/>
              </w:rPr>
            </w:pPr>
            <w:r>
              <w:rPr>
                <w:color w:val="231F20"/>
              </w:rPr>
              <w:t>​</w:t>
            </w:r>
          </w:p>
        </w:tc>
        <w:tc>
          <w:tcPr>
            <w:tcW w:w="6800" w:type="dxa"/>
            <w:tcBorders/>
            <w:vAlign w:val="center"/>
          </w:tcPr>
          <w:p>
            <w:pPr>
              <w:pStyle w:val="TableContents"/>
              <w:bidi w:val="0"/>
              <w:spacing w:before="0" w:after="0"/>
              <w:ind w:left="0" w:right="0" w:hanging="0"/>
              <w:jc w:val="left"/>
              <w:rPr>
                <w:color w:val="231F20"/>
              </w:rPr>
            </w:pPr>
            <w:r>
              <w:rPr>
                <w:color w:val="231F20"/>
              </w:rPr>
              <w:t>​</w:t>
            </w:r>
          </w:p>
        </w:tc>
      </w:tr>
    </w:tbl>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S-11</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0" w:type="dxa"/>
          <w:left w:w="0" w:type="dxa"/>
          <w:bottom w:w="0" w:type="dxa"/>
          <w:right w:w="0" w:type="dxa"/>
        </w:tblCellMar>
      </w:tblPr>
      <w:tblGrid>
        <w:gridCol w:w="978"/>
        <w:gridCol w:w="7547"/>
      </w:tblGrid>
      <w:tr>
        <w:trPr/>
        <w:tc>
          <w:tcPr>
            <w:tcW w:w="978" w:type="dxa"/>
            <w:tcBorders/>
            <w:vAlign w:val="center"/>
          </w:tcPr>
          <w:p>
            <w:pPr>
              <w:pStyle w:val="TableContents"/>
              <w:bidi w:val="0"/>
              <w:spacing w:before="0" w:after="283"/>
              <w:jc w:val="left"/>
              <w:rPr>
                <w:sz w:val="4"/>
                <w:szCs w:val="4"/>
              </w:rPr>
            </w:pPr>
            <w:r>
              <w:rPr>
                <w:sz w:val="4"/>
                <w:szCs w:val="4"/>
              </w:rPr>
            </w:r>
          </w:p>
        </w:tc>
        <w:tc>
          <w:tcPr>
            <w:tcW w:w="7547" w:type="dxa"/>
            <w:tcBorders/>
            <w:vAlign w:val="center"/>
          </w:tcPr>
          <w:p>
            <w:pPr>
              <w:pStyle w:val="TableContents"/>
              <w:bidi w:val="0"/>
              <w:spacing w:before="0" w:after="283"/>
              <w:ind w:left="0" w:right="0" w:hanging="0"/>
              <w:jc w:val="left"/>
              <w:rPr>
                <w:sz w:val="4"/>
                <w:szCs w:val="4"/>
              </w:rPr>
            </w:pPr>
            <w:r>
              <w:rPr>
                <w:sz w:val="4"/>
                <w:szCs w:val="4"/>
              </w:rPr>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covenants</w:t>
            </w:r>
          </w:p>
        </w:tc>
        <w:tc>
          <w:tcPr>
            <w:tcW w:w="7547" w:type="dxa"/>
            <w:tcBorders/>
            <w:vAlign w:val="center"/>
          </w:tcPr>
          <w:p>
            <w:pPr>
              <w:pStyle w:val="TableContents"/>
              <w:bidi w:val="0"/>
              <w:spacing w:before="0" w:after="200"/>
              <w:ind w:left="0" w:right="0" w:hanging="0"/>
              <w:jc w:val="left"/>
              <w:rPr>
                <w:rFonts w:ascii="Times New Roman;Times;serif" w:hAnsi="Times New Roman;Times;serif"/>
                <w:color w:val="231F20"/>
                <w:sz w:val="20"/>
              </w:rPr>
            </w:pPr>
            <w:r>
              <w:rPr>
                <w:rFonts w:ascii="Times New Roman;Times;serif" w:hAnsi="Times New Roman;Times;serif"/>
                <w:color w:val="231F20"/>
                <w:sz w:val="20"/>
              </w:rPr>
              <w:t>In addition to any covenants described elsewhere in this prospectus supplement or the accompanying prospectus, the following covenants will apply to the Notes:</w:t>
            </w:r>
          </w:p>
          <w:p>
            <w:pPr>
              <w:pStyle w:val="TableContents"/>
              <w:bidi w:val="0"/>
              <w:spacing w:before="0" w:after="200"/>
              <w:jc w:val="left"/>
              <w:rPr/>
            </w:pPr>
            <w:r>
              <w:rPr/>
              <w:t>●</w:t>
            </w:r>
          </w:p>
          <w:p>
            <w:pPr>
              <w:pStyle w:val="TableContents"/>
              <w:bidi w:val="0"/>
              <w:spacing w:before="0" w:after="200"/>
              <w:jc w:val="left"/>
              <w:rPr>
                <w:rFonts w:ascii="Times New Roman;Times;serif" w:hAnsi="Times New Roman;Times;serif"/>
                <w:sz w:val="20"/>
              </w:rPr>
            </w:pPr>
            <w:r>
              <w:rPr>
                <w:rFonts w:ascii="Times New Roman;Times;serif" w:hAnsi="Times New Roman;Times;serif"/>
                <w:b w:val="false"/>
                <w:i w:val="false"/>
                <w:caps w:val="false"/>
                <w:smallCaps w:val="false"/>
                <w:sz w:val="20"/>
              </w:rPr>
              <w:t>We agree that for the period of time during which the Notes are outstanding, we will not violate, whether or not we are subject to, Section 18(a)(1)(A) as modified by Section 61(a) of the 1940 Act or any successor provisions, giving effect to any exemptive relief granted to us by the SEC. Currently, these provisions generally prohibit us from making additional borrowings, including through the</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issuance of additional debt or the sale of additional debt securities, unless our asset coverage, as defined in the 1940 Act, equals at least 150% after such borrowings.</w:t>
            </w:r>
          </w:p>
          <w:p>
            <w:pPr>
              <w:pStyle w:val="TableContents"/>
              <w:bidi w:val="0"/>
              <w:spacing w:before="0" w:after="200"/>
              <w:jc w:val="left"/>
              <w:rPr/>
            </w:pPr>
            <w:r>
              <w:rPr/>
              <w:t>●</w:t>
            </w:r>
          </w:p>
          <w:p>
            <w:pPr>
              <w:pStyle w:val="TableContents"/>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U.S. generally accepted accounting principles.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that for the period of time during which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under Section 18(a)(1)(B) as modified by Section 61(a)(2) of the 1940 Act or any successor provisions thereto of the 1940 Act, after deducting the amount of such dividend, distribution or purchase price, as the case may be, and in each case giving effect to any no-action relief granted by the SEC to another BDC and upon which we may reasonably rely (or to us if we determine to seek such similar no-action or other relief) permitting the BDC to declare any cash dividend or distribution notwithstanding the prohibition contained in Section 18(a)(1)(B) as modified by Section 61(a)(2) of the 1940 Act, in order to maintain such BDC’s status as a RIC under subchapter M of the Code.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the “Description of the Notes” section of this prospectus supplement for certain other covenants applicable to the Notes.</w:t>
            </w:r>
          </w:p>
        </w:tc>
      </w:tr>
      <w:tr>
        <w:trPr/>
        <w:tc>
          <w:tcPr>
            <w:tcW w:w="978" w:type="dxa"/>
            <w:tcBorders/>
            <w:vAlign w:val="center"/>
          </w:tcPr>
          <w:p>
            <w:pPr>
              <w:pStyle w:val="TableContents"/>
              <w:pBdr/>
              <w:bidi w:val="0"/>
              <w:spacing w:before="0" w:after="0"/>
              <w:ind w:left="0" w:right="0" w:hanging="0"/>
              <w:jc w:val="left"/>
              <w:rPr>
                <w:color w:val="231F20"/>
              </w:rPr>
            </w:pPr>
            <w:r>
              <w:rPr>
                <w:color w:val="231F20"/>
              </w:rPr>
              <w:t>​</w:t>
            </w:r>
          </w:p>
        </w:tc>
        <w:tc>
          <w:tcPr>
            <w:tcW w:w="7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792345" cy="175260"/>
                      <wp:effectExtent l="0" t="0" r="0" b="0"/>
                      <wp:wrapNone/>
                      <wp:docPr id="29" name="Frame29"/>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240"/>
                                    <w:ind w:left="0" w:right="0" w:hanging="0"/>
                                    <w:jc w:val="left"/>
                                    <w:rPr>
                                      <w:color w:val="231F20"/>
                                    </w:rPr>
                                  </w:pPr>
                                  <w:r>
                                    <w:rPr>
                                      <w:color w:val="231F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color w:val="231F20"/>
                              </w:rPr>
                            </w:pPr>
                            <w:r>
                              <w:rPr>
                                <w:color w:val="231F20"/>
                              </w:rPr>
                              <w:t>​</w:t>
                            </w:r>
                          </w:p>
                        </w:txbxContent>
                      </v:textbox>
                      <w10:wrap type="none"/>
                    </v:rect>
                  </w:pict>
                </mc:Fallback>
              </mc:AlternateContent>
            </w:r>
          </w:p>
        </w:tc>
      </w:tr>
      <w:tr>
        <w:trPr/>
        <w:tc>
          <w:tcPr>
            <w:tcW w:w="978"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Risk factors</w:t>
            </w:r>
          </w:p>
        </w:tc>
        <w:tc>
          <w:tcPr>
            <w:tcW w:w="7547" w:type="dxa"/>
            <w:tcBorders/>
            <w:vAlign w:val="center"/>
          </w:tcPr>
          <w:p>
            <w:pPr>
              <w:pStyle w:val="TableContents"/>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See “Supplementary Risk Factors” section in this prospectus supplement and “Risk Factors” in the accompanying prospectus, our most recent Annual Report on Form 10-K and our most recent Quarterly Report on Form 10-Q for a discussion of risks you should carefully consider before deciding to invest in the Notes.</w:t>
            </w:r>
          </w:p>
        </w:tc>
      </w:tr>
    </w:tbl>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S-12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10" w:name="SUPPLEMENTARYRISKFACTORS_439381"/>
      <w:bookmarkStart w:id="11" w:name="_c30261af_5b05_4ebc_840a_c9f4f4948c6f"/>
      <w:bookmarkEnd w:id="10"/>
      <w:bookmarkEnd w:id="11"/>
      <w:r>
        <w:rPr>
          <w:rFonts w:ascii="Times New Roman;Times;serif" w:hAnsi="Times New Roman;Times;serif"/>
          <w:b/>
          <w:color w:val="231F20"/>
          <w:sz w:val="20"/>
        </w:rPr>
        <w:t>SUPPLEMENTARY RISK FACTORS</w:t>
      </w:r>
    </w:p>
    <w:p>
      <w:pPr>
        <w:pStyle w:val="TextBody"/>
        <w:bidi w:val="0"/>
        <w:spacing w:before="0" w:after="240"/>
        <w:ind w:left="200" w:right="200" w:firstLine="360"/>
        <w:jc w:val="left"/>
        <w:rPr>
          <w:rFonts w:ascii="Times New Roman;Times;serif" w:hAnsi="Times New Roman;Times;serif"/>
          <w:i/>
          <w:color w:val="231F20"/>
          <w:sz w:val="20"/>
        </w:rPr>
      </w:pPr>
      <w:r>
        <w:rPr>
          <w:rFonts w:ascii="Times New Roman;Times;serif" w:hAnsi="Times New Roman;Times;serif"/>
          <w:i/>
          <w:color w:val="231F20"/>
          <w:sz w:val="20"/>
        </w:rPr>
        <w:t>Investing in the Notes involves a number of significant risks. You should carefully consider the risks described below, together with all of the risks and uncertainties described in the section titled “Risk Factors” in the accompanying prospectus, our most recent Annual Report on Form 10-K, our most recent Quarterly Report on Form 10-Q, as well as in subsequent filings with the SEC, which are or will be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“Cautionary Note Regarding Forward-Looking Statements” in this prospectus supplement.</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Notes will be unsecured and therefore will be effectively subordinated to any secured indebtedness we have currently incurred or may incur in the future.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not be secured by any of our assets or any of the assets of our subsidiaries. As a result, the Notes are effectively subordinated to any secured indebtedness we or our subsidiaries have currently incurred or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January 23, 2026, our total indebtedness was approximately $422.3 million, $183.0 million of which was secured.</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Notes will be structurally subordinated to the indebtedness and other liabilities of our subsidiaries.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are obligations exclusively of Runway Growth Finance Corp., and not of any of our subsidiaries, including any subsidiaries we may acquire or create in the future. Our only current subsidiary is not a guarantor of the Notes, and the Notes are not required to be guaranteed by any subsidiaries we may acquire or create in the future. The assets of such subsidiaries are not directly available to satisfy the claims of our creditors, including the holders of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the Notes)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our subsidiaries may incur substantial additional indebtedness in the future, all of which would be structurally senior to the Notes.</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indenture under which the Notes will be issued contains limited protection for holders of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investments in the Notes. In particular, the terms of the indenture and the Notes will not place any restrictions on our or our subsidiaries’ ability to: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 dividends on, or purchase or redeem or make any payments in respect of, capital stock or other securities ranking junior in right of payment to the Notes;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sell assets (other than certain limited restrictions on our ability to consolidate, merge or sell all or substantially all of our assets);</w:t>
            </w:r>
          </w:p>
        </w:tc>
      </w:tr>
    </w:tbl>
    <w:tbl>
      <w:tblPr>
        <w:tblW w:w="3546" w:type="dxa"/>
        <w:jc w:val="left"/>
        <w:tblInd w:w="20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enter into transactions with affiliates;</w:t>
            </w:r>
          </w:p>
        </w:tc>
      </w:tr>
    </w:tbl>
    <w:tbl>
      <w:tblPr>
        <w:tblW w:w="9126" w:type="dxa"/>
        <w:jc w:val="left"/>
        <w:tblInd w:w="20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create liens (including liens on the shares of our subsidiaries) or enter into sale and leaseback transactions;</w:t>
            </w:r>
          </w:p>
        </w:tc>
      </w:tr>
    </w:tbl>
    <w:tbl>
      <w:tblPr>
        <w:tblW w:w="2256" w:type="dxa"/>
        <w:jc w:val="left"/>
        <w:tblInd w:w="20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make investments; or</w:t>
            </w:r>
          </w:p>
        </w:tc>
      </w:tr>
    </w:tbl>
    <w:tbl>
      <w:tblPr>
        <w:tblW w:w="7956" w:type="dxa"/>
        <w:jc w:val="left"/>
        <w:tblInd w:w="20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create restrictions on the payment of dividends or other amounts to us from our subsidiaries.</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the indenture does not require us to offer to purchase the Notes in connection with a change of control or any other event.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ability to recapitalize, incur additional debt and take a number of other actions that are not limited by the terms of the Notes may have important consequences for holders of the Notes, including making it more difficult for us to satisfy our obligations with respect to the Notes or negatively affecting the trading value of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An active trading market for the Notes does not currently exist and may not develop, which could limit a holder’s ability to sell the Notes or affect the market price of the Notes. Moreover, if the Notes are no longer rated, the Notes may be subject to greater price volatility than rated notes and particularly similar securities with an investment grade rating.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The Notes are a new issue of debt securities for which there currently is no trading market, and there is no guarantee that an active trading market will develop. We intend to list the Notes on Nasdaq within 30 days of the original issue date under the ticker symbol “RWAYI.” Although we expect the Notes to be listed on Nasdaq, we cannot provide any assurances that we will successfully list the Notes,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the time remaining to the maturity of the Notes, the outstanding principal amount of debt securities with terms identical to the Notes, the supply of debt securities trading in the secondary market, if any, the redemption or repayment features, if any, of</w:t>
      </w:r>
      <w:r>
        <w:rPr>
          <w:rFonts w:ascii="Times New Roman;Times;serif" w:hAnsi="Times New Roman;Times;serif"/>
          <w:sz w:val="20"/>
        </w:rPr>
        <w:t xml:space="preserve"> </w:t>
      </w:r>
      <w:r>
        <w:rPr>
          <w:rFonts w:ascii="Times New Roman;Times;serif" w:hAnsi="Times New Roman;Times;serif"/>
          <w:color w:val="231F20"/>
          <w:sz w:val="20"/>
        </w:rPr>
        <w:t>the Notes, general economic conditions, our financial condition, performance, prospects and other factors. If the Notes are no longer rated, this could impact their trading and subject them to greater price volatility. To the extent they are rated and received a non-investment grade rating, their price and trading activity could be negatively impacted. Moreover, if a rating agency assigns the Notes a non-investment grade rating, the Notes may be subject to greater price volatility than securities of similar maturity without such a non- investment grade rating. Certain of the underwriters have advised us that they intend to make a market in the Notes, but they are not obligated to do so. Such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Our credit ratings may not reflect all risks of an investment in the Notes.</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credit ratings are an assessment by third parties of our ability to pay our obligations. Consequently, real or anticipated changes in our credit ratings will generally affect the market value of the Notes. Our credit ratings, however, may not reflect the potential impact of risks related to market conditions generally or other factors discussed above on the market value of or trading market for the Notes.</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optional redemption provision may materially adversely affect your return on the Notes.</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are redeemable in whole or in part at any time or from time to time on or after February 3, 2028, at our sole option at $25.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If we default on our obligations to pay our other indebtedness, we may not be able to make payments on the Notes.</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default under the agreements governing our indebtedness, including a default under the Credit Facility, the July 2027 Notes, the December 2027 Notes, the April 2028 Notes or other indebtedness to which we may be a party that is not waived by the required lenders or holders thereunder,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either of the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from the holders of the July 2027 Notes, the December 2027 Notes, the April 2028 Notes or other debt that we may incur in the future to avoid being in default. If we breach our covenants under any of the Credit Facility, the July 2027 Notes, the December 2027 Notes, the April 2028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debt will likely have, customary cross-default provisions, if the indebtedness thereunder or under any future indebtedness is accelerated, we may be unable to repay or finance the amounts due.</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Our shares of common stock have traded at a discount from net asset value and may do so in the future, which could limit our ability to raise additional equity capital.</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shares of our common stock will trade at, above or below net asset value. In addition, in recent periods, the shares of BDCs as an industry traded below net asset value. When our common stock is trading below its net asset value per share, we will generally not be able to issue additional shares of our common stock at its market price without first obtaining approval for such issuance from our stockholders and our independent directors. We do not have stockholder approval to sell shares of our common stock at a price below our net asset value per share.</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FATCA withholding may apply to payments to certain foreign entities.</w:t>
      </w:r>
    </w:p>
    <w:p>
      <w:pPr>
        <w:pStyle w:val="TextBody"/>
        <w:bidi w:val="0"/>
        <w:spacing w:before="0" w:after="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Payments made under the Notes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the Notes as well unless the FFI or NFFE complies with certain information reporting, withholding, identification, certification and related requirements imposed by FATCA. Depending upon the status of a holder and the status of an intermediary through which any Notes are held, the holder could be subject to this 30% withholding tax in respect of any interest paid or deemed paid on the Notes. You should consult your own tax advisors regarding FATCA and how it may affect your investment in the Notes. See “United States Federal Income Tax Consequences — Taxation of Note Holders — FATCA Withholding on Payments to Certain Foreign Entities” in this prospectus supplement for more information.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color w:val="231F20"/>
          <w:sz w:val="20"/>
        </w:rPr>
      </w:pPr>
      <w:bookmarkStart w:id="12" w:name="CAUTIONARYNOTE_904079"/>
      <w:bookmarkStart w:id="13" w:name="_edf85c47_0ece_4fc6_bf8b_b293e0c3acd9"/>
      <w:bookmarkEnd w:id="12"/>
      <w:bookmarkEnd w:id="13"/>
      <w:r>
        <w:rPr>
          <w:rFonts w:ascii="Times New Roman;Times;serif" w:hAnsi="Times New Roman;Times;serif"/>
          <w:b/>
          <w:color w:val="231F20"/>
          <w:sz w:val="20"/>
        </w:rPr>
        <w:t>CAUTIONARY NOTE REGARDING FORWARD-LOOKING STATEMENTS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discussion should be read in conjunction with our financial statements and related notes and other financial information included or incorporated by reference in this prospectus supplement, the accompanying prospectus, and in any free writing prospectus relating to this offering of the Notes. In addition to historical information, the information included or incorporated by reference in this prospectus supplement, the accompanying prospectus and in any free writing prospectus relating to this offering of the Notes may contain forward-looking information that involves risks and uncertainties. Our actual results could differ materially from those anticipated by such forward-looking information due to the factors described in the section titled “Supplementary Risk Factors” in this prospectus supplement and the section titled “Risk Factors” in our most recent Annual Report on Form 10-K and our most recent Quarterly Report on Form 10-Q, which are incorporated by reference in this prospectus supplement and the accompany prospectus, or in any free writing prospectus relating to this offering and certain other factors noted throughout or incorporated by reference in this prospectus supplement, the accompanying prospectus and in any free writing prospectus relating to this offering. 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forecasted in the forward- looking statements, including without limitation:</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political, economic or industry conditions, trade policies, restrictions and tariffs, the interest rate environment or conditions affecting the financial and capital markets;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such an economic downturn could disproportionately impact the companies that we intend to target for investment, potentially causing us to experience a decrease in investment opportunities and diminished demand for capital from these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contraction of available credit and/or an inability to access the equity markets that could impair our lending and investment activities;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interest rate volatility that could adversely affect our results, particularly to the extent that we use leverage as part of our investment strategy;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impact of changes in interest and inflation rates on our business prospects and the prospects of our portfolio companies;</w:t>
            </w:r>
          </w:p>
        </w:tc>
      </w:tr>
    </w:tbl>
    <w:tbl>
      <w:tblPr>
        <w:tblW w:w="2781" w:type="dxa"/>
        <w:jc w:val="left"/>
        <w:tblInd w:w="20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future operating results;</w:t>
            </w:r>
          </w:p>
        </w:tc>
      </w:tr>
    </w:tbl>
    <w:tbl>
      <w:tblPr>
        <w:tblW w:w="6066" w:type="dxa"/>
        <w:jc w:val="left"/>
        <w:tblInd w:w="20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business prospects and the prospects of our portfolio companies;</w:t>
            </w:r>
          </w:p>
        </w:tc>
      </w:tr>
    </w:tbl>
    <w:tbl>
      <w:tblPr>
        <w:tblW w:w="5811" w:type="dxa"/>
        <w:jc w:val="left"/>
        <w:tblInd w:w="20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contractual arrangements and relationships with third parties;</w:t>
            </w:r>
          </w:p>
        </w:tc>
      </w:tr>
    </w:tbl>
    <w:tbl>
      <w:tblPr>
        <w:tblW w:w="5826" w:type="dxa"/>
        <w:jc w:val="left"/>
        <w:tblInd w:w="20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portfolio companies to achieve their objectives;</w:t>
            </w:r>
          </w:p>
        </w:tc>
      </w:tr>
    </w:tbl>
    <w:tbl>
      <w:tblPr>
        <w:tblW w:w="6861" w:type="dxa"/>
        <w:jc w:val="left"/>
        <w:tblInd w:w="20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competition with other entities and our affiliates for investment opportunities;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926" w:type="dxa"/>
        <w:jc w:val="left"/>
        <w:tblInd w:w="20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speculative and illiquid nature of our investments;</w:t>
            </w:r>
          </w:p>
        </w:tc>
      </w:tr>
    </w:tbl>
    <w:tbl>
      <w:tblPr>
        <w:tblW w:w="5961" w:type="dxa"/>
        <w:jc w:val="left"/>
        <w:tblInd w:w="20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use of borrowed money to finance a portion of our investments;</w:t>
            </w:r>
          </w:p>
        </w:tc>
      </w:tr>
    </w:tbl>
    <w:tbl>
      <w:tblPr>
        <w:tblW w:w="5331" w:type="dxa"/>
        <w:jc w:val="left"/>
        <w:tblInd w:w="20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adequacy of our financing sources and working capital;</w:t>
            </w:r>
          </w:p>
        </w:tc>
      </w:tr>
    </w:tbl>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loss of key personnel and members of our management team;</w:t>
            </w:r>
          </w:p>
        </w:tc>
      </w:tr>
    </w:tbl>
    <w:tbl>
      <w:tblPr>
        <w:tblW w:w="6951" w:type="dxa"/>
        <w:jc w:val="left"/>
        <w:tblInd w:w="20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of cash flows, if any, from the operations of our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external investment adviser, Runway Growth Capital, to locate suitable investments for us and to monitor and administer our investments;</w:t>
            </w:r>
          </w:p>
        </w:tc>
      </w:tr>
    </w:tbl>
    <w:tbl>
      <w:tblPr>
        <w:tblW w:w="7671" w:type="dxa"/>
        <w:jc w:val="left"/>
        <w:tblInd w:w="20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Runway Growth Capital to attract and retain highly talented professionals;</w:t>
            </w:r>
          </w:p>
        </w:tc>
      </w:tr>
    </w:tbl>
    <w:tbl>
      <w:tblPr>
        <w:tblW w:w="8181" w:type="dxa"/>
        <w:jc w:val="left"/>
        <w:tblInd w:w="20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qualify and maintain our qualification as a RIC under subchapter M of the Code;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occurrence of a disaster, such as a cyber-attack against us or against a third party that has access to our data or networks, a natural catastrophe, an industrial accident, failure of our disaster- recovery systems, or consequential employee error;</w:t>
            </w:r>
          </w:p>
        </w:tc>
      </w:tr>
    </w:tbl>
    <w:tbl>
      <w:tblPr>
        <w:tblW w:w="4281" w:type="dxa"/>
        <w:jc w:val="left"/>
        <w:tblInd w:w="20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 of legal, tax and regulatory changes;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parties to consummate the Mergers pursuant to the Merger Agreement on the expected timeline, or at all;</w:t>
            </w:r>
          </w:p>
        </w:tc>
      </w:tr>
    </w:tbl>
    <w:tbl>
      <w:tblPr>
        <w:tblW w:w="5406" w:type="dxa"/>
        <w:jc w:val="left"/>
        <w:tblInd w:w="20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realize the anticipated benefits of the Mergers;</w:t>
            </w:r>
          </w:p>
        </w:tc>
      </w:tr>
    </w:tbl>
    <w:tbl>
      <w:tblPr>
        <w:tblW w:w="5241" w:type="dxa"/>
        <w:jc w:val="left"/>
        <w:tblInd w:w="20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effects of disruption on our business from the Mergers;</w:t>
            </w:r>
          </w:p>
        </w:tc>
      </w:tr>
    </w:tbl>
    <w:tbl>
      <w:tblPr>
        <w:tblW w:w="8436" w:type="dxa"/>
        <w:jc w:val="left"/>
        <w:tblInd w:w="20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combined company’s plans, expectations, objectives and intentions as a result of the Mergers;</w:t>
            </w:r>
          </w:p>
        </w:tc>
      </w:tr>
    </w:tbl>
    <w:tbl>
      <w:tblPr>
        <w:tblW w:w="4731" w:type="dxa"/>
        <w:jc w:val="left"/>
        <w:tblInd w:w="20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termination of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of our stockholders or the stockholders of SWK with respect to the proposals submitted for their approval in connection with the Mergers;</w:t>
            </w:r>
          </w:p>
        </w:tc>
      </w:tr>
    </w:tbl>
    <w:tbl>
      <w:tblPr>
        <w:tblW w:w="8301" w:type="dxa"/>
        <w:jc w:val="left"/>
        <w:tblInd w:w="20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competing offers or acquisition proposals will be made with respect to SWK;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risk that stockholder litigation in connection with the Mergers may result in significant costs of defense and liability; and</w:t>
            </w:r>
          </w:p>
        </w:tc>
      </w:tr>
    </w:tbl>
    <w:tbl>
      <w:tblPr>
        <w:tblW w:w="8016" w:type="dxa"/>
        <w:jc w:val="left"/>
        <w:tblInd w:w="20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risks, uncertainties and other factors previously identified elsewhere in this prospectus.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should not place undue reliance on these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the section titled “Risk Factors” in our most recent Quarterly Report on Form 10-Q, as well as the section titled “Special Note Regarding Forward-Looking Statements” in the accompanying prospectus, before making any investment in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prospectus supplement, the accompanying prospectus and other statements that we may make, may contain forward-looking statements with respect to future financial or business performance, strategies or expectations. Forward-looking statements are typically identified by words or phrases such as “trend,” “opportunity,” “pipeline,” “believe,” “comfortable,” “expect,” “anticipate,” “current,” “intention,” “estimate,” “position,” “assume,” “plan,” “potential,” “project,” “outlook,” “continue,” “remain,” “maintain,” “sustain,” “seek,” “achieve” and similar expressions, or future or conditional verbs such as “will,” “would,” “should,” “could,” “may” or similar expressions.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do not meet the safe harbor for forward-looking statements pursuant to Section 27A of the Securities Act, or Section 21E of the Exchange Act. Actual results could differ materially from those anticipated in forward- looking statements and future results could differ materially from historical performance. 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supplement, the accompanying prospectus or in periodic reports we file under the Exchange Act.</w:t>
      </w:r>
    </w:p>
    <w:p>
      <w:pPr>
        <w:pStyle w:val="TextBody"/>
        <w:bidi w:val="0"/>
        <w:spacing w:before="0" w:after="0"/>
        <w:ind w:left="200" w:right="200" w:hanging="0"/>
        <w:jc w:val="left"/>
        <w:rPr>
          <w:color w:val="231F20"/>
        </w:rPr>
      </w:pPr>
      <w:r>
        <w:rPr>
          <w:color w:val="231F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14" w:name="USEOFPROCEEDS_327140"/>
      <w:bookmarkStart w:id="15" w:name="_5d20f302_4fda_45e0_90ca_97a7470919af"/>
      <w:bookmarkEnd w:id="14"/>
      <w:bookmarkEnd w:id="15"/>
      <w:r>
        <w:rPr>
          <w:rFonts w:ascii="Times New Roman;Times;serif" w:hAnsi="Times New Roman;Times;serif"/>
          <w:b/>
          <w:color w:val="231F20"/>
          <w:sz w:val="20"/>
        </w:rPr>
        <w:t>USE OF PROCEEDS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We estimate that net proceeds we will receive from the sale of the Notes in this offering will be approximately $96.75 million (or approximately $111.30 million if the underwriters fully exercise their overallotment option), based on the underwriters purchasing the Notes from us at 97.00% of the aggregate principal amount and after deducting estimated offering expenses of approximately $255,000 (including certain expenses of the underwriters that we will reimburse the underwriters for) payable by us. </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intend to use the net proceeds from this offering to repay outstanding indebtedness, including to redeem all or a portion of our outstanding December 2027 Notes, to redeem all or a portion of our outstanding July 2027 Notes and for general corporate purposes.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As of January 23, 2026, we had $51.75 million in aggregate principal amount of the December 2027 Notes outstanding. The December 2027 Notes bear an interest rate of 8.00% per year and are due on December 28, 2027. The December 2027 Notes may be redeemed in whole or in part at any time or from time to time at our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Times;serif" w:hAnsi="Times New Roman;Times;serif"/>
          <w:i/>
          <w:color w:val="231F20"/>
          <w:sz w:val="20"/>
        </w:rPr>
        <w:t>pari passu</w:t>
      </w:r>
      <w:r>
        <w:rPr>
          <w:rFonts w:ascii="Times New Roman;Times;serif" w:hAnsi="Times New Roman;Times;serif"/>
          <w:color w:val="231F20"/>
          <w:sz w:val="20"/>
        </w:rPr>
        <w:t xml:space="preserve"> with our existing and future unsecured, unsubordinated indebtedness.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As of January 23, 2026, we had $80.50 million in aggregate principal amount of the July 2027 Notes outstanding. The July 2027 Notes bear an interest rate of 7.50% per year and are due on July 28, 2027. The July 2027 Notes may be redeemed in whole or in part at any time or from time to time at our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pari passu with our existing and future unsecured, unsubordinated indebtedness.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16" w:name="CAPITALIZATION_625936"/>
      <w:bookmarkStart w:id="17" w:name="_a43571ae_279b_488e_a16e_b6e9b4f7943c"/>
      <w:bookmarkEnd w:id="16"/>
      <w:bookmarkEnd w:id="17"/>
      <w:r>
        <w:rPr>
          <w:rFonts w:ascii="Times New Roman;Times;serif" w:hAnsi="Times New Roman;Times;serif"/>
          <w:b/>
          <w:color w:val="231F20"/>
          <w:sz w:val="20"/>
        </w:rPr>
        <w:t>CAPITALIZATION</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table sets forth:</w:t>
      </w:r>
    </w:p>
    <w:tbl>
      <w:tblPr>
        <w:tblW w:w="5001" w:type="dxa"/>
        <w:jc w:val="left"/>
        <w:tblInd w:w="20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actual capitalization as of September 30, 2025;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capitalization on an as-adjusted basis giving effect to the sale of $100,000,000 aggregate principal amount of Notes in this offering purchased from us by the underwriters and after deducting the underwriting discounts and commissions and estimated offering expenses of approximately $255,000 payable by us and the application of the net proceeds to redeem all of the outstanding December 2027 Notes and a portion of the July 2027 Notes, as discussed in more detail under “</w:t>
            </w:r>
            <w:r>
              <w:rPr>
                <w:rFonts w:ascii="Times New Roman;Times;serif" w:hAnsi="Times New Roman;Times;serif"/>
                <w:b w:val="false"/>
                <w:i/>
                <w:sz w:val="20"/>
              </w:rPr>
              <w:t>Use of Proceeds</w:t>
            </w:r>
            <w:r>
              <w:rPr>
                <w:caps w:val="false"/>
                <w:smallCaps w:val="false"/>
              </w:rPr>
              <w:t xml:space="preserve">” </w:t>
            </w:r>
            <w:r>
              <w:rPr>
                <w:rFonts w:ascii="Times New Roman;Times;serif" w:hAnsi="Times New Roman;Times;serif"/>
                <w:b w:val="false"/>
                <w:i w:val="false"/>
                <w:caps w:val="false"/>
                <w:smallCaps w:val="false"/>
                <w:sz w:val="20"/>
              </w:rPr>
              <w:t>in this prospectus supplement (assuming no exercise of the underwriters’ over-allotment option).</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table should be read in conjunction with “Use of Proceeds” included in this prospectus supplement and “Management’s Discussion and Analysis of Financial Condition and Results of Operations” and our most recent financial statements and notes thereto incorporated by reference in this prospectus supplement and the accompanying prospectus.</w:t>
      </w:r>
    </w:p>
    <w:tbl>
      <w:tblPr>
        <w:tblW w:w="9805" w:type="dxa"/>
        <w:jc w:val="left"/>
        <w:tblInd w:w="200" w:type="dxa"/>
        <w:tblLayout w:type="fixed"/>
        <w:tblCellMar>
          <w:top w:w="0" w:type="dxa"/>
          <w:left w:w="0" w:type="dxa"/>
          <w:bottom w:w="0" w:type="dxa"/>
          <w:right w:w="0" w:type="dxa"/>
        </w:tblCellMar>
      </w:tblPr>
      <w:tblGrid>
        <w:gridCol w:w="6944"/>
        <w:gridCol w:w="346"/>
        <w:gridCol w:w="211"/>
        <w:gridCol w:w="794"/>
        <w:gridCol w:w="346"/>
        <w:gridCol w:w="235"/>
        <w:gridCol w:w="929"/>
      </w:tblGrid>
      <w:tr>
        <w:trPr/>
        <w:tc>
          <w:tcPr>
            <w:tcW w:w="69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ind w:left="0" w:right="0" w:hanging="0"/>
              <w:jc w:val="left"/>
              <w:rPr>
                <w:sz w:val="4"/>
                <w:szCs w:val="4"/>
              </w:rPr>
            </w:pPr>
            <w:r>
              <w:rPr>
                <w:sz w:val="4"/>
                <w:szCs w:val="4"/>
              </w:rPr>
            </w:r>
          </w:p>
        </w:tc>
      </w:tr>
      <w:tr>
        <w:trPr/>
        <w:tc>
          <w:tcPr>
            <w:tcW w:w="6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409440" cy="175260"/>
                      <wp:effectExtent l="0" t="0" r="0" b="0"/>
                      <wp:wrapNone/>
                      <wp:docPr id="30" name="Frame30"/>
                      <a:graphic xmlns:a="http://schemas.openxmlformats.org/drawingml/2006/main">
                        <a:graphicData uri="http://schemas.microsoft.com/office/word/2010/wordprocessingShape">
                          <wps:wsp>
                            <wps:cNvSpPr txBox="1"/>
                            <wps:spPr>
                              <a:xfrm>
                                <a:off x="0" y="0"/>
                                <a:ext cx="440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4190" cy="175260"/>
                      <wp:effectExtent l="0" t="0" r="0" b="0"/>
                      <wp:wrapNone/>
                      <wp:docPr id="33" name="Frame3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9225" cy="175260"/>
                      <wp:effectExtent l="0" t="0" r="0" b="0"/>
                      <wp:wrapNone/>
                      <wp:docPr id="35" name="Frame3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89915" cy="175260"/>
                      <wp:effectExtent l="0" t="0" r="0" b="0"/>
                      <wp:wrapNone/>
                      <wp:docPr id="36" name="Frame36"/>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5" w:type="dxa"/>
            <w:gridSpan w:val="5"/>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color w:val="231F20"/>
                <w:sz w:val="16"/>
              </w:rPr>
              <w:t>As of September 30, 2025</w:t>
            </w:r>
            <w:r>
              <w:rPr>
                <w:rFonts w:ascii="Times New Roman;Times;serif" w:hAnsi="Times New Roman;Times;serif"/>
                <w:b/>
                <w:color w:val="231F20"/>
                <w:sz w:val="12"/>
              </w:rPr>
              <w:t>(1)</w:t>
            </w:r>
          </w:p>
        </w:tc>
      </w:tr>
      <w:tr>
        <w:trPr/>
        <w:tc>
          <w:tcPr>
            <w:tcW w:w="69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vAlign w:val="center"/>
          </w:tcPr>
          <w:p>
            <w:pPr>
              <w:pStyle w:val="TableContents"/>
              <w:bidi w:val="0"/>
              <w:spacing w:before="0" w:after="0"/>
              <w:ind w:left="0" w:right="0" w:hanging="0"/>
              <w:jc w:val="left"/>
              <w:rPr/>
            </w:pPr>
            <w:r>
              <w:rPr/>
              <w:t>​</w:t>
            </w:r>
          </w:p>
        </w:tc>
        <w:tc>
          <w:tcPr>
            <w:tcW w:w="116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As Adjusted</w:t>
            </w:r>
            <w:r>
              <w:rPr>
                <w:rFonts w:ascii="Times New Roman;Times;serif" w:hAnsi="Times New Roman;Times;serif"/>
                <w:b/>
                <w:sz w:val="12"/>
              </w:rPr>
              <w:t>(2)</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35" w:type="dxa"/>
            <w:tcBorders/>
            <w:shd w:fill="CCEEFF" w:val="clear"/>
            <w:vAlign w:val="center"/>
          </w:tcPr>
          <w:p>
            <w:pPr>
              <w:pStyle w:val="TableContents"/>
              <w:bidi w:val="0"/>
              <w:spacing w:before="0" w:after="0"/>
              <w:ind w:left="0" w:right="0" w:hanging="0"/>
              <w:jc w:val="left"/>
              <w:rPr/>
            </w:pPr>
            <w:r>
              <w:rPr/>
              <w:t>​</w:t>
            </w:r>
          </w:p>
        </w:tc>
        <w:tc>
          <w:tcPr>
            <w:tcW w:w="929" w:type="dxa"/>
            <w:tcBorders/>
            <w:shd w:fill="CCEEFF" w:val="clear"/>
            <w:vAlign w:val="center"/>
          </w:tcPr>
          <w:p>
            <w:pPr>
              <w:pStyle w:val="TableContents"/>
              <w:bidi w:val="0"/>
              <w:spacing w:before="0" w:after="0"/>
              <w:ind w:left="0" w:right="0" w:hanging="0"/>
              <w:jc w:val="right"/>
              <w:rPr/>
            </w:pPr>
            <w:r>
              <w:rPr/>
              <w:t>  ​</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at fair value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945,964</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945,964</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7,917</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fees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8,038</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8,038</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963,346</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963,346</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  ​</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  ​</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211,000</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2026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2027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80,500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35,505</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2027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2028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107,000</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offered hereby,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96,745</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less unamortized deferred financing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443,506</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443,506</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Incentive fees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16,295</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9,990</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473,820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473,820</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100,000,000 shares authorized; 36,134,037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545,504</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545,504</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undistributed (overdistributed)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(56,339)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(56,339)</w:t>
            </w:r>
          </w:p>
        </w:tc>
      </w:tr>
      <w:tr>
        <w:trPr/>
        <w:tc>
          <w:tcPr>
            <w:tcW w:w="6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489,526</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489,526</w:t>
            </w:r>
          </w:p>
        </w:tc>
      </w:tr>
      <w:tr>
        <w:trPr/>
        <w:tc>
          <w:tcPr>
            <w:tcW w:w="6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 value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13.55</w:t>
            </w:r>
          </w:p>
        </w:tc>
      </w:tr>
    </w:tbl>
    <w:tbl>
      <w:tblPr>
        <w:tblW w:w="4172" w:type="dxa"/>
        <w:jc w:val="left"/>
        <w:tblInd w:w="200" w:type="dxa"/>
        <w:tblLayout w:type="fixed"/>
        <w:tblCellMar>
          <w:top w:w="0" w:type="dxa"/>
          <w:left w:w="0" w:type="dxa"/>
          <w:bottom w:w="0" w:type="dxa"/>
          <w:right w:w="0" w:type="dxa"/>
        </w:tblCellMar>
      </w:tblPr>
      <w:tblGrid>
        <w:gridCol w:w="346"/>
        <w:gridCol w:w="382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382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thousands, except share and per share data.</w:t>
            </w:r>
          </w:p>
        </w:tc>
      </w:tr>
    </w:tbl>
    <w:tbl>
      <w:tblPr>
        <w:tblW w:w="8087" w:type="dxa"/>
        <w:jc w:val="left"/>
        <w:tblInd w:w="200" w:type="dxa"/>
        <w:tblLayout w:type="fixed"/>
        <w:tblCellMar>
          <w:top w:w="0" w:type="dxa"/>
          <w:left w:w="0" w:type="dxa"/>
          <w:bottom w:w="0" w:type="dxa"/>
          <w:right w:w="0" w:type="dxa"/>
        </w:tblCellMar>
      </w:tblPr>
      <w:tblGrid>
        <w:gridCol w:w="346"/>
        <w:gridCol w:w="774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Reflects the repayment in full of all of our outstanding April 2026 Notes on January 21, 2026.</w:t>
            </w:r>
          </w:p>
        </w:tc>
      </w:tr>
    </w:tbl>
    <w:p>
      <w:pPr>
        <w:pStyle w:val="TextBody"/>
        <w:pBdr/>
        <w:bidi w:val="0"/>
        <w:spacing w:before="0" w:after="0"/>
        <w:ind w:left="200" w:right="200" w:hanging="36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18" w:name="DESCRIPTIONOFTHENOTES_961283"/>
      <w:bookmarkEnd w:id="18"/>
      <w:r>
        <w:rPr>
          <w:rFonts w:ascii="Times New Roman;Times;serif" w:hAnsi="Times New Roman;Times;serif"/>
          <w:b/>
          <w:color w:val="231F20"/>
          <w:sz w:val="20"/>
        </w:rPr>
        <w:t>DESCRIPTION OF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prospectus supplement sets forth certain terms of the Notes that we are offering pursuant to this prospectus supplement. This description supplements, and to the extent inconsistent therewith, replaces the descriptions of the general terms and provisions contained in “Description of our Debt Securities” in the accompanying prospectus.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be issued under a base indenture, dated as of July 28, 2022, and the third supplemental indenture thereto, to be entered into between us and U.S. Bank Trust Company, National Association, as trustee (the “Trustee”). The terms of the Notes include those stated in the Indenture (as defined below) and those made a part of the Indenture by reference to the Trust Indenture Act of 1939, as amended. As used in this section, all references to “Indenture” mean the indenture as supplemented by the second supplemental indenture, and all references to “we,” “our” and “us” mean Runway Growth Finance Corp., a Maryland corporation, exclusive of our subsidiaries, unless we specify otherwise.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Because this section is a summary, it does not describe every aspect of the Notes and the Indenture. We urge you to read the Indenture because it, and not this description, defines your rights as a holder of Notes. For example, in this section, we use capitalized words to signify terms that are specifically defined in the Indenture. Some of the definitions are repeated in this prospectus supplement, but for the rest you will need to read the Indenture. You may obtain a copy of the Indenture from us without charge. See “Available Information” in the accompanying prospectus.</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General</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will be issued in an initial principal amount of $100,000,000</w:t>
            </w:r>
            <w:r>
              <w:rPr>
                <w:caps w:val="false"/>
                <w:smallCaps w:val="false"/>
                <w:color w:val="231F20"/>
              </w:rPr>
              <w:t xml:space="preserve"> </w:t>
            </w:r>
            <w:r>
              <w:rPr>
                <w:rFonts w:ascii="Times New Roman;Times;serif" w:hAnsi="Times New Roman;Times;serif"/>
                <w:b w:val="false"/>
                <w:i w:val="false"/>
                <w:caps w:val="false"/>
                <w:smallCaps w:val="false"/>
                <w:color w:val="231F20"/>
                <w:sz w:val="20"/>
              </w:rPr>
              <w:t>($115,000,000 if the underwriters’ option to purchase Notes to cover overallotments, if any, is exercised in full);</w:t>
            </w:r>
          </w:p>
        </w:tc>
      </w:tr>
    </w:tbl>
    <w:tbl>
      <w:tblPr>
        <w:tblW w:w="5991" w:type="dxa"/>
        <w:jc w:val="left"/>
        <w:tblInd w:w="20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mature on February 3, 2031, unless redeemed prior to maturity;</w:t>
            </w:r>
          </w:p>
        </w:tc>
      </w:tr>
    </w:tbl>
    <w:tbl>
      <w:tblPr>
        <w:tblW w:w="7536" w:type="dxa"/>
        <w:jc w:val="left"/>
        <w:tblInd w:w="20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issued in denominations of $25 and integral multiples of $25 in excess thereof;</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 redeemable by us in whole or in part at any time or from time to time on and after February 3, 2028, at a redemption price of $25 per Note plus accrued and unpaid interest payments otherwise payable for the then-current quarterly interest period accrued to the date fixed for redemption as described under “Redemption and Repayment” below; and</w:t>
            </w:r>
          </w:p>
        </w:tc>
      </w:tr>
    </w:tbl>
    <w:tbl>
      <w:tblPr>
        <w:tblW w:w="6726" w:type="dxa"/>
        <w:jc w:val="left"/>
        <w:tblInd w:w="20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expected to be listed on Nasdaq within 30 days of the original issue date.</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be our direct unsecured obligations and will rank:</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pari passu </w:t>
            </w:r>
            <w:r>
              <w:rPr>
                <w:rFonts w:ascii="Times New Roman;Times;serif" w:hAnsi="Times New Roman;Times;serif"/>
                <w:b w:val="false"/>
                <w:i w:val="false"/>
                <w:caps w:val="false"/>
                <w:smallCaps w:val="false"/>
                <w:color w:val="231F20"/>
                <w:sz w:val="20"/>
              </w:rPr>
              <w:t>with current and future unsecured unsubordinated indebtedness, including the July 2027 Notes, December 2027 Notes and April 2028 Notes;</w:t>
            </w:r>
          </w:p>
        </w:tc>
      </w:tr>
    </w:tbl>
    <w:tbl>
      <w:tblPr>
        <w:tblW w:w="8196" w:type="dxa"/>
        <w:jc w:val="left"/>
        <w:tblInd w:w="20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senior to any of our future indebtedness that expressly provides it is subordinated to the Notes;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effectively subordinated to all of our existing and future secured indebtedness (including indebtedness that is initially unsecured to which we subsequently grant security), to the extent of the value of the assets securing such indebtedness, including debt outstanding under our Credit Facility;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structurally subordinated to all existing and future indebtedness and other obligations of any of our subsidiaries, financing vehicles or similar facilities, including debt outstanding under our Credit Facility.</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As of January 23, 2026, our total indebtedness was approximately $422.3 million, $183.0 million of which was secured. After giving effect to the issuance of the Notes, assuming no repayment of indebtedness with the use of proceeds from this offering, our total indebtedness would have been approximately $522.3 million aggregate principal amount outstanding as of January 23, 2026 (or approximately $537.3 million if the underwriters fully exercise their overallotment option).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subsidiaries may be subject to statutory, contractual or other restrictions, may depend on the earnings or financial condition of all of the foregoing and are subject to various business considerations. As a result, we may be unable to gain significant, if any, access to the cash flow or assets of our subsidiaries.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does not limit the amount of debt (secured and unsecured) that we and our subsidiaries may incur or our ability to pay dividends, sell assets, enter into transactions with affiliates or make investments. In addition, the Indenture does not contain any provisions that would necessarily protect holders of Notes if we become involved in a highly leveraged transaction, reorganization, merger or other similar transaction that adversely affects us or them.</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be issued in fully registered form only, without coupons, in minimum denominations of $25 and integral multiples thereof. The Notes will be represented by one or more global notes deposited with or on behalf of DTC, or a nominee thereof. Except as otherwise provided in the Indenture, the Notes will be registered in the name of that depositary or its nominee, and you will not receive certificates for the Notes. 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are permitted, under specified conditions, to issue multiple classes of indebtedness if our asset coverage, as defined in the 1940 Act, is at least equal to 150% immediately after each such issuance.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our most recent Annual Report on Form 10-K.</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Interest Provisions Related to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Interest on the Notes will accrue at the rate of 7.25% per annum and will be payable quarterly on each March 1, June 1, September 1 and December 1, commencing on March 1, 2026. The initial interest period will be the period from and including the original issue date to, but excluding, the initial interest payment date, and the subsequent interest periods will be the periods from and including an interest payment date to, but excluding, the next interest payment date or the stated maturity date, as the case may be. We will pay interest to those persons who were holders of record of such Notes on the fifteenth day of the month prior to which each interest payment date occurs: each February 15, May 15, August 15 and November 15, commencing February 15, 2026. Interest on the Notes will accrue from the date of original issuance and will be computed on the basis of a 360-day year comprised of twelve 30-day months. We will not provide a sinking fund for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Interest payments will be made only on a business day, defined in the Indenture as each Monday, Tuesday, Wednesday, Thursday and Friday that is not a day on which banking institutions in New York City and Chicago are authorized or required by law or executive order to close.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Trustee will have no obligation to calculate or verify the calculation of the accrued and unpaid interest or any premium payable on the notes.</w:t>
      </w:r>
    </w:p>
    <w:p>
      <w:pPr>
        <w:pStyle w:val="TextBody"/>
        <w:bidi w:val="0"/>
        <w:spacing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Book-entry and other indirect holders should consult their banks or brokers for information on how they will receive payments on their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may be redeemed in whole or in part at any time or from time to time at our option on or after February 3, 2028, upon not less than 30 days nor more than 60 days written notice by mail prior to the date fixed for redemption thereof, at a redemption price of $25 per Note plus accrued and unpaid interest payments otherwise payable for the then-current quarterly interest period accrued to the date fixed for redemption.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exercise of our option to redeem the Notes will be done in compliance with the 1940 Act, to the extent applicable.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we redeem only a portion of the Notes, DTC will determine the method for selection of the particular Notes to be redeemed. DTC’s practice is to determine by lot the amount to be redeemed from each of its participants holding the Notes. Unless we default in payment of the redemption price, on and after the date of redemption, interest will cease to accrue on the Notes called for redemption.</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Holders will not have the option to have the Notes repaid prior to the stated maturity date.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Listing</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intend to list the Notes on Nasdaq under the symbol “RWAYI.” We expect trading in the Notes to begin within 30 days of the original issue date.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Trading Characteristics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expect the Notes to trade at a price that takes into account the value, if any, of accrued and unpaid interest. This means that purchasers will not pay, and sellers will not receive, accrued and unpaid interest on the Notes that is not included in their trading price. Any portion of the trading price of a Note that is attributable to accrued and unpaid interest will be treated as a payment of interest for U.S. federal income tax purposes and will not be treated as part of the amount realized for purposes of determining gain or loss on the disposition of the Notes. See “Material United States Federal Income Tax Consequences” in this prospectus supplement.</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Certain Covenants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to standard covenants relating to payment of principal and interest, maintaining an office where payments may be made or securities surrendered for payment, payment of taxes and related matters, the following covenants apply to the Notes.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Reporting</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agreed to provide to holders of the Notes and the Trustee (if at any time when Notes are outstanding we are not subject to the reporting requirements of Sections 13 or 15(d) of the Exchange Act to file any periodic reports with the SEC)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1940 Act Compliance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agree that, for the period of time during which the Notes are outstanding, we will not violate Section 18(a)(1)(A) as modified by Section 61(a)(1) of the 1940 Act or any successor provisions. Currently, these provisions generally prohibit us from making additional borrowings, including through the issuance of additional debt or the sale of additional debt securities, unless our asset coverage, as defined in the 1940 Act, equals at least 150% after such borrowings.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Dividends on our Common Stock</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agree that for the period of time during which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under Section 18(a)(1)(B) as modified by Section 61(a)(2) of the 1940 Act or any successor provisions thereto of the 1940 Act, after deducting the amount of such dividend, distribution or purchase price, as the case may be, and in each case giving effect to any no-action relief granted by the SEC to another BDC and upon which we may reasonably rely (or to us if we determine to seek such similar no-action or other relief) permitting the BDC to declare any cash dividend or distribution notwithstanding the prohibition contained in Section 18(a)(1)(B) as modified by Section 61(a)(2) of the 1940 Act, in order to maintain such BDC’s status as a RIC under Subchapter M of the Code.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Events of Default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will have rights if an Event of Default occurs in respect of the Notes and is not cured, as described later in this subsection.</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term “Event of Default” in respect of the Notes means any of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default in the payment of any interest on the Notes when due and payable and the default continues for a period of 30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default in the payment of the principal of (or premium, if any, on) a debt security of the series when it becomes due and payable at its maturity, including upon any redemption date or required repurchase date, and the default continues for a period of five business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do not deposit any sinking fund payment in respect of the Notes on its due date, and do not cure this default within five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fail for 60 consecutive days after written notice from the Trustee or the holders of at least 25% in principal amount of the Notes then outstanding to us and the Trustee, as applicable, has been received to comply with any of our other agreements with respect to the Notes.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file for bankruptcy or certain events of bankruptcy, insolvency, or reorganization involving us occur and remain undischarged or unstayed for a period of 90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w:t>
            </w:r>
          </w:p>
        </w:tc>
      </w:tr>
    </w:tbl>
    <w:tbl>
      <w:tblPr>
        <w:tblW w:w="9321" w:type="dxa"/>
        <w:jc w:val="left"/>
        <w:tblInd w:w="20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other Event of Default in respect of the Notes described in the applicable prospectus supplement occurs.</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 Event of Default for the Notes does not necessarily constitute an Event of Default for any other series of debt securities issued under the same or any other indenture. The Trustee may withhold notice to the holders of the Notes of any default, except in the payment of principal, premium or interest, if it in good faith considers the withholding of notice to be in the interests of the holders.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Remedies if an Event of Default Occurs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an Event of Default has occurred and has not been cured, the Trustee or the holders of at least 25% in principal amount of the Notes may declare the entire principal amount of all the Notes to be due and immediately payable. This is called a declaration of acceleration of maturity. A declaration of acceleration of maturity may be canceled by the holders of a majority in principal amount of the Notes if (1) we have deposited with the Trustee all amounts due and owing with respect to the securities (other than principal that has become due solely by reason of such acceleration) and certain other amounts, (2) we have paid or deposited with the Trustee all sums paid or advanced by the Trustee and the reasonable compensation, expenses, disbursements and advances of the Trustee, its agents and counsel, and (3) any other Events of Default have been cured or waived.</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(Section 315 of the Trust Indenture Act of 1939). If indemnity and/or security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Before you are allowed to bypass your Trustee and bring your own lawsuit or other formal legal action or take other steps to enforce your rights or protect your interests relating to the Notes, the following must occur:</w:t>
      </w:r>
    </w:p>
    <w:tbl>
      <w:tblPr>
        <w:tblW w:w="8766" w:type="dxa"/>
        <w:jc w:val="left"/>
        <w:tblInd w:w="20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must give your Trustee written notice that an Event of Default has occurred and remains uncured.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holders of at least 25% in principal amount of all outstanding Notes must make a written request that the Trustee take action because of the default and must offer to the Trustee security and/or indemnity satisfactory to it against the cost, expenses, and other liabilities of taking that action.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Trustee must not have taken action for 60 days after receipt of the above notice and offer of security and/or indemnity.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holders of a majority in principal amount of the Notes must not have given the Trustee a direction inconsistent with the above notice during that 60-day period.</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However, you are entitled at any time to bring a lawsuit for the payment of money due on your Notes on or after the due date.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Holders of a majority in principal amount of the Notes may waive any past defaults other than a default;</w:t>
      </w:r>
    </w:p>
    <w:tbl>
      <w:tblPr>
        <w:tblW w:w="5061" w:type="dxa"/>
        <w:jc w:val="left"/>
        <w:tblInd w:w="20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payment of principal, any premium, or interest; or</w:t>
            </w:r>
          </w:p>
        </w:tc>
      </w:tr>
    </w:tbl>
    <w:tbl>
      <w:tblPr>
        <w:tblW w:w="8316" w:type="dxa"/>
        <w:jc w:val="left"/>
        <w:tblInd w:w="20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respect of a covenant that cannot be modified or amended without the consent of each holder.</w:t>
            </w:r>
          </w:p>
        </w:tc>
      </w:tr>
    </w:tbl>
    <w:p>
      <w:pPr>
        <w:pStyle w:val="TextBody"/>
        <w:bidi w:val="0"/>
        <w:spacing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Each year, we will furnish to the Trustee a written statement of certain of our officers certifying that to their knowledge we are in compliance with the Indenture or else specifying any default.</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Merger, Consolidation or Sale of Assets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Under the terms of the Indenture, we are generally permitted to consolidate or merge with another entity. We are also permitted to sell all or substantially all of our assets to another entity. However, we may not consolidate with or into any other corporation or convey or transfer all or substantially all of our property or assets to any person unless all the following conditions are met: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Where we merge out of existence or sell our assets, the resulting entity must agree to be legally responsible for all of our obligations under the Notes and the Indenture.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Immediately after giving effect to such transaction, no Default or Event of Default shall have happened and be continuing.</w:t>
            </w:r>
          </w:p>
        </w:tc>
      </w:tr>
    </w:tbl>
    <w:tbl>
      <w:tblPr>
        <w:tblW w:w="5856" w:type="dxa"/>
        <w:jc w:val="left"/>
        <w:tblInd w:w="20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certain certificates and documents to the Trustee.</w:t>
            </w:r>
          </w:p>
        </w:tc>
      </w:tr>
    </w:tbl>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Modification or Waiver</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There are three types of changes we can make to the Indenture and the Notes.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Changes Requiring Your Approval</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First, there are changes that we cannot make to your Notes without your specific approval. The following is a list of those types of changes:</w:t>
      </w:r>
    </w:p>
    <w:tbl>
      <w:tblPr>
        <w:tblW w:w="6156" w:type="dxa"/>
        <w:jc w:val="left"/>
        <w:tblInd w:w="20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the stated maturity of the principal of or interest on the Notes;</w:t>
            </w:r>
          </w:p>
        </w:tc>
      </w:tr>
    </w:tbl>
    <w:tbl>
      <w:tblPr>
        <w:tblW w:w="3621" w:type="dxa"/>
        <w:jc w:val="left"/>
        <w:tblInd w:w="20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any amounts due on the Notes;</w:t>
            </w:r>
          </w:p>
        </w:tc>
      </w:tr>
    </w:tbl>
    <w:tbl>
      <w:tblPr>
        <w:tblW w:w="9126" w:type="dxa"/>
        <w:jc w:val="left"/>
        <w:tblInd w:w="20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the amount of principal payable upon acceleration of the maturity of the Notes following a default;</w:t>
            </w:r>
          </w:p>
        </w:tc>
      </w:tr>
    </w:tbl>
    <w:tbl>
      <w:tblPr>
        <w:tblW w:w="5541" w:type="dxa"/>
        <w:jc w:val="left"/>
        <w:tblInd w:w="20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adversely affect any right of repayment at the holder’s option;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the place (except as otherwise described in the accompanying prospectus or prospectus supplement) or currency of payment on the Notes;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516" w:type="dxa"/>
        <w:jc w:val="left"/>
        <w:tblInd w:w="20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impair your right to sue for payment;</w:t>
            </w:r>
          </w:p>
        </w:tc>
      </w:tr>
    </w:tbl>
    <w:tbl>
      <w:tblPr>
        <w:tblW w:w="8736" w:type="dxa"/>
        <w:jc w:val="left"/>
        <w:tblInd w:w="20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the percentage of holders of Notes whose consent is needed to modify or amend the Indenture;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the percentage of holders of Notes whose consent is needed to waive compliance with certain provisions of the Indenture or to waive certain defaults;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modify any other aspect of the provisions of the Indenture dealing with supplemental indentures, modification and waiver of past defaults, changes to the quorum or voting requirements or the waiver of certain covenants; and</w:t>
            </w:r>
          </w:p>
        </w:tc>
      </w:tr>
    </w:tbl>
    <w:tbl>
      <w:tblPr>
        <w:tblW w:w="5286" w:type="dxa"/>
        <w:jc w:val="left"/>
        <w:tblInd w:w="20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any obligation we have to pay additional amounts.</w:t>
            </w:r>
          </w:p>
        </w:tc>
      </w:tr>
    </w:tbl>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Changes Not Requiring Approval</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second type of change does not require any vote by the holders of the Notes. This type is limited to clarifications and certain other changes that would not adversely affect holders of the Notes in any material respect. We also do not need any approval to make any change that affects only debt securities to be issued under the indenture after the change takes effect.</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Changes Requiring Majority Approval</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other change to the Indenture and the Notes would require the following approval:</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the change affects only the Notes, it must be approved by the holders of a majority in principal amount of the Notes outstanding at such time;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w:t>
      </w:r>
      <w:r>
        <w:rPr>
          <w:rFonts w:ascii="Times New Roman;Times;serif" w:hAnsi="Times New Roman;Times;serif"/>
          <w:i/>
          <w:color w:val="231F20"/>
          <w:sz w:val="20"/>
        </w:rPr>
        <w:t>Changes Requiring Your Approval</w:t>
      </w:r>
      <w:r>
        <w:rPr>
          <w:rFonts w:ascii="Times New Roman;Times;serif" w:hAnsi="Times New Roman;Times;serif"/>
          <w:color w:val="231F20"/>
          <w:sz w:val="20"/>
        </w:rPr>
        <w:t>.”</w:t>
      </w:r>
    </w:p>
    <w:p>
      <w:pPr>
        <w:pStyle w:val="TextBody"/>
        <w:bidi w:val="0"/>
        <w:spacing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Book-entry and other indirect holders should consult their banks or brokers for information on how approval may be granted or denied if we seek to change the Indenture or the Notes or request a waiver.</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Defeasance</w:t>
      </w:r>
    </w:p>
    <w:p>
      <w:pPr>
        <w:pStyle w:val="TextBody"/>
        <w:bidi w:val="0"/>
        <w:spacing w:before="0" w:after="240"/>
        <w:ind w:left="200" w:right="200" w:hanging="0"/>
        <w:jc w:val="left"/>
        <w:rPr>
          <w:rFonts w:ascii="Times New Roman;Times;serif" w:hAnsi="Times New Roman;Times;serif"/>
          <w:b/>
          <w:i/>
          <w:color w:val="231F20"/>
          <w:sz w:val="20"/>
        </w:rPr>
      </w:pPr>
      <w:r>
        <w:rPr>
          <w:rFonts w:ascii="Times New Roman;Times;serif" w:hAnsi="Times New Roman;Times;serif"/>
          <w:b/>
          <w:i/>
          <w:color w:val="231F20"/>
          <w:sz w:val="20"/>
        </w:rPr>
        <w:t>Covenant Defeasance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Under current United States federal tax law,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irrevocably deposit in trust for the benefit of all holders of such Notes a combination of money and United States government or United States government agency notes or bonds that will generate enough cash to make interest, principal and any other payments on the Notes on their various due dates. No Default or Event of Default with respect to the Notes shall have occurred and be continuing on the date of such deposit, or in the case of a bankruptcy Event of Default, at any time during the period ending on the 91st day after the date of such deposit.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of our counsel confirming that, under current U.S. federal income tax law, we may make the above deposit without causing you to be taxed on the Notes any differently than if we did not make the deposit and just repaid the Notes ourselves at maturity.</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we accomplish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pStyle w:val="TextBody"/>
        <w:bidi w:val="0"/>
        <w:spacing w:before="0" w:after="240"/>
        <w:ind w:left="200" w:right="200" w:hanging="0"/>
        <w:jc w:val="left"/>
        <w:rPr>
          <w:rFonts w:ascii="Times New Roman;Times;serif" w:hAnsi="Times New Roman;Times;serif"/>
          <w:b/>
          <w:i/>
          <w:color w:val="231F20"/>
          <w:sz w:val="20"/>
        </w:rPr>
      </w:pPr>
      <w:r>
        <w:rPr>
          <w:rFonts w:ascii="Times New Roman;Times;serif" w:hAnsi="Times New Roman;Times;serif"/>
          <w:b/>
          <w:i/>
          <w:color w:val="231F20"/>
          <w:sz w:val="20"/>
        </w:rPr>
        <w:t>Full Defeasance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there is a change in U.S. federal tax law, as described below, we can legally release ourselves from all payment and other obligations on the Notes (called “full defeasance”) if we put in place the following other arrangements for you to be repaid: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deposit in trust for the benefit of all holders of such Notes a combination of money and United States government or United States government agency notes or bonds that will generate enough cash to make interest, principal and any other payments on the Notes and for payment of amounts due to the Trustee.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Default or Event of Default with respect to the Notes shall have occurred and be continuing on the date of such deposit, or in the case of a bankruptcy Event of Default, at any time during the period ending on the 91st day after the date of such deposit.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confirming that there has been a change in current U.S. federal tax law or a ruling issued by the Internal Revenue Service, or IRS,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No service charge will be made for any registration of transfer or any exchange of Notes, but we may require payment of a sum sufficient to cover any transfer tax or similar governmental charge payable in connection therewith.</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Satisfaction and Discharge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will be discharged and will cease to be of further effect with respect to the Notes when either:</w:t>
      </w:r>
    </w:p>
    <w:tbl>
      <w:tblPr>
        <w:tblW w:w="8361" w:type="dxa"/>
        <w:jc w:val="left"/>
        <w:tblInd w:w="20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the Notes that have been authenticated have been delivered to the Trustee for cancellation; or</w:t>
            </w:r>
          </w:p>
        </w:tc>
      </w:tr>
    </w:tbl>
    <w:tbl>
      <w:tblPr>
        <w:tblW w:w="6441" w:type="dxa"/>
        <w:jc w:val="left"/>
        <w:tblInd w:w="20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the Notes that have not been delivered to the Trustee for cancellation:</w:t>
            </w:r>
          </w:p>
        </w:tc>
      </w:tr>
    </w:tbl>
    <w:tbl>
      <w:tblPr>
        <w:tblW w:w="3021" w:type="dxa"/>
        <w:jc w:val="left"/>
        <w:tblInd w:w="20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become due and payable,</w:t>
            </w:r>
          </w:p>
        </w:tc>
      </w:tr>
    </w:tbl>
    <w:tbl>
      <w:tblPr>
        <w:tblW w:w="6336" w:type="dxa"/>
        <w:jc w:val="left"/>
        <w:tblInd w:w="20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become due and payable at their stated maturity within one year, or</w:t>
            </w:r>
          </w:p>
        </w:tc>
      </w:tr>
    </w:tbl>
    <w:tbl>
      <w:tblPr>
        <w:tblW w:w="4356" w:type="dxa"/>
        <w:jc w:val="left"/>
        <w:tblInd w:w="20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to be called for redemption within one year,</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and we, in the case of the first, second and third sub-bullets above, have irrevocably deposited or caused to be deposited with the Trustee as trust funds in trust solely for the benefit of the holders of the Notes, in amounts as will be sufficient, without consideration of any reinvestment of interest,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w:t>
      </w:r>
    </w:p>
    <w:tbl>
      <w:tblPr>
        <w:tblW w:w="9681" w:type="dxa"/>
        <w:jc w:val="left"/>
        <w:tblInd w:w="20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paid or caused to be paid all other sums payable by us under the Indenture with respect to the Notes;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delivered to the Trustee an officers’ certificate and legal opinion, each stating that all conditions precedent provided for in the Indenture, including amounts payable to the Trustee, relating to the satisfaction and discharge of the Indenture and the Notes have been complied with.</w:t>
            </w:r>
          </w:p>
        </w:tc>
      </w:tr>
    </w:tbl>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Additional Notes and Additional Series of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may from time to time, without notice to or the consent of the registered holders of the Notes, create and issue further notes ranking equally and ratably with the Notes in all respects, including having the same CUSIP number, so that such further notes shall be consolidated and form a single series of notes and shall have the same terms as to status or otherwise as the Notes. No additional Notes may be issued if an Event of Default has occurred and is continuing with respect to the Notes. The indenture also allows for the issuance of additional series of debt securities from time to time.</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Trustee Under the Indenture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U.S. Bank Trust Company, National Association will serve as the trustee under the Indenture.</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Payment, Paying Agent, Registrar and Transfer Agent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principal amount of each Note will be payable on the stated maturity date at the corporate trust office of the Paying Agent, Registrar and Transfer Agent for the Notes as provided for in the Indenture or at such other office in New York City as we may designate. The Trustee will initially act as Paying Agent, Registrar and Transfer Agent for the Notes.</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Governing Law</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and the Notes will be governed by the laws of the State of New York.</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Book-Entry Debt Securities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 will act as securities depository for the Notes. The Notes will be issued as fully registered securities registered in the name of Cede &amp; Co. (DTC’s partnership nominee) or such other name as may be requested by an authorized representative of DTC. One fully-registered certificate will be issued for the Notes, in the aggregate principal amount of such issue, and will be deposited with DTC.</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Purchases of debt securities under the DTC system must be made by or through Direct Participants, which will receive a credit for the debt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Neither DTC nor Cede &amp; Co. (nor such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Redemption proceeds, distributions, and dividend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but disbursement of such payments to Direct Participants will be the responsibility of DTC, and disbursement of such payments to the Beneficial Owners will be the responsibility of Direct and Indirect Participants.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information in this section concerning DTC and DTC’s book-entry system has been obtained from sources that we believe to be reliable, but we take no responsibility for the accuracy thereof.</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19" w:name="MATERIALUNITEDSTATES_536388"/>
      <w:bookmarkStart w:id="20" w:name="_b454fc21_b75b_4b59_b7f1_a81b7684e47c"/>
      <w:bookmarkEnd w:id="19"/>
      <w:bookmarkEnd w:id="20"/>
      <w:r>
        <w:rPr>
          <w:rFonts w:ascii="Times New Roman;Times;serif" w:hAnsi="Times New Roman;Times;serif"/>
          <w:b/>
          <w:color w:val="231F20"/>
          <w:sz w:val="20"/>
        </w:rPr>
        <w:t>MATERIAL UNITED STATES FEDERAL INCOME TAX CONSEQUENCES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discussion is a general summary of the material United States federal income tax considerations (and, in the case of a non-U.S. holder (as defined below), the material United States federal estate tax consequences) applicable to an investment in the Notes. This summary does not purport to be a complete description of the income tax considerations applicable to such an investment. The discussion is based upon the Code, the Treasury Regulations promulgated thereunder, and administrative and judicial interpretations, each as of the date of this prospectus supplement and all of which are subject to change, potentially with retroactive effect. You should consult your own tax advisor with respect to tax considerations that pertain to your purchase of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discussion deals only with Notes held as capital assets within the meaning of Section 1221 of the Code and does not purport to deal with persons in special tax situations,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persons whose functional currency (as defined in Section 985 of the Code) is not the U.S. dollar. It also does not deal with beneficial owners of the Notes other than original purchasers of the Notes who acquire the Notes in this offering.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 purposes of this discussion, the term “U.S. holder” means a beneficial owner of a Note that is, for United States federal income tax purposes, (i) an individual who is (or is treated as)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United States federal income tax as if they were United States citizens.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pStyle w:val="TextBody"/>
        <w:bidi w:val="0"/>
        <w:spacing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Tax matters are very complicated and the tax consequences to each stockholder of an investment in our securities will depend on the facts of its particular situation. Prospective noteholders are urged to consult their own tax advisers to determine the U.S. federal, state, local and foreign tax consequences to them of an investment in our securities, including applicable tax reporting requirements, the applicability of U.S. federal, state, local and foreign tax laws, eligibility for the benefits of any applicable tax treaty and the effect of any possible changes to tax laws.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Taxation of Note Holders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Taxation of U.S. 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Qualified Stated Interest. </w:t>
      </w:r>
      <w:r>
        <w:rPr>
          <w:rFonts w:ascii="Times New Roman;Times;serif" w:hAnsi="Times New Roman;Times;serif"/>
          <w:color w:val="231F20"/>
          <w:sz w:val="20"/>
        </w:rPr>
        <w:t>Except as discussed below, payments or accruals of “qualified stated interest” on a Note generally will be taxable to a U.S. holder as ordinary interest income at the time they are received (actually or constructively) or accrued, in accordance with the U.S. holder’s regular method of tax accounting.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Original Issue Discount. </w:t>
      </w:r>
      <w:r>
        <w:rPr>
          <w:rFonts w:ascii="Times New Roman;Times;serif" w:hAnsi="Times New Roman;Times;serif"/>
          <w:color w:val="231F20"/>
          <w:sz w:val="20"/>
        </w:rPr>
        <w:t>In addition, if the issue price of the Notes (</w:t>
      </w:r>
      <w:r>
        <w:rPr>
          <w:rFonts w:ascii="Times New Roman;Times;serif" w:hAnsi="Times New Roman;Times;serif"/>
          <w:i/>
          <w:color w:val="231F20"/>
          <w:sz w:val="20"/>
        </w:rPr>
        <w:t>i.e.</w:t>
      </w:r>
      <w:r>
        <w:rPr>
          <w:rFonts w:ascii="Times New Roman;Times;serif" w:hAnsi="Times New Roman;Times;serif"/>
          <w:color w:val="231F20"/>
          <w:sz w:val="20"/>
        </w:rPr>
        <w:t>, the first price at which a substantial amount of the Notes is sold to investors) is less than their “stated redemption price at maturity” (</w:t>
      </w:r>
      <w:r>
        <w:rPr>
          <w:rFonts w:ascii="Times New Roman;Times;serif" w:hAnsi="Times New Roman;Times;serif"/>
          <w:i/>
          <w:color w:val="231F20"/>
          <w:sz w:val="20"/>
        </w:rPr>
        <w:t>i.e.</w:t>
      </w:r>
      <w:r>
        <w:rPr>
          <w:rFonts w:ascii="Times New Roman;Times;serif" w:hAnsi="Times New Roman;Times;serif"/>
          <w:color w:val="231F20"/>
          <w:sz w:val="20"/>
        </w:rPr>
        <w:t xml:space="preserve">, the sum of all payments to be made on the Notes, other than payments of “qualified stated interest”) by not less than a specified </w:t>
      </w:r>
      <w:r>
        <w:rPr>
          <w:rFonts w:ascii="Times New Roman;Times;serif" w:hAnsi="Times New Roman;Times;serif"/>
          <w:i/>
          <w:color w:val="231F20"/>
          <w:sz w:val="20"/>
        </w:rPr>
        <w:t xml:space="preserve">de minimis </w:t>
      </w:r>
      <w:r>
        <w:rPr>
          <w:rFonts w:ascii="Times New Roman;Times;serif" w:hAnsi="Times New Roman;Times;serif"/>
          <w:color w:val="231F20"/>
          <w:sz w:val="20"/>
        </w:rPr>
        <w:t>amount, the Notes will be considered as having been issued for U.S. federal income tax purposes with original issue discount, or OID. In the case of the Notes, the term “qualified stated interest” generally means interest that is unconditionally payable at least annually and at a single fixed rate.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If the Notes are issued with OID, a U.S. holder generally will be required to include the OID in gross income as ordinary interest income in advance of the receipt of cash attributable to that income and regardless of such U.S. holder’s regular method of tax accounting. Such OID will be included in gross income for each day during each taxable year in which a Note is held by a U.S. holder using a constant yield method that reflects the compounding of interest. This means that a U.S. holder will be required to include increasingly greater amounts of OID over time. If the Notes are issued with discount that is less than the “</w:t>
      </w:r>
      <w:r>
        <w:rPr>
          <w:rFonts w:ascii="Times New Roman;Times;serif" w:hAnsi="Times New Roman;Times;serif"/>
          <w:i/>
          <w:color w:val="231F20"/>
          <w:sz w:val="20"/>
        </w:rPr>
        <w:t xml:space="preserve">de minimis </w:t>
      </w:r>
      <w:r>
        <w:rPr>
          <w:rFonts w:ascii="Times New Roman;Times;serif" w:hAnsi="Times New Roman;Times;serif"/>
          <w:color w:val="231F20"/>
          <w:sz w:val="20"/>
        </w:rPr>
        <w:t>amount” (</w:t>
      </w:r>
      <w:r>
        <w:rPr>
          <w:rFonts w:ascii="Times New Roman;Times;serif" w:hAnsi="Times New Roman;Times;serif"/>
          <w:i/>
          <w:color w:val="231F20"/>
          <w:sz w:val="20"/>
        </w:rPr>
        <w:t>i.e.</w:t>
      </w:r>
      <w:r>
        <w:rPr>
          <w:rFonts w:ascii="Times New Roman;Times;serif" w:hAnsi="Times New Roman;Times;serif"/>
          <w:color w:val="231F20"/>
          <w:sz w:val="20"/>
        </w:rPr>
        <w:t xml:space="preserve">, discount that is not treated as OID), the U.S. holder generally will be required to include the </w:t>
      </w:r>
      <w:r>
        <w:rPr>
          <w:rFonts w:ascii="Times New Roman;Times;serif" w:hAnsi="Times New Roman;Times;serif"/>
          <w:i/>
          <w:color w:val="231F20"/>
          <w:sz w:val="20"/>
        </w:rPr>
        <w:t xml:space="preserve">de minimis </w:t>
      </w:r>
      <w:r>
        <w:rPr>
          <w:rFonts w:ascii="Times New Roman;Times;serif" w:hAnsi="Times New Roman;Times;serif"/>
          <w:color w:val="231F20"/>
          <w:sz w:val="20"/>
        </w:rPr>
        <w:t xml:space="preserve">OID in income at the time a principal payment on the Note is made in proportion to the amount paid. Any amount of </w:t>
      </w:r>
      <w:r>
        <w:rPr>
          <w:rFonts w:ascii="Times New Roman;Times;serif" w:hAnsi="Times New Roman;Times;serif"/>
          <w:i/>
          <w:color w:val="231F20"/>
          <w:sz w:val="20"/>
        </w:rPr>
        <w:t xml:space="preserve">de minimis </w:t>
      </w:r>
      <w:r>
        <w:rPr>
          <w:rFonts w:ascii="Times New Roman;Times;serif" w:hAnsi="Times New Roman;Times;serif"/>
          <w:color w:val="231F20"/>
          <w:sz w:val="20"/>
        </w:rPr>
        <w:t>OID on a Note that is recognized by a U.S. holder will be characterized as capital gain. Notice will be given if we determine that any of the Notes will be issued with OID. We are required to provide information returns stating the amount of OID accrued on the Notes held by persons of record, other than certain U.S. tax-exempt 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Market Discount. </w:t>
      </w:r>
      <w:r>
        <w:rPr>
          <w:rFonts w:ascii="Times New Roman;Times;serif" w:hAnsi="Times New Roman;Times;serif"/>
          <w:color w:val="231F20"/>
          <w:sz w:val="20"/>
        </w:rPr>
        <w:t xml:space="preserve">If you acquire a Note for an amount that is less than its adjusted issue price, the amount of the difference generally will be treated as “market discount” for U.S. federal income tax purposes, unless that difference is less than a specified </w:t>
      </w:r>
      <w:r>
        <w:rPr>
          <w:rFonts w:ascii="Times New Roman;Times;serif" w:hAnsi="Times New Roman;Times;serif"/>
          <w:i/>
          <w:color w:val="231F20"/>
          <w:sz w:val="20"/>
        </w:rPr>
        <w:t xml:space="preserve">de minimis </w:t>
      </w:r>
      <w:r>
        <w:rPr>
          <w:rFonts w:ascii="Times New Roman;Times;serif" w:hAnsi="Times New Roman;Times;serif"/>
          <w:color w:val="231F20"/>
          <w:sz w:val="20"/>
        </w:rPr>
        <w:t>amount. Under the market discount rules, you will be required to treat any principal payment on, or any gain on the sale, exchange, retirement or other disposition of, a Note as ordinary income to the extent of the market discount that you have not previously included in income and are treated as having accrued on the Note at the time of any principal payment received on the Note.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such case, you also may be required to defer, until the maturity of a Note or its earlier sale or other disposition in a taxable transaction, the deduction of all or a portion of the interest expense on any indebtedness attributable to the Note.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may make an election to include market discount from a Note in income currently as it accrues in which case the rule described above regarding deferral of interest deductions will not apply. If a U.S. holder makes this election, the U.S. holder will be required to increase the tax basis in the Note by the amount of market discount on the Note included in the U.S. holder’s income. If you make this election, it will apply to all debt instruments with market discount (including, if applicable, the Note) that you acquire on or after the first day of the first taxable year to which the election applies, and such election is irrevocable without the consent of the IRS. You should consult your own tax advisor before making this election.</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market discount you recognize on a Note will be considered to accrue ratably during the period from the date of acquisition to the maturity date of the Note, unless you make a separate election to accrue such market discount on a constant yield method. If you make this election, it will only apply to the Note and any other debt instruments you specify, that you acquire on or after the first day of the first taxable year to which the election applies. You may not revoke this election without the consent of the IRS. You should consult your own tax advisor before making such election.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Bond Premium. </w:t>
      </w:r>
      <w:r>
        <w:rPr>
          <w:rFonts w:ascii="Times New Roman;Times;serif" w:hAnsi="Times New Roman;Times;serif"/>
          <w:color w:val="231F20"/>
          <w:sz w:val="20"/>
        </w:rPr>
        <w:t>If you acquire a Note for an amount in excess of its stated principal amount, you will be considered to have purchased the Note at a “premium.” You generally may elect to amortize such premium over the remaining term of the Note on a constant yield method as an offset to interest when includible in taxable income under your regular accounting method. Any amortized amount of the premium for a taxable year generally will be treated first as an offset to interest on a Note includible in income in such taxable year, then as a deduction allowed in that taxable year to the extent of your prior interest inclusions on the Note, and finally as a carryforward allowable against your future interest inclusions on the Note, in each case, in accordance with your regular accounting method. If you make this election, you will be required to reduce your tax basis in a Note by the amount of the premium amortized. An election to amortize premium will also apply to all other taxable debt instruments you hold or subsequently acquire on or after the first day of the first taxable year for which the election is made. You may not revoke this election without the consent of the IRS. You should consult your own tax advisor before making such election. If you do not elect to amortize premium on the Note, that premium will decrease the gain or increase the loss you would otherwise recognize on disposition of the Note.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Sale, Exchange, Redemption, Retirement or other Disposition of Notes. </w:t>
      </w:r>
      <w:r>
        <w:rPr>
          <w:rFonts w:ascii="Times New Roman;Times;serif" w:hAnsi="Times New Roman;Times;serif"/>
          <w:color w:val="231F20"/>
          <w:sz w:val="20"/>
        </w:rPr>
        <w:t>Upon the sale, exchange, redemption or retirement of a Note, a U.S. holder generally will recognize capital gain or loss equal to the difference between the amount realized on the sale, exchange, redemption or retirement (excluding amounts representing accrued and unpaid interest, which are treated as ordinary income) and the U.S. holder’s adjusted tax basis in the Note. A U.S. holder’s adjusted tax basis in a Note generally will equal the U.S. holder’s initial investment in the Note (increased by any OID and market discount previously included in income with respect to the Note, and reduced by the amount of any bond premium previously amortized with respect to the Note and any cash payments on the Note other than qualified stated interest).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for example, for purposes of the limitations on a U.S. holder’s ability to offset capital losses against ordinary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Medicare Tax on Net Investment Income. </w:t>
      </w:r>
      <w:r>
        <w:rPr>
          <w:rFonts w:ascii="Times New Roman;Times;serif" w:hAnsi="Times New Roman;Times;serif"/>
          <w:color w:val="231F20"/>
          <w:sz w:val="20"/>
        </w:rPr>
        <w:t>A 3.8% tax is imposed under Section 1411 of the Code on the “net investment income” of certain U.S. citizens and residents and on the undistributed net investment income of certain estates and trusts. Among other items, net investment income generally includes payments of interest (and OID) on, and net gains recognized from the sale, exchange, redemption, retirement or other taxable disposition of Notes (unless the Notes are held in connection with certain trades or businesses), less certain deductions. U.S. holders should consult their own tax advisors regarding the effect, if any, of this legislation on their ownership and disposition of the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Tax Shelter Reporting Regulations. </w:t>
      </w:r>
      <w:r>
        <w:rPr>
          <w:rFonts w:ascii="Times New Roman;Times;serif" w:hAnsi="Times New Roman;Times;serif"/>
          <w:color w:val="231F20"/>
          <w:sz w:val="20"/>
        </w:rPr>
        <w:t>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Internal Revenue Service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w:t>
      </w:r>
    </w:p>
    <w:p>
      <w:pPr>
        <w:pStyle w:val="TextBody"/>
        <w:bidi w:val="0"/>
        <w:spacing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Taxation of Non-U.S. Holders.</w:t>
      </w:r>
    </w:p>
    <w:p>
      <w:pPr>
        <w:pStyle w:val="TextBody"/>
        <w:bidi w:val="0"/>
        <w:spacing w:before="0" w:after="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Except as provided below under “Information Reporting and Backup Withholding” and “FATCA Withholding on Payments to Certain Foreign Entities,” a non-U.S. holder generally will not be subject to U.S. federal income or withholding taxes on payments of principal or stated interest on a Note provided that (i) income on the Note is not effectively connected with the conduct by the non-U.S. holder of a trade or business within the U.S., (ii) the non-U.S. holder is not a controlled foreign corporation, or CFC, related to the Company through stock ownership, (iii) in the case of interest income, the recipient is not a bank receiving interest described in Section 881(c)(3)(A) of the Code, (iv) the non-U.S. holder does not own (actually or constructively) 10% or more of the total combined voting power or value of all classes of stock of the Company, and (v) (A) the non-U.S. holder provides a statement on an IRS Form W-8BEN, Form W-8BEN-E or other applicable U.S. nonresident withholding tax certification form signed under penalties of perjury that includes, among other requirements, its name and address and a certification that the non-U.S. holder is not a United States person for U.S. federal income tax purposes in compliance with applicable requirements, or satisfies documentary evidence requirements for establishing that it is a non-U.S. holder, or (B) a securities clearing organization, bank, or other financial institution that holds customer securities in the ordinary course of its trade or business (i.e., a “financial institution”) and holds a Note certifies to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us under penalties of perjury that either it or another financial institution has received the required statement from the non-U.S. holder certifying that it is a non-U.S. person and furnishes us with a copy of the statement.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 non-U.S. holder that is not exempt from tax under these rules generally will be subject to United States federal income tax withholding on payments of interest on the Notes at a rate of 30% unless (i) the income is effectively connected with the conduct of a U.S. trade or business, in which case the interest generally will be subject to U.S. federal income tax on a net income basis as applicable to U.S. holders generally (unless an applicable income tax treaty provides otherwise), and such non-U.S. holder would be required in lieu of the certifications described above to provide a properly executed IRS Form W-8ECI, or (ii) an applicable income tax treaty provides for a lower rate of, or exemption from, withholding tax.</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the case of a non-U.S. holder that is classified as a corporation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may apply at a reduced rate) if the non-U.S. holder is a qualified resident of a country with which the U.S. has an income tax treaty.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periodically updated. Also, a non-U.S. holder who is claiming the benefits of a treaty may be required to obtain a United States taxpayer identification number and to provide certain documentary evidence issued by foreign governmental authorities to prove residence in the foreign country.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Information Reporting and Backup Withholding</w:t>
      </w:r>
      <w:r>
        <w:rPr>
          <w:rFonts w:ascii="Times New Roman;Times;serif" w:hAnsi="Times New Roman;Times;serif"/>
          <w:color w:val="231F20"/>
          <w:sz w:val="20"/>
        </w:rPr>
        <w:t>. A U.S. holder (other than an “exempt recipient,” including a corporation and certain other persons who, when required, demonstrate their exempt status) may be subject to backup withholding at a rate of 24% on, and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you are a non-U.S. holder, generally, the applicable withholding agent must report to the IRS and to you payments of interest on a Note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payments of the proceeds from the sale of a Note to or through a non-U.S. office of a broker or the non-U.S. office of a custodian, nominee, or other dealer acting on behalf of a holder generally will not be subject to information reporting or backup withholding. However, if the broker, custodian, nominee, or other dealer is a U.S. person, the government of the United States or the government of any state or political subdivision of any state, or any agency or instrumentality of any of these governmental units, a CFC, a foreign partnership that is either engaged in a trade or business within the U.S. or whose U.S. resident partners in the aggregate hold more than 50% of the income or capital interest in the partnership, a non-U.S. person 50% or more of whose gross income for a certain period is effectively connected with a trade or business within the U.S., or a U.S. branch of a foreign bank or insurance company, information reporting (but not backup withholding) generally will be required with respect to payments made to a holder unless the broker, custodian, nominee, or other dealer has documentation of the holder’s non-U.S. status and the broker, custodian, nominee, or other dealer has no actual knowledge or reason to know to the contrary.</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are urged to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United States federal income tax provided the required information is timely furnished to the IRS.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color w:val="231F20"/>
          <w:sz w:val="20"/>
        </w:rPr>
        <w:t xml:space="preserve">FATCA Withholding on Payments to Certain Foreign Entities. </w:t>
      </w:r>
      <w:r>
        <w:rPr>
          <w:rFonts w:ascii="Times New Roman;Times;serif" w:hAnsi="Times New Roman;Times;serif"/>
          <w:color w:val="231F20"/>
          <w:sz w:val="20"/>
        </w:rPr>
        <w:t>The FATCA provisions of the Code as well as Treasury Regulations and other IRS administrative guidance promulgated thereunder, when applicable, generally impose a U.S. federal withholding tax of 30% on interest earned in respect of a debt instrument, (“withholdable payments”), which includes the Notes, to certain non-U.S. entities (including, in some circumstances, where such an entity is acting as an intermediary) that fail to comply or is not deemed compliant with certain certification and information reporting requirements that are in addition to the requirement to provide an applicable U.S. nonresident withholding tax certification form, as discussed above. FATCA withholding taxes generally apply to all withholdable payments without regard to whether the beneficial owner of the payment would otherwise be entitled to an exemption from withholding taxes pursuant to an applicable tax treaty with the U.S. or under U.S. domestic law. If FATCA withholding taxes are imposed with respect to any payments of interest made or deemed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as specified in the Second Supplemental Indenture to enable the applicable withholding agent to determine whether withholding is required. Prospective holders of the Notes should consult their own tax advisors regarding the effect, if any, of the FATCA rules for them based on their particular circumstances.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Under the applicable Treasury Regulations, withholding under FATCA generally applies to payments of interest on the Notes from such Notes’ date of issuance. Currently, proposed Treasury Regulations have been issued that, when finalized, will provide for the repeal of the 30% withholding tax that would have applied to all payments of gross proceeds from the sale, exchange or disposition of stock, bonds, or other property that could give rise to dividends or interest. In the preamble to the proposed U.S. Treasury Regulations, the government provided that taxpayers may rely upon this repeal until the issuance of final U.S. Treasury Regulations. Prospective holders of the Notes should consult their own tax advisors regarding the effect, if any, of the FATCA rules for them based on their particular circumstances.</w:t>
      </w:r>
    </w:p>
    <w:p>
      <w:pPr>
        <w:pStyle w:val="TextBody"/>
        <w:bidi w:val="0"/>
        <w:spacing w:before="0" w:after="0"/>
        <w:ind w:left="200" w:right="200" w:firstLine="360"/>
        <w:jc w:val="left"/>
        <w:rPr>
          <w:rFonts w:ascii="Times New Roman;Times;serif" w:hAnsi="Times New Roman;Times;serif"/>
          <w:b/>
          <w:i/>
          <w:color w:val="231F20"/>
          <w:sz w:val="20"/>
        </w:rPr>
      </w:pPr>
      <w:r>
        <w:rPr>
          <w:rFonts w:ascii="Times New Roman;Times;serif" w:hAnsi="Times New Roman;Times;serif"/>
          <w:b/>
          <w:i/>
          <w:color w:val="231F20"/>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21" w:name="UNDERWRITING_14441"/>
      <w:bookmarkStart w:id="22" w:name="_b6562e0d_c33f_4afe_ac60_1699808ad94e"/>
      <w:bookmarkEnd w:id="21"/>
      <w:bookmarkEnd w:id="22"/>
      <w:r>
        <w:rPr>
          <w:rFonts w:ascii="Times New Roman;Times;serif" w:hAnsi="Times New Roman;Times;serif"/>
          <w:b/>
          <w:color w:val="231F20"/>
          <w:sz w:val="20"/>
        </w:rPr>
        <w:t>UNDERWRITING</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are offering the Notes described in this prospectus supplement and the accompanying prospectus through a number of underwriters. Oppenheimer &amp; Co. Inc. is acting as representative of the underwriters. We have entered into an underwriting agreement with the underwriters. Subject to the terms and conditions of the underwriting agreement, we have agreed to sell to the underwriters, and each underwriter has agreed, severally and not jointly to purchase, the aggregate principal amount of Notes listed next to its name in the following table:</w:t>
      </w:r>
    </w:p>
    <w:tbl>
      <w:tblPr>
        <w:tblW w:w="4624" w:type="dxa"/>
        <w:jc w:val="left"/>
        <w:tblInd w:w="200" w:type="dxa"/>
        <w:tblLayout w:type="fixed"/>
        <w:tblCellMar>
          <w:top w:w="0" w:type="dxa"/>
          <w:left w:w="0" w:type="dxa"/>
          <w:bottom w:w="0" w:type="dxa"/>
          <w:right w:w="0" w:type="dxa"/>
        </w:tblCellMar>
      </w:tblPr>
      <w:tblGrid>
        <w:gridCol w:w="2821"/>
        <w:gridCol w:w="346"/>
        <w:gridCol w:w="211"/>
        <w:gridCol w:w="1246"/>
      </w:tblGrid>
      <w:tr>
        <w:trPr/>
        <w:tc>
          <w:tcPr>
            <w:tcW w:w="28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r>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791335" cy="175260"/>
                      <wp:effectExtent l="0" t="0" r="0" b="0"/>
                      <wp:wrapNone/>
                      <wp:docPr id="37" name="Frame37"/>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91210" cy="175260"/>
                      <wp:effectExtent l="0" t="0" r="0" b="0"/>
                      <wp:wrapNone/>
                      <wp:docPr id="40" name="Frame4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Underwriters</w:t>
            </w:r>
          </w:p>
        </w:tc>
        <w:tc>
          <w:tcPr>
            <w:tcW w:w="346" w:type="dxa"/>
            <w:tcBorders/>
            <w:vAlign w:val="center"/>
          </w:tcPr>
          <w:p>
            <w:pPr>
              <w:pStyle w:val="TableContents"/>
              <w:bidi w:val="0"/>
              <w:spacing w:before="0" w:after="0"/>
              <w:ind w:left="0" w:right="0" w:hanging="0"/>
              <w:jc w:val="center"/>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Oppenheimer &amp; Co.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39,967,638</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Riley Securities, Inc.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22,904,531</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Lucid Capital Markets, LLC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25,786,812</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BC Partners Securities, LLC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InspereX LLC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4,611,650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Blair &amp; Company L.L.C.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1,729,369</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100,000,000</w:t>
            </w:r>
          </w:p>
        </w:tc>
      </w:tr>
    </w:tbl>
    <w:p>
      <w:pPr>
        <w:pStyle w:val="TextBody"/>
        <w:bidi w:val="0"/>
        <w:spacing w:before="0" w:after="1"/>
        <w:ind w:left="200" w:right="200" w:hanging="0"/>
        <w:jc w:val="left"/>
        <w:rPr/>
      </w:pPr>
      <w:r>
        <w:rPr/>
        <w: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Commissions and Discounts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propose to initially offer some of the Notes directly to the public at the public offering price set forth on the cover page of this prospectus supplement.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table shows the public offering price, underwriting discount and proceeds before expenses to us.</w:t>
      </w:r>
    </w:p>
    <w:p>
      <w:pPr>
        <w:pStyle w:val="Normal"/>
        <w:bidi w:val="0"/>
        <w:spacing w:before="200" w:after="200"/>
        <w:ind w:left="200" w:right="200" w:hanging="0"/>
        <w:jc w:val="left"/>
        <w:rPr>
          <w:sz w:val="4"/>
          <w:szCs w:val="4"/>
        </w:rPr>
      </w:pPr>
      <w:r>
        <w:rPr>
          <w:sz w:val="4"/>
          <w:szCs w:val="4"/>
        </w:rPr>
      </w:r>
      <w:bookmarkStart w:id="23" w:name="Tc_8YO63_S530SHjsjcIhaIZQ_4_5"/>
      <w:bookmarkStart w:id="24" w:name="Tc_Suak5qjooU-JlYoL2wTdIg_4_4"/>
      <w:bookmarkStart w:id="25" w:name="Tc_BO89Na6hGUyupt9cOJL5kQ_4_3"/>
      <w:bookmarkStart w:id="26" w:name="Tc_tgfW_RngP0eqfUHQoX7LCA_4_2"/>
      <w:bookmarkStart w:id="27" w:name="Tc_5ZLaBe-Eo0-a-uCL4u0sKg_4_0"/>
      <w:bookmarkStart w:id="28" w:name="Tc_5E_uR2GJIUuEsU9mmkL_wA_3_5"/>
      <w:bookmarkStart w:id="29" w:name="Tc_235wVcRqwEeMR2Fgeb31Zw_3_4"/>
      <w:bookmarkStart w:id="30" w:name="Tc_daSGvCGLVk-FBZPWppeYFw_3_3"/>
      <w:bookmarkStart w:id="31" w:name="Tc_XnKu4Vis9UWgJK4FPEifYA_3_0"/>
      <w:bookmarkStart w:id="32" w:name="Tc_-G5hlkePkUCiHBrwRIrKMA_2_5"/>
      <w:bookmarkStart w:id="33" w:name="Tc_yPa6gVdQ1kel7Vvg4u8Wlw_2_4"/>
      <w:bookmarkStart w:id="34" w:name="Tc_KaKy9w12X0eGoFv4O06dLA_2_3"/>
      <w:bookmarkStart w:id="35" w:name="Tc_y7EABJ4QXEaouOT3G8xmCw_2_2"/>
      <w:bookmarkStart w:id="36" w:name="Tc_FbgoWX1mzkyUqOK5TaZoaQ_2_0"/>
      <w:bookmarkStart w:id="37" w:name="Tc_TlF5BWmP60Wtsu-TSDDl9A_1_4"/>
      <w:bookmarkStart w:id="38" w:name="Tc_beyKkQnzakCaXi-_IQj0eg_1_2"/>
      <w:bookmarkStart w:id="39" w:name="_d46be5b0_2c14_484c_8c37_b80130fbee51"/>
      <w:bookmarkStart w:id="40" w:name="Tc_8YO63_S530SHjsjcIhaIZQ_4_5"/>
      <w:bookmarkStart w:id="41" w:name="Tc_Suak5qjooU-JlYoL2wTdIg_4_4"/>
      <w:bookmarkStart w:id="42" w:name="Tc_BO89Na6hGUyupt9cOJL5kQ_4_3"/>
      <w:bookmarkStart w:id="43" w:name="Tc_tgfW_RngP0eqfUHQoX7LCA_4_2"/>
      <w:bookmarkStart w:id="44" w:name="Tc_5ZLaBe-Eo0-a-uCL4u0sKg_4_0"/>
      <w:bookmarkStart w:id="45" w:name="Tc_5E_uR2GJIUuEsU9mmkL_wA_3_5"/>
      <w:bookmarkStart w:id="46" w:name="Tc_235wVcRqwEeMR2Fgeb31Zw_3_4"/>
      <w:bookmarkStart w:id="47" w:name="Tc_daSGvCGLVk-FBZPWppeYFw_3_3"/>
      <w:bookmarkStart w:id="48" w:name="Tc_XnKu4Vis9UWgJK4FPEifYA_3_0"/>
      <w:bookmarkStart w:id="49" w:name="Tc_-G5hlkePkUCiHBrwRIrKMA_2_5"/>
      <w:bookmarkStart w:id="50" w:name="Tc_yPa6gVdQ1kel7Vvg4u8Wlw_2_4"/>
      <w:bookmarkStart w:id="51" w:name="Tc_KaKy9w12X0eGoFv4O06dLA_2_3"/>
      <w:bookmarkStart w:id="52" w:name="Tc_y7EABJ4QXEaouOT3G8xmCw_2_2"/>
      <w:bookmarkStart w:id="53" w:name="Tc_FbgoWX1mzkyUqOK5TaZoaQ_2_0"/>
      <w:bookmarkStart w:id="54" w:name="Tc_TlF5BWmP60Wtsu-TSDDl9A_1_4"/>
      <w:bookmarkStart w:id="55" w:name="Tc_beyKkQnzakCaXi-_IQj0eg_1_2"/>
      <w:bookmarkStart w:id="56" w:name="_d46be5b0_2c14_484c_8c37_b80130fbee51"/>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W w:w="5511" w:type="dxa"/>
        <w:jc w:val="left"/>
        <w:tblInd w:w="200" w:type="dxa"/>
        <w:tblLayout w:type="fixed"/>
        <w:tblCellMar>
          <w:top w:w="0" w:type="dxa"/>
          <w:left w:w="0" w:type="dxa"/>
          <w:bottom w:w="0" w:type="dxa"/>
          <w:right w:w="0" w:type="dxa"/>
        </w:tblCellMar>
      </w:tblPr>
      <w:tblGrid>
        <w:gridCol w:w="2656"/>
        <w:gridCol w:w="346"/>
        <w:gridCol w:w="751"/>
        <w:gridCol w:w="361"/>
        <w:gridCol w:w="211"/>
        <w:gridCol w:w="1186"/>
      </w:tblGrid>
      <w:tr>
        <w:trPr/>
        <w:tc>
          <w:tcPr>
            <w:tcW w:w="2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686560" cy="175260"/>
                      <wp:effectExtent l="0" t="0" r="0" b="0"/>
                      <wp:wrapNone/>
                      <wp:docPr id="41" name="Frame4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76885" cy="175260"/>
                      <wp:effectExtent l="0" t="0" r="0" b="0"/>
                      <wp:wrapNone/>
                      <wp:docPr id="43" name="Frame4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29235" cy="175260"/>
                      <wp:effectExtent l="0" t="0" r="0" b="0"/>
                      <wp:wrapNone/>
                      <wp:docPr id="44" name="Frame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53110" cy="175260"/>
                      <wp:effectExtent l="0" t="0" r="0" b="0"/>
                      <wp:wrapNone/>
                      <wp:docPr id="46" name="Frame4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Note</w:t>
            </w:r>
          </w:p>
        </w:tc>
        <w:tc>
          <w:tcPr>
            <w:tcW w:w="361" w:type="dxa"/>
            <w:tcBorders/>
            <w:vAlign w:val="center"/>
          </w:tcPr>
          <w:p>
            <w:pPr>
              <w:pStyle w:val="TableContents"/>
              <w:bidi w:val="0"/>
              <w:spacing w:before="0" w:after="0"/>
              <w:ind w:left="0" w:right="0" w:hanging="0"/>
              <w:jc w:val="center"/>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offering price</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100,000,000</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Underwriting discount</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to us, before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97,000,000</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expenses of the offering, not including the underwriting discount, are estimated at $255,000 and are payable by us.</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Settlement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expect that delivery of the Notes will be made against payment therefor on or about February 3, 2026, which will be the fifth business day following the date of pricing of the Notes, or “T+5.” Under Rule 15c6-1 of the Exchange Act, trades in the secondary market generally are required to settle in one business day, unless the parties to any such trade expressly agree otherwise. Accordingly, purchasers who wish to trade the Notes prior to the delivery of the Notes will be required, by virtue of the fact that the Notes initially settle in T+5, to specify an alternate settlement arrangement at the time of any such trade to prevent a failed settlement. Purchasers of the Notes who wish to trade the Notes prior to their date of delivery hereunder should consult their advisors.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New Listing of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are a new issue of securities with no established trading market. We intend to list the Notes on the Nasdaq within 30 days of the closing of this offering and will use commercially reasonable efforts to maintain this listing. We expect trading in the Notes on Nasdaq to begin within 30 days after the original issue date. Currently there is no public market for the Notes.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been advised by certain underwriters that they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Overallotment Option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underwriters have an option to buy up to an additional $15,000,000 aggregate principal amount of the Notes from us to cover sales of Notes by the underwriters which exceed the amount of Notes specified in the table above. The underwriters have 30 days from the date of this prospectus supplement to exercise this overallotment option. If any Notes are purchased with this overallotment option, the underwriters will purchase Notes in approximately the same proportion as shown in the table above. If any additional Notes are purchased, the underwriters will offer the additional Notes on the same terms as those on which all Notes are being offered. We are responsible for the payment of any interest that the Notes subject to this overallotment option accrue between the date of this offering and the underwriters’ exercise of the overallotment option.</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No Sales of Similar Securities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 a period of 90 days after the date of this prospectus supplement, the Company will not without the prior written consent of the underwriters, subject to certain exceptions,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its registration statement for purposes of adding the underwriting agreement, the Indenture, and certain other documents related to the transactions contemplated by the underwriting agreement as exhibits to the registration statement. This consent may be given at any time without public notice.</w:t>
      </w:r>
    </w:p>
    <w:p>
      <w:pPr>
        <w:pStyle w:val="TextBody"/>
        <w:bidi w:val="0"/>
        <w:spacing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Price Stabilizations and Short Positions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connection with this offering the underwriters may purchase and sell Notes in the open market. These transactions may include overallotment syndicate covering transactions and stabilizing transactions. Overallotment involves sales by the underwriters of Notes in excess of the number of securities required to be purchased by the underwriters in the offering, which creates a syndicate short position. “Covered” short sales are sales of securities made in an amount up to the number of securities represented by the underwriters’ overallotment option. Transactions to close out the covered syndicate short involve either purchases of such securities in the open market after the distribution has been completed or the exercise of the overallotment option. In determining the source of securities to close out the covered syndicate short position, the underwriters may consider the price of securities available for purchase in the open market as compared to the price at which they may purchase securities through the overallotment option. The underwriters may also make “naked” short sales, or sales in excess of the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securities in the open market while the offering is in progress for the purpose of fixing or maintaining the price of the securities.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also may impose a penalty bid. Penalty bids permit the underwriters to reclaim a selling concession from an underwriter or syndicate member when the underwriters repurchase securities originally sold by that underwriter or syndicate member in order to cover syndicate short positions or make stabilizing purchases.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of these activities may have the effect of raising or maintaining the market price of the securities or preventing or retarding a decline in the market price of the securities. As a result, the price of the securities may be higher than the price that might otherwise exist in the open market. The underwriters may conduct these transactions on Nasdaq or otherwise. Neither we nor any of the underwriters makes any representation or prediction as to the direction or magnitude of any effect that the transactions described above may have on the price of our securities. In addition, neither we nor any of the underwriters makes any representation that the underwriters will engage in these transactions. If the underwriters commence any of these transactions, they may discontinue them at any time.</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connection with this offering, the underwriters may engage in passive market making transactions in our securities on Nasdaq in accordance with Rule 103 of Regulation M under the Exchange Act during a period before the commencement of offers or sales of securities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Additional Underwriter Relationships</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Certain of the underwriters and their respective affiliates have from time to time performed and may in the future perform various commercial banking, financial advisory and investment banking services for us and our affiliates for which they have received or will receive customary compensation.</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BC Partners Securities LLC, an affiliate of BC Partners Credit, is a broker-dealer and member of FINRA and will participate as an underwriter in this offering. As noted above, a fund advised and managed by BC Partners Credit and its affiliates owns a majority of Runway Growth Capital. Additionally, certain members of our Board of Directors serve as senior management of BC Partners Credit, including Edward Goldthorpe, the Chairman of our board of directors. Moreover, (1) an affiliate of BC Partners Credit also owns a minority investment in MLCI, (2) certain members of the senior management of BC Partners Credit serve as the management team of MLCI, and (3) BC Partners Credit provides certain services and shares certain personnel with MLCI through a servicing agreement and a staffing and resource agreement.</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Despite the conflict of interest, no “qualified independent underwriter” is required because (i) the underwriter primarily responsible for managing the public offering does not have a conflict of interest, is not an affiliate of any underwriter that does have a conflict of interest and meets the requirements of FINRA Rule 5121(f)(12)(E), and (ii) the Notes are investment grade rated.</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Sales Outside the United States</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No action has been taken in any jurisdiction (except in the United States) that would permit a public offering of the Notes, or the possession, circulation or distribution of this prospectus supplement or accompanying prospectus or any other material relating to us 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Each of the underwriters may arrange to sell the Notes offered hereby in certain jurisdictions outside the United States, either directly or through affiliates, where it is permitted to do so.</w:t>
      </w:r>
    </w:p>
    <w:p>
      <w:pPr>
        <w:pStyle w:val="TextBody"/>
        <w:bidi w:val="0"/>
        <w:spacing w:before="0" w:after="20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Electronic Delivery</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may make this prospectus supplement and accompanying prospectus available in an electronic format. The prospectus supplement and accompanying prospectus in electronic format may be made available on a website maintained by any of the underwriters, and the underwriters may distribute such documents electronically. The underwriters may agree with us to allocate a limited number of Notes for sale to their online brokerage customers. Any such allocation for online distributions will be made by the underwriters on the same basis as other allocations.</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and our Adviser have agreed to indemnify the several underwriters against certain liabilities, including liabilities under the Securities Act.</w:t>
      </w:r>
    </w:p>
    <w:p>
      <w:pPr>
        <w:pStyle w:val="TextBody"/>
        <w:bidi w:val="0"/>
        <w:spacing w:lineRule="auto" w:line="240" w:before="0" w:after="0"/>
        <w:ind w:left="200" w:right="200" w:firstLine="360"/>
        <w:jc w:val="left"/>
        <w:rPr>
          <w:rFonts w:ascii="Times New Roman;Times;serif" w:hAnsi="Times New Roman;Times;serif"/>
          <w:sz w:val="20"/>
        </w:rPr>
      </w:pPr>
      <w:r>
        <w:rPr>
          <w:rFonts w:ascii="Times New Roman;Times;serif" w:hAnsi="Times New Roman;Times;serif"/>
          <w:color w:val="231F20"/>
          <w:sz w:val="20"/>
        </w:rPr>
        <w:t>The principal business address of Oppenheimer &amp; Co. Inc. is 85 Broad Street, 23</w:t>
      </w:r>
      <w:r>
        <w:rPr>
          <w:rFonts w:ascii="Times New Roman;Times;serif" w:hAnsi="Times New Roman;Times;serif"/>
          <w:color w:val="231F20"/>
          <w:sz w:val="15"/>
        </w:rPr>
        <w:t>rd</w:t>
      </w:r>
      <w:r>
        <w:rPr>
          <w:rFonts w:ascii="Times New Roman;Times;serif" w:hAnsi="Times New Roman;Times;serif"/>
          <w:color w:val="231F20"/>
          <w:sz w:val="20"/>
        </w:rPr>
        <w:t xml:space="preserve"> Floor, New York, NY 10004.</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57" w:name="LEGALMATTERS_482078"/>
      <w:bookmarkStart w:id="58" w:name="_5a97dba6_b45d_4b1f_a85a_42f075ea0ad0"/>
      <w:bookmarkEnd w:id="57"/>
      <w:bookmarkEnd w:id="58"/>
      <w:r>
        <w:rPr>
          <w:rFonts w:ascii="Times New Roman;Times;serif" w:hAnsi="Times New Roman;Times;serif"/>
          <w:b/>
          <w:color w:val="231F20"/>
          <w:sz w:val="20"/>
        </w:rPr>
        <w:t>LEGAL MATTERS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Certain legal matters regarding the Notes offered by this prospectus supplement will be passed upon for us by Dechert LLP. Certain legal matters in connection with the Notes offered hereby will be passed upon for the underwriters by Eversheds Sutherland (US) LLP.</w:t>
      </w:r>
    </w:p>
    <w:p>
      <w:pPr>
        <w:pStyle w:val="TextBody"/>
        <w:bidi w:val="0"/>
        <w:spacing w:before="0" w:after="240"/>
        <w:ind w:left="200" w:right="200" w:hanging="0"/>
        <w:jc w:val="center"/>
        <w:rPr>
          <w:rFonts w:ascii="Times New Roman;Times;serif" w:hAnsi="Times New Roman;Times;serif"/>
          <w:b/>
          <w:color w:val="231F20"/>
          <w:sz w:val="20"/>
        </w:rPr>
      </w:pPr>
      <w:bookmarkStart w:id="59" w:name="INDEPENDENTREGIST_877795"/>
      <w:bookmarkStart w:id="60" w:name="_5185e6f6_3cb5_4692_835f_40cfa4f4eeba"/>
      <w:bookmarkEnd w:id="59"/>
      <w:bookmarkEnd w:id="60"/>
      <w:r>
        <w:rPr>
          <w:rFonts w:ascii="Times New Roman;Times;serif" w:hAnsi="Times New Roman;Times;serif"/>
          <w:b/>
          <w:color w:val="231F20"/>
          <w:sz w:val="20"/>
        </w:rPr>
        <w:t>INDEPENDENT REGISTERED PUBLIC ACCOUNTING FIRM</w:t>
      </w:r>
    </w:p>
    <w:p>
      <w:pPr>
        <w:pStyle w:val="TextBody"/>
        <w:bidi w:val="0"/>
        <w:spacing w:before="0" w:after="240"/>
        <w:ind w:left="200" w:right="200" w:firstLine="360"/>
        <w:jc w:val="left"/>
        <w:rPr/>
      </w:pPr>
      <w:r>
        <w:rPr>
          <w:rFonts w:ascii="Times New Roman;Times;serif" w:hAnsi="Times New Roman;Times;serif"/>
          <w:color w:val="231F20"/>
          <w:sz w:val="20"/>
        </w:rPr>
        <w:t xml:space="preserve">The financial statements of Runway Growth Finance Corp. as of December 31, 2024 and for the year ended December 31, 2024 incorporated in this prospectus supplement and the accompanying prospectus by reference from the Runway Growth Finance Corp. </w:t>
      </w:r>
      <w:hyperlink r:id="rId2">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color w:val="231F20"/>
          <w:sz w:val="20"/>
        </w:rPr>
        <w:t>, as amended, have been audited by Deloitte &amp; Touche LLP, an independent registered public accounting firm, as stated in their report thereon, incorporated herein by reference, and have been incorporated in this prospectus supplement, the accompanying prospectus and the registration statement on Form N-2 in reliance upon such reports of such firm given their authority as experts in accounting and auditing.</w:t>
      </w:r>
    </w:p>
    <w:p>
      <w:pPr>
        <w:pStyle w:val="TextBody"/>
        <w:bidi w:val="0"/>
        <w:spacing w:before="0" w:after="240"/>
        <w:ind w:left="200" w:right="200" w:firstLine="360"/>
        <w:jc w:val="left"/>
        <w:rPr/>
      </w:pPr>
      <w:r>
        <w:rPr>
          <w:rFonts w:ascii="Times New Roman;Times;serif" w:hAnsi="Times New Roman;Times;serif"/>
          <w:color w:val="231F20"/>
          <w:sz w:val="20"/>
        </w:rPr>
        <w:t xml:space="preserve">The financial statements of Runway Growth Finance Corp. as of December 31, 2023 and for each of the years in the two-year period ended December 31, 2023 incorporated in this prospectus supplement and the accompanying prospectus by reference from the Runway Growth Finance Corp. </w:t>
      </w:r>
      <w:hyperlink r:id="rId3">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color w:val="231F20"/>
          <w:sz w:val="20"/>
        </w:rPr>
        <w:t>, as amended, have been audited by RSM US LLP, an independent registered public accounting firm, as stated in their report thereon, incorporated herein by reference, and have been incorporated in this prospectus supplement, the accompanying prospectus and the registration statement on Form N-2 in reliance upon such reports.</w:t>
      </w:r>
    </w:p>
    <w:p>
      <w:pPr>
        <w:pStyle w:val="TextBody"/>
        <w:bidi w:val="0"/>
        <w:spacing w:before="0" w:after="240"/>
        <w:ind w:left="200" w:right="200" w:hanging="0"/>
        <w:jc w:val="center"/>
        <w:rPr>
          <w:rFonts w:ascii="Times New Roman;Times;serif" w:hAnsi="Times New Roman;Times;serif"/>
          <w:b/>
          <w:color w:val="231F20"/>
          <w:sz w:val="20"/>
        </w:rPr>
      </w:pPr>
      <w:bookmarkStart w:id="61" w:name="AVAILABLEINFORMATION_387161"/>
      <w:bookmarkStart w:id="62" w:name="_66177347_1512_4aa7_8414_62ca92ab23ed"/>
      <w:bookmarkEnd w:id="61"/>
      <w:bookmarkEnd w:id="62"/>
      <w:r>
        <w:rPr>
          <w:rFonts w:ascii="Times New Roman;Times;serif" w:hAnsi="Times New Roman;Times;serif"/>
          <w:b/>
          <w:color w:val="231F20"/>
          <w:sz w:val="20"/>
        </w:rPr>
        <w:t>AVAILABLE INFORMATION</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filed with the SEC a universal shelf registration statement, of which this prospectus supplement forms a part, on Form N-2, together with all amendments and related exhibits, under the Securities Act, with respect to the Notes offered by this prospectus supplement and the accompanying prospectus. The registration statement contains additional information about us and our shares of common stock being offered by this prospectus supplement and the accompanying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file with or submit to the SEC annual, quarterly and current periodic reports, proxy statements and other information meeting the informational requirements of the Exchange Act. The SEC maintains a website that contains reports, proxy and information statements and other information filed electronically by us with the SEC at </w:t>
      </w:r>
      <w:r>
        <w:rPr>
          <w:rFonts w:ascii="Times New Roman;Times;serif" w:hAnsi="Times New Roman;Times;serif"/>
          <w:i/>
          <w:color w:val="231F20"/>
          <w:sz w:val="20"/>
        </w:rPr>
        <w:t>www.sec.gov</w:t>
      </w:r>
      <w:r>
        <w:rPr>
          <w:rFonts w:ascii="Times New Roman;Times;serif" w:hAnsi="Times New Roman;Times;serif"/>
          <w:color w:val="231F20"/>
          <w:sz w:val="20"/>
        </w:rPr>
        <w:t xml:space="preserve">. We maintain a website at </w:t>
      </w:r>
      <w:r>
        <w:rPr>
          <w:rFonts w:ascii="Times New Roman;Times;serif" w:hAnsi="Times New Roman;Times;serif"/>
          <w:i/>
          <w:color w:val="231F20"/>
          <w:sz w:val="20"/>
        </w:rPr>
        <w:t xml:space="preserve">https://investors.runwaygrowth.com/financial-information/sec-filings </w:t>
      </w:r>
      <w:r>
        <w:rPr>
          <w:rFonts w:ascii="Times New Roman;Times;serif" w:hAnsi="Times New Roman;Times;serif"/>
          <w:color w:val="231F20"/>
          <w:sz w:val="20"/>
        </w:rPr>
        <w:t>and make all of our annual, quarterly and current reports, proxy statements and other publicly filed information available, free of charge, on or through our website. This information is also available, free of charge, by contacting us in writing at 205 N. Michigan Ave., Suite 4200, Chicago, IL 60601, or by emailing us at prospectus@runwaygrowth.com.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color w:val="231F20"/>
          <w:sz w:val="20"/>
        </w:rPr>
      </w:pPr>
      <w:bookmarkStart w:id="63" w:name="INCORPORATIONBYREFERENCE_594736"/>
      <w:bookmarkStart w:id="64" w:name="_c92575f5_05d0_4c26_a276_d4fcb13fbed7"/>
      <w:bookmarkEnd w:id="63"/>
      <w:bookmarkEnd w:id="64"/>
      <w:r>
        <w:rPr>
          <w:rFonts w:ascii="Times New Roman;Times;serif" w:hAnsi="Times New Roman;Times;serif"/>
          <w:b/>
          <w:color w:val="231F20"/>
          <w:sz w:val="20"/>
        </w:rPr>
        <w:t>INCORPORATION BY REFERENCE</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our </w:t>
            </w:r>
            <w:hyperlink r:id="rId4">
              <w:r>
                <w:rPr>
                  <w:rStyle w:val="InternetLink"/>
                  <w:rFonts w:ascii="Times New Roman;Times;serif" w:hAnsi="Times New Roman;Times;serif"/>
                  <w:b w:val="false"/>
                  <w:i w:val="false"/>
                  <w:caps w:val="false"/>
                  <w:smallCaps w:val="false"/>
                </w:rPr>
                <w:t>Annual Report on Form 10-K for the fiscal year ended December 31, 2024 filed with the SEC on March 20, 2025</w:t>
              </w:r>
            </w:hyperlink>
            <w:r>
              <w:rPr>
                <w:rFonts w:ascii="Times New Roman;Times;serif" w:hAnsi="Times New Roman;Times;serif"/>
                <w:b w:val="false"/>
                <w:i w:val="false"/>
                <w:caps w:val="false"/>
                <w:smallCaps w:val="false"/>
                <w:color w:val="231F20"/>
                <w:sz w:val="20"/>
              </w:rPr>
              <w:t xml:space="preserve">, and an amendment to our </w:t>
            </w:r>
            <w:hyperlink r:id="rId5">
              <w:r>
                <w:rPr>
                  <w:rStyle w:val="InternetLink"/>
                  <w:rFonts w:ascii="Times New Roman;Times;serif" w:hAnsi="Times New Roman;Times;serif"/>
                  <w:b w:val="false"/>
                  <w:i w:val="false"/>
                  <w:caps w:val="false"/>
                  <w:smallCaps w:val="false"/>
                </w:rPr>
                <w:t>Annual Report on Form 10-K for the fiscal year ended December 31, 2024 on Form 10-K/A, filed with the SEC on March 27, 2025</w:t>
              </w:r>
            </w:hyperlink>
            <w:r>
              <w:rPr>
                <w:rFonts w:ascii="Times New Roman;Times;serif" w:hAnsi="Times New Roman;Times;serif"/>
                <w:b w:val="false"/>
                <w:i w:val="false"/>
                <w:caps w:val="false"/>
                <w:smallCaps w:val="false"/>
                <w:color w:val="231F20"/>
                <w:sz w:val="20"/>
              </w:rPr>
              <w: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rPr>
                <w:t>our Quarterly Report on Form 10-Q for the quarter ended March 31, 2025, filed with the SEC on May 12, 2025</w:t>
              </w:r>
            </w:hyperlink>
            <w:r>
              <w:rPr>
                <w:rFonts w:ascii="Times New Roman;Times;serif" w:hAnsi="Times New Roman;Times;serif"/>
                <w:b w:val="false"/>
                <w:i w:val="false"/>
                <w:caps w:val="false"/>
                <w:smallCaps w:val="false"/>
                <w:color w:val="231F20"/>
                <w:sz w:val="20"/>
              </w:rPr>
              <w: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rPr>
                <w:t>our Quarterly Report on Form 10-Q for the quarter ended June 30, 2025, filed with the SEC on August 7, 2025</w:t>
              </w:r>
            </w:hyperlink>
            <w:r>
              <w:rPr>
                <w:rFonts w:ascii="Times New Roman;Times;serif" w:hAnsi="Times New Roman;Times;serif"/>
                <w:b w:val="false"/>
                <w:i w:val="false"/>
                <w:caps w:val="false"/>
                <w:smallCaps w:val="false"/>
                <w:color w:val="231F20"/>
                <w:sz w:val="20"/>
              </w:rPr>
              <w: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rPr>
                <w:t>our Quarterly Report on Form 10-Q for the quarter ended September 30, 2025, filed with the SEC on November 6, 2025</w:t>
              </w:r>
            </w:hyperlink>
            <w:r>
              <w:rPr>
                <w:rFonts w:ascii="Times New Roman;Times;serif" w:hAnsi="Times New Roman;Times;serif"/>
                <w:b w:val="false"/>
                <w:i w:val="false"/>
                <w:caps w:val="false"/>
                <w:smallCaps w:val="false"/>
                <w:color w:val="231F20"/>
                <w:sz w:val="20"/>
              </w:rPr>
              <w:t>;</w:t>
            </w:r>
          </w:p>
        </w:tc>
      </w:tr>
    </w:tbl>
    <w:tbl>
      <w:tblPr>
        <w:tblW w:w="8871" w:type="dxa"/>
        <w:jc w:val="left"/>
        <w:tblInd w:w="20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rPr>
                <w:t>our Definitive Proxy Statement on Schedule 14A, filed with the SEC on April 29, 2025</w:t>
              </w:r>
            </w:hyperlink>
            <w:r>
              <w:rPr>
                <w:rFonts w:ascii="Times New Roman;Times;serif" w:hAnsi="Times New Roman;Times;serif"/>
                <w:b w:val="false"/>
                <w:i w:val="false"/>
                <w:caps w:val="false"/>
                <w:smallCaps w:val="false"/>
                <w:sz w:val="20"/>
              </w:rPr>
              <w: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our Current Reports on Form 8-K (other than information furnished rather than filed) filed with the SEC on </w:t>
            </w:r>
            <w:hyperlink r:id="rId10">
              <w:r>
                <w:rPr>
                  <w:rStyle w:val="InternetLink"/>
                  <w:rFonts w:ascii="Times New Roman;Times;serif" w:hAnsi="Times New Roman;Times;serif"/>
                  <w:b w:val="false"/>
                  <w:i w:val="false"/>
                  <w:caps w:val="false"/>
                  <w:smallCaps w:val="false"/>
                </w:rPr>
                <w:t>January 27, 2025</w:t>
              </w:r>
            </w:hyperlink>
            <w:r>
              <w:rPr>
                <w:rFonts w:ascii="Times New Roman;Times;serif" w:hAnsi="Times New Roman;Times;serif"/>
                <w:b w:val="false"/>
                <w:i w:val="false"/>
                <w:caps w:val="false"/>
                <w:smallCaps w:val="false"/>
                <w:color w:val="231F20"/>
                <w:sz w:val="20"/>
              </w:rPr>
              <w:t xml:space="preserve">, </w:t>
            </w:r>
            <w:hyperlink r:id="rId11">
              <w:r>
                <w:rPr>
                  <w:rStyle w:val="InternetLink"/>
                  <w:rFonts w:ascii="Times New Roman;Times;serif" w:hAnsi="Times New Roman;Times;serif"/>
                  <w:b w:val="false"/>
                  <w:i w:val="false"/>
                  <w:caps w:val="false"/>
                  <w:smallCaps w:val="false"/>
                </w:rPr>
                <w:t>January 28, 2025</w:t>
              </w:r>
            </w:hyperlink>
            <w:r>
              <w:rPr>
                <w:rFonts w:ascii="Times New Roman;Times;serif" w:hAnsi="Times New Roman;Times;serif"/>
                <w:b w:val="false"/>
                <w:i w:val="false"/>
                <w:caps w:val="false"/>
                <w:smallCaps w:val="false"/>
                <w:color w:val="231F20"/>
                <w:sz w:val="20"/>
              </w:rPr>
              <w:t xml:space="preserve">, </w:t>
            </w:r>
            <w:hyperlink r:id="rId12">
              <w:r>
                <w:rPr>
                  <w:rStyle w:val="InternetLink"/>
                  <w:rFonts w:ascii="Times New Roman;Times;serif" w:hAnsi="Times New Roman;Times;serif"/>
                  <w:b w:val="false"/>
                  <w:i w:val="false"/>
                  <w:caps w:val="false"/>
                  <w:smallCaps w:val="false"/>
                </w:rPr>
                <w:t>January 29, 2025</w:t>
              </w:r>
            </w:hyperlink>
            <w:r>
              <w:rPr>
                <w:rFonts w:ascii="Times New Roman;Times;serif" w:hAnsi="Times New Roman;Times;serif"/>
                <w:b w:val="false"/>
                <w:i w:val="false"/>
                <w:caps w:val="false"/>
                <w:smallCaps w:val="false"/>
                <w:color w:val="231F20"/>
                <w:sz w:val="20"/>
              </w:rPr>
              <w:t xml:space="preserve">, </w:t>
            </w:r>
            <w:hyperlink r:id="rId13">
              <w:r>
                <w:rPr>
                  <w:rStyle w:val="InternetLink"/>
                  <w:rFonts w:ascii="Times New Roman;Times;serif" w:hAnsi="Times New Roman;Times;serif"/>
                  <w:b w:val="false"/>
                  <w:i w:val="false"/>
                  <w:caps w:val="false"/>
                  <w:smallCaps w:val="false"/>
                </w:rPr>
                <w:t>January 31, 2025</w:t>
              </w:r>
            </w:hyperlink>
            <w:r>
              <w:rPr>
                <w:rFonts w:ascii="Times New Roman;Times;serif" w:hAnsi="Times New Roman;Times;serif"/>
                <w:b w:val="false"/>
                <w:i w:val="false"/>
                <w:caps w:val="false"/>
                <w:smallCaps w:val="false"/>
                <w:color w:val="231F20"/>
                <w:sz w:val="20"/>
              </w:rPr>
              <w:t xml:space="preserve">, </w:t>
            </w:r>
            <w:hyperlink r:id="rId14">
              <w:r>
                <w:rPr>
                  <w:rStyle w:val="InternetLink"/>
                  <w:rFonts w:ascii="Times New Roman;Times;serif" w:hAnsi="Times New Roman;Times;serif"/>
                  <w:b w:val="false"/>
                  <w:i w:val="false"/>
                  <w:caps w:val="false"/>
                  <w:smallCaps w:val="false"/>
                </w:rPr>
                <w:t>March 17, 2025</w:t>
              </w:r>
            </w:hyperlink>
            <w:r>
              <w:rPr>
                <w:rFonts w:ascii="Times New Roman;Times;serif" w:hAnsi="Times New Roman;Times;serif"/>
                <w:b w:val="false"/>
                <w:i w:val="false"/>
                <w:caps w:val="false"/>
                <w:smallCaps w:val="false"/>
                <w:color w:val="231F20"/>
                <w:sz w:val="20"/>
              </w:rPr>
              <w:t xml:space="preserve">, </w:t>
            </w:r>
            <w:hyperlink r:id="rId15">
              <w:r>
                <w:rPr>
                  <w:rStyle w:val="InternetLink"/>
                  <w:rFonts w:ascii="Times New Roman;Times;serif" w:hAnsi="Times New Roman;Times;serif"/>
                  <w:b w:val="false"/>
                  <w:i w:val="false"/>
                  <w:caps w:val="false"/>
                  <w:smallCaps w:val="false"/>
                </w:rPr>
                <w:t>March 20, 2025</w:t>
              </w:r>
            </w:hyperlink>
            <w:r>
              <w:rPr>
                <w:caps w:val="false"/>
                <w:smallCaps w:val="false"/>
              </w:rPr>
              <w:t xml:space="preserve"> </w:t>
            </w:r>
            <w:hyperlink r:id="rId16">
              <w:r>
                <w:rPr>
                  <w:rStyle w:val="InternetLink"/>
                  <w:rFonts w:ascii="Times New Roman;Times;serif" w:hAnsi="Times New Roman;Times;serif"/>
                  <w:b w:val="false"/>
                  <w:i w:val="false"/>
                  <w:caps w:val="false"/>
                  <w:smallCaps w:val="false"/>
                </w:rPr>
                <w:t>(Two filings)</w:t>
              </w:r>
            </w:hyperlink>
            <w:r>
              <w:rPr>
                <w:rFonts w:ascii="Times New Roman;Times;serif" w:hAnsi="Times New Roman;Times;serif"/>
                <w:b w:val="false"/>
                <w:i w:val="false"/>
                <w:caps w:val="false"/>
                <w:smallCaps w:val="false"/>
                <w:color w:val="231F20"/>
                <w:sz w:val="20"/>
              </w:rPr>
              <w:t xml:space="preserve">, </w:t>
            </w:r>
            <w:hyperlink r:id="rId17">
              <w:r>
                <w:rPr>
                  <w:rStyle w:val="InternetLink"/>
                  <w:rFonts w:ascii="Times New Roman;Times;serif" w:hAnsi="Times New Roman;Times;serif"/>
                  <w:b w:val="false"/>
                  <w:i w:val="false"/>
                  <w:caps w:val="false"/>
                  <w:smallCaps w:val="false"/>
                </w:rPr>
                <w:t>April 8, 2025</w:t>
              </w:r>
            </w:hyperlink>
            <w:r>
              <w:rPr>
                <w:rFonts w:ascii="Times New Roman;Times;serif" w:hAnsi="Times New Roman;Times;serif"/>
                <w:b w:val="false"/>
                <w:i w:val="false"/>
                <w:caps w:val="false"/>
                <w:smallCaps w:val="false"/>
                <w:color w:val="231F20"/>
                <w:sz w:val="20"/>
              </w:rPr>
              <w:t xml:space="preserve">, </w:t>
            </w:r>
            <w:hyperlink r:id="rId18">
              <w:r>
                <w:rPr>
                  <w:rStyle w:val="InternetLink"/>
                  <w:rFonts w:ascii="Times New Roman;Times;serif" w:hAnsi="Times New Roman;Times;serif"/>
                  <w:b w:val="false"/>
                  <w:i w:val="false"/>
                  <w:caps w:val="false"/>
                  <w:smallCaps w:val="false"/>
                </w:rPr>
                <w:t>May 8, 2025</w:t>
              </w:r>
            </w:hyperlink>
            <w:r>
              <w:rPr>
                <w:rFonts w:ascii="Times New Roman;Times;serif" w:hAnsi="Times New Roman;Times;serif"/>
                <w:b w:val="false"/>
                <w:i w:val="false"/>
                <w:caps w:val="false"/>
                <w:smallCaps w:val="false"/>
                <w:color w:val="231F20"/>
                <w:sz w:val="20"/>
              </w:rPr>
              <w:t xml:space="preserve">, </w:t>
            </w:r>
            <w:hyperlink r:id="rId19">
              <w:r>
                <w:rPr>
                  <w:rStyle w:val="InternetLink"/>
                  <w:rFonts w:ascii="Times New Roman;Times;serif" w:hAnsi="Times New Roman;Times;serif"/>
                  <w:b w:val="false"/>
                  <w:i w:val="false"/>
                  <w:caps w:val="false"/>
                  <w:smallCaps w:val="false"/>
                </w:rPr>
                <w:t>June 16, 2025</w:t>
              </w:r>
            </w:hyperlink>
            <w:r>
              <w:rPr>
                <w:rFonts w:ascii="Times New Roman;Times;serif" w:hAnsi="Times New Roman;Times;serif"/>
                <w:b w:val="false"/>
                <w:i w:val="false"/>
                <w:caps w:val="false"/>
                <w:smallCaps w:val="false"/>
                <w:color w:val="231F20"/>
                <w:sz w:val="20"/>
              </w:rPr>
              <w:t xml:space="preserve">, </w:t>
            </w:r>
            <w:hyperlink r:id="rId20">
              <w:r>
                <w:rPr>
                  <w:rStyle w:val="InternetLink"/>
                  <w:rFonts w:ascii="Times New Roman;Times;serif" w:hAnsi="Times New Roman;Times;serif"/>
                  <w:b w:val="false"/>
                  <w:i w:val="false"/>
                  <w:caps w:val="false"/>
                  <w:smallCaps w:val="false"/>
                </w:rPr>
                <w:t>August 7, 2025</w:t>
              </w:r>
            </w:hyperlink>
            <w:r>
              <w:rPr>
                <w:caps w:val="false"/>
                <w:smallCaps w:val="false"/>
                <w:color w:val="231F20"/>
              </w:rPr>
              <w:t xml:space="preserve"> </w:t>
            </w:r>
            <w:r>
              <w:rPr>
                <w:rFonts w:ascii="Times New Roman;Times;serif" w:hAnsi="Times New Roman;Times;serif"/>
                <w:b w:val="false"/>
                <w:i w:val="false"/>
                <w:caps w:val="false"/>
                <w:smallCaps w:val="false"/>
                <w:color w:val="231F20"/>
                <w:sz w:val="20"/>
              </w:rPr>
              <w:t>(</w:t>
            </w:r>
            <w:hyperlink r:id="rId21">
              <w:r>
                <w:rPr>
                  <w:rStyle w:val="InternetLink"/>
                  <w:rFonts w:ascii="Times New Roman;Times;serif" w:hAnsi="Times New Roman;Times;serif"/>
                  <w:b w:val="false"/>
                  <w:i w:val="false"/>
                  <w:caps w:val="false"/>
                  <w:smallCaps w:val="false"/>
                </w:rPr>
                <w:t>Two filings</w:t>
              </w:r>
            </w:hyperlink>
            <w:r>
              <w:rPr>
                <w:rFonts w:ascii="Times New Roman;Times;serif" w:hAnsi="Times New Roman;Times;serif"/>
                <w:b w:val="false"/>
                <w:i w:val="false"/>
                <w:caps w:val="false"/>
                <w:smallCaps w:val="false"/>
                <w:color w:val="231F20"/>
                <w:sz w:val="20"/>
              </w:rPr>
              <w:t xml:space="preserve">), </w:t>
            </w:r>
            <w:hyperlink r:id="rId22">
              <w:r>
                <w:rPr>
                  <w:rStyle w:val="InternetLink"/>
                  <w:rFonts w:ascii="Times New Roman;Times;serif" w:hAnsi="Times New Roman;Times;serif"/>
                  <w:b w:val="false"/>
                  <w:i w:val="false"/>
                  <w:caps w:val="false"/>
                  <w:smallCaps w:val="false"/>
                </w:rPr>
                <w:t>October 9, 2025</w:t>
              </w:r>
            </w:hyperlink>
            <w:r>
              <w:rPr>
                <w:caps w:val="false"/>
                <w:smallCaps w:val="false"/>
                <w:color w:val="231F20"/>
              </w:rPr>
              <w:t xml:space="preserve"> </w:t>
            </w:r>
            <w:r>
              <w:rPr>
                <w:rFonts w:ascii="Times New Roman;Times;serif" w:hAnsi="Times New Roman;Times;serif"/>
                <w:b w:val="false"/>
                <w:i w:val="false"/>
                <w:caps w:val="false"/>
                <w:smallCaps w:val="false"/>
                <w:color w:val="231F20"/>
                <w:sz w:val="20"/>
              </w:rPr>
              <w:t>(</w:t>
            </w:r>
            <w:hyperlink r:id="rId23">
              <w:r>
                <w:rPr>
                  <w:rStyle w:val="InternetLink"/>
                  <w:rFonts w:ascii="Times New Roman;Times;serif" w:hAnsi="Times New Roman;Times;serif"/>
                  <w:b w:val="false"/>
                  <w:i w:val="false"/>
                  <w:caps w:val="false"/>
                  <w:smallCaps w:val="false"/>
                </w:rPr>
                <w:t>Two filings</w:t>
              </w:r>
            </w:hyperlink>
            <w:r>
              <w:rPr>
                <w:rFonts w:ascii="Times New Roman;Times;serif" w:hAnsi="Times New Roman;Times;serif"/>
                <w:b w:val="false"/>
                <w:i w:val="false"/>
                <w:caps w:val="false"/>
                <w:smallCaps w:val="false"/>
                <w:color w:val="231F20"/>
                <w:sz w:val="20"/>
              </w:rPr>
              <w:t xml:space="preserve">), </w:t>
            </w:r>
            <w:hyperlink r:id="rId24">
              <w:r>
                <w:rPr>
                  <w:rStyle w:val="InternetLink"/>
                  <w:rFonts w:ascii="Times New Roman;Times;serif" w:hAnsi="Times New Roman;Times;serif"/>
                  <w:b w:val="false"/>
                  <w:i w:val="false"/>
                  <w:caps w:val="false"/>
                  <w:smallCaps w:val="false"/>
                </w:rPr>
                <w:t>October 10, 2025</w:t>
              </w:r>
            </w:hyperlink>
            <w:r>
              <w:rPr>
                <w:rFonts w:ascii="Times New Roman;Times;serif" w:hAnsi="Times New Roman;Times;serif"/>
                <w:b w:val="false"/>
                <w:i w:val="false"/>
                <w:caps w:val="false"/>
                <w:smallCaps w:val="false"/>
                <w:color w:val="231F20"/>
                <w:sz w:val="20"/>
              </w:rPr>
              <w:t xml:space="preserve">, </w:t>
            </w:r>
            <w:hyperlink r:id="rId25">
              <w:r>
                <w:rPr>
                  <w:rStyle w:val="InternetLink"/>
                  <w:rFonts w:ascii="Times New Roman;Times;serif" w:hAnsi="Times New Roman;Times;serif"/>
                  <w:b w:val="false"/>
                  <w:i w:val="false"/>
                  <w:caps w:val="false"/>
                  <w:smallCaps w:val="false"/>
                </w:rPr>
                <w:t>November 6, 2025</w:t>
              </w:r>
            </w:hyperlink>
            <w:r>
              <w:rPr>
                <w:caps w:val="false"/>
                <w:smallCaps w:val="false"/>
                <w:color w:val="231F20"/>
              </w:rPr>
              <w:t xml:space="preserve"> </w:t>
            </w:r>
            <w:r>
              <w:rPr>
                <w:rFonts w:ascii="Times New Roman;Times;serif" w:hAnsi="Times New Roman;Times;serif"/>
                <w:b w:val="false"/>
                <w:i w:val="false"/>
                <w:caps w:val="false"/>
                <w:smallCaps w:val="false"/>
                <w:color w:val="231F20"/>
                <w:sz w:val="20"/>
              </w:rPr>
              <w:t>(</w:t>
            </w:r>
            <w:hyperlink r:id="rId26">
              <w:r>
                <w:rPr>
                  <w:rStyle w:val="InternetLink"/>
                  <w:rFonts w:ascii="Times New Roman;Times;serif" w:hAnsi="Times New Roman;Times;serif"/>
                  <w:b w:val="false"/>
                  <w:i w:val="false"/>
                  <w:caps w:val="false"/>
                  <w:smallCaps w:val="false"/>
                </w:rPr>
                <w:t>Two filings</w:t>
              </w:r>
            </w:hyperlink>
            <w:r>
              <w:rPr>
                <w:rFonts w:ascii="Times New Roman;Times;serif" w:hAnsi="Times New Roman;Times;serif"/>
                <w:b w:val="false"/>
                <w:i w:val="false"/>
                <w:caps w:val="false"/>
                <w:smallCaps w:val="false"/>
                <w:color w:val="231F20"/>
                <w:sz w:val="20"/>
              </w:rPr>
              <w:t xml:space="preserve">), </w:t>
            </w:r>
            <w:hyperlink r:id="rId27">
              <w:r>
                <w:rPr>
                  <w:rStyle w:val="InternetLink"/>
                  <w:rFonts w:ascii="Times New Roman;Times;serif" w:hAnsi="Times New Roman;Times;serif"/>
                  <w:b w:val="false"/>
                  <w:i w:val="false"/>
                  <w:caps w:val="false"/>
                  <w:smallCaps w:val="false"/>
                </w:rPr>
                <w:t>December 4, 2025</w:t>
              </w:r>
            </w:hyperlink>
            <w:r>
              <w:rPr>
                <w:rFonts w:ascii="Times New Roman;Times;serif" w:hAnsi="Times New Roman;Times;serif"/>
                <w:b w:val="false"/>
                <w:i w:val="false"/>
                <w:caps w:val="false"/>
                <w:smallCaps w:val="false"/>
                <w:color w:val="231F20"/>
                <w:sz w:val="20"/>
              </w:rPr>
              <w:t xml:space="preserve">, and </w:t>
            </w:r>
            <w:hyperlink r:id="rId28">
              <w:r>
                <w:rPr>
                  <w:rStyle w:val="InternetLink"/>
                  <w:rFonts w:ascii="Times New Roman;Times;serif" w:hAnsi="Times New Roman;Times;serif"/>
                  <w:b w:val="false"/>
                  <w:i w:val="false"/>
                  <w:caps w:val="false"/>
                  <w:smallCaps w:val="false"/>
                </w:rPr>
                <w:t>January 26, 2026</w:t>
              </w:r>
            </w:hyperlink>
            <w:r>
              <w:rPr>
                <w:rFonts w:ascii="Times New Roman;Times;serif" w:hAnsi="Times New Roman;Times;serif"/>
                <w:b w:val="false"/>
                <w:i w:val="false"/>
                <w:caps w:val="false"/>
                <w:smallCaps w:val="false"/>
                <w:color w:val="231F20"/>
                <w:sz w:val="20"/>
              </w:rPr>
              <w:t>;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referenced in our Registration Statement on </w:t>
            </w:r>
            <w:hyperlink r:id="rId29">
              <w:r>
                <w:rPr>
                  <w:rStyle w:val="InternetLink"/>
                  <w:rFonts w:ascii="Times New Roman;Times;serif" w:hAnsi="Times New Roman;Times;serif"/>
                  <w:b w:val="false"/>
                  <w:i w:val="false"/>
                  <w:caps w:val="false"/>
                  <w:smallCaps w:val="false"/>
                </w:rPr>
                <w:t>Form 8-A (No. 001-40938), as filed with the SEC on October 20, 2021</w:t>
              </w:r>
            </w:hyperlink>
            <w:r>
              <w:rPr>
                <w:rFonts w:ascii="Times New Roman;Times;serif" w:hAnsi="Times New Roman;Times;serif"/>
                <w:b w:val="false"/>
                <w:i w:val="false"/>
                <w:caps w:val="false"/>
                <w:smallCaps w:val="false"/>
                <w:sz w:val="20"/>
              </w:rPr>
              <w:t>, including any amendment or report filed for the purpose of updating such description prior to the termination of the offering of the common stock registered hereby.</w:t>
            </w:r>
          </w:p>
        </w:tc>
      </w:tr>
    </w:tbl>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To obtain copies of these filings, see “Available Information” in this prospectus supplement.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S-39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200" w:right="200" w:hanging="0"/>
        <w:jc w:val="left"/>
        <w:rPr>
          <w:rFonts w:ascii="Times New Roman;Times;serif" w:hAnsi="Times New Roman;Times;serif"/>
          <w:b/>
          <w:sz w:val="16"/>
        </w:rPr>
      </w:pPr>
      <w:bookmarkStart w:id="65" w:name="_0378922d_4d59_48bb_8197_fff74f0d1060"/>
      <w:bookmarkEnd w:id="65"/>
      <w:r>
        <w:rPr>
          <w:rFonts w:ascii="Times New Roman;Times;serif" w:hAnsi="Times New Roman;Times;serif"/>
          <w:b/>
          <w:sz w:val="16"/>
        </w:rPr>
        <w:t>PROSPECTUS</w:t>
      </w:r>
    </w:p>
    <w:p>
      <w:pPr>
        <w:pStyle w:val="TextBody"/>
        <w:bidi w:val="0"/>
        <w:spacing w:before="0" w:after="100"/>
        <w:ind w:left="200" w:right="200" w:firstLine="360"/>
        <w:jc w:val="center"/>
        <w:rPr>
          <w:rFonts w:ascii="Times New Roman;Times;serif" w:hAnsi="Times New Roman;Times;serif"/>
          <w:b/>
          <w:sz w:val="20"/>
        </w:rPr>
      </w:pPr>
      <w:r>
        <w:rPr>
          <w:rFonts w:ascii="Times New Roman;Times;serif" w:hAnsi="Times New Roman;Times;serif"/>
          <w:b/>
          <w:sz w:val="20"/>
        </w:rPr>
        <w:t>$250,000,000</w:t>
      </w:r>
    </w:p>
    <w:p>
      <w:pPr>
        <w:pStyle w:val="TextBody"/>
        <w:bidi w:val="0"/>
        <w:spacing w:before="0" w:after="100"/>
        <w:ind w:left="200" w:right="200" w:firstLine="360"/>
        <w:jc w:val="center"/>
        <w:rPr>
          <w:rFonts w:ascii="Times New Roman;Times;serif" w:hAnsi="Times New Roman;Times;serif"/>
          <w:b/>
          <w:sz w:val="24"/>
        </w:rPr>
      </w:pPr>
      <w:r>
        <w:rPr>
          <w:rFonts w:ascii="Times New Roman;Times;serif" w:hAnsi="Times New Roman;Times;serif"/>
          <w:b/>
          <w:sz w:val="24"/>
        </w:rPr>
        <w:t>RUNWAY GROWTH FINANCE CORP.</w:t>
      </w:r>
    </w:p>
    <w:p>
      <w:pPr>
        <w:pStyle w:val="TextBody"/>
        <w:bidi w:val="0"/>
        <w:spacing w:before="0" w:after="0"/>
        <w:ind w:left="200" w:right="200" w:firstLine="360"/>
        <w:jc w:val="center"/>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200" w:right="200" w:firstLine="360"/>
        <w:jc w:val="center"/>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0"/>
        <w:ind w:left="200" w:right="200" w:firstLine="360"/>
        <w:jc w:val="center"/>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0"/>
        <w:ind w:left="200" w:right="200" w:firstLine="360"/>
        <w:jc w:val="center"/>
        <w:rPr>
          <w:rFonts w:ascii="Times New Roman;Times;serif" w:hAnsi="Times New Roman;Times;serif"/>
          <w:b/>
          <w:sz w:val="20"/>
        </w:rPr>
      </w:pPr>
      <w:r>
        <w:rPr>
          <w:rFonts w:ascii="Times New Roman;Times;serif" w:hAnsi="Times New Roman;Times;serif"/>
          <w:b/>
          <w:sz w:val="20"/>
        </w:rPr>
        <w:t>Subscription Rights</w:t>
      </w:r>
    </w:p>
    <w:p>
      <w:pPr>
        <w:pStyle w:val="TextBody"/>
        <w:bidi w:val="0"/>
        <w:spacing w:before="0" w:after="100"/>
        <w:ind w:left="200" w:right="200" w:firstLine="360"/>
        <w:jc w:val="center"/>
        <w:rPr>
          <w:rFonts w:ascii="Times New Roman;Times;serif" w:hAnsi="Times New Roman;Times;serif"/>
          <w:b/>
          <w:sz w:val="20"/>
        </w:rPr>
      </w:pPr>
      <w:r>
        <w:rPr>
          <w:rFonts w:ascii="Times New Roman;Times;serif" w:hAnsi="Times New Roman;Times;serif"/>
          <w:b/>
          <w:sz w:val="20"/>
        </w:rPr>
        <w:t>Debt Securities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We are a specialty finance company focused on providing senior secured loans to high-growth potential companies in technology, healthcare, business services, financial services, and select consumer services and products in other high-growth industries.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appreciation on our warrants and other equity positions, by providing our portfolio companies with financing solutions that are more flexible than traditional credit and less dilutive than equity.</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We are a closed-end management investment company that has elected to be regulated as a business development company (“BDC”) under the Investment Company Act of 1940, as amended. We have elected to be treated, and intend to qualify annually, as a regulated investment company (“RIC”) under the Internal Revenue Code of 1986, as amended (the “Code”) for U.S. federal income tax purposes. As a BDC and a RIC, we are required to comply with certain regulatory requirements.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We are externally managed by our investment adviser, Runway Growth Capital, LLC (“Runway Growth Capital”). Runway Growth Capital was formed in 2015 to pursue an investment strategy focused on providing growth financing for dynamic, late and growth stage companies.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We are an “emerging growth company,” as defined in Section 2(a) of the U.S. Securities Act of 1933, as amended (the “Securities Act”), and are subject to reduced public company reporting requirements and are taking advantage of the extended transition period provided in Section 7(a)(2)(B) of the Securities Act.</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We may offer, from time to time, in one or more offerings or series, up to $250,000,000 of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U.S. Securities and Exchange Commission (“SEC”) may permit.</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Times;serif" w:hAnsi="Times New Roman;Times;serif"/>
          <w:i/>
          <w:sz w:val="16"/>
        </w:rPr>
        <w:t>Plan of Distribution</w:t>
      </w:r>
      <w:r>
        <w:rPr>
          <w:rFonts w:ascii="Times New Roman;Times;serif" w:hAnsi="Times New Roman;Times;serif"/>
          <w:sz w:val="16"/>
        </w:rPr>
        <w:t>.” We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Our common stock is traded on the Nasdaq Global Select Market (“Nasdaq”) under the symbol “RWAY.” On March 17, 2025, the last reported sales price of our common stock on Nasdaq was $10.89 per share. The net asset value per share of our common stock at September 30, 2024 (the last date prior to the date of this prospectus for which we reported net asset value) was $13.39.</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b/>
          <w:sz w:val="16"/>
        </w:rPr>
        <w:t>Investing in our securities involves a high degree of risk, including credit risk, the risk of the use of leverage and the risk of dilution, and is highly speculative. In addition, shares of closed-end 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18</w:t>
      </w:r>
      <w:r>
        <w:rPr>
          <w:rFonts w:ascii="Times New Roman;Times;serif" w:hAnsi="Times New Roman;Times;serif"/>
          <w:sz w:val="16"/>
        </w:rPr>
        <w:t xml:space="preserve"> </w:t>
      </w:r>
      <w:r>
        <w:rPr>
          <w:rFonts w:ascii="Times New Roman;Times;serif" w:hAnsi="Times New Roman;Times;serif"/>
          <w:b/>
          <w:sz w:val="16"/>
        </w:rPr>
        <w:t>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bidi w:val="0"/>
        <w:spacing w:before="0" w:after="100"/>
        <w:ind w:left="200" w:right="200" w:firstLine="360"/>
        <w:jc w:val="left"/>
        <w:rPr>
          <w:rFonts w:ascii="Times New Roman;Times;serif" w:hAnsi="Times New Roman;Times;serif"/>
          <w:sz w:val="16"/>
        </w:rPr>
      </w:pPr>
      <w:r>
        <w:rPr>
          <w:rFonts w:ascii="Times New Roman;Times;serif" w:hAnsi="Times New Roman;Times;serif"/>
          <w:sz w:val="16"/>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205 N. Michigan Ave., Suite 4200, Chicago, IL 60601, calling us at (312) 698-6902 or visiting our corporate website located at https://runwaygrowth.com/document-center/. The SEC also maintains a website at http://www.sec.gov that contains this information. Information on our website or the SEC’s website is not incorporated into or a part of this prospectus.</w:t>
      </w:r>
    </w:p>
    <w:p>
      <w:pPr>
        <w:pStyle w:val="TextBody"/>
        <w:bidi w:val="0"/>
        <w:spacing w:before="0" w:after="100"/>
        <w:ind w:left="200" w:right="200" w:firstLine="360"/>
        <w:jc w:val="left"/>
        <w:rPr>
          <w:rFonts w:ascii="Times New Roman;Times;serif" w:hAnsi="Times New Roman;Times;serif"/>
          <w:b/>
          <w:sz w:val="16"/>
        </w:rPr>
      </w:pPr>
      <w:r>
        <w:rPr>
          <w:rFonts w:ascii="Times New Roman;Times;serif" w:hAnsi="Times New Roman;Times;serif"/>
          <w:b/>
          <w:sz w:val="16"/>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100"/>
        <w:ind w:left="200" w:right="200" w:firstLine="360"/>
        <w:jc w:val="left"/>
        <w:rPr>
          <w:rFonts w:ascii="Times New Roman;Times;serif" w:hAnsi="Times New Roman;Times;serif"/>
          <w:b/>
          <w:sz w:val="16"/>
        </w:rPr>
      </w:pPr>
      <w:r>
        <w:rPr>
          <w:rFonts w:ascii="Times New Roman;Times;serif" w:hAnsi="Times New Roman;Times;serif"/>
          <w:b/>
          <w:sz w:val="16"/>
        </w:rPr>
        <w:t>This prospectus may not be used to consummate sales of securities unless accompanied by a prospectus supplement.</w:t>
      </w:r>
    </w:p>
    <w:p>
      <w:pPr>
        <w:pStyle w:val="TextBody"/>
        <w:bidi w:val="0"/>
        <w:spacing w:before="0" w:after="0"/>
        <w:ind w:left="200" w:right="200" w:firstLine="360"/>
        <w:jc w:val="center"/>
        <w:rPr>
          <w:rFonts w:ascii="Times New Roman;Times;serif" w:hAnsi="Times New Roman;Times;serif"/>
          <w:sz w:val="16"/>
        </w:rPr>
      </w:pPr>
      <w:r>
        <w:rPr>
          <w:rFonts w:ascii="Times New Roman;Times;serif" w:hAnsi="Times New Roman;Times;serif"/>
          <w:sz w:val="16"/>
        </w:rPr>
        <w:t>The date of this prospectus is March 19, 2025.</w:t>
      </w:r>
    </w:p>
    <w:p>
      <w:pPr>
        <w:pStyle w:val="TextBody"/>
        <w:bidi w:val="0"/>
        <w:spacing w:before="0" w:after="0"/>
        <w:ind w:left="200" w:right="200" w:firstLine="360"/>
        <w:jc w:val="left"/>
        <w:rPr/>
      </w:pPr>
      <w:r>
        <w:rPr/>
        <w:t>​</w:t>
      </w:r>
    </w:p>
    <w:p>
      <w:pPr>
        <w:pStyle w:val="TextBody"/>
        <w:bidi w:val="0"/>
        <w:spacing w:before="0" w:after="0"/>
        <w:ind w:left="200" w:right="200" w:hanging="0"/>
        <w:jc w:val="both"/>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66" w:name="_73b9692c_f6a5_433e_9f49_6ee06055acc1"/>
      <w:bookmarkEnd w:id="66"/>
      <w:r>
        <w:rPr>
          <w:rFonts w:ascii="Times New Roman;Times;serif" w:hAnsi="Times New Roman;Times;serif"/>
          <w:b/>
          <w:sz w:val="20"/>
        </w:rPr>
        <w:t>TABLE OF CONTENTS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444"/>
        <w:gridCol w:w="361"/>
      </w:tblGrid>
      <w:tr>
        <w:trPr/>
        <w:tc>
          <w:tcPr>
            <w:tcW w:w="94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9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996940" cy="29210"/>
                      <wp:effectExtent l="0" t="0" r="0" b="0"/>
                      <wp:wrapNone/>
                      <wp:docPr id="47" name="Frame47"/>
                      <a:graphic xmlns:a="http://schemas.openxmlformats.org/drawingml/2006/main">
                        <a:graphicData uri="http://schemas.microsoft.com/office/word/2010/wordprocessingShape">
                          <wps:wsp>
                            <wps:cNvSpPr txBox="1"/>
                            <wps:spPr>
                              <a:xfrm>
                                <a:off x="0" y="0"/>
                                <a:ext cx="5996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9235" cy="175260"/>
                      <wp:effectExtent l="0" t="0" r="0" b="0"/>
                      <wp:wrapNone/>
                      <wp:docPr id="48" name="Frame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44" w:type="dxa"/>
            <w:tcBorders/>
            <w:shd w:fill="CCEEFF" w:val="clear"/>
            <w:vAlign w:val="center"/>
          </w:tcPr>
          <w:p>
            <w:pPr>
              <w:pStyle w:val="TableContents"/>
              <w:bidi w:val="0"/>
              <w:spacing w:before="0" w:after="0"/>
              <w:ind w:left="0" w:right="0" w:hanging="0"/>
              <w:jc w:val="left"/>
              <w:rPr/>
            </w:pPr>
            <w:hyperlink w:anchor="ABOUTTHISPROSPECTUS_557308">
              <w:r>
                <w:rPr>
                  <w:rStyle w:val="InternetLink"/>
                  <w:rFonts w:ascii="Times New Roman;Times;serif" w:hAnsi="Times New Roman;Times;serif"/>
                  <w:b w:val="false"/>
                  <w:i w:val="false"/>
                  <w:caps w:val="false"/>
                  <w:smallCaps w:val="false"/>
                  <w:sz w:val="20"/>
                </w:rPr>
                <w:t>ABOUT THIS PROSPECTUS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444" w:type="dxa"/>
            <w:tcBorders/>
            <w:vAlign w:val="center"/>
          </w:tcPr>
          <w:p>
            <w:pPr>
              <w:pStyle w:val="TableContents"/>
              <w:bidi w:val="0"/>
              <w:spacing w:before="0" w:after="0"/>
              <w:ind w:left="0" w:right="0" w:hanging="0"/>
              <w:jc w:val="left"/>
              <w:rPr/>
            </w:pPr>
            <w:hyperlink w:anchor="PROSPECTUSSUMMARY_148139">
              <w:r>
                <w:rPr>
                  <w:rStyle w:val="InternetLink"/>
                  <w:rFonts w:ascii="Times New Roman;Times;serif" w:hAnsi="Times New Roman;Times;serif"/>
                  <w:b w:val="false"/>
                  <w:i w:val="false"/>
                  <w:caps w:val="false"/>
                  <w:smallCaps w:val="false"/>
                  <w:sz w:val="20"/>
                </w:rPr>
                <w:t>PROSPECTUS SUMMARY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444" w:type="dxa"/>
            <w:tcBorders/>
            <w:shd w:fill="CCEEFF" w:val="clear"/>
            <w:vAlign w:val="center"/>
          </w:tcPr>
          <w:p>
            <w:pPr>
              <w:pStyle w:val="TableContents"/>
              <w:bidi w:val="0"/>
              <w:spacing w:before="0" w:after="0"/>
              <w:ind w:left="0" w:right="0" w:hanging="0"/>
              <w:jc w:val="left"/>
              <w:rPr/>
            </w:pPr>
            <w:hyperlink w:anchor="FEESANDEXPENSES_40074">
              <w:r>
                <w:rPr>
                  <w:rStyle w:val="InternetLink"/>
                  <w:rFonts w:ascii="Times New Roman;Times;serif" w:hAnsi="Times New Roman;Times;serif"/>
                  <w:b w:val="false"/>
                  <w:i w:val="false"/>
                  <w:caps w:val="false"/>
                  <w:smallCaps w:val="false"/>
                  <w:sz w:val="20"/>
                </w:rPr>
                <w:t>FEES AND EXPENSES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444" w:type="dxa"/>
            <w:tcBorders/>
            <w:vAlign w:val="center"/>
          </w:tcPr>
          <w:p>
            <w:pPr>
              <w:pStyle w:val="TableContents"/>
              <w:bidi w:val="0"/>
              <w:spacing w:before="0" w:after="0"/>
              <w:ind w:left="0" w:right="0" w:hanging="0"/>
              <w:jc w:val="left"/>
              <w:rPr/>
            </w:pPr>
            <w:hyperlink w:anchor="FINANCIALHIGHLIGHTS_619969">
              <w:r>
                <w:rPr>
                  <w:rStyle w:val="InternetLink"/>
                  <w:rFonts w:ascii="Times New Roman;Times;serif" w:hAnsi="Times New Roman;Times;serif"/>
                  <w:b w:val="false"/>
                  <w:i w:val="false"/>
                  <w:caps w:val="false"/>
                  <w:smallCaps w:val="false"/>
                  <w:sz w:val="20"/>
                </w:rPr>
                <w:t>FINANCIAL HIGHLIGHTS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444" w:type="dxa"/>
            <w:tcBorders/>
            <w:shd w:fill="CCEEFF" w:val="clear"/>
            <w:vAlign w:val="center"/>
          </w:tcPr>
          <w:p>
            <w:pPr>
              <w:pStyle w:val="TableContents"/>
              <w:bidi w:val="0"/>
              <w:spacing w:before="0" w:after="0"/>
              <w:ind w:left="0" w:right="0" w:hanging="0"/>
              <w:jc w:val="left"/>
              <w:rPr/>
            </w:pPr>
            <w:hyperlink w:anchor="SELECTEDFINANCIALINFORMATIONANDOTHERDATA">
              <w:r>
                <w:rPr>
                  <w:rStyle w:val="InternetLink"/>
                  <w:rFonts w:ascii="Times New Roman;Times;serif" w:hAnsi="Times New Roman;Times;serif"/>
                  <w:b w:val="false"/>
                  <w:i w:val="false"/>
                  <w:caps w:val="false"/>
                  <w:smallCaps w:val="false"/>
                  <w:sz w:val="20"/>
                </w:rPr>
                <w:t>SELECTED FINANCIAL INFORMATION AND OTHER DATA</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444" w:type="dxa"/>
            <w:tcBorders/>
            <w:vAlign w:val="center"/>
          </w:tcPr>
          <w:p>
            <w:pPr>
              <w:pStyle w:val="TableContents"/>
              <w:bidi w:val="0"/>
              <w:spacing w:before="0" w:after="0"/>
              <w:ind w:left="0" w:right="0" w:hanging="0"/>
              <w:jc w:val="left"/>
              <w:rPr/>
            </w:pPr>
            <w:hyperlink w:anchor="RISKFACTORS_658759">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444" w:type="dxa"/>
            <w:tcBorders/>
            <w:shd w:fill="CCEEFF" w:val="clear"/>
            <w:vAlign w:val="center"/>
          </w:tcPr>
          <w:p>
            <w:pPr>
              <w:pStyle w:val="TableContents"/>
              <w:bidi w:val="0"/>
              <w:spacing w:before="0" w:after="0"/>
              <w:ind w:left="0" w:right="0" w:hanging="0"/>
              <w:jc w:val="left"/>
              <w:rPr/>
            </w:pPr>
            <w:hyperlink w:anchor="SPECIALNOTEREGARDINGFORWARDLOOKINGSTATEM">
              <w:r>
                <w:rPr>
                  <w:rStyle w:val="InternetLink"/>
                  <w:rFonts w:ascii="Times New Roman;Times;serif" w:hAnsi="Times New Roman;Times;serif"/>
                  <w:b w:val="false"/>
                  <w:i w:val="false"/>
                  <w:caps w:val="false"/>
                  <w:smallCaps w:val="false"/>
                  <w:sz w:val="20"/>
                </w:rPr>
                <w:t>SPECIAL NOTE REGARDING FORWARD-LOOKING STATEMENTS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444" w:type="dxa"/>
            <w:tcBorders/>
            <w:vAlign w:val="center"/>
          </w:tcPr>
          <w:p>
            <w:pPr>
              <w:pStyle w:val="TableContents"/>
              <w:bidi w:val="0"/>
              <w:spacing w:before="0" w:after="0"/>
              <w:ind w:left="0" w:right="0" w:hanging="0"/>
              <w:jc w:val="left"/>
              <w:rPr/>
            </w:pPr>
            <w:hyperlink w:anchor="USEOFPROCEEDS_588465">
              <w:r>
                <w:rPr>
                  <w:rStyle w:val="InternetLink"/>
                  <w:rFonts w:ascii="Times New Roman;Times;serif" w:hAnsi="Times New Roman;Times;serif"/>
                  <w:b w:val="false"/>
                  <w:i w:val="false"/>
                  <w:caps w:val="false"/>
                  <w:smallCaps w:val="false"/>
                  <w:sz w:val="20"/>
                </w:rPr>
                <w:t>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444" w:type="dxa"/>
            <w:tcBorders/>
            <w:shd w:fill="CCEEFF" w:val="clear"/>
            <w:vAlign w:val="center"/>
          </w:tcPr>
          <w:p>
            <w:pPr>
              <w:pStyle w:val="TableContents"/>
              <w:bidi w:val="0"/>
              <w:spacing w:before="0" w:after="0"/>
              <w:ind w:left="0" w:right="0" w:hanging="0"/>
              <w:jc w:val="left"/>
              <w:rPr/>
            </w:pPr>
            <w:hyperlink w:anchor="PRICERANGEOFCOMMONSTOCKANDDISTRIBUTIONS_">
              <w:r>
                <w:rPr>
                  <w:rStyle w:val="InternetLink"/>
                  <w:rFonts w:ascii="Times New Roman;Times;serif" w:hAnsi="Times New Roman;Times;serif"/>
                  <w:b w:val="false"/>
                  <w:i w:val="false"/>
                  <w:caps w:val="false"/>
                  <w:smallCaps w:val="false"/>
                  <w:sz w:val="20"/>
                </w:rPr>
                <w:t>PRICE RANGE OF COMMON STOCK AND DISTRIBUTIONS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444" w:type="dxa"/>
            <w:tcBorders/>
            <w:vAlign w:val="center"/>
          </w:tcPr>
          <w:p>
            <w:pPr>
              <w:pStyle w:val="TableContents"/>
              <w:bidi w:val="0"/>
              <w:spacing w:before="0" w:after="0"/>
              <w:ind w:left="0" w:right="0" w:hanging="0"/>
              <w:jc w:val="left"/>
              <w:rPr/>
            </w:pPr>
            <w:hyperlink w:anchor="MANAGEMENTSDISCUSSIONANDANALYSISOFFINANC">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444" w:type="dxa"/>
            <w:tcBorders/>
            <w:shd w:fill="CCEEFF" w:val="clear"/>
            <w:vAlign w:val="center"/>
          </w:tcPr>
          <w:p>
            <w:pPr>
              <w:pStyle w:val="TableContents"/>
              <w:bidi w:val="0"/>
              <w:spacing w:before="0" w:after="0"/>
              <w:ind w:left="0" w:right="0" w:hanging="0"/>
              <w:jc w:val="left"/>
              <w:rPr/>
            </w:pPr>
            <w:hyperlink w:anchor="BUSINESS_283682">
              <w:r>
                <w:rPr>
                  <w:rStyle w:val="InternetLink"/>
                  <w:rFonts w:ascii="Times New Roman;Times;serif" w:hAnsi="Times New Roman;Times;serif"/>
                  <w:b w:val="false"/>
                  <w:i w:val="false"/>
                  <w:caps w:val="false"/>
                  <w:smallCaps w:val="false"/>
                  <w:sz w:val="20"/>
                </w:rPr>
                <w:t>BUSINESS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444" w:type="dxa"/>
            <w:tcBorders/>
            <w:vAlign w:val="center"/>
          </w:tcPr>
          <w:p>
            <w:pPr>
              <w:pStyle w:val="TableContents"/>
              <w:bidi w:val="0"/>
              <w:spacing w:before="0" w:after="0"/>
              <w:ind w:left="0" w:right="0" w:hanging="0"/>
              <w:jc w:val="left"/>
              <w:rPr/>
            </w:pPr>
            <w:hyperlink w:anchor="SENIORSECURITIES_884033">
              <w:r>
                <w:rPr>
                  <w:rStyle w:val="InternetLink"/>
                  <w:rFonts w:ascii="Times New Roman;Times;serif" w:hAnsi="Times New Roman;Times;serif"/>
                  <w:b w:val="false"/>
                  <w:i w:val="false"/>
                  <w:caps w:val="false"/>
                  <w:smallCaps w:val="false"/>
                  <w:sz w:val="20"/>
                </w:rPr>
                <w:t>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444" w:type="dxa"/>
            <w:tcBorders/>
            <w:shd w:fill="CCEEFF" w:val="clear"/>
            <w:vAlign w:val="center"/>
          </w:tcPr>
          <w:p>
            <w:pPr>
              <w:pStyle w:val="TableContents"/>
              <w:bidi w:val="0"/>
              <w:spacing w:before="0" w:after="0"/>
              <w:ind w:left="0" w:right="0" w:hanging="0"/>
              <w:jc w:val="left"/>
              <w:rPr/>
            </w:pPr>
            <w:hyperlink w:anchor="PORTFOLIOCOMPANIES_318382">
              <w:r>
                <w:rPr>
                  <w:rStyle w:val="InternetLink"/>
                  <w:rFonts w:ascii="Times New Roman;Times;serif" w:hAnsi="Times New Roman;Times;serif"/>
                  <w:b w:val="false"/>
                  <w:i w:val="false"/>
                  <w:caps w:val="false"/>
                  <w:smallCaps w:val="false"/>
                  <w:sz w:val="20"/>
                </w:rPr>
                <w:t>PORTFOLIO COMPANIES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444" w:type="dxa"/>
            <w:tcBorders/>
            <w:vAlign w:val="center"/>
          </w:tcPr>
          <w:p>
            <w:pPr>
              <w:pStyle w:val="TableContents"/>
              <w:bidi w:val="0"/>
              <w:spacing w:before="0" w:after="0"/>
              <w:ind w:left="0" w:right="0" w:hanging="0"/>
              <w:jc w:val="left"/>
              <w:rPr/>
            </w:pPr>
            <w:hyperlink w:anchor="MANAGEMENT_796802">
              <w:r>
                <w:rPr>
                  <w:rStyle w:val="InternetLink"/>
                  <w:rFonts w:ascii="Times New Roman;Times;serif" w:hAnsi="Times New Roman;Times;serif"/>
                  <w:b w:val="false"/>
                  <w:i w:val="false"/>
                  <w:caps w:val="false"/>
                  <w:smallCaps w:val="false"/>
                  <w:sz w:val="20"/>
                </w:rPr>
                <w:t>MANAGEMENT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444" w:type="dxa"/>
            <w:tcBorders/>
            <w:shd w:fill="CCEEFF" w:val="clear"/>
            <w:vAlign w:val="center"/>
          </w:tcPr>
          <w:p>
            <w:pPr>
              <w:pStyle w:val="TableContents"/>
              <w:bidi w:val="0"/>
              <w:spacing w:before="0" w:after="0"/>
              <w:ind w:left="0" w:right="0" w:hanging="0"/>
              <w:jc w:val="left"/>
              <w:rPr/>
            </w:pPr>
            <w:hyperlink w:anchor="MANAGEMENTANDOTHERAGREEMENTS_309250">
              <w:r>
                <w:rPr>
                  <w:rStyle w:val="InternetLink"/>
                  <w:rFonts w:ascii="Times New Roman;Times;serif" w:hAnsi="Times New Roman;Times;serif"/>
                  <w:b w:val="false"/>
                  <w:i w:val="false"/>
                  <w:caps w:val="false"/>
                  <w:smallCaps w:val="false"/>
                  <w:sz w:val="20"/>
                </w:rPr>
                <w:t>MANAGEMENT AND OTHER AGREEMENTS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444" w:type="dxa"/>
            <w:tcBorders/>
            <w:vAlign w:val="center"/>
          </w:tcPr>
          <w:p>
            <w:pPr>
              <w:pStyle w:val="TableContents"/>
              <w:bidi w:val="0"/>
              <w:spacing w:before="0" w:after="0"/>
              <w:ind w:left="0" w:right="0" w:hanging="0"/>
              <w:jc w:val="left"/>
              <w:rPr/>
            </w:pPr>
            <w:hyperlink w:anchor="RELATEDPARTYTRANSACTIONSANDCERTAINRELATI">
              <w:r>
                <w:rPr>
                  <w:rStyle w:val="InternetLink"/>
                  <w:rFonts w:ascii="Times New Roman;Times;serif" w:hAnsi="Times New Roman;Times;serif"/>
                  <w:b w:val="false"/>
                  <w:i w:val="false"/>
                  <w:caps w:val="false"/>
                  <w:smallCaps w:val="false"/>
                  <w:sz w:val="20"/>
                </w:rPr>
                <w:t>RELATED-PARTY TRANSACTIONS AND CERTAIN RELATIONSHIPS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444" w:type="dxa"/>
            <w:tcBorders/>
            <w:shd w:fill="CCEEFF" w:val="clear"/>
            <w:vAlign w:val="center"/>
          </w:tcPr>
          <w:p>
            <w:pPr>
              <w:pStyle w:val="TableContents"/>
              <w:bidi w:val="0"/>
              <w:spacing w:before="0" w:after="0"/>
              <w:ind w:left="0" w:right="0" w:hanging="0"/>
              <w:jc w:val="left"/>
              <w:rPr/>
            </w:pPr>
            <w:hyperlink w:anchor="CONTROLPERSONSANDPRINCIPALSHAREHOLDERS_6">
              <w:r>
                <w:rPr>
                  <w:rStyle w:val="InternetLink"/>
                  <w:rFonts w:ascii="Times New Roman;Times;serif" w:hAnsi="Times New Roman;Times;serif"/>
                  <w:b w:val="false"/>
                  <w:i w:val="false"/>
                  <w:caps w:val="false"/>
                  <w:smallCaps w:val="false"/>
                  <w:sz w:val="20"/>
                </w:rPr>
                <w:t>CONTROL PERSONS AND PRINCIPAL SHAREHOLDERS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444" w:type="dxa"/>
            <w:tcBorders/>
            <w:vAlign w:val="center"/>
          </w:tcPr>
          <w:p>
            <w:pPr>
              <w:pStyle w:val="TableContents"/>
              <w:bidi w:val="0"/>
              <w:spacing w:before="0" w:after="0"/>
              <w:ind w:left="0" w:right="0" w:hanging="0"/>
              <w:jc w:val="left"/>
              <w:rPr/>
            </w:pPr>
            <w:hyperlink w:anchor="DETERMINATIONOFNETASSETVALUE_837708">
              <w:r>
                <w:rPr>
                  <w:rStyle w:val="InternetLink"/>
                  <w:rFonts w:ascii="Times New Roman;Times;serif" w:hAnsi="Times New Roman;Times;serif"/>
                  <w:b w:val="false"/>
                  <w:i w:val="false"/>
                  <w:caps w:val="false"/>
                  <w:smallCaps w:val="false"/>
                  <w:sz w:val="20"/>
                </w:rPr>
                <w:t>DETERMINATION OF NET ASSET VALUE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444" w:type="dxa"/>
            <w:tcBorders/>
            <w:shd w:fill="CCEEFF" w:val="clear"/>
            <w:vAlign w:val="center"/>
          </w:tcPr>
          <w:p>
            <w:pPr>
              <w:pStyle w:val="TableContents"/>
              <w:bidi w:val="0"/>
              <w:spacing w:before="0" w:after="0"/>
              <w:ind w:left="0" w:right="0" w:hanging="0"/>
              <w:jc w:val="left"/>
              <w:rPr/>
            </w:pPr>
            <w:hyperlink w:anchor="DIVIDENDREINVESTMENTPLAN_250695">
              <w:r>
                <w:rPr>
                  <w:rStyle w:val="InternetLink"/>
                  <w:rFonts w:ascii="Times New Roman;Times;serif" w:hAnsi="Times New Roman;Times;serif"/>
                  <w:b w:val="false"/>
                  <w:i w:val="false"/>
                  <w:caps w:val="false"/>
                  <w:smallCaps w:val="false"/>
                  <w:sz w:val="20"/>
                </w:rPr>
                <w:t>DIVIDEND REINVESTMENT PLAN</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444" w:type="dxa"/>
            <w:tcBorders/>
            <w:vAlign w:val="center"/>
          </w:tcPr>
          <w:p>
            <w:pPr>
              <w:pStyle w:val="TableContents"/>
              <w:bidi w:val="0"/>
              <w:spacing w:before="0" w:after="0"/>
              <w:ind w:left="0" w:right="0" w:hanging="0"/>
              <w:jc w:val="left"/>
              <w:rPr/>
            </w:pPr>
            <w:hyperlink w:anchor="CERTAINUSFEDERALINCOMETAXCONSIDERATIONS_">
              <w:r>
                <w:rPr>
                  <w:rStyle w:val="InternetLink"/>
                  <w:rFonts w:ascii="Times New Roman;Times;serif" w:hAnsi="Times New Roman;Times;serif"/>
                  <w:b w:val="false"/>
                  <w:i w:val="false"/>
                  <w:caps w:val="false"/>
                  <w:smallCaps w:val="false"/>
                  <w:sz w:val="20"/>
                </w:rPr>
                <w:t>CERTAIN U.S. FEDERAL INCOME TAX CONSIDERATIONS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444" w:type="dxa"/>
            <w:tcBorders/>
            <w:shd w:fill="CCEEFF" w:val="clear"/>
            <w:vAlign w:val="center"/>
          </w:tcPr>
          <w:p>
            <w:pPr>
              <w:pStyle w:val="TableContents"/>
              <w:bidi w:val="0"/>
              <w:spacing w:before="0" w:after="0"/>
              <w:ind w:left="0" w:right="0" w:hanging="0"/>
              <w:jc w:val="left"/>
              <w:rPr/>
            </w:pPr>
            <w:hyperlink w:anchor="DESCRIPTIONOFOURSECURITIES_489296">
              <w:r>
                <w:rPr>
                  <w:rStyle w:val="InternetLink"/>
                  <w:rFonts w:ascii="Times New Roman;Times;serif" w:hAnsi="Times New Roman;Times;serif"/>
                  <w:b w:val="false"/>
                  <w:i w:val="false"/>
                  <w:caps w:val="false"/>
                  <w:smallCaps w:val="false"/>
                  <w:sz w:val="20"/>
                </w:rPr>
                <w:t>DESCRIPTION OF OUR SECURITIES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444" w:type="dxa"/>
            <w:tcBorders/>
            <w:vAlign w:val="center"/>
          </w:tcPr>
          <w:p>
            <w:pPr>
              <w:pStyle w:val="TableContents"/>
              <w:bidi w:val="0"/>
              <w:spacing w:before="0" w:after="0"/>
              <w:ind w:left="0" w:right="0" w:hanging="0"/>
              <w:jc w:val="left"/>
              <w:rPr/>
            </w:pPr>
            <w:hyperlink w:anchor="DESCRIPTIONOFOURCAPITALSTOCK_353374">
              <w:r>
                <w:rPr>
                  <w:rStyle w:val="InternetLink"/>
                  <w:rFonts w:ascii="Times New Roman;Times;serif" w:hAnsi="Times New Roman;Times;serif"/>
                  <w:b w:val="false"/>
                  <w:i w:val="false"/>
                  <w:caps w:val="false"/>
                  <w:smallCaps w:val="false"/>
                  <w:sz w:val="20"/>
                </w:rPr>
                <w:t>DESCRIPTION OF OUR CAPITAL STOCK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444" w:type="dxa"/>
            <w:tcBorders/>
            <w:shd w:fill="CCEEFF" w:val="clear"/>
            <w:vAlign w:val="center"/>
          </w:tcPr>
          <w:p>
            <w:pPr>
              <w:pStyle w:val="TableContents"/>
              <w:bidi w:val="0"/>
              <w:spacing w:before="0" w:after="0"/>
              <w:ind w:left="0" w:right="0" w:hanging="0"/>
              <w:jc w:val="left"/>
              <w:rPr/>
            </w:pPr>
            <w:hyperlink w:anchor="DESCRIPTIONOFOURPREFERREDSTOCK_414964">
              <w:r>
                <w:rPr>
                  <w:rStyle w:val="InternetLink"/>
                  <w:rFonts w:ascii="Times New Roman;Times;serif" w:hAnsi="Times New Roman;Times;serif"/>
                  <w:b w:val="false"/>
                  <w:i w:val="false"/>
                  <w:caps w:val="false"/>
                  <w:smallCaps w:val="false"/>
                  <w:sz w:val="20"/>
                </w:rPr>
                <w:t>DESCRIPTION OF OUR PREFERRED STOCK</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444" w:type="dxa"/>
            <w:tcBorders/>
            <w:vAlign w:val="center"/>
          </w:tcPr>
          <w:p>
            <w:pPr>
              <w:pStyle w:val="TableContents"/>
              <w:bidi w:val="0"/>
              <w:spacing w:before="0" w:after="0"/>
              <w:ind w:left="0" w:right="0" w:hanging="0"/>
              <w:jc w:val="left"/>
              <w:rPr/>
            </w:pPr>
            <w:hyperlink w:anchor="DESCRIPTIONOFOURSUBSCRIPTIONRIGHTS_66141">
              <w:r>
                <w:rPr>
                  <w:rStyle w:val="InternetLink"/>
                  <w:rFonts w:ascii="Times New Roman;Times;serif" w:hAnsi="Times New Roman;Times;serif"/>
                  <w:b w:val="false"/>
                  <w:i w:val="false"/>
                  <w:caps w:val="false"/>
                  <w:smallCaps w:val="false"/>
                  <w:sz w:val="20"/>
                </w:rPr>
                <w:t>DESCRIPTION OF OUR SUBSCRIPTION RIGHTS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444" w:type="dxa"/>
            <w:tcBorders/>
            <w:shd w:fill="CCEEFF" w:val="clear"/>
            <w:vAlign w:val="center"/>
          </w:tcPr>
          <w:p>
            <w:pPr>
              <w:pStyle w:val="TableContents"/>
              <w:bidi w:val="0"/>
              <w:spacing w:before="0" w:after="0"/>
              <w:ind w:left="0" w:right="0" w:hanging="0"/>
              <w:jc w:val="left"/>
              <w:rPr/>
            </w:pPr>
            <w:hyperlink w:anchor="DESCRIPTIONOFOURWARRANTS_440594">
              <w:r>
                <w:rPr>
                  <w:rStyle w:val="InternetLink"/>
                  <w:rFonts w:ascii="Times New Roman;Times;serif" w:hAnsi="Times New Roman;Times;serif"/>
                  <w:b w:val="false"/>
                  <w:i w:val="false"/>
                  <w:caps w:val="false"/>
                  <w:smallCaps w:val="false"/>
                  <w:sz w:val="20"/>
                </w:rPr>
                <w:t>DESCRIPTION OF OUR WARRANTS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9444" w:type="dxa"/>
            <w:tcBorders/>
            <w:vAlign w:val="center"/>
          </w:tcPr>
          <w:p>
            <w:pPr>
              <w:pStyle w:val="TableContents"/>
              <w:bidi w:val="0"/>
              <w:spacing w:before="0" w:after="0"/>
              <w:ind w:left="0" w:right="0" w:hanging="0"/>
              <w:jc w:val="left"/>
              <w:rPr/>
            </w:pPr>
            <w:hyperlink w:anchor="DESCRIPTIONOFOURDEBTSECURITIES_292288">
              <w:r>
                <w:rPr>
                  <w:rStyle w:val="InternetLink"/>
                  <w:rFonts w:ascii="Times New Roman;Times;serif" w:hAnsi="Times New Roman;Times;serif"/>
                  <w:b w:val="false"/>
                  <w:i w:val="false"/>
                  <w:caps w:val="false"/>
                  <w:smallCaps w:val="false"/>
                  <w:sz w:val="20"/>
                </w:rPr>
                <w:t>DESCRIPTION OF OUR DEBT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444" w:type="dxa"/>
            <w:tcBorders/>
            <w:shd w:fill="CCEEFF" w:val="clear"/>
            <w:vAlign w:val="center"/>
          </w:tcPr>
          <w:p>
            <w:pPr>
              <w:pStyle w:val="TableContents"/>
              <w:bidi w:val="0"/>
              <w:spacing w:before="0" w:after="0"/>
              <w:ind w:left="0" w:right="0" w:hanging="0"/>
              <w:jc w:val="left"/>
              <w:rPr/>
            </w:pPr>
            <w:hyperlink w:anchor="REGULATION_247825">
              <w:r>
                <w:rPr>
                  <w:rStyle w:val="InternetLink"/>
                  <w:rFonts w:ascii="Times New Roman;Times;serif" w:hAnsi="Times New Roman;Times;serif"/>
                  <w:b w:val="false"/>
                  <w:i w:val="false"/>
                  <w:caps w:val="false"/>
                  <w:smallCaps w:val="false"/>
                  <w:sz w:val="20"/>
                </w:rPr>
                <w:t>REGULATION</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444" w:type="dxa"/>
            <w:tcBorders/>
            <w:vAlign w:val="center"/>
          </w:tcPr>
          <w:p>
            <w:pPr>
              <w:pStyle w:val="TableContents"/>
              <w:bidi w:val="0"/>
              <w:spacing w:before="0" w:after="0"/>
              <w:ind w:left="0" w:right="0" w:hanging="0"/>
              <w:jc w:val="left"/>
              <w:rPr/>
            </w:pPr>
            <w:hyperlink w:anchor="PLANOFDISTRIBUTION_693318">
              <w:r>
                <w:rPr>
                  <w:rStyle w:val="InternetLink"/>
                  <w:rFonts w:ascii="Times New Roman;Times;serif" w:hAnsi="Times New Roman;Times;serif"/>
                  <w:b w:val="false"/>
                  <w:i w:val="false"/>
                  <w:caps w:val="false"/>
                  <w:smallCaps w:val="false"/>
                  <w:sz w:val="20"/>
                </w:rPr>
                <w:t>PLAN OF DISTRIBUTION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444" w:type="dxa"/>
            <w:tcBorders/>
            <w:shd w:fill="CCEEFF" w:val="clear"/>
            <w:vAlign w:val="center"/>
          </w:tcPr>
          <w:p>
            <w:pPr>
              <w:pStyle w:val="TableContents"/>
              <w:bidi w:val="0"/>
              <w:spacing w:before="0" w:after="0"/>
              <w:ind w:left="0" w:right="0" w:hanging="0"/>
              <w:jc w:val="left"/>
              <w:rPr/>
            </w:pPr>
            <w:hyperlink w:anchor="CUSTODIANTRANSFERANDDIVIDENDPAYINGAGENTA">
              <w:r>
                <w:rPr>
                  <w:rStyle w:val="InternetLink"/>
                  <w:rFonts w:ascii="Times New Roman;Times;serif" w:hAnsi="Times New Roman;Times;serif"/>
                  <w:b w:val="false"/>
                  <w:i w:val="false"/>
                  <w:caps w:val="false"/>
                  <w:smallCaps w:val="false"/>
                  <w:sz w:val="20"/>
                </w:rPr>
                <w:t>CUSTODIAN, TRANSFER AND DIVIDEND PAYING AGENT AND REGISTRAR</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444" w:type="dxa"/>
            <w:tcBorders/>
            <w:vAlign w:val="center"/>
          </w:tcPr>
          <w:p>
            <w:pPr>
              <w:pStyle w:val="TableContents"/>
              <w:bidi w:val="0"/>
              <w:spacing w:before="0" w:after="0"/>
              <w:ind w:left="0" w:right="0" w:hanging="0"/>
              <w:jc w:val="left"/>
              <w:rPr/>
            </w:pPr>
            <w:hyperlink w:anchor="BROKERAGEALLOCATIONANDOTHERPRACTICES_509">
              <w:r>
                <w:rPr>
                  <w:rStyle w:val="InternetLink"/>
                  <w:rFonts w:ascii="Times New Roman;Times;serif" w:hAnsi="Times New Roman;Times;serif"/>
                  <w:b w:val="false"/>
                  <w:i w:val="false"/>
                  <w:caps w:val="false"/>
                  <w:smallCaps w:val="false"/>
                  <w:sz w:val="20"/>
                </w:rPr>
                <w:t>BROKERAGE ALLOCATION AND OTHER PRACTICES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444" w:type="dxa"/>
            <w:tcBorders/>
            <w:shd w:fill="CCEEFF" w:val="clear"/>
            <w:vAlign w:val="center"/>
          </w:tcPr>
          <w:p>
            <w:pPr>
              <w:pStyle w:val="TableContents"/>
              <w:bidi w:val="0"/>
              <w:spacing w:before="0" w:after="0"/>
              <w:ind w:left="0" w:right="0" w:hanging="0"/>
              <w:jc w:val="left"/>
              <w:rPr/>
            </w:pPr>
            <w:hyperlink w:anchor="LEGALMATTERS_296006">
              <w:r>
                <w:rPr>
                  <w:rStyle w:val="InternetLink"/>
                  <w:rFonts w:ascii="Times New Roman;Times;serif" w:hAnsi="Times New Roman;Times;serif"/>
                  <w:b w:val="false"/>
                  <w:i w:val="false"/>
                  <w:caps w:val="false"/>
                  <w:smallCaps w:val="false"/>
                  <w:sz w:val="20"/>
                </w:rPr>
                <w:t>LEGAL MATTERS</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444" w:type="dxa"/>
            <w:tcBorders/>
            <w:vAlign w:val="center"/>
          </w:tcPr>
          <w:p>
            <w:pPr>
              <w:pStyle w:val="TableContents"/>
              <w:bidi w:val="0"/>
              <w:spacing w:before="0" w:after="0"/>
              <w:ind w:left="0" w:right="0" w:hanging="0"/>
              <w:jc w:val="left"/>
              <w:rPr/>
            </w:pPr>
            <w:hyperlink w:anchor="INDEPENDENTREGISTEREDPUBLICACCOUNTINGFIR">
              <w:r>
                <w:rPr>
                  <w:rStyle w:val="InternetLink"/>
                  <w:rFonts w:ascii="Times New Roman;Times;serif" w:hAnsi="Times New Roman;Times;serif"/>
                  <w:b w:val="false"/>
                  <w:i w:val="false"/>
                  <w:caps w:val="false"/>
                  <w:smallCaps w:val="false"/>
                  <w:sz w:val="20"/>
                </w:rPr>
                <w:t>INDEPENDENT REGISTERED PUBLIC ACCOUNTING FIRM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444" w:type="dxa"/>
            <w:tcBorders/>
            <w:shd w:fill="CCEEFF" w:val="clear"/>
            <w:vAlign w:val="center"/>
          </w:tcPr>
          <w:p>
            <w:pPr>
              <w:pStyle w:val="TableContents"/>
              <w:bidi w:val="0"/>
              <w:spacing w:before="0" w:after="0"/>
              <w:ind w:left="0" w:right="0" w:hanging="0"/>
              <w:jc w:val="left"/>
              <w:rPr/>
            </w:pPr>
            <w:hyperlink w:anchor="AVAILABLEINFORMATION_984735">
              <w:r>
                <w:rPr>
                  <w:rStyle w:val="InternetLink"/>
                  <w:rFonts w:ascii="Times New Roman;Times;serif" w:hAnsi="Times New Roman;Times;serif"/>
                  <w:b w:val="false"/>
                  <w:i w:val="false"/>
                  <w:caps w:val="false"/>
                  <w:smallCaps w:val="false"/>
                  <w:sz w:val="20"/>
                </w:rPr>
                <w:t>AVAILABLE INFORMATION</w:t>
              </w:r>
            </w:hyperlink>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444" w:type="dxa"/>
            <w:tcBorders/>
            <w:vAlign w:val="center"/>
          </w:tcPr>
          <w:p>
            <w:pPr>
              <w:pStyle w:val="TableContents"/>
              <w:bidi w:val="0"/>
              <w:spacing w:before="0" w:after="0"/>
              <w:ind w:left="0" w:right="0" w:hanging="0"/>
              <w:jc w:val="left"/>
              <w:rPr/>
            </w:pPr>
            <w:hyperlink w:anchor="INCORPORATIONOFCERTAININFORMATIONBYREFER">
              <w:r>
                <w:rPr>
                  <w:rStyle w:val="InternetLink"/>
                  <w:rFonts w:ascii="Times New Roman;Times;serif" w:hAnsi="Times New Roman;Times;serif"/>
                  <w:b w:val="false"/>
                  <w:i w:val="false"/>
                  <w:caps w:val="false"/>
                  <w:smallCaps w:val="false"/>
                  <w:sz w:val="20"/>
                </w:rPr>
                <w:t>INCORPORATION OF CERTAIN INFORMATION BY REFERENCE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444" w:type="dxa"/>
            <w:tcBorders/>
            <w:shd w:fill="CCEEFF" w:val="clear"/>
            <w:vAlign w:val="center"/>
          </w:tcPr>
          <w:p>
            <w:pPr>
              <w:pStyle w:val="TableContents"/>
              <w:bidi w:val="0"/>
              <w:spacing w:before="0" w:after="0"/>
              <w:ind w:left="0" w:right="0" w:hanging="0"/>
              <w:jc w:val="left"/>
              <w:rPr/>
            </w:pPr>
            <w:hyperlink w:anchor="RUNWAYGROWTHFINANCECORP_520561">
              <w:r>
                <w:rPr>
                  <w:rStyle w:val="InternetLink"/>
                  <w:rFonts w:ascii="Times New Roman;Times;serif" w:hAnsi="Times New Roman;Times;serif"/>
                  <w:b w:val="false"/>
                  <w:i w:val="false"/>
                  <w:caps w:val="false"/>
                  <w:smallCaps w:val="false"/>
                  <w:sz w:val="20"/>
                </w:rPr>
                <w:t>RUNWAY GROWTH FINANCE CORP.</w:t>
              </w:r>
            </w:hyperlink>
          </w:p>
        </w:tc>
        <w:tc>
          <w:tcPr>
            <w:tcW w:w="36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67" w:name="ABOUTTHISPROSPECTUS_557308"/>
      <w:bookmarkStart w:id="68" w:name="_67052194_18ee_4492_940d_cb2cecc856dd"/>
      <w:bookmarkEnd w:id="67"/>
      <w:bookmarkEnd w:id="68"/>
      <w:r>
        <w:rPr>
          <w:rFonts w:ascii="Times New Roman;Times;serif" w:hAnsi="Times New Roman;Times;serif"/>
          <w:b/>
          <w:sz w:val="20"/>
        </w:rPr>
        <w:t>ABOUT THIS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is part of a registration statement that we have filed with the SEC, using the “shelf” registration process. Under this shelf Registration Statement, we may offer, from time to time, in one or more offerings, up to $250,000,000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Times;serif" w:hAnsi="Times New Roman;Times;serif"/>
          <w:i/>
          <w:sz w:val="20"/>
        </w:rPr>
        <w:t>Plan of Distribution</w:t>
      </w:r>
      <w:r>
        <w:rPr>
          <w:rFonts w:ascii="Times New Roman;Times;serif" w:hAnsi="Times New Roman;Times;serif"/>
          <w:sz w:val="20"/>
        </w:rPr>
        <w:t>” for more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To the extent that any statement that we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However, we acknowledge our responsibility for all disclosures in this prospectus.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this Registration Statement of which this prospectus is a part, and you may obtain copies of those documents as described in the section titled “</w:t>
      </w:r>
      <w:r>
        <w:rPr>
          <w:rFonts w:ascii="Times New Roman;Times;serif" w:hAnsi="Times New Roman;Times;serif"/>
          <w:i/>
          <w:sz w:val="20"/>
        </w:rPr>
        <w:t>Available Information</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sz w:val="20"/>
        </w:rPr>
        <w:t xml:space="preserve">You should rely only on the information included or incorporated by reference in this prospectus, any prospectus </w:t>
      </w:r>
      <w:r>
        <w:rPr>
          <w:rFonts w:ascii="Times New Roman;Times;serif" w:hAnsi="Times New Roman;Times;serif"/>
          <w:sz w:val="20"/>
        </w:rPr>
        <w:t xml:space="preserve">supplement </w:t>
      </w:r>
      <w:r>
        <w:rPr>
          <w:rFonts w:ascii="Times New Roman;Times;serif" w:hAnsi="Times New Roman;Times;serif"/>
          <w:b/>
          <w:sz w:val="20"/>
        </w:rPr>
        <w:t>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sz w:val="20"/>
          <w:bdr w:val="single" w:sz="2" w:space="4" w:color="000000"/>
        </w:rPr>
      </w:pPr>
      <w:bookmarkStart w:id="69" w:name="PROSPECTUSSUMMARY_148139"/>
      <w:bookmarkStart w:id="70" w:name="_45fe5336_5198_4989_9a0e_8a7e1c7b3a92"/>
      <w:bookmarkEnd w:id="69"/>
      <w:bookmarkEnd w:id="70"/>
      <w:r>
        <w:rPr>
          <w:rFonts w:ascii="Times New Roman;Times;serif" w:hAnsi="Times New Roman;Times;serif"/>
          <w:b/>
          <w:sz w:val="20"/>
          <w:bdr w:val="single" w:sz="2" w:space="4" w:color="000000"/>
        </w:rPr>
        <w:t>PROSPECTUS SUMMARY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 xml:space="preserve">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w:t>
      </w:r>
      <w:r>
        <w:rPr>
          <w:rFonts w:ascii="Times New Roman;Times;serif" w:hAnsi="Times New Roman;Times;serif"/>
          <w:sz w:val="20"/>
          <w:bdr w:val="single" w:sz="2" w:space="4" w:color="000000"/>
        </w:rPr>
        <w:t xml:space="preserve">applicable </w:t>
      </w:r>
      <w:r>
        <w:rPr>
          <w:rFonts w:ascii="Times New Roman;Times;serif" w:hAnsi="Times New Roman;Times;serif"/>
          <w:i/>
          <w:sz w:val="20"/>
          <w:bdr w:val="single" w:sz="2" w:space="4" w:color="000000"/>
        </w:rPr>
        <w:t>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Throughout this prospectus we refer to Runway Growth Finance Corp. as “we,” “us,” “our” or the “Company,” and to “Runway Growth Capital LLC,” our investment adviser, as “Runway Growth Capital” or “Adviser.”</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Runway Growth Finance Corp.</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are a specialty finance company focused on providing senior secured loans to high-growth potential companies in technology, healthcare, business services, financial services, and select consumer services and products in other high-growth industries. Our goal is to create significant value for our stockholders and the entrepreneurs we support by providing high-growth potential companies with hybrid debt and equity financing that is more flexible than traditional credit and less dilutive than equity. We are managed by Runway Growth Capital, an experienced provider of growth financing for dynamic, late and growth stage companies. Our investment objective is to maximize our total return to our stockholders primarily through current income on our loan portfolio and secondarily through capital gains on our warrants and other equity positions. As of September 30, 2024, we had an investment portfolio of $1.1 billion at fair value, and a net asset value of $13.39 per share.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are structured as an externally managed, non-diversified closed-end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RIC. See “</w:t>
      </w:r>
      <w:r>
        <w:rPr>
          <w:rFonts w:ascii="Times New Roman;Times;serif" w:hAnsi="Times New Roman;Times;serif"/>
          <w:i/>
          <w:sz w:val="20"/>
          <w:bdr w:val="single" w:sz="2" w:space="4" w:color="000000"/>
        </w:rPr>
        <w:t>Certain U.S. Federal Income Tax Considerations</w:t>
      </w:r>
      <w:r>
        <w:rPr>
          <w:rFonts w:ascii="Times New Roman;Times;serif" w:hAnsi="Times New Roman;Times;serif"/>
          <w:sz w:val="20"/>
          <w:bdr w:val="single" w:sz="2" w:space="4" w:color="000000"/>
        </w:rPr>
        <w:t>.”</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Our Adviser</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are externally managed by Runway Growth Capital. Runway Growth Capital was formed in 2015 to pursue an investment strategy focused on providing growth financing for dynamic, late and growth stage companies. David Spreng, our Chairman, Chief Executive Officer and President, formed our Adviser following a more than 25-year career in venture capital investing and lending. Runway Growth Capital has 29 employees across three offices in the United States, including five investment professionals focused on origination activities and ten focused on underwriting and managing our investment portfolio. Our Adviser consistently demonstrates a credit first culture while maintaining, what we believe, is an admirable reputation among borrowers for industry knowledge, creativity, and understanding of the challenges often faced by late and growth stage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In January 2025, Runway Growth Capital was acquired by certain private investment funds advised by BC Partners Credit and MLCI pursuant to its minority investment.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Runway Growth Capital’s senior executive team has on average more than 34 years of experience, and its investment professionals, including origination and underwriting, have on average 23 years of experience. Our Adviser has built its team with investment professionals who have deep industry experience, a track record of successful originations and outcomes across the venture debt and venture and private equity spectrums, along with rich experience in working with and understanding high-growth companies from both an investor’s and an operator’s perspective.</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Runway Growth Capital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Runway Growth Capital a fee for its investment advisory and management services consisting of two components: a base management fee and an incentive fee. The cost of the base management fee and incentive fee are each borne by our stockholders. See “</w:t>
      </w:r>
      <w:r>
        <w:rPr>
          <w:rFonts w:ascii="Times New Roman;Times;serif" w:hAnsi="Times New Roman;Times;serif"/>
          <w:i/>
          <w:sz w:val="20"/>
          <w:bdr w:val="single" w:sz="2" w:space="4" w:color="000000"/>
        </w:rPr>
        <w:t>Management and Other Agreements</w:t>
      </w:r>
      <w:r>
        <w:rPr>
          <w:rFonts w:ascii="Times New Roman;Times;serif" w:hAnsi="Times New Roman;Times;serif"/>
          <w:sz w:val="20"/>
          <w:bdr w:val="single" w:sz="2" w:space="4" w:color="000000"/>
        </w:rPr>
        <w:t>.”</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Runway-Cadma I LLC Joint Venture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Our Administrator</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have entered into an amended and restated administration agreement (the “Administration Agreement”) with Runway Administrator Services LLC (the “Administrator”), a wholly-owned subsidiary of Runway Growth Capital,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our Administrator’s overhead resulting from its obligations under the Administration Agreement, including rent and the allocable portion of the cost of our Chief Compliance Officer and Chief Financial Officer and their respective staffs. For more information, see “</w:t>
      </w:r>
      <w:r>
        <w:rPr>
          <w:rFonts w:ascii="Times New Roman;Times;serif" w:hAnsi="Times New Roman;Times;serif"/>
          <w:i/>
          <w:sz w:val="20"/>
          <w:bdr w:val="single" w:sz="2" w:space="4" w:color="000000"/>
        </w:rPr>
        <w:t>Management and Other Agreements</w:t>
      </w:r>
      <w:r>
        <w:rPr>
          <w:rFonts w:ascii="Times New Roman;Times;serif" w:hAnsi="Times New Roman;Times;serif"/>
          <w:sz w:val="20"/>
          <w:bdr w:val="single" w:sz="2" w:space="4" w:color="000000"/>
        </w:rPr>
        <w:t>.”</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Oaktree Strategic Relationship</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In December 2016, we and Runway Growth Capital entered into a strategic relationship with Oaktree Capital Management, L.P. (“Oaktree”). Oaktree is a leading global investment management firm focused on less efficient markets and alternative investments. Oaktree, together with its affiliates, emphasizes an opportunistic, value-oriented and risk-controlled approach to investments in distressed debt, corporate debt (including high-yield debt and senior loans), control investing, real estate, convertible securities and listed equities. In 2019, Brookfield Corporation (f/k/a Brookfield Asset Management Inc.) (“Brookfield”) acquired a majority economic interest in the business of Oaktree and its affiliates. Oaktree and its affiliates operate as an independent business with Brookfield, with their own product offerings and investment, marketing and support teams. Brookfield is a leading global alternative asset manager with over a 100 year history and over $1 trillion of assets under management (inclusive of Oaktree and its affiliates) across a broad portfolio of real estate, infrastructure, renewable power, credit and private equity assets.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OCM Growth Holdings (“OCM Growth”), an affiliate of Oaktree, purchased an aggregate of 14,571,334 shares of the Company’s common stock for an aggregate purchase price of $219.3 million in the Company’s Initial Private Offering and Second Private Offering. As of December 31, 2024, OCM Growth owned 10,779,668 shares, or approximately 29% of the Company’s outstanding shares. Pursuant to an irrevocable proxy, certain shares of our common stock held by OCM Growth must be voted in the same proportion that the Company’s other stockholders vote their shares. Of the 10,779,668 shares of the Company’s common stock owned by OCM Growth, 10,294,926 shares, or approximately 28% of the Company’s outstanding shares, are subject to this proxy voting arrangement.</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Board of Directors as OCM Growth’s director nominee as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Our Portfolio</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From the commencement of operations in December 2016 through September 30, 2024, we made total commitments of $2.8 billion to fund investments in 82 portfolio companies, invested $2.2 billion in debt and equity investments, excluding U.S. Treasury Bills, and realized 47 investments. Of the $2.8 billion total commitments since inception, 31% are related to upsizes from existing borrowers. As of September 30, 2024, our debt investment portfolio consisted of 49 debt investments in 32 portfolio companies with an aggregate fair value of $1.0 billion, while our equity portfolio consisted of 66 warrant positions in 46 portfolio companies, eleven preferred stock positions in four portfolio companies, six common stock positions in six portfolio companies, and three equity investments in three companies with an aggregate fair value of $62.2 million.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As of September 30, 2024, 100%, or $1.0 billion, of our debt investment portfolio at fair value consisted of senior term loans and 98.6% of our debt investments were secured by a first lien on all or a portion of the tangible and intangible assets of the applicable portfolio company.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Certain of the loans we make to portfolio companies have financial maintenance covenants, which are intended to protect lenders from adverse changes in a portfolio company’s financial performance. 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As of September 30, 2024, we had a total of $260.4 million in unfunded commitments which was comprised of $231.0 million to provide debt financing to our portfolio companies and $29.4 million in unfunded commitments to provide equity financing to the JV. As of September 30, 2024, we had approximately $67.3 million of available unfunded commitments to portfolio companies that are eligible to be drawn based on achieved milestones and $29.4 million in unfunded capital commitments to the JV. We believe that our available cash balances, availability under our Credit Agreement with KeyBank National Association (as amended, the “Credit Agreement”) provides sufficient funds to cover our unfunded commitments as of September 30, 2024.</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For the three and nine months ended September 30, 2024, our debt investment portfolio had a dollar-weighted annualized yield of 15.9% and 15.5%, respectively. For the three and nine months ended September 30, 2023, our debt investment portfolio had a dollar-weighted annualized yield of 18.3% and 16.0%,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2024, our debt investments had a dollar-weighted average term of 58 months at origination and a dollar-weighted average remaining term of 33 months, or approximately 2.8 years. As of September 30, 2024, substantially all of our debt investments had a committed principal amount of between $6.0 million and $85.0 million and pay cash interest at annual interest rates of between 8.0% and 14.8%.</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following table shows our dollar-weighted annualized yield by investment type for the three and nine months ended September 30, 2024 and September 30, 2023:</w:t>
      </w:r>
    </w:p>
    <w:tbl>
      <w:tblPr>
        <w:tblW w:w="9059" w:type="dxa"/>
        <w:jc w:val="left"/>
        <w:tblInd w:w="840" w:type="dxa"/>
        <w:tblLayout w:type="fixed"/>
        <w:tblCellMar>
          <w:top w:w="0" w:type="dxa"/>
          <w:left w:w="0" w:type="dxa"/>
          <w:bottom w:w="0" w:type="dxa"/>
          <w:right w:w="0" w:type="dxa"/>
        </w:tblCellMar>
      </w:tblPr>
      <w:tblGrid>
        <w:gridCol w:w="1096"/>
        <w:gridCol w:w="346"/>
        <w:gridCol w:w="610"/>
        <w:gridCol w:w="385"/>
        <w:gridCol w:w="611"/>
        <w:gridCol w:w="361"/>
        <w:gridCol w:w="571"/>
        <w:gridCol w:w="361"/>
        <w:gridCol w:w="571"/>
        <w:gridCol w:w="361"/>
        <w:gridCol w:w="610"/>
        <w:gridCol w:w="385"/>
        <w:gridCol w:w="611"/>
        <w:gridCol w:w="361"/>
        <w:gridCol w:w="571"/>
        <w:gridCol w:w="361"/>
        <w:gridCol w:w="571"/>
        <w:gridCol w:w="316"/>
      </w:tblGrid>
      <w:tr>
        <w:trPr/>
        <w:tc>
          <w:tcPr>
            <w:tcW w:w="1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5960" cy="175260"/>
                      <wp:effectExtent l="0" t="0" r="0" b="0"/>
                      <wp:wrapNone/>
                      <wp:docPr id="49" name="Frame4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7350" cy="175260"/>
                      <wp:effectExtent l="0" t="0" r="0" b="0"/>
                      <wp:wrapNone/>
                      <wp:docPr id="51" name="Frame51"/>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44475" cy="175260"/>
                      <wp:effectExtent l="0" t="0" r="0" b="0"/>
                      <wp:wrapNone/>
                      <wp:docPr id="52" name="Frame5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7985" cy="175260"/>
                      <wp:effectExtent l="0" t="0" r="0" b="0"/>
                      <wp:wrapNone/>
                      <wp:docPr id="53" name="Frame53"/>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9235" cy="175260"/>
                      <wp:effectExtent l="0" t="0" r="0" b="0"/>
                      <wp:wrapNone/>
                      <wp:docPr id="54" name="Frame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62585" cy="175260"/>
                      <wp:effectExtent l="0" t="0" r="0" b="0"/>
                      <wp:wrapNone/>
                      <wp:docPr id="55" name="Frame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9235" cy="175260"/>
                      <wp:effectExtent l="0" t="0" r="0" b="0"/>
                      <wp:wrapNone/>
                      <wp:docPr id="56" name="Frame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62585" cy="175260"/>
                      <wp:effectExtent l="0" t="0" r="0" b="0"/>
                      <wp:wrapNone/>
                      <wp:docPr id="57" name="Frame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9235" cy="175260"/>
                      <wp:effectExtent l="0" t="0" r="0" b="0"/>
                      <wp:wrapNone/>
                      <wp:docPr id="58" name="Frame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87350" cy="175260"/>
                      <wp:effectExtent l="0" t="0" r="0" b="0"/>
                      <wp:wrapNone/>
                      <wp:docPr id="59" name="Frame59"/>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44475" cy="175260"/>
                      <wp:effectExtent l="0" t="0" r="0" b="0"/>
                      <wp:wrapNone/>
                      <wp:docPr id="60" name="Frame6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7985" cy="175260"/>
                      <wp:effectExtent l="0" t="0" r="0" b="0"/>
                      <wp:wrapNone/>
                      <wp:docPr id="61" name="Frame61"/>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9235" cy="175260"/>
                      <wp:effectExtent l="0" t="0" r="0" b="0"/>
                      <wp:wrapNone/>
                      <wp:docPr id="62" name="Frame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62585" cy="175260"/>
                      <wp:effectExtent l="0" t="0" r="0" b="0"/>
                      <wp:wrapNone/>
                      <wp:docPr id="63" name="Frame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29235" cy="175260"/>
                      <wp:effectExtent l="0" t="0" r="0" b="0"/>
                      <wp:wrapNone/>
                      <wp:docPr id="64" name="Frame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62585" cy="175260"/>
                      <wp:effectExtent l="0" t="0" r="0" b="0"/>
                      <wp:wrapNone/>
                      <wp:docPr id="65" name="Frame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0660" cy="175260"/>
                      <wp:effectExtent l="0" t="0" r="0" b="0"/>
                      <wp:wrapNone/>
                      <wp:docPr id="66" name="Frame6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70"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Fair Value</w:t>
            </w:r>
            <w:r>
              <w:rPr>
                <w:rFonts w:ascii="Times New Roman;Times;serif" w:hAnsi="Times New Roman;Times;serif"/>
                <w:b/>
                <w:sz w:val="12"/>
              </w:rPr>
              <w:t>(1)</w:t>
            </w:r>
          </w:p>
        </w:tc>
        <w:tc>
          <w:tcPr>
            <w:tcW w:w="361" w:type="dxa"/>
            <w:tcBorders/>
            <w:vAlign w:val="center"/>
          </w:tcPr>
          <w:p>
            <w:pPr>
              <w:pStyle w:val="TableContents"/>
              <w:bidi w:val="0"/>
              <w:spacing w:before="0" w:after="0"/>
              <w:ind w:left="0" w:right="0" w:hanging="0"/>
              <w:jc w:val="left"/>
              <w:rPr/>
            </w:pPr>
            <w:r>
              <w:rPr/>
              <w:t>  ​ ​ ​</w:t>
            </w:r>
          </w:p>
        </w:tc>
        <w:tc>
          <w:tcPr>
            <w:tcW w:w="3470"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Cost</w:t>
            </w:r>
            <w:r>
              <w:rPr>
                <w:rFonts w:ascii="Times New Roman;Times;serif" w:hAnsi="Times New Roman;Times;serif"/>
                <w:b/>
                <w:sz w:val="12"/>
              </w:rPr>
              <w:t>(2)</w:t>
            </w:r>
          </w:p>
        </w:tc>
        <w:tc>
          <w:tcPr>
            <w:tcW w:w="316"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0"/>
              <w:ind w:left="0" w:right="0" w:hanging="0"/>
              <w:jc w:val="left"/>
              <w:rPr/>
            </w:pPr>
            <w:r>
              <w:rPr/>
              <w:t>​</w:t>
            </w:r>
          </w:p>
        </w:tc>
        <w:tc>
          <w:tcPr>
            <w:tcW w:w="150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61" w:type="dxa"/>
            <w:tcBorders/>
            <w:vAlign w:val="center"/>
          </w:tcPr>
          <w:p>
            <w:pPr>
              <w:pStyle w:val="TableContents"/>
              <w:bidi w:val="0"/>
              <w:spacing w:before="0" w:after="0"/>
              <w:ind w:left="0" w:right="0" w:hanging="0"/>
              <w:jc w:val="left"/>
              <w:rPr/>
            </w:pPr>
            <w:r>
              <w:rPr/>
              <w:t>​</w:t>
            </w:r>
          </w:p>
        </w:tc>
        <w:tc>
          <w:tcPr>
            <w:tcW w:w="160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0"/>
              <w:ind w:left="0" w:right="0" w:hanging="0"/>
              <w:jc w:val="left"/>
              <w:rPr/>
            </w:pPr>
            <w:r>
              <w:rPr/>
              <w:t>​</w:t>
            </w:r>
          </w:p>
        </w:tc>
        <w:tc>
          <w:tcPr>
            <w:tcW w:w="150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16"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0"/>
              <w:ind w:left="0" w:right="0" w:hanging="0"/>
              <w:jc w:val="left"/>
              <w:rPr/>
            </w:pPr>
            <w:r>
              <w:rPr/>
              <w:t>​</w:t>
            </w:r>
          </w:p>
        </w:tc>
        <w:tc>
          <w:tcPr>
            <w:tcW w:w="1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0"/>
              <w:ind w:left="0" w:right="0" w:hanging="0"/>
              <w:jc w:val="left"/>
              <w:rPr/>
            </w:pPr>
            <w:r>
              <w:rPr/>
              <w:t>​</w:t>
            </w:r>
          </w:p>
        </w:tc>
        <w:tc>
          <w:tcPr>
            <w:tcW w:w="16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0"/>
              <w:ind w:left="0" w:right="0" w:hanging="0"/>
              <w:jc w:val="left"/>
              <w:rPr/>
            </w:pPr>
            <w:r>
              <w:rPr/>
              <w:t>​</w:t>
            </w:r>
          </w:p>
        </w:tc>
        <w:tc>
          <w:tcPr>
            <w:tcW w:w="15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16" w:type="dxa"/>
            <w:tcBorders/>
            <w:vAlign w:val="center"/>
          </w:tcPr>
          <w:p>
            <w:pPr>
              <w:pStyle w:val="TableContents"/>
              <w:bidi w:val="0"/>
              <w:spacing w:before="0" w:after="0"/>
              <w:ind w:left="0" w:right="0" w:hanging="0"/>
              <w:jc w:val="center"/>
              <w:rPr/>
            </w:pPr>
            <w:r>
              <w:rPr/>
              <w:t> </w: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Investment type:</w:t>
            </w:r>
          </w:p>
        </w:tc>
        <w:tc>
          <w:tcPr>
            <w:tcW w:w="346" w:type="dxa"/>
            <w:tcBorders/>
            <w:vAlign w:val="center"/>
          </w:tcPr>
          <w:p>
            <w:pPr>
              <w:pStyle w:val="TableContents"/>
              <w:bidi w:val="0"/>
              <w:spacing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5" w:type="dxa"/>
            <w:tcBorders/>
            <w:vAlign w:val="center"/>
          </w:tcPr>
          <w:p>
            <w:pPr>
              <w:pStyle w:val="TableContents"/>
              <w:bidi w:val="0"/>
              <w:spacing w:before="0" w:after="0"/>
              <w:ind w:left="0" w:right="0" w:hanging="0"/>
              <w:jc w:val="left"/>
              <w:rPr/>
            </w:pPr>
            <w:r>
              <w:rPr/>
              <w:t>  ​ ​ ​</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5" w:type="dxa"/>
            <w:tcBorders/>
            <w:vAlign w:val="center"/>
          </w:tcPr>
          <w:p>
            <w:pPr>
              <w:pStyle w:val="TableContents"/>
              <w:bidi w:val="0"/>
              <w:spacing w:before="0" w:after="0"/>
              <w:ind w:left="0" w:right="0" w:hanging="0"/>
              <w:jc w:val="left"/>
              <w:rPr/>
            </w:pPr>
            <w:r>
              <w:rPr/>
              <w:t>  ​ ​ ​</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interest</w:t>
            </w:r>
          </w:p>
        </w:tc>
        <w:tc>
          <w:tcPr>
            <w:tcW w:w="346" w:type="dxa"/>
            <w:tcBorders/>
            <w:vAlign w:val="center"/>
          </w:tcPr>
          <w:p>
            <w:pPr>
              <w:pStyle w:val="TableContents"/>
              <w:bidi w:val="0"/>
              <w:spacing w:before="0" w:after="0"/>
              <w:ind w:left="0" w:right="0" w:hanging="0"/>
              <w:jc w:val="left"/>
              <w:rPr/>
            </w:pPr>
            <w:r>
              <w:rPr/>
              <w:t> </w:t>
            </w:r>
          </w:p>
        </w:tc>
        <w:tc>
          <w:tcPr>
            <w:tcW w:w="610"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525" w:type="dxa"/>
        <w:jc w:val="left"/>
        <w:tblInd w:w="840" w:type="dxa"/>
        <w:tblLayout w:type="fixed"/>
        <w:tblCellMar>
          <w:top w:w="0" w:type="dxa"/>
          <w:left w:w="0" w:type="dxa"/>
          <w:bottom w:w="0" w:type="dxa"/>
          <w:right w:w="0" w:type="dxa"/>
        </w:tblCellMar>
      </w:tblPr>
      <w:tblGrid>
        <w:gridCol w:w="296"/>
        <w:gridCol w:w="822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tc>
      </w:tr>
    </w:tbl>
    <w:tbl>
      <w:tblPr>
        <w:tblW w:w="8525" w:type="dxa"/>
        <w:jc w:val="left"/>
        <w:tblInd w:w="840" w:type="dxa"/>
        <w:tblLayout w:type="fixed"/>
        <w:tblCellMar>
          <w:top w:w="0" w:type="dxa"/>
          <w:left w:w="0" w:type="dxa"/>
          <w:bottom w:w="0" w:type="dxa"/>
          <w:right w:w="0" w:type="dxa"/>
        </w:tblCellMar>
      </w:tblPr>
      <w:tblGrid>
        <w:gridCol w:w="296"/>
        <w:gridCol w:w="822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tc>
      </w:tr>
    </w:tbl>
    <w:p>
      <w:pPr>
        <w:pStyle w:val="TextBody"/>
        <w:bidi w:val="0"/>
        <w:spacing w:before="0" w:after="240"/>
        <w:ind w:left="840" w:right="840" w:hanging="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Investment Strategy and Approach</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Our investment objective is to maximize total return to our stockholders primarily through current income on our loan portfolio and secondarily through capital appreciation on our warrants and other equity positions. We typically invest in senior secured term loans and other senior debt obligations and may on occasion invest in second lien loans. We generally receive warrants and/or other equity securities from portfolio companies in connection with our investments in loans to these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focus on lending to late and growth stage companies in technology, healthcare, business services, financial services, and select consumer services and products in other high-growth industries.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are typically the sole lender to our portfolio companies and do not actively syndicate the loans we originate to other lenders nor do we participate in syndications built by other lenders.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risk-adjusted return for the portfolio viewed as a whole. Borrowers tend to use the proceeds of our financing to invest in sales and marketing, expand capacity of the overall business or refinance existing debt.</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Sponsored Growth Lending</w:t>
      </w:r>
      <w:r>
        <w:rPr>
          <w:rFonts w:ascii="Times New Roman;Times;serif" w:hAnsi="Times New Roman;Times;serif"/>
          <w:sz w:val="20"/>
          <w:bdr w:val="single" w:sz="2" w:space="4" w:color="000000"/>
        </w:rPr>
        <w:t>. Our Sponsored Growth Lending strategy generally includes loans to late and growth stage companies that are already backed by established venture capital firms. Our Sponsored Growth Lending strategy typically includes the receipt of warrants and/or other equity from these venture- backed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us access to many high-quality companies backed by top-tier venture capital and private equity investors;</w:t>
            </w:r>
          </w:p>
        </w:tc>
      </w:tr>
    </w:tbl>
    <w:tbl>
      <w:tblPr>
        <w:tblW w:w="5751" w:type="dxa"/>
        <w:jc w:val="left"/>
        <w:tblInd w:w="84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delivers consistent returns through double-digit loan yields; and</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often offers us the ability to participate in equity upside of portfolio companies through the acquisition of warrants.</w:t>
            </w:r>
          </w:p>
        </w:tc>
      </w:tr>
    </w:tbl>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Non-Sponsored Growth Lending</w:t>
      </w:r>
      <w:r>
        <w:rPr>
          <w:rFonts w:ascii="Times New Roman;Times;serif" w:hAnsi="Times New Roman;Times;serif"/>
          <w:sz w:val="20"/>
          <w:bdr w:val="single" w:sz="2" w:space="4" w:color="000000"/>
        </w:rPr>
        <w:t>. Our Non-Sponsored Growth Lending strategy generally includes loans to late and growth stage, private companies that are funded directly by entrepreneurs and founders, or companies that no longer require institutional equity investment (which may selectively include publicly traded companies). We refer to these target borrowers as “non-sponsored growth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As a BDC, we are generally limited in our ability to invest in any portfolio company in which Runway Growth Capital or any of its affiliates currently has an investment or to make any co-investments with our investment adviser or its affiliates without an exemptive order from the SEC, subject to certain exceptions. On August 10, 2020, as amended on August 30, 2022, we, Runway Growth Capital, and certain other funds and accounts sponsored or managed by Runway Growth Capital were granted an exemptive order (the “Order”) that permits us greater flexibility than the 1940 Act permits to negotiate the terms of co-investments if our Board determines that it would be advantageous for us to co-invest with other accounts sponsored or managed by Runway Growth Capital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Runway Growth Capital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Market Opportunity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w:t>
      </w:r>
    </w:p>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Focus on Innovative Companies Across a Variety of High-Growth Industries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Diversified high-growth potential industries</w:t>
      </w:r>
      <w:r>
        <w:rPr>
          <w:rFonts w:ascii="Times New Roman;Times;serif" w:hAnsi="Times New Roman;Times;serif"/>
          <w:sz w:val="20"/>
          <w:bdr w:val="single" w:sz="2" w:space="4" w:color="000000"/>
        </w:rPr>
        <w:t>: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Annual Venture Capital Activity — Deal Volume ($ in billions) and Deal Count</w:t>
      </w:r>
    </w:p>
    <w:p>
      <w:pPr>
        <w:pStyle w:val="TextBody"/>
        <w:bidi w:val="0"/>
        <w:spacing w:before="0" w:after="240"/>
        <w:ind w:left="840" w:right="840" w:hanging="0"/>
        <w:jc w:val="center"/>
        <w:rPr>
          <w:bdr w:val="single" w:sz="2" w:space="4" w:color="000000"/>
        </w:rPr>
      </w:pPr>
      <w:r>
        <w:rPr>
          <w:bdr w:val="single" w:sz="2" w:space="4" w:color="000000"/>
        </w:rPr>
        <w:drawing>
          <wp:inline distT="0" distB="0" distL="0" distR="0">
            <wp:extent cx="5431790" cy="4213860"/>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30"/>
                    <a:stretch>
                      <a:fillRect/>
                    </a:stretch>
                  </pic:blipFill>
                  <pic:spPr bwMode="auto">
                    <a:xfrm>
                      <a:off x="0" y="0"/>
                      <a:ext cx="5431790" cy="4213860"/>
                    </a:xfrm>
                    <a:prstGeom prst="rect">
                      <a:avLst/>
                    </a:prstGeom>
                  </pic:spPr>
                </pic:pic>
              </a:graphicData>
            </a:graphic>
          </wp:inline>
        </w:drawing>
      </w:r>
    </w:p>
    <w:p>
      <w:pPr>
        <w:pStyle w:val="TextBody"/>
        <w:bidi w:val="0"/>
        <w:spacing w:before="0" w:after="240"/>
        <w:ind w:left="840" w:right="840" w:hanging="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Source: Pitchbook-NVCA Venture Monitor data, Q4 2024</w:t>
      </w:r>
    </w:p>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Sponsored and Non-Sponsored Lending Represents an Attractive Source of Funding</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Sponsored Growth Lending</w:t>
      </w:r>
      <w:r>
        <w:rPr>
          <w:rFonts w:ascii="Times New Roman;Times;serif" w:hAnsi="Times New Roman;Times;serif"/>
          <w:sz w:val="20"/>
          <w:bdr w:val="single" w:sz="2" w:space="4" w:color="000000"/>
        </w:rPr>
        <w:t>: An attractive market opportunity exists for a lender that invests in secured loans to late and growth stage companies that have not yet achieved profitability. Sponsored growth lending provides an attractive source of funds for venture-backed companies, their management teams, and their equity capital investors, as it:</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typically less dilutive and complements equity financing from venture capital and private equity funds;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often extends the time period during which a company can operate before seeking additional equity capital or pursuing a sale transaction or other liquidity event; and</w:t>
            </w:r>
          </w:p>
        </w:tc>
      </w:tr>
    </w:tbl>
    <w:tbl>
      <w:tblPr>
        <w:tblW w:w="5931" w:type="dxa"/>
        <w:jc w:val="left"/>
        <w:tblInd w:w="84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allows companies to better match cash sources with uses.</w:t>
            </w:r>
          </w:p>
        </w:tc>
      </w:tr>
    </w:tbl>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Non-Sponsored Growth Lending</w:t>
      </w:r>
      <w:r>
        <w:rPr>
          <w:rFonts w:ascii="Times New Roman;Times;serif" w:hAnsi="Times New Roman;Times;serif"/>
          <w:sz w:val="20"/>
          <w:bdr w:val="single" w:sz="2" w:space="4" w:color="000000"/>
        </w:rPr>
        <w:t>: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growth capital without the requirement to take on institutional-size investments that may exceed the company’s capital requirements;</w:t>
            </w:r>
          </w:p>
        </w:tc>
      </w:tr>
    </w:tbl>
    <w:tbl>
      <w:tblPr>
        <w:tblW w:w="3231" w:type="dxa"/>
        <w:jc w:val="left"/>
        <w:tblInd w:w="84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deductible interest payments;</w:t>
            </w:r>
          </w:p>
        </w:tc>
      </w:tr>
    </w:tbl>
    <w:tbl>
      <w:tblPr>
        <w:tblW w:w="3771" w:type="dxa"/>
        <w:jc w:val="left"/>
        <w:tblInd w:w="84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operational involvement;</w:t>
            </w:r>
          </w:p>
        </w:tc>
      </w:tr>
    </w:tbl>
    <w:tbl>
      <w:tblPr>
        <w:tblW w:w="2451" w:type="dxa"/>
        <w:jc w:val="left"/>
        <w:tblInd w:w="84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personal guarantees;</w:t>
            </w:r>
          </w:p>
        </w:tc>
      </w:tr>
    </w:tbl>
    <w:tbl>
      <w:tblPr>
        <w:tblW w:w="3186" w:type="dxa"/>
        <w:jc w:val="left"/>
        <w:tblInd w:w="84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modest dilution, if any; and</w:t>
            </w:r>
          </w:p>
        </w:tc>
      </w:tr>
    </w:tbl>
    <w:tbl>
      <w:tblPr>
        <w:tblW w:w="4671" w:type="dxa"/>
        <w:jc w:val="left"/>
        <w:tblInd w:w="84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loss of managerial control or forced redemption.</w:t>
            </w:r>
          </w:p>
        </w:tc>
      </w:tr>
    </w:tbl>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Large and Growing Market for Debt Financing to Venture Capital-Backed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 xml:space="preserve">Healthy, stable venture environment: </w:t>
      </w:r>
      <w:r>
        <w:rPr>
          <w:rFonts w:ascii="Times New Roman;Times;serif" w:hAnsi="Times New Roman;Times;serif"/>
          <w:sz w:val="20"/>
          <w:bdr w:val="single" w:sz="2" w:space="4" w:color="000000"/>
        </w:rPr>
        <w:t>Approximately 15,250 companies received venture capital financing in 2024, according to the Pitchbook-NVCA Venture Monitor, a quarterly report published jointly by NVCA and Pitchbook on venture capital activity (“Pitchbook-NVCA”). Despite the broader economic challenges of 2024, we anticipate the market for borrowers will gradually improve over the coming quarters. The venture debt lending market, as defined in the Q4 2024 Pitchbook-NVCA Venture Monitor, is estimated at $53.3 billion or roughly 25.5% of total U.S. venture capital deal value in.</w:t>
      </w:r>
    </w:p>
    <w:p>
      <w:pPr>
        <w:pStyle w:val="TextBody"/>
        <w:bidi w:val="0"/>
        <w:spacing w:before="0" w:after="240"/>
        <w:ind w:left="840" w:right="840" w:hanging="0"/>
        <w:jc w:val="center"/>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Annual Venture Capital Activity — Deal Volume ($ in billions) and Deal Count</w:t>
      </w:r>
    </w:p>
    <w:p>
      <w:pPr>
        <w:pStyle w:val="TextBody"/>
        <w:bidi w:val="0"/>
        <w:spacing w:before="0" w:after="240"/>
        <w:ind w:left="840" w:right="840" w:hanging="0"/>
        <w:jc w:val="center"/>
        <w:rPr>
          <w:bdr w:val="single" w:sz="2" w:space="4" w:color="000000"/>
        </w:rPr>
      </w:pPr>
      <w:r>
        <w:rPr>
          <w:bdr w:val="single" w:sz="2" w:space="4" w:color="000000"/>
        </w:rPr>
        <w:drawing>
          <wp:inline distT="0" distB="0" distL="0" distR="0">
            <wp:extent cx="4965065" cy="2426970"/>
            <wp:effectExtent l="0" t="0" r="0" b="0"/>
            <wp:docPr id="6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 descr=""/>
                    <pic:cNvPicPr>
                      <a:picLocks noChangeAspect="1" noChangeArrowheads="1"/>
                    </pic:cNvPicPr>
                  </pic:nvPicPr>
                  <pic:blipFill>
                    <a:blip r:embed="rId31"/>
                    <a:stretch>
                      <a:fillRect/>
                    </a:stretch>
                  </pic:blipFill>
                  <pic:spPr bwMode="auto">
                    <a:xfrm>
                      <a:off x="0" y="0"/>
                      <a:ext cx="4965065" cy="2426970"/>
                    </a:xfrm>
                    <a:prstGeom prst="rect">
                      <a:avLst/>
                    </a:prstGeom>
                  </pic:spPr>
                </pic:pic>
              </a:graphicData>
            </a:graphic>
          </wp:inline>
        </w:drawing>
      </w:r>
    </w:p>
    <w:p>
      <w:pPr>
        <w:pStyle w:val="TextBody"/>
        <w:bidi w:val="0"/>
        <w:spacing w:before="0" w:after="240"/>
        <w:ind w:left="840" w:right="840" w:hanging="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Source: Pitchbook-NVCA Venture Monitor data, Q4 2024.</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Growing pool of target companies</w:t>
      </w:r>
      <w:r>
        <w:rPr>
          <w:rFonts w:ascii="Times New Roman;Times;serif" w:hAnsi="Times New Roman;Times;serif"/>
          <w:sz w:val="20"/>
          <w:bdr w:val="single" w:sz="2" w:space="4" w:color="000000"/>
        </w:rPr>
        <w:t>: The time from initial venture capital investment to transaction exit of such investment, either by an initial public offering or merger and acquisition transaction, compressed slightly over the last couple of years but increased in 2024. According to the Pitchbook-NVCA Q4 2024 Venture Monitor, in 2024 the average number of years from initial venture investment to initial public offering of a U.S. venture capital-backed company was 6.3 years, and the average number of years from initial venture investment to merger and acquisition transaction was 4.6 years. Exit transactions are a small proportion of companies financed by venture capital each year. As a result, the pool of target companies has grown larger with increased demand for private capital.</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Highly Fragmented, Underserved Market with High Barriers to Entry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i/>
          <w:sz w:val="20"/>
          <w:bdr w:val="single" w:sz="2" w:space="4" w:color="000000"/>
        </w:rPr>
        <w:t>Unfulfilled demand and limited competition</w:t>
      </w:r>
      <w:r>
        <w:rPr>
          <w:rFonts w:ascii="Times New Roman;Times;serif" w:hAnsi="Times New Roman;Times;serif"/>
          <w:sz w:val="20"/>
          <w:bdr w:val="single" w:sz="2" w:space="4" w:color="000000"/>
        </w:rPr>
        <w:t>: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pStyle w:val="TextBody"/>
        <w:bidi w:val="0"/>
        <w:spacing w:before="0" w:after="240"/>
        <w:ind w:left="840" w:right="840" w:hanging="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Competitive Advantages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believe we are well positioned to address the market for growth lending in a manner that will result in a competitive advantage over other established sponsored growth lenders. We believe our competitive strengths and key differentiators include: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sz w:val="20"/>
          <w:bdr w:val="single" w:sz="2" w:space="4" w:color="000000"/>
        </w:rPr>
        <w:t>Experienced, Proven Management Team Supported by a Deep Bench of Dedicated Investment Professionals</w:t>
      </w:r>
      <w:r>
        <w:rPr>
          <w:rFonts w:ascii="Times New Roman;Times;serif" w:hAnsi="Times New Roman;Times;serif"/>
          <w:sz w:val="20"/>
          <w:bdr w:val="single" w:sz="2" w:space="4" w:color="000000"/>
        </w:rPr>
        <w:t>.</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senior investment professionals of Runway Growth Capital have over 23 years of experience as venture capitalists and lenders who have developed a disciplined, repeatable approach to investing and managing investments in high-growth potential businesses. We believe that the experience, relationships and disciplined investment and risk management processes of Runway Growth Capital’s investment professionals are a competitive advantage for us.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Our President and Chief Executive Officer, David Spreng, who is also the founder, Chief Executive Officer and Chief Investment Officer of Runway Growth Capital,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and Chief Operating Officer, Thomas Raterman, has more than 30 years of corporate finance, investment banking, private equity and financial executive management experience with rapidly growing entrepreneurial companies. Greg Greifeld, Managing Director, Deputy Chief Investment Officer and Head of Credit at Runway Growth Capital, has over 16 years of lending, venture capital, and investment management experience.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Runway Growth Capital has a broad team of professionals focused on every aspect of the investment lifecycle. Runway Growth Capital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sz w:val="20"/>
          <w:bdr w:val="single" w:sz="2" w:space="4" w:color="000000"/>
        </w:rPr>
        <w:t>Provide Capital to Robust, High-Growth Venture-backed Companies</w:t>
      </w:r>
      <w:r>
        <w:rPr>
          <w:rFonts w:ascii="Times New Roman;Times;serif" w:hAnsi="Times New Roman;Times;serif"/>
          <w:sz w:val="20"/>
          <w:bdr w:val="single" w:sz="2" w:space="4" w:color="000000"/>
        </w:rPr>
        <w:t>. 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2024 Pitchbook NVCA Venture Monitor and Pitchbook-NVCA industry classifications, venture capital deal volume for technology totaled approximately $183.8 billion in 2024, representing a 12.0% CAGR from 2014 to 2024. Venture capital deal volume for life science totaled approximately $36.3 billion in 2024, representing a 9.6% CAGR from 2014 to 2024. We believe companies within these industries can often be characterized as having asset-light business models, attractive recurring revenue streams and strong growth trajectories.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invest across industries to diversify risk and deliver more stable returns. The investment professionals at Runway Growth Capital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sz w:val="20"/>
          <w:bdr w:val="single" w:sz="2" w:space="4" w:color="000000"/>
        </w:rPr>
        <w:t>Robust Disciplined Investment Process and Credit Analysis</w:t>
      </w:r>
      <w:r>
        <w:rPr>
          <w:rFonts w:ascii="Times New Roman;Times;serif" w:hAnsi="Times New Roman;Times;serif"/>
          <w:sz w:val="20"/>
          <w:bdr w:val="single" w:sz="2" w:space="4" w:color="000000"/>
        </w:rPr>
        <w:t>. Runway Growth Capital’s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believe the focused and disciplined approach that Runway Growth Capital applies to our lending strategy enables us to deliver strong, consistent returns to our investors. As of September 30, 2024, our debt portfolio is 98.6% first lien senior secured. Of our $2.2 billion total funded commitments since inception, our cumulative gross loss rate, as a percentage of total commitments since inception, has been 0.88% and our net losses, as a percentage of total commitments since inception, has been 0.71%. On average, our portfolio companies have raised $132.7 million of equity proceeds relative to our average loan commitment size of $41.3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sz w:val="20"/>
          <w:bdr w:val="single" w:sz="2" w:space="4" w:color="000000"/>
        </w:rPr>
        <w:t>Proprietary Risk Analytics Return Optimization</w:t>
      </w:r>
      <w:r>
        <w:rPr>
          <w:rFonts w:ascii="Times New Roman;Times;serif" w:hAnsi="Times New Roman;Times;serif"/>
          <w:sz w:val="20"/>
          <w:bdr w:val="single" w:sz="2" w:space="4" w:color="000000"/>
        </w:rPr>
        <w:t>. Over the past 20 years, Runway Growth Capital’s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sz w:val="20"/>
          <w:bdr w:val="single" w:sz="2" w:space="4" w:color="000000"/>
        </w:rPr>
        <w:t>Flexible, Opportunity-Specific Pricing and Structure</w:t>
      </w:r>
      <w:r>
        <w:rPr>
          <w:rFonts w:ascii="Times New Roman;Times;serif" w:hAnsi="Times New Roman;Times;serif"/>
          <w:sz w:val="20"/>
          <w:bdr w:val="single" w:sz="2" w:space="4" w:color="000000"/>
        </w:rPr>
        <w:t>. Runway Growth Capital’s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Runway Growth Capital’s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b/>
          <w:i/>
          <w:sz w:val="20"/>
          <w:bdr w:val="single" w:sz="2" w:space="4" w:color="000000"/>
        </w:rPr>
        <w:t>Strong Reputation and Deep Relationships</w:t>
      </w:r>
      <w:r>
        <w:rPr>
          <w:rFonts w:ascii="Times New Roman;Times;serif" w:hAnsi="Times New Roman;Times;serif"/>
          <w:sz w:val="20"/>
          <w:bdr w:val="single" w:sz="2" w:space="4" w:color="000000"/>
        </w:rPr>
        <w:t>. Runway Growth Capital’s senior investment professionals enjoy reputations as innovative thought leaders, ingrained in the fabric of the venture community. Runway Growth Capital’s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Runway Growth Capital’s senior investment professionals also have established a network of relationships over two decades with various venture capital firms, venture banks, institutional investors, entrepreneurs and other venture capital market participants, which has allowed Runway Growth Capital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Use of Leverage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As a BDC, we are generally required to meet an asset coverage ratio, defined under the 1940 Act as the ratio of our gross assets (less all liabilities and indebtedness not represented by senior securities) to our outstanding senior securities, equal to 200% (or 150% if certain conditions are met) after each issuance of senior securities. On October 28, 2021, the Board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w:t>
      </w:r>
    </w:p>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Credit Facility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September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For the three and nine months ended September 30, 2024, the weighted average outstanding principal balance was $273.0 million and $248.1 million, respectively, and the weighted average effective interest rate was 8.55% and 8.54%, respectively. For the three and nine months ended September 30, 2023, the weighted average outstanding principal balance was $250.3 million and $298.0 million, respectively, and the weighted average effective interest rate was 8.07% and 7.99%, respectively.</w:t>
      </w:r>
    </w:p>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2026 Notes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Times;serif" w:hAnsi="Times New Roman;Times;serif"/>
          <w:i/>
          <w:sz w:val="20"/>
          <w:bdr w:val="single" w:sz="2" w:space="4" w:color="000000"/>
        </w:rPr>
        <w:t xml:space="preserve">pari passu </w:t>
      </w:r>
      <w:r>
        <w:rPr>
          <w:rFonts w:ascii="Times New Roman;Times;serif" w:hAnsi="Times New Roman;Times;serif"/>
          <w:sz w:val="20"/>
          <w:bdr w:val="single" w:sz="2" w:space="4" w:color="000000"/>
        </w:rPr>
        <w:t>with all outstanding and future unsecured unsubordinated indebtedness issued by the Company.</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i/>
          <w:sz w:val="20"/>
          <w:bdr w:val="single" w:sz="2" w:space="4" w:color="000000"/>
        </w:rPr>
      </w:pPr>
      <w:r>
        <w:rPr>
          <w:rFonts w:ascii="Times New Roman;Times;serif" w:hAnsi="Times New Roman;Times;serif"/>
          <w:i/>
          <w:sz w:val="20"/>
          <w:bdr w:val="single" w:sz="2" w:space="4" w:color="000000"/>
        </w:rPr>
        <w:t>December 2026 Notes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December 2026 Notes bore an interest rate of 4.25% per year and were due on December 10, 2026, unless redeemed, purchased or prepaid prior to such date by the Company or its affiliates in accordance with their terms. The April 2026 Notes were repaid in full on January 21, 2026 and are no longer outstanding. Interest on the December 2026 Notes was be due semiannually in arrears on June 10 and December 10 of each year.</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Aggregate costs in connection with the December 2026 Notes issuance were $1.0 million, and were capitalized and deferred. As of September 30, 2024 and December 31, 2023, unamortized deferred financing costs related to the December 2026 Notes were $0.4 million and $0.6 million, respectively.</w:t>
      </w:r>
    </w:p>
    <w:p>
      <w:pPr>
        <w:pStyle w:val="TextBody"/>
        <w:bidi w:val="0"/>
        <w:spacing w:before="0" w:after="240"/>
        <w:ind w:left="840" w:right="840" w:firstLine="360"/>
        <w:jc w:val="left"/>
        <w:rPr>
          <w:rFonts w:ascii="Times New Roman;Times;serif" w:hAnsi="Times New Roman;Times;serif"/>
          <w:i/>
          <w:sz w:val="20"/>
          <w:bdr w:val="single" w:sz="2" w:space="4" w:color="000000"/>
        </w:rPr>
      </w:pPr>
      <w:r>
        <w:rPr>
          <w:rFonts w:ascii="Times New Roman;Times;serif" w:hAnsi="Times New Roman;Times;serif"/>
          <w:i/>
          <w:sz w:val="20"/>
          <w:bdr w:val="single" w:sz="2" w:space="4" w:color="000000"/>
        </w:rPr>
        <w:t>April 2026 Notes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Aggregate costs in connection with the April 2026 Notes issuance were $0.4 million, and were capitalized and deferred. As of September 30, 2024 and December 31, 2023, unamortized deferred financing costs related to the April 2026 Notes were $0.2 million and $0.3 million, respectively.</w:t>
      </w:r>
    </w:p>
    <w:p>
      <w:pPr>
        <w:pStyle w:val="TextBody"/>
        <w:bidi w:val="0"/>
        <w:spacing w:before="0" w:after="240"/>
        <w:ind w:left="840" w:right="840" w:firstLine="360"/>
        <w:jc w:val="left"/>
        <w:rPr>
          <w:rFonts w:ascii="Times New Roman;Times;serif" w:hAnsi="Times New Roman;Times;serif"/>
          <w:b/>
          <w:i/>
          <w:sz w:val="20"/>
          <w:bdr w:val="single" w:sz="2" w:space="4" w:color="000000"/>
        </w:rPr>
      </w:pPr>
      <w:r>
        <w:rPr>
          <w:rFonts w:ascii="Times New Roman;Times;serif" w:hAnsi="Times New Roman;Times;serif"/>
          <w:b/>
          <w:i/>
          <w:sz w:val="20"/>
          <w:bdr w:val="single" w:sz="2" w:space="4" w:color="000000"/>
        </w:rPr>
        <w:t>2027 Notes</w:t>
      </w:r>
    </w:p>
    <w:p>
      <w:pPr>
        <w:pStyle w:val="TextBody"/>
        <w:bidi w:val="0"/>
        <w:spacing w:before="0" w:after="240"/>
        <w:ind w:left="840" w:right="840" w:firstLine="360"/>
        <w:jc w:val="left"/>
        <w:rPr>
          <w:rFonts w:ascii="Times New Roman;Times;serif" w:hAnsi="Times New Roman;Times;serif"/>
          <w:i/>
          <w:sz w:val="20"/>
          <w:bdr w:val="single" w:sz="2" w:space="4" w:color="000000"/>
        </w:rPr>
      </w:pPr>
      <w:r>
        <w:rPr>
          <w:rFonts w:ascii="Times New Roman;Times;serif" w:hAnsi="Times New Roman;Times;serif"/>
          <w:i/>
          <w:sz w:val="20"/>
          <w:bdr w:val="single" w:sz="2" w:space="4" w:color="000000"/>
        </w:rPr>
        <w:t>July 2027 Notes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Times;serif" w:hAnsi="Times New Roman;Times;serif"/>
          <w:i/>
          <w:sz w:val="20"/>
          <w:bdr w:val="single" w:sz="2" w:space="4" w:color="000000"/>
        </w:rPr>
        <w:t>pari passu</w:t>
      </w:r>
      <w:r>
        <w:rPr>
          <w:rFonts w:ascii="Times New Roman;Times;serif" w:hAnsi="Times New Roman;Times;serif"/>
          <w:sz w:val="20"/>
          <w:bdr w:val="single" w:sz="2" w:space="4" w:color="000000"/>
        </w:rPr>
        <w:t xml:space="preserve"> with the Company’s existing and future unsecured, unsubordinated indebtedness.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Aggregate costs in connection with the July 2027 Notes issuance, including the underwriter’s discount and commissions, were $2.7 million, and were capitalized and deferred. As of September 30, 2024 and December 31, 2023, unamortized deferred financing costs related to the July 2027 Notes were $1.5 million and $1.9 million, respectively.</w:t>
      </w:r>
    </w:p>
    <w:p>
      <w:pPr>
        <w:pStyle w:val="TextBody"/>
        <w:bidi w:val="0"/>
        <w:spacing w:before="0" w:after="240"/>
        <w:ind w:left="840" w:right="840" w:firstLine="360"/>
        <w:jc w:val="left"/>
        <w:rPr>
          <w:rFonts w:ascii="Times New Roman;Times;serif" w:hAnsi="Times New Roman;Times;serif"/>
          <w:i/>
          <w:sz w:val="20"/>
          <w:bdr w:val="single" w:sz="2" w:space="4" w:color="000000"/>
        </w:rPr>
      </w:pPr>
      <w:r>
        <w:rPr>
          <w:rFonts w:ascii="Times New Roman;Times;serif" w:hAnsi="Times New Roman;Times;serif"/>
          <w:i/>
          <w:sz w:val="20"/>
          <w:bdr w:val="single" w:sz="2" w:space="4" w:color="000000"/>
        </w:rPr>
        <w:t>August 2027 Notes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On August 31, 2022, the Company issued and sold a private debt offering of $20.0 million in aggregate principal amount of 7.00% interest-bearing unsecured Series 2022A Senior Notes due 2027 (the “August 2027 Notes”) to HCM Master Fund Limited.</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Times;serif" w:hAnsi="Times New Roman;Times;serif"/>
          <w:i/>
          <w:sz w:val="20"/>
          <w:bdr w:val="single" w:sz="2" w:space="4" w:color="000000"/>
        </w:rPr>
        <w:t xml:space="preserve">pari passu </w:t>
      </w:r>
      <w:r>
        <w:rPr>
          <w:rFonts w:ascii="Times New Roman;Times;serif" w:hAnsi="Times New Roman;Times;serif"/>
          <w:sz w:val="20"/>
          <w:bdr w:val="single" w:sz="2" w:space="4" w:color="000000"/>
        </w:rPr>
        <w:t>with all outstanding and future unsecured unsubordinated indebtedness issued by the Company.</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Aggregate costs in connection with the August 2027 Notes issuance were $0.7 million, and were capitalized and deferred. As of September 30, 2024 and December 31, 2023, unamortized deferred financing costs related to the August 2027 Notes were $0.4 million and $0.5 million, respectively.</w:t>
      </w:r>
    </w:p>
    <w:p>
      <w:pPr>
        <w:pStyle w:val="TextBody"/>
        <w:bidi w:val="0"/>
        <w:spacing w:before="0" w:after="240"/>
        <w:ind w:left="840" w:right="840" w:firstLine="360"/>
        <w:jc w:val="left"/>
        <w:rPr>
          <w:rFonts w:ascii="Times New Roman;Times;serif" w:hAnsi="Times New Roman;Times;serif"/>
          <w:i/>
          <w:sz w:val="20"/>
          <w:bdr w:val="single" w:sz="2" w:space="4" w:color="000000"/>
        </w:rPr>
      </w:pPr>
      <w:r>
        <w:rPr>
          <w:rFonts w:ascii="Times New Roman;Times;serif" w:hAnsi="Times New Roman;Times;serif"/>
          <w:i/>
          <w:sz w:val="20"/>
          <w:bdr w:val="single" w:sz="2" w:space="4" w:color="000000"/>
        </w:rPr>
        <w:t>December 2027 Notes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Times;serif" w:hAnsi="Times New Roman;Times;serif"/>
          <w:i/>
          <w:sz w:val="20"/>
          <w:bdr w:val="single" w:sz="2" w:space="4" w:color="000000"/>
        </w:rPr>
        <w:t>pari passu</w:t>
      </w:r>
      <w:r>
        <w:rPr>
          <w:rFonts w:ascii="Times New Roman;Times;serif" w:hAnsi="Times New Roman;Times;serif"/>
          <w:sz w:val="20"/>
          <w:bdr w:val="single" w:sz="2" w:space="4" w:color="000000"/>
        </w:rPr>
        <w:t xml:space="preserve"> with the Company’s existing and future unsecured, unsubordinated indebtedness.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Aggregate costs in connection with the December 2027 Notes issuance, including the underwriter’s discount and commissions, were $1.9 million, and were capitalized and deferred. As of September 30, 2024 and December 31, 2023, unamortized deferred financing costs related to the December 2027 Notes were $1.2 million and $1.5 million, respectively.</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sz w:val="20"/>
          <w:bdr w:val="single" w:sz="2" w:space="4" w:color="000000"/>
        </w:rPr>
      </w:pPr>
      <w:bookmarkStart w:id="71" w:name="FEESANDEXPENSES_40074"/>
      <w:bookmarkStart w:id="72" w:name="_36fce3d5_eadd_4158_9732_bb56cf372997"/>
      <w:bookmarkEnd w:id="71"/>
      <w:bookmarkEnd w:id="72"/>
      <w:r>
        <w:rPr>
          <w:rFonts w:ascii="Times New Roman;Times;serif" w:hAnsi="Times New Roman;Times;serif"/>
          <w:b/>
          <w:sz w:val="20"/>
          <w:bdr w:val="single" w:sz="2" w:space="4" w:color="000000"/>
        </w:rPr>
        <w:t>FEES AND EXPENSES</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p>
    <w:p>
      <w:pPr>
        <w:pStyle w:val="TextBody"/>
        <w:bidi w:val="0"/>
        <w:spacing w:before="0" w:after="0"/>
        <w:ind w:left="840" w:right="840" w:hanging="0"/>
        <w:jc w:val="left"/>
        <w:rPr>
          <w:bdr w:val="single" w:sz="2" w:space="4" w:color="000000"/>
        </w:rPr>
      </w:pPr>
      <w:bookmarkStart w:id="73" w:name="Tc_eWIhKKflY0ueQlQGpVnHKw_12_3"/>
      <w:bookmarkStart w:id="74" w:name="Tc_T9Itb1fW10WX3G37ASgnGg_12_0"/>
      <w:bookmarkStart w:id="75" w:name="Tc_0lstPewxI0GIKukBnZwH7A_11_3"/>
      <w:bookmarkStart w:id="76" w:name="Tc_WLkb4iVjT0SbVAyAFpDCdg_11_0"/>
      <w:bookmarkStart w:id="77" w:name="Tc_SnjR-antQ0ic5iA4FcKVNQ_10_3"/>
      <w:bookmarkStart w:id="78" w:name="Tc_U6Ax0bgqeUivtL1MT6shJg_10_0"/>
      <w:bookmarkStart w:id="79" w:name="Tc_viSJ-UvpWEamHwi78xENBw_9_3"/>
      <w:bookmarkStart w:id="80" w:name="Tc_s3jfa-AcAkG7ggMecBXa3w_9_0"/>
      <w:bookmarkStart w:id="81" w:name="Tc_GoBiy2TV1Uy1X2L2fzs8yg_8_3"/>
      <w:bookmarkStart w:id="82" w:name="Tc_s5FrYrU4FkSy_uGQbicDjQ_8_0"/>
      <w:bookmarkStart w:id="83" w:name="Tc_R3geyfY890CyGI5ZUsUjWw_7_0"/>
      <w:bookmarkStart w:id="84" w:name="Tc_jHkb1A6jHkCS5PUD4_mQhQ_6_3"/>
      <w:bookmarkStart w:id="85" w:name="Tc_yn5c_vMACkGCXk098rjCAA_6_2"/>
      <w:bookmarkStart w:id="86" w:name="Tc_T7mMPirZX02md1bIMBL41g_6_0"/>
      <w:bookmarkStart w:id="87" w:name="Tc_hqOitAp2l0qGkxS16RCG6Q_5_3"/>
      <w:bookmarkStart w:id="88" w:name="Tc_g_Vg804OM0O0d9mhHPCgQQ_5_0"/>
      <w:bookmarkStart w:id="89" w:name="Tc_i2b1Ov5dEEiqdHG7HAMzug_4_3"/>
      <w:bookmarkStart w:id="90" w:name="Tc_praMi8D10kqg2aebwEed2Q_4_0"/>
      <w:bookmarkStart w:id="91" w:name="Tc_5O7kYLk5C0-cgvWPVhVPXw_3_3"/>
      <w:bookmarkStart w:id="92" w:name="Tc_fsxDyBJ1-E-p3E8lGOQ58g_3_0"/>
      <w:bookmarkStart w:id="93" w:name="Tc_FePU2Ij430iOopuCGN9gGg_2_0"/>
      <w:bookmarkStart w:id="94" w:name="Tc_YmoGyitCEUaB2WR8n92Vgg_1_2"/>
      <w:bookmarkStart w:id="95" w:name="_3245f0bd_d196_4679_8d6b_f63965b7f066"/>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bdr w:val="single" w:sz="2" w:space="4" w:color="000000"/>
        </w:rPr>
        <w:t>​</w:t>
      </w:r>
    </w:p>
    <w:tbl>
      <w:tblPr>
        <w:tblW w:w="8209" w:type="dxa"/>
        <w:jc w:val="left"/>
        <w:tblInd w:w="840" w:type="dxa"/>
        <w:tblLayout w:type="fixed"/>
        <w:tblCellMar>
          <w:top w:w="0" w:type="dxa"/>
          <w:left w:w="0" w:type="dxa"/>
          <w:bottom w:w="0" w:type="dxa"/>
          <w:right w:w="0" w:type="dxa"/>
        </w:tblCellMar>
      </w:tblPr>
      <w:tblGrid>
        <w:gridCol w:w="6601"/>
        <w:gridCol w:w="346"/>
        <w:gridCol w:w="571"/>
        <w:gridCol w:w="691"/>
      </w:tblGrid>
      <w:tr>
        <w:trPr/>
        <w:tc>
          <w:tcPr>
            <w:tcW w:w="6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r>
      <w:tr>
        <w:trPr/>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191635" cy="175260"/>
                      <wp:effectExtent l="0" t="0" r="0" b="0"/>
                      <wp:wrapNone/>
                      <wp:docPr id="69" name="Frame67"/>
                      <a:graphic xmlns:a="http://schemas.openxmlformats.org/drawingml/2006/main">
                        <a:graphicData uri="http://schemas.microsoft.com/office/word/2010/wordprocessingShape">
                          <wps:wsp>
                            <wps:cNvSpPr txBox="1"/>
                            <wps:spPr>
                              <a:xfrm>
                                <a:off x="0" y="0"/>
                                <a:ext cx="419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91" w:type="dxa"/>
            <w:tcBorders/>
            <w:vAlign w:val="center"/>
          </w:tcPr>
          <w:p>
            <w:pPr>
              <w:pStyle w:val="TableContents"/>
              <w:bidi w:val="0"/>
              <w:spacing w:before="0" w:after="1"/>
              <w:ind w:left="0" w:right="0" w:hanging="0"/>
              <w:jc w:val="left"/>
              <w:rPr/>
            </w:pPr>
            <w:r>
              <w:rPr/>
              <w:t>​</w:t>
            </w:r>
          </w:p>
        </w:tc>
      </w:tr>
      <w:tr>
        <w:trPr/>
        <w:tc>
          <w:tcPr>
            <w:tcW w:w="6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 transaction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6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load (as a percentage of offering price)</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6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(1)</w:t>
            </w:r>
          </w:p>
        </w:tc>
      </w:tr>
      <w:tr>
        <w:trPr/>
        <w:tc>
          <w:tcPr>
            <w:tcW w:w="6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Offering expenses (as a percentage of offering price)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6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(2)</w:t>
            </w:r>
          </w:p>
        </w:tc>
      </w:tr>
      <w:tr>
        <w:trPr/>
        <w:tc>
          <w:tcPr>
            <w:tcW w:w="6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reinvestment plan expenses</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6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(3)</w:t>
            </w:r>
          </w:p>
        </w:tc>
      </w:tr>
      <w:tr>
        <w:trPr/>
        <w:tc>
          <w:tcPr>
            <w:tcW w:w="6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 transaction expenses (as a percentage of offering price)</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Annual expenses (as a percentage of net assets attributable to common stock):</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6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Management Fee payable under the Advisory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6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(4)(8)</w:t>
            </w:r>
          </w:p>
        </w:tc>
      </w:tr>
      <w:tr>
        <w:trPr/>
        <w:tc>
          <w:tcPr>
            <w:tcW w:w="6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Incentive Fee payable under the Advisory Agreement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6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(5) (8)</w:t>
            </w:r>
          </w:p>
        </w:tc>
      </w:tr>
      <w:tr>
        <w:trPr/>
        <w:tc>
          <w:tcPr>
            <w:tcW w:w="6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payments and fees paid on borrowed funds</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w:t>
            </w:r>
          </w:p>
        </w:tc>
        <w:tc>
          <w:tcPr>
            <w:tcW w:w="6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(6) (8)</w:t>
            </w:r>
          </w:p>
        </w:tc>
      </w:tr>
      <w:tr>
        <w:trPr/>
        <w:tc>
          <w:tcPr>
            <w:tcW w:w="6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6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(7)(8)</w:t>
            </w:r>
          </w:p>
        </w:tc>
      </w:tr>
      <w:tr>
        <w:trPr/>
        <w:tc>
          <w:tcPr>
            <w:tcW w:w="6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annual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525" w:type="dxa"/>
        <w:jc w:val="left"/>
        <w:tblInd w:w="840" w:type="dxa"/>
        <w:tblLayout w:type="fixed"/>
        <w:tblCellMar>
          <w:top w:w="0" w:type="dxa"/>
          <w:left w:w="0" w:type="dxa"/>
          <w:bottom w:w="0" w:type="dxa"/>
          <w:right w:w="0" w:type="dxa"/>
        </w:tblCellMar>
      </w:tblPr>
      <w:tblGrid>
        <w:gridCol w:w="317"/>
        <w:gridCol w:w="8208"/>
      </w:tblGrid>
      <w:tr>
        <w:trPr/>
        <w:tc>
          <w:tcPr>
            <w:tcW w:w="31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820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the securities are sold to or through underwriters, a related prospectus supplement will disclose the applicable sales load (underwriting discount or commission).</w:t>
            </w:r>
          </w:p>
        </w:tc>
      </w:tr>
    </w:tbl>
    <w:tbl>
      <w:tblPr>
        <w:tblW w:w="8525" w:type="dxa"/>
        <w:jc w:val="left"/>
        <w:tblInd w:w="840" w:type="dxa"/>
        <w:tblLayout w:type="fixed"/>
        <w:tblCellMar>
          <w:top w:w="0" w:type="dxa"/>
          <w:left w:w="0" w:type="dxa"/>
          <w:bottom w:w="0" w:type="dxa"/>
          <w:right w:w="0" w:type="dxa"/>
        </w:tblCellMar>
      </w:tblPr>
      <w:tblGrid>
        <w:gridCol w:w="312"/>
        <w:gridCol w:w="8213"/>
      </w:tblGrid>
      <w:tr>
        <w:trPr/>
        <w:tc>
          <w:tcPr>
            <w:tcW w:w="3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821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related prospectus supplement will disclose the estimated amount of offering expenses, the offering price and the estimated amount of offering expenses borne by the Company as a percentage of the offering price.</w:t>
            </w:r>
          </w:p>
        </w:tc>
      </w:tr>
    </w:tbl>
    <w:tbl>
      <w:tblPr>
        <w:tblW w:w="8525" w:type="dxa"/>
        <w:jc w:val="left"/>
        <w:tblInd w:w="840" w:type="dxa"/>
        <w:tblLayout w:type="fixed"/>
        <w:tblCellMar>
          <w:top w:w="0" w:type="dxa"/>
          <w:left w:w="0" w:type="dxa"/>
          <w:bottom w:w="0" w:type="dxa"/>
          <w:right w:w="0" w:type="dxa"/>
        </w:tblCellMar>
      </w:tblPr>
      <w:tblGrid>
        <w:gridCol w:w="320"/>
        <w:gridCol w:w="820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82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expenses of the dividend reinvestment plan are included in “other expenses” in the table above. For additional information, see “</w:t>
            </w:r>
            <w:r>
              <w:rPr>
                <w:rFonts w:ascii="Times New Roman;Times;serif" w:hAnsi="Times New Roman;Times;serif"/>
                <w:i/>
                <w:sz w:val="20"/>
              </w:rPr>
              <w:t>Dividend Reinvestment Plan</w:t>
            </w:r>
            <w:r>
              <w:rPr>
                <w:rFonts w:ascii="Times New Roman;Times;serif" w:hAnsi="Times New Roman;Times;serif"/>
                <w:sz w:val="20"/>
              </w:rPr>
              <w:t>.”</w:t>
            </w:r>
          </w:p>
        </w:tc>
      </w:tr>
    </w:tbl>
    <w:tbl>
      <w:tblPr>
        <w:tblW w:w="8525" w:type="dxa"/>
        <w:jc w:val="left"/>
        <w:tblInd w:w="840" w:type="dxa"/>
        <w:tblLayout w:type="fixed"/>
        <w:tblCellMar>
          <w:top w:w="0" w:type="dxa"/>
          <w:left w:w="0" w:type="dxa"/>
          <w:bottom w:w="0" w:type="dxa"/>
          <w:right w:w="0" w:type="dxa"/>
        </w:tblCellMar>
      </w:tblPr>
      <w:tblGrid>
        <w:gridCol w:w="311"/>
        <w:gridCol w:w="8214"/>
      </w:tblGrid>
      <w:tr>
        <w:trPr/>
        <w:tc>
          <w:tcPr>
            <w:tcW w:w="3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82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Assumes the base management fee will be an amount equal to 0.375% (1.50% annualized) of our average daily Gross Assets during the most recently completed calendar quarter. See “</w:t>
            </w:r>
            <w:r>
              <w:rPr>
                <w:rFonts w:ascii="Times New Roman;Times;serif" w:hAnsi="Times New Roman;Times;serif"/>
                <w:i/>
                <w:sz w:val="20"/>
              </w:rPr>
              <w:t>Management and Other Agreements</w:t>
            </w:r>
            <w:r>
              <w:rPr>
                <w:rFonts w:ascii="Times New Roman;Times;serif" w:hAnsi="Times New Roman;Times;serif"/>
                <w:sz w:val="20"/>
              </w:rPr>
              <w:t>.”</w:t>
            </w:r>
          </w:p>
        </w:tc>
      </w:tr>
    </w:tbl>
    <w:tbl>
      <w:tblPr>
        <w:tblW w:w="8525" w:type="dxa"/>
        <w:jc w:val="left"/>
        <w:tblInd w:w="840" w:type="dxa"/>
        <w:tblLayout w:type="fixed"/>
        <w:tblCellMar>
          <w:top w:w="0" w:type="dxa"/>
          <w:left w:w="0" w:type="dxa"/>
          <w:bottom w:w="0" w:type="dxa"/>
          <w:right w:w="0" w:type="dxa"/>
        </w:tblCellMar>
      </w:tblPr>
      <w:tblGrid>
        <w:gridCol w:w="315"/>
        <w:gridCol w:w="8210"/>
      </w:tblGrid>
      <w:tr>
        <w:trPr/>
        <w:tc>
          <w:tcPr>
            <w:tcW w:w="3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incentive fee, which provides Runway Growth Capital with a share of the income that Runway Growth Capital generates for us, consists of an Investment Income Fee and a Capital Gains Fee.</w:t>
            </w:r>
          </w:p>
        </w:tc>
      </w:tr>
    </w:tbl>
    <w:p>
      <w:pPr>
        <w:pStyle w:val="TextBody"/>
        <w:bidi w:val="0"/>
        <w:spacing w:before="0" w:after="240"/>
        <w:ind w:left="1200" w:right="840" w:hanging="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Under the Income Incentive Fee, we pay Runway Growth Capital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Runway Growth Capital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Runway Growth Capital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Runway Growth Capital (once the hurdle is reached and the catch-up is achieved, 20.0% of all Pre-Incentive Fee net investment income thereafter is allocated to Runway Growth Capital).</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00" w:right="840" w:hanging="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Under the Capital Gains Fee, we will pay Runway Growth Capital,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w:t>
      </w:r>
      <w:r>
        <w:rPr>
          <w:rFonts w:ascii="Times New Roman;Times;serif" w:hAnsi="Times New Roman;Times;serif"/>
          <w:i/>
          <w:sz w:val="20"/>
          <w:bdr w:val="single" w:sz="2" w:space="4" w:color="000000"/>
        </w:rPr>
        <w:t>Management and Other Agreements</w:t>
      </w:r>
      <w:r>
        <w:rPr>
          <w:rFonts w:ascii="Times New Roman;Times;serif" w:hAnsi="Times New Roman;Times;serif"/>
          <w:sz w:val="20"/>
          <w:bdr w:val="single" w:sz="2" w:space="4" w:color="000000"/>
        </w:rPr>
        <w:t>.”</w:t>
      </w:r>
    </w:p>
    <w:tbl>
      <w:tblPr>
        <w:tblW w:w="8525" w:type="dxa"/>
        <w:jc w:val="left"/>
        <w:tblInd w:w="840" w:type="dxa"/>
        <w:tblLayout w:type="fixed"/>
        <w:tblCellMar>
          <w:top w:w="0" w:type="dxa"/>
          <w:left w:w="0" w:type="dxa"/>
          <w:bottom w:w="0" w:type="dxa"/>
          <w:right w:w="0" w:type="dxa"/>
        </w:tblCellMar>
      </w:tblPr>
      <w:tblGrid>
        <w:gridCol w:w="293"/>
        <w:gridCol w:w="8232"/>
      </w:tblGrid>
      <w:tr>
        <w:trPr/>
        <w:tc>
          <w:tcPr>
            <w:tcW w:w="2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82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Interest payments on borrowed funds represents an estimate of our annualized interest expense based on borrowings under the Credit Agreement and the 2026 Notes and 2027 Notes. The assumed weighted average interest rate on our total debt outstanding was 7.41%. Assumes we have on average $362 million outstanding under the Credit Agreement and average $240 million in aggregate principal amount of the 2026 Notes and 2027 Notes outstanding. We may borrow additional funds from time to time to make investments to the extent we determine that the economic situation is conducive to doing so. We may also issue additional debt securities or preferred stock, subject to our compliance with applicable requirements under the 1940 Act.</w:t>
            </w:r>
          </w:p>
        </w:tc>
      </w:tr>
    </w:tbl>
    <w:tbl>
      <w:tblPr>
        <w:tblW w:w="8525" w:type="dxa"/>
        <w:jc w:val="left"/>
        <w:tblInd w:w="840" w:type="dxa"/>
        <w:tblLayout w:type="fixed"/>
        <w:tblCellMar>
          <w:top w:w="0" w:type="dxa"/>
          <w:left w:w="0" w:type="dxa"/>
          <w:bottom w:w="0" w:type="dxa"/>
          <w:right w:w="0" w:type="dxa"/>
        </w:tblCellMar>
      </w:tblPr>
      <w:tblGrid>
        <w:gridCol w:w="307"/>
        <w:gridCol w:w="8218"/>
      </w:tblGrid>
      <w:tr>
        <w:trPr/>
        <w:tc>
          <w:tcPr>
            <w:tcW w:w="3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821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Includes our overhead expenses, such as payments under the Administration Agreement for certain expenses incurred by the Adviser. See “</w:t>
            </w:r>
            <w:r>
              <w:rPr>
                <w:rFonts w:ascii="Times New Roman;Times;serif" w:hAnsi="Times New Roman;Times;serif"/>
                <w:i/>
                <w:sz w:val="20"/>
              </w:rPr>
              <w:t>Management and Other Agreements.”</w:t>
            </w:r>
            <w:r>
              <w:rPr>
                <w:rFonts w:ascii="Times New Roman;Times;serif" w:hAnsi="Times New Roman;Times;serif"/>
                <w:sz w:val="20"/>
              </w:rPr>
              <w:t xml:space="preserve"> We based these expenses on estimated amounts for the current fiscal year.</w:t>
            </w:r>
          </w:p>
        </w:tc>
      </w:tr>
    </w:tbl>
    <w:tbl>
      <w:tblPr>
        <w:tblW w:w="1352" w:type="dxa"/>
        <w:jc w:val="left"/>
        <w:tblInd w:w="840" w:type="dxa"/>
        <w:tblLayout w:type="fixed"/>
        <w:tblCellMar>
          <w:top w:w="0" w:type="dxa"/>
          <w:left w:w="0" w:type="dxa"/>
          <w:bottom w:w="0" w:type="dxa"/>
          <w:right w:w="0" w:type="dxa"/>
        </w:tblCellMar>
      </w:tblPr>
      <w:tblGrid>
        <w:gridCol w:w="346"/>
        <w:gridCol w:w="1006"/>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10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Estimated.</w:t>
            </w:r>
          </w:p>
        </w:tc>
      </w:tr>
    </w:tbl>
    <w:p>
      <w:pPr>
        <w:pStyle w:val="TextBody"/>
        <w:bidi w:val="0"/>
        <w:spacing w:before="0" w:after="240"/>
        <w:ind w:left="840" w:right="840" w:firstLine="360"/>
        <w:jc w:val="left"/>
        <w:rPr>
          <w:rFonts w:ascii="Times New Roman;Times;serif" w:hAnsi="Times New Roman;Times;serif"/>
          <w:b/>
          <w:sz w:val="20"/>
          <w:bdr w:val="single" w:sz="2" w:space="4" w:color="000000"/>
        </w:rPr>
      </w:pPr>
      <w:r>
        <w:rPr>
          <w:rFonts w:ascii="Times New Roman;Times;serif" w:hAnsi="Times New Roman;Times;serif"/>
          <w:b/>
          <w:sz w:val="20"/>
          <w:bdr w:val="single" w:sz="2" w:space="4" w:color="000000"/>
        </w:rPr>
        <w:t>Example</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p>
      <w:pPr>
        <w:pStyle w:val="TextBody"/>
        <w:bidi w:val="0"/>
        <w:spacing w:before="0" w:after="0"/>
        <w:ind w:left="840" w:right="840" w:hanging="0"/>
        <w:jc w:val="left"/>
        <w:rPr>
          <w:bdr w:val="single" w:sz="2" w:space="4" w:color="000000"/>
        </w:rPr>
      </w:pPr>
      <w:bookmarkStart w:id="96" w:name="Tc_8ClWVwaRaU2Y5ndPHJ-Q0w_2_11"/>
      <w:bookmarkStart w:id="97" w:name="Tc_DdkSni3Wx0yVzLSW21WLmg_2_8"/>
      <w:bookmarkStart w:id="98" w:name="Tc_kmQNhJHd5EKCuW38sEJxFg_2_5"/>
      <w:bookmarkStart w:id="99" w:name="Tc_TlnGAclwA0apf4CX12OehA_2_2"/>
      <w:bookmarkStart w:id="100" w:name="Tc_-YyYp72AEEyJUXIaF_sNkg_2_0"/>
      <w:bookmarkStart w:id="101" w:name="Tc_Dai4Bd_Y-UKw_9yymJPR5Q_1_11"/>
      <w:bookmarkStart w:id="102" w:name="Tc_tl0Slo7mo0CnFj8gRDkNbg_1_8"/>
      <w:bookmarkStart w:id="103" w:name="Tc_b8RTNizvZke4wATs5BZNJQ_1_5"/>
      <w:bookmarkStart w:id="104" w:name="Tc_GW9Dnm0njkK4zaXGqDJARA_1_2"/>
      <w:bookmarkEnd w:id="96"/>
      <w:bookmarkEnd w:id="97"/>
      <w:bookmarkEnd w:id="98"/>
      <w:bookmarkEnd w:id="99"/>
      <w:bookmarkEnd w:id="100"/>
      <w:bookmarkEnd w:id="101"/>
      <w:bookmarkEnd w:id="102"/>
      <w:bookmarkEnd w:id="103"/>
      <w:bookmarkEnd w:id="104"/>
      <w:r>
        <w:rPr>
          <w:bdr w:val="single" w:sz="2" w:space="4" w:color="000000"/>
        </w:rPr>
        <w:t>​</w:t>
      </w:r>
    </w:p>
    <w:tbl>
      <w:tblPr>
        <w:tblW w:w="8525" w:type="dxa"/>
        <w:jc w:val="left"/>
        <w:tblInd w:w="840" w:type="dxa"/>
        <w:tblLayout w:type="fixed"/>
        <w:tblCellMar>
          <w:top w:w="0" w:type="dxa"/>
          <w:left w:w="0" w:type="dxa"/>
          <w:bottom w:w="0" w:type="dxa"/>
          <w:right w:w="0" w:type="dxa"/>
        </w:tblCellMar>
      </w:tblPr>
      <w:tblGrid>
        <w:gridCol w:w="4358"/>
        <w:gridCol w:w="346"/>
        <w:gridCol w:w="211"/>
        <w:gridCol w:w="421"/>
        <w:gridCol w:w="346"/>
        <w:gridCol w:w="211"/>
        <w:gridCol w:w="421"/>
        <w:gridCol w:w="346"/>
        <w:gridCol w:w="211"/>
        <w:gridCol w:w="421"/>
        <w:gridCol w:w="346"/>
        <w:gridCol w:w="211"/>
        <w:gridCol w:w="676"/>
      </w:tblGrid>
      <w:tr>
        <w:trPr/>
        <w:tc>
          <w:tcPr>
            <w:tcW w:w="43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4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767330" cy="175260"/>
                      <wp:effectExtent l="0" t="0" r="0" b="0"/>
                      <wp:wrapNone/>
                      <wp:docPr id="73" name="Frame71"/>
                      <a:graphic xmlns:a="http://schemas.openxmlformats.org/drawingml/2006/main">
                        <a:graphicData uri="http://schemas.microsoft.com/office/word/2010/wordprocessingShape">
                          <wps:wsp>
                            <wps:cNvSpPr txBox="1"/>
                            <wps:spPr>
                              <a:xfrm>
                                <a:off x="0" y="0"/>
                                <a:ext cx="276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67335" cy="175260"/>
                      <wp:effectExtent l="0" t="0" r="0" b="0"/>
                      <wp:wrapNone/>
                      <wp:docPr id="76" name="Frame7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67335" cy="175260"/>
                      <wp:effectExtent l="0" t="0" r="0" b="0"/>
                      <wp:wrapNone/>
                      <wp:docPr id="79" name="Frame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67335" cy="175260"/>
                      <wp:effectExtent l="0" t="0" r="0" b="0"/>
                      <wp:wrapNone/>
                      <wp:docPr id="82" name="Frame8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9260" cy="175260"/>
                      <wp:effectExtent l="0" t="0" r="0" b="0"/>
                      <wp:wrapNone/>
                      <wp:docPr id="85" name="Frame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 years</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10 years</w:t>
            </w:r>
          </w:p>
        </w:tc>
      </w:tr>
      <w:tr>
        <w:trPr/>
        <w:tc>
          <w:tcPr>
            <w:tcW w:w="43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You would pay the following expenses on a $1,000 investment, assuming a 5% annual return from realized capital gains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1,026</w:t>
            </w:r>
          </w:p>
        </w:tc>
      </w:tr>
    </w:tbl>
    <w:p>
      <w:pPr>
        <w:pStyle w:val="TextBody"/>
        <w:bidi w:val="0"/>
        <w:spacing w:before="0" w:after="240"/>
        <w:ind w:left="840" w:right="840" w:firstLine="360"/>
        <w:jc w:val="both"/>
        <w:rPr>
          <w:bdr w:val="single" w:sz="2" w:space="4" w:color="000000"/>
        </w:rPr>
      </w:pPr>
      <w:r>
        <w:rPr>
          <w:bdr w:val="single" w:sz="2" w:space="4" w:color="000000"/>
        </w:rPr>
        <w:t>​</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Times New Roman;Times;serif" w:hAnsi="Times New Roman;Times;serif"/>
          <w:i/>
          <w:sz w:val="20"/>
          <w:bdr w:val="single" w:sz="2" w:space="4" w:color="000000"/>
        </w:rPr>
        <w:t>Dividend Reinvestment Plan”</w:t>
      </w:r>
      <w:r>
        <w:rPr>
          <w:rFonts w:ascii="Times New Roman;Times;serif" w:hAnsi="Times New Roman;Times;serif"/>
          <w:sz w:val="20"/>
          <w:bdr w:val="single" w:sz="2" w:space="4" w:color="000000"/>
        </w:rPr>
        <w:t xml:space="preserve"> for additional information regarding our dividend reinvestment plan.</w:t>
      </w:r>
    </w:p>
    <w:p>
      <w:pPr>
        <w:pStyle w:val="TextBody"/>
        <w:bidi w:val="0"/>
        <w:spacing w:before="0" w:after="240"/>
        <w:ind w:left="840" w:right="840" w:firstLine="360"/>
        <w:jc w:val="left"/>
        <w:rPr>
          <w:rFonts w:ascii="Times New Roman;Times;serif" w:hAnsi="Times New Roman;Times;serif"/>
          <w:sz w:val="20"/>
          <w:bdr w:val="single" w:sz="2" w:space="4" w:color="000000"/>
        </w:rPr>
      </w:pPr>
      <w:r>
        <w:rPr>
          <w:rFonts w:ascii="Times New Roman;Times;serif" w:hAnsi="Times New Roman;Times;serif"/>
          <w:sz w:val="20"/>
          <w:bdr w:val="single" w:sz="2" w:space="4"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ind w:left="840" w:right="840" w:firstLine="36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sz w:val="20"/>
          <w:bdr w:val="single" w:sz="2" w:space="4" w:color="000000"/>
        </w:rPr>
      </w:pPr>
      <w:bookmarkStart w:id="105" w:name="FINANCIALHIGHLIGHTS_619969"/>
      <w:bookmarkStart w:id="106" w:name="_82a20818_38da_4362_b5e1_1328ccc5a780"/>
      <w:bookmarkEnd w:id="105"/>
      <w:bookmarkEnd w:id="106"/>
      <w:r>
        <w:rPr>
          <w:rFonts w:ascii="Times New Roman;Times;serif" w:hAnsi="Times New Roman;Times;serif"/>
          <w:b/>
          <w:sz w:val="20"/>
          <w:bdr w:val="single" w:sz="2" w:space="4" w:color="000000"/>
        </w:rPr>
        <w:t>FINANCIAL HIGHLIGHTS</w:t>
      </w:r>
    </w:p>
    <w:p>
      <w:pPr>
        <w:pStyle w:val="TextBody"/>
        <w:bidi w:val="0"/>
        <w:spacing w:before="0" w:after="240"/>
        <w:ind w:left="840" w:right="840" w:firstLine="360"/>
        <w:jc w:val="left"/>
        <w:rPr/>
      </w:pPr>
      <w:r>
        <w:rPr>
          <w:rFonts w:ascii="Times New Roman;Times;serif" w:hAnsi="Times New Roman;Times;serif"/>
          <w:sz w:val="20"/>
        </w:rPr>
        <w:t xml:space="preserve">Information regarding our financial highlights is incorporated by reference herein from our most recent </w:t>
      </w:r>
      <w:hyperlink r:id="rId32">
        <w:r>
          <w:rPr>
            <w:rStyle w:val="InternetLink"/>
            <w:rFonts w:ascii="Times New Roman;Times;serif" w:hAnsi="Times New Roman;Times;serif"/>
            <w:b w:val="false"/>
            <w:i w:val="false"/>
            <w:caps w:val="false"/>
            <w:smallCaps w:val="false"/>
            <w:sz w:val="20"/>
          </w:rPr>
          <w:t>Annual Report on Form 10-K</w:t>
        </w:r>
      </w:hyperlink>
      <w:r>
        <w:rPr>
          <w:rFonts w:ascii="Times New Roman;Times;serif" w:hAnsi="Times New Roman;Times;serif"/>
          <w:sz w:val="20"/>
        </w:rPr>
        <w:t xml:space="preserve"> and our most recent </w:t>
      </w:r>
      <w:hyperlink r:id="rId33">
        <w:r>
          <w:rPr>
            <w:rStyle w:val="InternetLink"/>
            <w:rFonts w:ascii="Times New Roman;Times;serif" w:hAnsi="Times New Roman;Times;serif"/>
            <w:b w:val="false"/>
            <w:i w:val="false"/>
            <w:caps w:val="false"/>
            <w:smallCaps w:val="false"/>
            <w:sz w:val="20"/>
          </w:rPr>
          <w:t>Quarterly Report on Form 10-Q</w:t>
        </w:r>
      </w:hyperlink>
      <w:r>
        <w:rPr>
          <w:rFonts w:ascii="Times New Roman;Times;serif" w:hAnsi="Times New Roman;Times;serif"/>
          <w:sz w:val="2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0" w:after="240"/>
        <w:ind w:left="840" w:right="840" w:firstLine="36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sz w:val="20"/>
          <w:bdr w:val="single" w:sz="2" w:space="4" w:color="000000"/>
        </w:rPr>
      </w:pPr>
      <w:bookmarkStart w:id="107" w:name="SELECTEDFINANCIALINFORMATIONANDOTHERDATA"/>
      <w:bookmarkStart w:id="108" w:name="_bd9eb33d_0937_495d_832f_adc3735eca86"/>
      <w:bookmarkEnd w:id="107"/>
      <w:bookmarkEnd w:id="108"/>
      <w:r>
        <w:rPr>
          <w:rFonts w:ascii="Times New Roman;Times;serif" w:hAnsi="Times New Roman;Times;serif"/>
          <w:b/>
          <w:sz w:val="20"/>
          <w:bdr w:val="single" w:sz="2" w:space="4" w:color="000000"/>
        </w:rPr>
        <w:t>SELECTED FINANCIAL INFORMATION AND OTHER DATA</w:t>
      </w:r>
    </w:p>
    <w:p>
      <w:pPr>
        <w:pStyle w:val="TextBody"/>
        <w:bidi w:val="0"/>
        <w:spacing w:before="0" w:after="240"/>
        <w:ind w:left="840" w:right="840" w:firstLine="360"/>
        <w:jc w:val="left"/>
        <w:rPr/>
      </w:pPr>
      <w:r>
        <w:rPr>
          <w:rFonts w:ascii="Times New Roman;Times;serif" w:hAnsi="Times New Roman;Times;serif"/>
          <w:sz w:val="20"/>
        </w:rPr>
        <w:t>The information in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"item8financialstatementsandsupplementary"</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Item 8. Consolidated Financial Statements and Supplementary Data</w:t>
      </w:r>
      <w:r>
        <w:rPr>
          <w:rStyle w:val="InternetLink"/>
          <w:sz w:val="20"/>
          <w:i/>
          <w:b w:val="false"/>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"https://www.sec.gov/Archives/edgar/data/1653384/000095017024027913/rway-20231231.htm" \l "item8financialstatementsandsupplementary"</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including the financial notes related thereto, of our most recent Annual Report on Form 10-K, and in “</w:t>
      </w:r>
      <w:r>
        <w:fldChar w:fldCharType="begin"/>
      </w:r>
      <w:r>
        <w:rPr>
          <w:rStyle w:val="InternetLink"/>
          <w:sz w:val="20"/>
          <w:i/>
          <w:b w:val="false"/>
          <w:rFonts w:ascii="Times New Roman;Times;serif" w:hAnsi="Times New Roman;Times;serif"/>
        </w:rPr>
        <w:instrText xml:space="preserve"> HYPERLINK "https://www.sec.gov/Archives/edgar/data/1653384/000095017024125299/rway-20240930.htm" \l "statementsofassetsandliabilities_107261"</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Item 1. Consolidated Statements of Assets and Liabilities</w:t>
      </w:r>
      <w:r>
        <w:rPr>
          <w:rStyle w:val="InternetLink"/>
          <w:sz w:val="20"/>
          <w:i/>
          <w:b w:val="false"/>
          <w:rFonts w:ascii="Times New Roman;Times;serif" w:hAnsi="Times New Roman;Times;serif"/>
        </w:rPr>
        <w:fldChar w:fldCharType="end"/>
      </w:r>
      <w:r>
        <w:rPr>
          <w:rFonts w:ascii="Times New Roman;Times;serif" w:hAnsi="Times New Roman;Times;serif"/>
          <w:sz w:val="20"/>
        </w:rPr>
        <w:t>” and “</w:t>
      </w:r>
      <w:r>
        <w:fldChar w:fldCharType="begin"/>
      </w:r>
      <w:r>
        <w:rPr>
          <w:rStyle w:val="InternetLink"/>
          <w:sz w:val="20"/>
          <w:i/>
          <w:b w:val="false"/>
          <w:rFonts w:ascii="Times New Roman;Times;serif" w:hAnsi="Times New Roman;Times;serif"/>
        </w:rPr>
        <w:instrText xml:space="preserve"> HYPERLINK "https://www.sec.gov/Archives/edgar/data/1653384/000095017024125299/rway-20240930.htm" \l "statementsofoperations"</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Item 1. Consolidated Statements of Operations</w:t>
      </w:r>
      <w:r>
        <w:rPr>
          <w:rStyle w:val="InternetLink"/>
          <w:sz w:val="20"/>
          <w:i/>
          <w:b w:val="false"/>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"https://www.sec.gov/Archives/edgar/data/1653384/000095017024125299/rway-20240930.htm" \l "statementsofoperations"</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including the financial notes related thereto, of our most recent Quarterly Report on Form 10-Q are incorporated by reference herein.</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0" w:after="0"/>
        <w:ind w:left="840" w:right="840" w:hanging="0"/>
        <w:jc w:val="left"/>
        <w:rPr>
          <w:bdr w:val="single" w:sz="2" w:space="4" w:color="000000"/>
        </w:rPr>
      </w:pPr>
      <w:r>
        <w:rPr>
          <w:bdr w:val="single" w:sz="2" w:space="4"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09" w:name="RISKFACTORS_658759"/>
      <w:bookmarkStart w:id="110" w:name="_99ffdcd8_7d35_4f67_8156_229c206cec31"/>
      <w:bookmarkEnd w:id="109"/>
      <w:bookmarkEnd w:id="110"/>
      <w:r>
        <w:rPr>
          <w:rFonts w:ascii="Times New Roman;Times;serif" w:hAnsi="Times New Roman;Times;serif"/>
          <w:b/>
          <w:sz w:val="20"/>
        </w:rPr>
        <w:t>RISK FACTORS</w:t>
      </w:r>
    </w:p>
    <w:p>
      <w:pPr>
        <w:pStyle w:val="TextBody"/>
        <w:bidi w:val="0"/>
        <w:spacing w:before="0" w:after="240"/>
        <w:ind w:left="200" w:right="200" w:firstLine="360"/>
        <w:jc w:val="left"/>
        <w:rPr/>
      </w:pPr>
      <w:r>
        <w:rPr>
          <w:rFonts w:ascii="Times New Roman;Times;serif" w:hAnsi="Times New Roman;Times;serif"/>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"item1ariskfactors_767097"</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 Item IA. Risk Factors</w:t>
      </w:r>
      <w:r>
        <w:rPr>
          <w:rStyle w:val="InternetLink"/>
          <w:sz w:val="20"/>
          <w:i/>
          <w:b w:val="false"/>
          <w:rFonts w:ascii="Times New Roman;Times;serif" w:hAnsi="Times New Roman;Times;serif"/>
        </w:rPr>
        <w:fldChar w:fldCharType="end"/>
      </w:r>
      <w:r>
        <w:rPr>
          <w:rFonts w:ascii="Times New Roman;Times;serif" w:hAnsi="Times New Roman;Times;serif"/>
          <w:sz w:val="20"/>
        </w:rPr>
        <w:t>” in our most recent Annual Report on Form 10-K, which is incorporated by reference herein in their entirety, “</w:t>
      </w:r>
      <w:r>
        <w:fldChar w:fldCharType="begin"/>
      </w:r>
      <w:r>
        <w:rPr>
          <w:rStyle w:val="InternetLink"/>
          <w:sz w:val="20"/>
          <w:i/>
          <w:b w:val="false"/>
          <w:rFonts w:ascii="Times New Roman;Times;serif" w:hAnsi="Times New Roman;Times;serif"/>
        </w:rPr>
        <w:instrText xml:space="preserve"> HYPERLINK "https://www.sec.gov/Archives/edgar/data/1653384/000095017024125299/rway-20240930.htm" \l "item1legalproceedings_844818"</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II, Item 1A. Risk Factors</w:t>
      </w:r>
      <w:r>
        <w:rPr>
          <w:rStyle w:val="InternetLink"/>
          <w:sz w:val="20"/>
          <w:i/>
          <w:b w:val="false"/>
          <w:rFonts w:ascii="Times New Roman;Times;serif" w:hAnsi="Times New Roman;Times;serif"/>
        </w:rPr>
        <w:fldChar w:fldCharType="end"/>
      </w:r>
      <w:r>
        <w:rPr>
          <w:rFonts w:ascii="Times New Roman;Times;serif" w:hAnsi="Times New Roman;Times;serif"/>
          <w:sz w:val="20"/>
        </w:rPr>
        <w:t>” 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Times;serif" w:hAnsi="Times New Roman;Times;serif"/>
          <w:i/>
          <w:sz w:val="20"/>
        </w:rPr>
        <w:t>Special Note Regarding Forward-Looking Statements</w:t>
      </w:r>
      <w:r>
        <w:rPr>
          <w:rFonts w:ascii="Times New Roman;Times;serif" w:hAnsi="Times New Roman;Times;serif"/>
          <w:sz w:val="20"/>
        </w:rPr>
        <w:t>.”</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1" w:name="SPECIALNOTEREGARDINGFORWARDLOOKINGSTATEM"/>
      <w:bookmarkStart w:id="112" w:name="_09147ddf_7242_47e8_9fbe_484a102cc604"/>
      <w:bookmarkEnd w:id="111"/>
      <w:bookmarkEnd w:id="112"/>
      <w:r>
        <w:rPr>
          <w:rFonts w:ascii="Times New Roman;Times;serif" w:hAnsi="Times New Roman;Times;serif"/>
          <w:b/>
          <w:sz w:val="20"/>
        </w:rPr>
        <w:t>SPECIAL NOTE REGARDING FORWARD-LOOKING STATEMENTS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political, economic or industry conditions, the interest rate environment or conditions affecting the financial and capital markets;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economic downturn or recession could impair our portfolio companies’ ability to continue to operate, which could lead to the loss of some or all of our investments in such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such an economic downturn could disproportionately impact the companies that we intend to target for investment, potentially causing us to experience a decrease in investment opportunities and diminished demand for capital from these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contraction of available credit and/or an inability to access the equity markets that could impair our lending and investment activities;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interest rate volatility that could adversely affect our results, particularly to the extent that we use leverage as part of our investment strategy;</w:t>
            </w:r>
          </w:p>
        </w:tc>
      </w:tr>
    </w:tbl>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impact of interest and inflation rates on our business prospects and the prospects of our portfolio companies;</w:t>
            </w:r>
          </w:p>
        </w:tc>
      </w:tr>
    </w:tbl>
    <w:tbl>
      <w:tblPr>
        <w:tblW w:w="6006" w:type="dxa"/>
        <w:jc w:val="left"/>
        <w:tblInd w:w="20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business prospects and the prospects of our portfolio companies</w:t>
            </w:r>
          </w:p>
        </w:tc>
      </w:tr>
    </w:tbl>
    <w:tbl>
      <w:tblPr>
        <w:tblW w:w="5811" w:type="dxa"/>
        <w:jc w:val="left"/>
        <w:tblInd w:w="20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contractual arrangements and relationships with third parties;</w:t>
            </w:r>
          </w:p>
        </w:tc>
      </w:tr>
    </w:tbl>
    <w:tbl>
      <w:tblPr>
        <w:tblW w:w="5826" w:type="dxa"/>
        <w:jc w:val="left"/>
        <w:tblInd w:w="20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portfolio companies to achieve their objectives;</w:t>
            </w:r>
          </w:p>
        </w:tc>
      </w:tr>
    </w:tbl>
    <w:tbl>
      <w:tblPr>
        <w:tblW w:w="6861" w:type="dxa"/>
        <w:jc w:val="left"/>
        <w:tblInd w:w="20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competition with other entities and our affiliates for investment opportunities;</w:t>
            </w:r>
          </w:p>
        </w:tc>
      </w:tr>
    </w:tbl>
    <w:tbl>
      <w:tblPr>
        <w:tblW w:w="4926" w:type="dxa"/>
        <w:jc w:val="left"/>
        <w:tblInd w:w="20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speculative and illiquid nature of our investments;</w:t>
            </w:r>
          </w:p>
        </w:tc>
      </w:tr>
    </w:tbl>
    <w:tbl>
      <w:tblPr>
        <w:tblW w:w="5961" w:type="dxa"/>
        <w:jc w:val="left"/>
        <w:tblInd w:w="20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use of borrowed money to finance a portion of our investments;</w:t>
            </w:r>
          </w:p>
        </w:tc>
      </w:tr>
    </w:tbl>
    <w:tbl>
      <w:tblPr>
        <w:tblW w:w="5331" w:type="dxa"/>
        <w:jc w:val="left"/>
        <w:tblInd w:w="20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adequacy of our financing sources and working capital;</w:t>
            </w:r>
          </w:p>
        </w:tc>
      </w:tr>
    </w:tbl>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loss of key personnel and members of our management team;</w:t>
            </w:r>
          </w:p>
        </w:tc>
      </w:tr>
    </w:tbl>
    <w:tbl>
      <w:tblPr>
        <w:tblW w:w="6891" w:type="dxa"/>
        <w:jc w:val="left"/>
        <w:tblInd w:w="20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of cash flows, if any, from the operations of our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external investment adviser, Runway Growth Capital LLC, to locate suitable investments for us and to monitor and administer our investments;</w:t>
            </w:r>
          </w:p>
        </w:tc>
      </w:tr>
    </w:tbl>
    <w:tbl>
      <w:tblPr>
        <w:tblW w:w="8091" w:type="dxa"/>
        <w:jc w:val="left"/>
        <w:tblInd w:w="20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Runway Growth Capital LLC to attract and retain highly talented professionals;</w:t>
            </w:r>
          </w:p>
        </w:tc>
      </w:tr>
    </w:tbl>
    <w:tbl>
      <w:tblPr>
        <w:tblW w:w="9396" w:type="dxa"/>
        <w:jc w:val="left"/>
        <w:tblInd w:w="20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qualify and maintain our qualification as a RIC under Subchapter M of the Code, and as a BDC;</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occurrence of a disaster, such as a cyber-attack against us or against a third party that has access to our data or networks, a natural catastrophe, an industrial accident, failure of our disaster-recovery systems, or consequential employee error;</w:t>
            </w:r>
          </w:p>
        </w:tc>
      </w:tr>
    </w:tbl>
    <w:tbl>
      <w:tblPr>
        <w:tblW w:w="4671" w:type="dxa"/>
        <w:jc w:val="left"/>
        <w:tblInd w:w="20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 of legal, tax, and regulatory changes;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other risks, uncertainties and other factors we identify under “Risk Factors” in Part I, Item 1A of our most recent Annual Report on Form 10-K and in our other filings with the SEC.</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the prospectus supplement, any documents we may incorporate by reference herein, and any related free writing prospectus should not be regarded as a representation by us that our plans and objectives will be achieved. These forward-looking statements apply only as of the dates of this prospectus, the prospectus supplement, any documents we may incorporate by reference herein, and any related free writing prospectus. Moreover, we assume no duty and do not undertake to update the forward-looking statements. Because we are an investment company, the forward-looking statements and projections contained in this prospectus are excluded from the safe harbor protection provided by Section 21E of the Exchange Act.</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3" w:name="USEOFPROCEEDS_588465"/>
      <w:bookmarkStart w:id="114" w:name="_32d5186c_a068_484e_b4f8_7c2590109109"/>
      <w:bookmarkEnd w:id="113"/>
      <w:bookmarkEnd w:id="114"/>
      <w:r>
        <w:rPr>
          <w:rFonts w:ascii="Times New Roman;Times;serif" w:hAnsi="Times New Roman;Times;serif"/>
          <w:b/>
          <w:sz w:val="20"/>
        </w:rPr>
        <w:t>USE OF PROCEEDS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strategy, repayment of any outstanding indebtedness, paying operating expenses and other general corporate purposes.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5" w:name="PRICERANGEOFCOMMONSTOCKANDDISTRIBUTIONS_"/>
      <w:bookmarkStart w:id="116" w:name="_0ff7f650_4a4f_49de_be9e_6c998e3521f9"/>
      <w:bookmarkEnd w:id="115"/>
      <w:bookmarkEnd w:id="116"/>
      <w:r>
        <w:rPr>
          <w:rFonts w:ascii="Times New Roman;Times;serif" w:hAnsi="Times New Roman;Times;serif"/>
          <w:b/>
          <w:sz w:val="20"/>
        </w:rPr>
        <w:t>PRICE RANGE OF COMMON STOCK AND DISTRIBUTIONS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common stock began trading on the Nasdaq Global Select Market (“Nasdaq”) on October 21, 2021, under the symbol “RWAY” in connection with our initial public offering of shares of our common stock. See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of our most recent Annual Report on Form 10-K. Shares of BDCs may trade at a market price that is less than the value of the net assets attributable to those shares. The possibility that our shares of common stock will trade at a discount from net asset value (“NAV”) per share or at premiums that are unsustainable over the long term are separate and distinct from the risk that our NAV per share will decrease. It is not possible to predict whether our common stock will trade at, above, or below NAV per share. See “</w:t>
      </w:r>
      <w:r>
        <w:rPr>
          <w:rFonts w:ascii="Times New Roman;Times;serif" w:hAnsi="Times New Roman;Times;serif"/>
          <w:i/>
          <w:sz w:val="20"/>
        </w:rPr>
        <w:t>Item 1A. Risk Factors—Risks Related to an Investment in Our Common Stock</w:t>
      </w:r>
      <w:r>
        <w:rPr>
          <w:rFonts w:ascii="Times New Roman;Times;serif" w:hAnsi="Times New Roman;Times;serif"/>
          <w:sz w:val="20"/>
        </w:rPr>
        <w:t>” in our most recent annual report on Form 10-K. On March 17, 2025, the last reported closing sales price of our common stock on the Nasdaq was $10.89 per share, which represented a discount of approximately 18.7% to our NAV per share of $13.39 as of September 30, 2024.</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Prior to our initial public offering, the shares of our common stock were offered and sold in transactions exempt from registration under the Securities Act.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sets forth the most recent fiscal quarter’s NAV per share of our common stock, the high and low closing sales prices of our common stock, such sales prices as a percentage of NAV per share and quarterly distribution per share.</w:t>
      </w:r>
    </w:p>
    <w:p>
      <w:pPr>
        <w:pStyle w:val="TextBody"/>
        <w:bidi w:val="0"/>
        <w:spacing w:before="0" w:after="0"/>
        <w:ind w:left="200" w:right="200" w:hanging="0"/>
        <w:jc w:val="left"/>
        <w:rPr/>
      </w:pPr>
      <w:bookmarkStart w:id="117" w:name="Tc_iD09wed8k0WCh5WVxjKPgQ_23_16"/>
      <w:bookmarkStart w:id="118" w:name="Tc_P1F9flJvtUi1-pjBXcqPTw_23_0"/>
      <w:bookmarkStart w:id="119" w:name="Tc_6TRxvt9kpUicATNi5pY0hQ_22_16"/>
      <w:bookmarkStart w:id="120" w:name="Tc_s44WVI6MkkiiF5hfYqA_Aw_22_0"/>
      <w:bookmarkStart w:id="121" w:name="Tc_sV64njTduUGkjaFXXtVxYQ_21_16"/>
      <w:bookmarkStart w:id="122" w:name="Tc_5CgdYOJrmk6ZlS_qAXhxhg_21_0"/>
      <w:bookmarkStart w:id="123" w:name="Tc_uq5UT394NU-N5YIoBWa2kQ_20_16"/>
      <w:bookmarkStart w:id="124" w:name="Tc_OXjXscVQv0WpRDULGKZHpw_20_0"/>
      <w:bookmarkStart w:id="125" w:name="Tc_-U-wUkeB-kGpqZqZuoppiw_19_0"/>
      <w:bookmarkStart w:id="126" w:name="Tc_nZLFAMvH8UeIiNX7AAVAzA_18_16"/>
      <w:bookmarkStart w:id="127" w:name="Tc_q0fjalj5SUmQt6_kjfr8xA_18_0"/>
      <w:bookmarkStart w:id="128" w:name="Tc_zb4M51EdsE-Z5uuGJR6rMg_17_16"/>
      <w:bookmarkStart w:id="129" w:name="Tc_ify9NV1RuUid-8Pvsbp0QQ_17_0"/>
      <w:bookmarkStart w:id="130" w:name="Tc_m8tPwCX8tUSi3xd3uRY9mg_16_16"/>
      <w:bookmarkStart w:id="131" w:name="Tc_FJUYJYn4cUiLR1R23DEzKQ_16_0"/>
      <w:bookmarkStart w:id="132" w:name="Tc_ah5Ebees8kKdo6EnmHYoFg_15_16"/>
      <w:bookmarkStart w:id="133" w:name="Tc_pevCvnXJCkWjV1MKMD75tw_15_0"/>
      <w:bookmarkStart w:id="134" w:name="Tc_pzr4wKCGXUK82x7sHjOYvg_14_0"/>
      <w:bookmarkStart w:id="135" w:name="Tc_gcADRrh91Em4HsEh3tXHmw_13_16"/>
      <w:bookmarkStart w:id="136" w:name="Tc_Pmoeq5hR7EiYoPioy4ZV8w_13_0"/>
      <w:bookmarkStart w:id="137" w:name="Tc_GyMbN98iiE6_1-Ltt-3G5g_12_16"/>
      <w:bookmarkStart w:id="138" w:name="Tc_d8gKxiJMGka4Nei8PPEByg_12_0"/>
      <w:bookmarkStart w:id="139" w:name="Tc_Ov7t5z4KB06QezAG4wLIGw_11_16"/>
      <w:bookmarkStart w:id="140" w:name="Tc_4-R91YZxSEGzmQsZPBmf2g_11_0"/>
      <w:bookmarkStart w:id="141" w:name="Tc_pC9jplpSkEKHWx9BDMtQtg_10_16"/>
      <w:bookmarkStart w:id="142" w:name="Tc_TvD7LQJbkkC4_PCIiJ9rLg_10_13"/>
      <w:bookmarkStart w:id="143" w:name="Tc_OvlFQrEoV0a_BoV65Rst4g_10_11"/>
      <w:bookmarkStart w:id="144" w:name="Tc_RBS5bP44YE-vlWvSi3g4UQ_10_3"/>
      <w:bookmarkStart w:id="145" w:name="Tc_5GrPM6XzIkidwikhBsvWdA_10_0"/>
      <w:bookmarkStart w:id="146" w:name="Tc_cX81CqhCGEy7OGFfMqXH4A_9_0"/>
      <w:bookmarkStart w:id="147" w:name="Tc_8cpud6pL2UaR-B8luskP_Q_8_16"/>
      <w:bookmarkStart w:id="148" w:name="Tc_P81-6XYcm0Cx3e6NElR-TQ_8_15"/>
      <w:bookmarkStart w:id="149" w:name="Tc_geX6Bq_NmEKxCqSMLi91YQ_8_14"/>
      <w:bookmarkStart w:id="150" w:name="Tc_e4TKbp20CkCwikfTkpsfaA_8_13"/>
      <w:bookmarkStart w:id="151" w:name="Tc_Sw6SC-7HpEiNca4BiNcP3w_8_12"/>
      <w:bookmarkStart w:id="152" w:name="Tc_g8pRzgZx5ka412WcMQq2nQ_8_11"/>
      <w:bookmarkStart w:id="153" w:name="Tc_0rFQOaJ7zkyrxzbFTGqKCA_8_8"/>
      <w:bookmarkStart w:id="154" w:name="Tc_k1boDxqBjUq1o5SPE2lLzw_8_5"/>
      <w:bookmarkStart w:id="155" w:name="Tc_Vq_pXjaEJUCtqWqDbR2PpA_8_3"/>
      <w:bookmarkStart w:id="156" w:name="Tc_fkiKetT0cUibr4iESKTX4A_8_2"/>
      <w:bookmarkStart w:id="157" w:name="Tc_gOQgpNdyPkettz-EAEhlPA_8_0"/>
      <w:bookmarkStart w:id="158" w:name="Tc_9kGqV6xRcE2vda_swYuviQ_7_0"/>
      <w:bookmarkStart w:id="159" w:name="Tc_d9h-BuNkOU6nMp-Cl2zjDw_6_15"/>
      <w:bookmarkStart w:id="160" w:name="Tc_BZM7ogRegk2iLUTrg6yGZw_6_13"/>
      <w:bookmarkStart w:id="161" w:name="Tc_JhSXxG4AhkmY-My7XuLabA_6_11"/>
      <w:bookmarkStart w:id="162" w:name="Tc_ZnkY-RswiEmFlRIpSPCLuw_6_8"/>
      <w:bookmarkStart w:id="163" w:name="Tc_QC-b7YWbVkuCNirmtdsdeg_6_5"/>
      <w:bookmarkStart w:id="164" w:name="Tc_3E8dsF1uxUKutR6e8jNz0Q_6_2"/>
      <w:bookmarkStart w:id="165" w:name="Tc_-8Kbow44v0GbOTePLH773Q_6_0"/>
      <w:bookmarkStart w:id="166" w:name="Tc_F9VxWfpd9EuGKikyWVh9Hg_5_15"/>
      <w:bookmarkStart w:id="167" w:name="Tc_EellznalcECaeLhDVoBDiA_5_13"/>
      <w:bookmarkStart w:id="168" w:name="Tc_tRFOw0P9f0uOWN8_ME4PiQ_5_11"/>
      <w:bookmarkStart w:id="169" w:name="Tc_xBq9hmCDoEyy41hN59gUxw_5_5"/>
      <w:bookmarkStart w:id="170" w:name="Tc_C-Rlsm_s60mUSPRVd6w5pg_5_2"/>
      <w:bookmarkStart w:id="171" w:name="Tc_jHrsu3R4aECingla7cx0Hg_4_15"/>
      <w:bookmarkStart w:id="172" w:name="Tc_rcUqE3JzmE66O5IaT_wMKQ_4_13"/>
      <w:bookmarkStart w:id="173" w:name="Tc_zmOBuuTgokGeTnQ2s_-ZDg_4_11"/>
      <w:bookmarkStart w:id="174" w:name="Tc_RTc51M-QeUWkiLus2vAw-Q_4_2"/>
      <w:bookmarkStart w:id="175" w:name="Tc_TyDZ0OYIKkWZEFc8-drTwQ_3_13"/>
      <w:bookmarkStart w:id="176" w:name="Tc_8yLxq9jrAkePENLcYuaTCg_3_11"/>
      <w:bookmarkStart w:id="177" w:name="Tc_Ux034XavE0STgXPSZvN1LA_2_13"/>
      <w:bookmarkStart w:id="178" w:name="Tc_gwdvb-XF4kSR5_WTJ9MT8A_2_11"/>
      <w:bookmarkStart w:id="179" w:name="Tc_arcaOQ5M_EeWrqIhSoBiEg_1_13"/>
      <w:bookmarkStart w:id="180" w:name="Tc_49VBoAgMQECslW2k4vBg1g_1_11"/>
      <w:bookmarkStart w:id="181" w:name="_89711f47_3063_456e_a3c0_589a60523af4"/>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t>​</w:t>
      </w:r>
    </w:p>
    <w:tbl>
      <w:tblPr>
        <w:tblW w:w="9805" w:type="dxa"/>
        <w:jc w:val="left"/>
        <w:tblInd w:w="200" w:type="dxa"/>
        <w:tblLayout w:type="fixed"/>
        <w:tblCellMar>
          <w:top w:w="0" w:type="dxa"/>
          <w:left w:w="0" w:type="dxa"/>
          <w:bottom w:w="0" w:type="dxa"/>
          <w:right w:w="0" w:type="dxa"/>
        </w:tblCellMar>
      </w:tblPr>
      <w:tblGrid>
        <w:gridCol w:w="2455"/>
        <w:gridCol w:w="346"/>
        <w:gridCol w:w="211"/>
        <w:gridCol w:w="571"/>
        <w:gridCol w:w="346"/>
        <w:gridCol w:w="211"/>
        <w:gridCol w:w="571"/>
        <w:gridCol w:w="346"/>
        <w:gridCol w:w="211"/>
        <w:gridCol w:w="571"/>
        <w:gridCol w:w="346"/>
        <w:gridCol w:w="976"/>
        <w:gridCol w:w="346"/>
        <w:gridCol w:w="976"/>
        <w:gridCol w:w="346"/>
        <w:gridCol w:w="262"/>
        <w:gridCol w:w="714"/>
      </w:tblGrid>
      <w:tr>
        <w:trPr/>
        <w:tc>
          <w:tcPr>
            <w:tcW w:w="24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ind w:left="0" w:right="0" w:hanging="0"/>
              <w:jc w:val="left"/>
              <w:rPr>
                <w:sz w:val="4"/>
                <w:szCs w:val="4"/>
              </w:rPr>
            </w:pPr>
            <w:r>
              <w:rPr>
                <w:sz w:val="4"/>
                <w:szCs w:val="4"/>
              </w:rPr>
            </w:r>
          </w:p>
        </w:tc>
      </w:tr>
      <w:tr>
        <w:trPr/>
        <w:tc>
          <w:tcPr>
            <w:tcW w:w="2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58925" cy="175260"/>
                      <wp:effectExtent l="0" t="0" r="0" b="0"/>
                      <wp:wrapNone/>
                      <wp:docPr id="86" name="Frame84"/>
                      <a:graphic xmlns:a="http://schemas.openxmlformats.org/drawingml/2006/main">
                        <a:graphicData uri="http://schemas.microsoft.com/office/word/2010/wordprocessingShape">
                          <wps:wsp>
                            <wps:cNvSpPr txBox="1"/>
                            <wps:spPr>
                              <a:xfrm>
                                <a:off x="0" y="0"/>
                                <a:ext cx="155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62585" cy="175260"/>
                      <wp:effectExtent l="0" t="0" r="0" b="0"/>
                      <wp:wrapNone/>
                      <wp:docPr id="89" name="Frame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62585" cy="175260"/>
                      <wp:effectExtent l="0" t="0" r="0" b="0"/>
                      <wp:wrapNone/>
                      <wp:docPr id="92"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5"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9760" cy="175260"/>
                      <wp:effectExtent l="0" t="0" r="0" b="0"/>
                      <wp:wrapNone/>
                      <wp:docPr id="97" name="Frame9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19760" cy="175260"/>
                      <wp:effectExtent l="0" t="0" r="0" b="0"/>
                      <wp:wrapNone/>
                      <wp:docPr id="99" name="Frame9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6370" cy="175260"/>
                      <wp:effectExtent l="0" t="0" r="0" b="0"/>
                      <wp:wrapNone/>
                      <wp:docPr id="101" name="Frame9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53390" cy="175260"/>
                      <wp:effectExtent l="0" t="0" r="0" b="0"/>
                      <wp:wrapNone/>
                      <wp:docPr id="102" name="Frame100"/>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r>
      <w:tr>
        <w:trPr/>
        <w:tc>
          <w:tcPr>
            <w:tcW w:w="2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Price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Price</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r>
      <w:tr>
        <w:trPr/>
        <w:tc>
          <w:tcPr>
            <w:tcW w:w="2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r>
      <w:tr>
        <w:trPr/>
        <w:tc>
          <w:tcPr>
            <w:tcW w:w="2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Net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w:t>
            </w:r>
          </w:p>
        </w:tc>
      </w:tr>
      <w:tr>
        <w:trPr/>
        <w:tc>
          <w:tcPr>
            <w:tcW w:w="24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Range</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Net Asset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Net Asset</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Dividend</w:t>
            </w:r>
          </w:p>
        </w:tc>
      </w:tr>
      <w:tr>
        <w:trPr/>
        <w:tc>
          <w:tcPr>
            <w:tcW w:w="24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 and Period</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346" w:type="dxa"/>
            <w:tcBorders/>
            <w:vAlign w:val="center"/>
          </w:tcPr>
          <w:p>
            <w:pPr>
              <w:pStyle w:val="TableContents"/>
              <w:bidi w:val="0"/>
              <w:spacing w:before="0" w:after="1"/>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Per Share</w:t>
            </w:r>
            <w:r>
              <w:rPr>
                <w:rFonts w:ascii="Times New Roman;Times;serif" w:hAnsi="Times New Roman;Times;serif"/>
                <w:b/>
                <w:sz w:val="12"/>
              </w:rPr>
              <w:t>(3)</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  ​</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(through March 17,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Fourth Quarter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Third Quarter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First Quarter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 2023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Fourth Quarter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0.46</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Third Quarter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First Quarter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 2022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Fourth Quarter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46" w:type="dxa"/>
            <w:tcBorders/>
            <w:vAlign w:val="center"/>
          </w:tcPr>
          <w:p>
            <w:pPr>
              <w:pStyle w:val="TableContents"/>
              <w:bidi w:val="0"/>
              <w:spacing w:before="0" w:after="1"/>
              <w:ind w:left="0" w:right="0" w:hanging="0"/>
              <w:jc w:val="righ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righ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1"/>
              <w:ind w:left="0" w:right="0" w:hanging="0"/>
              <w:jc w:val="right"/>
              <w:rPr/>
            </w:pPr>
            <w:r>
              <w:rPr/>
              <w:t>​</w:t>
            </w:r>
          </w:p>
        </w:tc>
        <w:tc>
          <w:tcPr>
            <w:tcW w:w="262" w:type="dxa"/>
            <w:tcBorders/>
            <w:vAlign w:val="center"/>
          </w:tcPr>
          <w:p>
            <w:pPr>
              <w:pStyle w:val="TableContents"/>
              <w:bidi w:val="0"/>
              <w:spacing w:before="0" w:after="1"/>
              <w:ind w:left="0" w:right="0" w:hanging="0"/>
              <w:jc w:val="righ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Third Quarter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46" w:type="dxa"/>
            <w:tcBorders/>
            <w:shd w:fill="CCEEFF" w:val="clear"/>
            <w:vAlign w:val="center"/>
          </w:tcPr>
          <w:p>
            <w:pPr>
              <w:pStyle w:val="TableContents"/>
              <w:bidi w:val="0"/>
              <w:spacing w:before="0" w:after="1"/>
              <w:ind w:left="0" w:right="0" w:hanging="0"/>
              <w:jc w:val="righ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righ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right"/>
              <w:rPr/>
            </w:pPr>
            <w:r>
              <w:rPr/>
              <w:t>​</w:t>
            </w:r>
          </w:p>
        </w:tc>
        <w:tc>
          <w:tcPr>
            <w:tcW w:w="262" w:type="dxa"/>
            <w:tcBorders/>
            <w:shd w:fill="CCEEFF" w:val="clear"/>
            <w:vAlign w:val="center"/>
          </w:tcPr>
          <w:p>
            <w:pPr>
              <w:pStyle w:val="TableContents"/>
              <w:bidi w:val="0"/>
              <w:spacing w:before="0" w:after="1"/>
              <w:ind w:left="0" w:right="0" w:hanging="0"/>
              <w:jc w:val="righ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24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Second Quarter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w:t>
            </w:r>
          </w:p>
        </w:tc>
        <w:tc>
          <w:tcPr>
            <w:tcW w:w="346" w:type="dxa"/>
            <w:tcBorders/>
            <w:vAlign w:val="center"/>
          </w:tcPr>
          <w:p>
            <w:pPr>
              <w:pStyle w:val="TableContents"/>
              <w:bidi w:val="0"/>
              <w:spacing w:before="0" w:after="1"/>
              <w:ind w:left="0" w:right="0" w:hanging="0"/>
              <w:jc w:val="righ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righ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vAlign w:val="center"/>
          </w:tcPr>
          <w:p>
            <w:pPr>
              <w:pStyle w:val="TableContents"/>
              <w:bidi w:val="0"/>
              <w:spacing w:before="0" w:after="1"/>
              <w:ind w:left="0" w:right="0" w:hanging="0"/>
              <w:jc w:val="right"/>
              <w:rPr/>
            </w:pPr>
            <w:r>
              <w:rPr/>
              <w:t>​</w:t>
            </w:r>
          </w:p>
        </w:tc>
        <w:tc>
          <w:tcPr>
            <w:tcW w:w="262" w:type="dxa"/>
            <w:tcBorders/>
            <w:vAlign w:val="center"/>
          </w:tcPr>
          <w:p>
            <w:pPr>
              <w:pStyle w:val="TableContents"/>
              <w:bidi w:val="0"/>
              <w:spacing w:before="0" w:after="1"/>
              <w:ind w:left="0" w:right="0" w:hanging="0"/>
              <w:jc w:val="righ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24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First Quarter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346" w:type="dxa"/>
            <w:tcBorders/>
            <w:shd w:fill="CCEEFF" w:val="clear"/>
            <w:vAlign w:val="center"/>
          </w:tcPr>
          <w:p>
            <w:pPr>
              <w:pStyle w:val="TableContents"/>
              <w:bidi w:val="0"/>
              <w:spacing w:before="0" w:after="1"/>
              <w:ind w:left="0" w:right="0" w:hanging="0"/>
              <w:jc w:val="righ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righ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1"/>
              <w:ind w:left="0" w:right="0" w:hanging="0"/>
              <w:jc w:val="right"/>
              <w:rPr/>
            </w:pPr>
            <w:r>
              <w:rPr/>
              <w:t>​</w:t>
            </w:r>
          </w:p>
        </w:tc>
        <w:tc>
          <w:tcPr>
            <w:tcW w:w="262" w:type="dxa"/>
            <w:tcBorders/>
            <w:shd w:fill="CCEEFF" w:val="clear"/>
            <w:vAlign w:val="center"/>
          </w:tcPr>
          <w:p>
            <w:pPr>
              <w:pStyle w:val="TableContents"/>
              <w:bidi w:val="0"/>
              <w:spacing w:before="0" w:after="1"/>
              <w:ind w:left="0" w:right="0" w:hanging="0"/>
              <w:jc w:val="right"/>
              <w:rPr/>
            </w:pPr>
            <w:r>
              <w:rPr/>
              <w:t>​</w:t>
            </w:r>
          </w:p>
        </w:tc>
        <w:tc>
          <w:tcPr>
            <w:tcW w:w="71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0.27</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sz w:val="20"/>
        </w:rPr>
        <w:t>Not determined at time of filing</w:t>
      </w:r>
    </w:p>
    <w:tbl>
      <w:tblPr>
        <w:tblW w:w="9805" w:type="dxa"/>
        <w:jc w:val="left"/>
        <w:tblInd w:w="200" w:type="dxa"/>
        <w:tblLayout w:type="fixed"/>
        <w:tblCellMar>
          <w:top w:w="0" w:type="dxa"/>
          <w:left w:w="0" w:type="dxa"/>
          <w:bottom w:w="0" w:type="dxa"/>
          <w:right w:w="0" w:type="dxa"/>
        </w:tblCellMar>
      </w:tblPr>
      <w:tblGrid>
        <w:gridCol w:w="312"/>
        <w:gridCol w:w="9493"/>
      </w:tblGrid>
      <w:tr>
        <w:trPr/>
        <w:tc>
          <w:tcPr>
            <w:tcW w:w="312"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(1)</w:t>
            </w:r>
          </w:p>
        </w:tc>
        <w:tc>
          <w:tcPr>
            <w:tcW w:w="9493"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NAV per share is generally determined as of the last day in the relevant quarter and therefore may not reflect the NAV per share on the date of the high and low sales prices. The NAVs shown are based on outstanding shares at the end of each period.</w:t>
            </w:r>
          </w:p>
        </w:tc>
      </w:tr>
    </w:tbl>
    <w:tbl>
      <w:tblPr>
        <w:tblW w:w="9805" w:type="dxa"/>
        <w:jc w:val="left"/>
        <w:tblInd w:w="200" w:type="dxa"/>
        <w:tblLayout w:type="fixed"/>
        <w:tblCellMar>
          <w:top w:w="0" w:type="dxa"/>
          <w:left w:w="0" w:type="dxa"/>
          <w:bottom w:w="0" w:type="dxa"/>
          <w:right w:w="0" w:type="dxa"/>
        </w:tblCellMar>
      </w:tblPr>
      <w:tblGrid>
        <w:gridCol w:w="331"/>
        <w:gridCol w:w="9474"/>
      </w:tblGrid>
      <w:tr>
        <w:trPr/>
        <w:tc>
          <w:tcPr>
            <w:tcW w:w="33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(2)</w:t>
            </w:r>
          </w:p>
        </w:tc>
        <w:tc>
          <w:tcPr>
            <w:tcW w:w="9474"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Calculated as the respective high or low closing sales price less net asset value, divided by net asset value (in each case, as of the applicable quarter).</w:t>
            </w:r>
          </w:p>
        </w:tc>
      </w:tr>
    </w:tbl>
    <w:tbl>
      <w:tblPr>
        <w:tblW w:w="6287" w:type="dxa"/>
        <w:jc w:val="left"/>
        <w:tblInd w:w="200" w:type="dxa"/>
        <w:tblLayout w:type="fixed"/>
        <w:tblCellMar>
          <w:top w:w="0" w:type="dxa"/>
          <w:left w:w="0" w:type="dxa"/>
          <w:bottom w:w="0" w:type="dxa"/>
          <w:right w:w="0" w:type="dxa"/>
        </w:tblCellMar>
      </w:tblPr>
      <w:tblGrid>
        <w:gridCol w:w="346"/>
        <w:gridCol w:w="5941"/>
      </w:tblGrid>
      <w:tr>
        <w:trPr/>
        <w:tc>
          <w:tcPr>
            <w:tcW w:w="346"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(3)</w:t>
            </w:r>
          </w:p>
        </w:tc>
        <w:tc>
          <w:tcPr>
            <w:tcW w:w="594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Represents the dividend or distribution declared in the relevant quarter.</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Distribution Policy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a nondeductible 4% U.S. federal excise tax on certain of our undistributed income, unless we timely distribute (or are deemed to have timely distributed) an amount equal to the sum of:</w:t>
      </w:r>
    </w:p>
    <w:tbl>
      <w:tblPr>
        <w:tblW w:w="9411" w:type="dxa"/>
        <w:jc w:val="left"/>
        <w:tblInd w:w="20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98% of our ordinary income (not taking into account any capital gains or losses) for the calendar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98.2% of our capital gain net income for a one-year period generally ending on October 31 of the calendar year (unless an election is made by us to use our taxable year);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net ordinary income and capital gain net income that we recognized for preceding years, but were not distributed during such years, and on which we paid no U.S. federal income tax.</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w:t>
      </w:r>
      <w:r>
        <w:rPr>
          <w:rFonts w:ascii="Times New Roman;Times;serif" w:hAnsi="Times New Roman;Times;serif"/>
          <w:i/>
          <w:sz w:val="20"/>
        </w:rPr>
        <w:t>Regulation as a Business Development Company - Senior Securities</w:t>
      </w:r>
      <w:r>
        <w:rPr>
          <w:rFonts w:ascii="Times New Roman;Times;serif" w:hAnsi="Times New Roman;Times;serif"/>
          <w:sz w:val="20"/>
        </w:rPr>
        <w:t>.” In our most recent Annual Report on Form 10-K.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Dividends Declared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nine months period ended September 30, 2024:</w:t>
      </w:r>
    </w:p>
    <w:tbl>
      <w:tblPr>
        <w:tblW w:w="6742" w:type="dxa"/>
        <w:jc w:val="left"/>
        <w:tblInd w:w="200" w:type="dxa"/>
        <w:tblLayout w:type="fixed"/>
        <w:tblCellMar>
          <w:top w:w="0" w:type="dxa"/>
          <w:left w:w="0" w:type="dxa"/>
          <w:bottom w:w="0" w:type="dxa"/>
          <w:right w:w="0" w:type="dxa"/>
        </w:tblCellMar>
      </w:tblPr>
      <w:tblGrid>
        <w:gridCol w:w="1501"/>
        <w:gridCol w:w="346"/>
        <w:gridCol w:w="1591"/>
        <w:gridCol w:w="346"/>
        <w:gridCol w:w="1591"/>
        <w:gridCol w:w="346"/>
        <w:gridCol w:w="275"/>
        <w:gridCol w:w="746"/>
      </w:tblGrid>
      <w:tr>
        <w:trPr/>
        <w:tc>
          <w:tcPr>
            <w:tcW w:w="1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53135" cy="175260"/>
                      <wp:effectExtent l="0" t="0" r="0" b="0"/>
                      <wp:wrapNone/>
                      <wp:docPr id="103" name="Frame10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10285" cy="175260"/>
                      <wp:effectExtent l="0" t="0" r="0" b="0"/>
                      <wp:wrapNone/>
                      <wp:docPr id="105" name="Frame10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10285" cy="175260"/>
                      <wp:effectExtent l="0" t="0" r="0" b="0"/>
                      <wp:wrapNone/>
                      <wp:docPr id="107" name="Frame10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74625" cy="175260"/>
                      <wp:effectExtent l="0" t="0" r="0" b="0"/>
                      <wp:wrapNone/>
                      <wp:docPr id="109" name="Frame10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73710" cy="175260"/>
                      <wp:effectExtent l="0" t="0" r="0" b="0"/>
                      <wp:wrapNone/>
                      <wp:docPr id="110" name="Frame108"/>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5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1"/>
              <w:ind w:left="0" w:right="0" w:hanging="0"/>
              <w:jc w:val="center"/>
              <w:rPr/>
            </w:pPr>
            <w:r>
              <w:rPr/>
              <w:t>  ​ ​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1, 2024</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12, 2024</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28, 2024</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30, 2024</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10, 2024</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24, 2024</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30, 2024</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12, 2024</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26, 2024</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0.45</w:t>
            </w:r>
          </w:p>
        </w:tc>
      </w:tr>
    </w:tbl>
    <w:p>
      <w:pPr>
        <w:pStyle w:val="TextBody"/>
        <w:bidi w:val="0"/>
        <w:spacing w:before="0" w:after="240"/>
        <w:ind w:left="200" w:right="200" w:firstLine="720"/>
        <w:jc w:val="both"/>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2023:</w:t>
      </w:r>
    </w:p>
    <w:tbl>
      <w:tblPr>
        <w:tblW w:w="7146" w:type="dxa"/>
        <w:jc w:val="left"/>
        <w:tblInd w:w="200" w:type="dxa"/>
        <w:tblLayout w:type="fixed"/>
        <w:tblCellMar>
          <w:top w:w="0" w:type="dxa"/>
          <w:left w:w="0" w:type="dxa"/>
          <w:bottom w:w="0" w:type="dxa"/>
          <w:right w:w="0" w:type="dxa"/>
        </w:tblCellMar>
      </w:tblPr>
      <w:tblGrid>
        <w:gridCol w:w="1621"/>
        <w:gridCol w:w="346"/>
        <w:gridCol w:w="1711"/>
        <w:gridCol w:w="346"/>
        <w:gridCol w:w="1711"/>
        <w:gridCol w:w="346"/>
        <w:gridCol w:w="287"/>
        <w:gridCol w:w="778"/>
      </w:tblGrid>
      <w:tr>
        <w:trPr/>
        <w:tc>
          <w:tcPr>
            <w:tcW w:w="1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ind w:left="0" w:right="0" w:hanging="0"/>
              <w:jc w:val="left"/>
              <w:rPr>
                <w:sz w:val="4"/>
                <w:szCs w:val="4"/>
              </w:rPr>
            </w:pPr>
            <w:r>
              <w:rPr>
                <w:sz w:val="4"/>
                <w:szCs w:val="4"/>
              </w:rPr>
            </w:r>
          </w:p>
        </w:tc>
      </w:tr>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029335" cy="175260"/>
                      <wp:effectExtent l="0" t="0" r="0" b="0"/>
                      <wp:wrapNone/>
                      <wp:docPr id="111" name="Frame109"/>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086485" cy="175260"/>
                      <wp:effectExtent l="0" t="0" r="0" b="0"/>
                      <wp:wrapNone/>
                      <wp:docPr id="113" name="Frame11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086485" cy="175260"/>
                      <wp:effectExtent l="0" t="0" r="0" b="0"/>
                      <wp:wrapNone/>
                      <wp:docPr id="115" name="Frame11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2245" cy="175260"/>
                      <wp:effectExtent l="0" t="0" r="0" b="0"/>
                      <wp:wrapNone/>
                      <wp:docPr id="117" name="Frame11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4030" cy="175260"/>
                      <wp:effectExtent l="0" t="0" r="0" b="0"/>
                      <wp:wrapNone/>
                      <wp:docPr id="118" name="Frame116"/>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Distribution </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23, 2023</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7, 2023</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21, 2023</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 2023</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31, 2023</w:t>
            </w:r>
          </w:p>
        </w:tc>
        <w:tc>
          <w:tcPr>
            <w:tcW w:w="3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2023</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15, 2023</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 2023</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13, 2023</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28, 2023</w:t>
            </w:r>
          </w:p>
        </w:tc>
        <w:tc>
          <w:tcPr>
            <w:tcW w:w="3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0.46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2022:</w:t>
      </w:r>
    </w:p>
    <w:tbl>
      <w:tblPr>
        <w:tblW w:w="7026" w:type="dxa"/>
        <w:jc w:val="left"/>
        <w:tblInd w:w="200" w:type="dxa"/>
        <w:tblLayout w:type="fixed"/>
        <w:tblCellMar>
          <w:top w:w="0" w:type="dxa"/>
          <w:left w:w="0" w:type="dxa"/>
          <w:bottom w:w="0" w:type="dxa"/>
          <w:right w:w="0" w:type="dxa"/>
        </w:tblCellMar>
      </w:tblPr>
      <w:tblGrid>
        <w:gridCol w:w="1606"/>
        <w:gridCol w:w="346"/>
        <w:gridCol w:w="1606"/>
        <w:gridCol w:w="346"/>
        <w:gridCol w:w="1711"/>
        <w:gridCol w:w="346"/>
        <w:gridCol w:w="287"/>
        <w:gridCol w:w="778"/>
      </w:tblGrid>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ind w:left="0" w:right="0" w:hanging="0"/>
              <w:jc w:val="left"/>
              <w:rPr>
                <w:sz w:val="4"/>
                <w:szCs w:val="4"/>
              </w:rPr>
            </w:pPr>
            <w:r>
              <w:rPr>
                <w:sz w:val="4"/>
                <w:szCs w:val="4"/>
              </w:rPr>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019810" cy="175260"/>
                      <wp:effectExtent l="0" t="0" r="0" b="0"/>
                      <wp:wrapNone/>
                      <wp:docPr id="119" name="Frame11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019810" cy="175260"/>
                      <wp:effectExtent l="0" t="0" r="0" b="0"/>
                      <wp:wrapNone/>
                      <wp:docPr id="121" name="Frame11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86485" cy="175260"/>
                      <wp:effectExtent l="0" t="0" r="0" b="0"/>
                      <wp:wrapNone/>
                      <wp:docPr id="123" name="Frame12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2245" cy="175260"/>
                      <wp:effectExtent l="0" t="0" r="0" b="0"/>
                      <wp:wrapNone/>
                      <wp:docPr id="125" name="Frame12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4030" cy="175260"/>
                      <wp:effectExtent l="0" t="0" r="0" b="0"/>
                      <wp:wrapNone/>
                      <wp:docPr id="126" name="Frame124"/>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6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7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Distribution </w:t>
            </w:r>
          </w:p>
        </w:tc>
      </w:tr>
      <w:tr>
        <w:trPr/>
        <w:tc>
          <w:tcPr>
            <w:tcW w:w="16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1"/>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1"/>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1"/>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February 24, 2022</w:t>
            </w:r>
          </w:p>
        </w:tc>
        <w:tc>
          <w:tcPr>
            <w:tcW w:w="346"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8, 2022</w:t>
            </w:r>
          </w:p>
        </w:tc>
        <w:tc>
          <w:tcPr>
            <w:tcW w:w="34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22, 2022</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28, 2022</w:t>
            </w:r>
          </w:p>
        </w:tc>
        <w:tc>
          <w:tcPr>
            <w:tcW w:w="346"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10, 2022</w:t>
            </w:r>
          </w:p>
        </w:tc>
        <w:tc>
          <w:tcPr>
            <w:tcW w:w="34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24, 2022</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28, 2022</w:t>
            </w:r>
          </w:p>
        </w:tc>
        <w:tc>
          <w:tcPr>
            <w:tcW w:w="346"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9, 2022</w:t>
            </w:r>
          </w:p>
        </w:tc>
        <w:tc>
          <w:tcPr>
            <w:tcW w:w="34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23, 2022</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October 27, 2022</w:t>
            </w:r>
          </w:p>
        </w:tc>
        <w:tc>
          <w:tcPr>
            <w:tcW w:w="346"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8, 2022</w:t>
            </w:r>
          </w:p>
        </w:tc>
        <w:tc>
          <w:tcPr>
            <w:tcW w:w="34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22, 2022</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0.36</w:t>
            </w:r>
          </w:p>
        </w:tc>
      </w:tr>
    </w:tbl>
    <w:p>
      <w:pPr>
        <w:pStyle w:val="TextBody"/>
        <w:bidi w:val="0"/>
        <w:spacing w:before="0" w:after="240"/>
        <w:ind w:left="200" w:right="200" w:firstLine="360"/>
        <w:jc w:val="both"/>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2021:</w:t>
      </w:r>
    </w:p>
    <w:tbl>
      <w:tblPr>
        <w:tblW w:w="6951" w:type="dxa"/>
        <w:jc w:val="left"/>
        <w:tblInd w:w="200" w:type="dxa"/>
        <w:tblLayout w:type="fixed"/>
        <w:tblCellMar>
          <w:top w:w="0" w:type="dxa"/>
          <w:left w:w="0" w:type="dxa"/>
          <w:bottom w:w="0" w:type="dxa"/>
          <w:right w:w="0" w:type="dxa"/>
        </w:tblCellMar>
      </w:tblPr>
      <w:tblGrid>
        <w:gridCol w:w="1531"/>
        <w:gridCol w:w="346"/>
        <w:gridCol w:w="1606"/>
        <w:gridCol w:w="346"/>
        <w:gridCol w:w="1711"/>
        <w:gridCol w:w="346"/>
        <w:gridCol w:w="287"/>
        <w:gridCol w:w="778"/>
      </w:tblGrid>
      <w:tr>
        <w:trPr/>
        <w:tc>
          <w:tcPr>
            <w:tcW w:w="1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2185" cy="175260"/>
                      <wp:effectExtent l="0" t="0" r="0" b="0"/>
                      <wp:wrapNone/>
                      <wp:docPr id="127" name="Frame12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019810" cy="175260"/>
                      <wp:effectExtent l="0" t="0" r="0" b="0"/>
                      <wp:wrapNone/>
                      <wp:docPr id="129" name="Frame12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86485" cy="175260"/>
                      <wp:effectExtent l="0" t="0" r="0" b="0"/>
                      <wp:wrapNone/>
                      <wp:docPr id="131" name="Frame12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2245" cy="175260"/>
                      <wp:effectExtent l="0" t="0" r="0" b="0"/>
                      <wp:wrapNone/>
                      <wp:docPr id="133" name="Frame13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4030" cy="175260"/>
                      <wp:effectExtent l="0" t="0" r="0" b="0"/>
                      <wp:wrapNone/>
                      <wp:docPr id="134" name="Frame13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6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Distribution </w:t>
            </w:r>
          </w:p>
        </w:tc>
      </w:tr>
      <w:tr>
        <w:trPr/>
        <w:tc>
          <w:tcPr>
            <w:tcW w:w="1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4, 2021</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2021</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19, 2021</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29, 2021</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2021</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2021</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19, 2021</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 2021</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12, 2021</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2021</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8, 2021</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22, 2021</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2020:</w:t>
      </w:r>
    </w:p>
    <w:tbl>
      <w:tblPr>
        <w:tblW w:w="6651" w:type="dxa"/>
        <w:jc w:val="left"/>
        <w:tblInd w:w="200" w:type="dxa"/>
        <w:tblLayout w:type="fixed"/>
        <w:tblCellMar>
          <w:top w:w="0" w:type="dxa"/>
          <w:left w:w="0" w:type="dxa"/>
          <w:bottom w:w="0" w:type="dxa"/>
          <w:right w:w="0" w:type="dxa"/>
        </w:tblCellMar>
      </w:tblPr>
      <w:tblGrid>
        <w:gridCol w:w="1426"/>
        <w:gridCol w:w="346"/>
        <w:gridCol w:w="1411"/>
        <w:gridCol w:w="346"/>
        <w:gridCol w:w="1711"/>
        <w:gridCol w:w="346"/>
        <w:gridCol w:w="287"/>
        <w:gridCol w:w="778"/>
      </w:tblGrid>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05510" cy="175260"/>
                      <wp:effectExtent l="0" t="0" r="0" b="0"/>
                      <wp:wrapNone/>
                      <wp:docPr id="135" name="Frame13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95985" cy="175260"/>
                      <wp:effectExtent l="0" t="0" r="0" b="0"/>
                      <wp:wrapNone/>
                      <wp:docPr id="137" name="Frame13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86485" cy="175260"/>
                      <wp:effectExtent l="0" t="0" r="0" b="0"/>
                      <wp:wrapNone/>
                      <wp:docPr id="139" name="Frame13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2245" cy="175260"/>
                      <wp:effectExtent l="0" t="0" r="0" b="0"/>
                      <wp:wrapNone/>
                      <wp:docPr id="141" name="Frame13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4030" cy="175260"/>
                      <wp:effectExtent l="0" t="0" r="0" b="0"/>
                      <wp:wrapNone/>
                      <wp:docPr id="142" name="Frame140"/>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Distribution </w: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0"/>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2021</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6, 2020</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 2020</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2020</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8, 2020</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21, 2020</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2020</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2020</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 2020</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2020</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2020</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12, 2020</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0.38</w:t>
            </w:r>
          </w:p>
        </w:tc>
      </w:tr>
    </w:tbl>
    <w:p>
      <w:pPr>
        <w:pStyle w:val="TextBody"/>
        <w:bidi w:val="0"/>
        <w:spacing w:before="0" w:after="0"/>
        <w:ind w:left="200" w:right="200" w:firstLine="360"/>
        <w:jc w:val="left"/>
        <w:rPr/>
      </w:pPr>
      <w:r>
        <w:rPr/>
        <w:t>​</w:t>
      </w:r>
    </w:p>
    <w:p>
      <w:pPr>
        <w:pStyle w:val="TextBody"/>
        <w:bidi w:val="0"/>
        <w:spacing w:before="0" w:after="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2019:</w:t>
      </w:r>
    </w:p>
    <w:tbl>
      <w:tblPr>
        <w:tblW w:w="7237" w:type="dxa"/>
        <w:jc w:val="left"/>
        <w:tblInd w:w="200" w:type="dxa"/>
        <w:tblLayout w:type="fixed"/>
        <w:tblCellMar>
          <w:top w:w="0" w:type="dxa"/>
          <w:left w:w="0" w:type="dxa"/>
          <w:bottom w:w="0" w:type="dxa"/>
          <w:right w:w="0" w:type="dxa"/>
        </w:tblCellMar>
      </w:tblPr>
      <w:tblGrid>
        <w:gridCol w:w="1741"/>
        <w:gridCol w:w="346"/>
        <w:gridCol w:w="1726"/>
        <w:gridCol w:w="346"/>
        <w:gridCol w:w="1711"/>
        <w:gridCol w:w="346"/>
        <w:gridCol w:w="275"/>
        <w:gridCol w:w="746"/>
      </w:tblGrid>
      <w:tr>
        <w:trPr/>
        <w:tc>
          <w:tcPr>
            <w:tcW w:w="17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105535" cy="175260"/>
                      <wp:effectExtent l="0" t="0" r="0" b="0"/>
                      <wp:wrapNone/>
                      <wp:docPr id="143" name="Frame14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96010" cy="175260"/>
                      <wp:effectExtent l="0" t="0" r="0" b="0"/>
                      <wp:wrapNone/>
                      <wp:docPr id="145" name="Frame143"/>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086485" cy="175260"/>
                      <wp:effectExtent l="0" t="0" r="0" b="0"/>
                      <wp:wrapNone/>
                      <wp:docPr id="147" name="Frame14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4625" cy="175260"/>
                      <wp:effectExtent l="0" t="0" r="0" b="0"/>
                      <wp:wrapNone/>
                      <wp:docPr id="149" name="Frame14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73710" cy="175260"/>
                      <wp:effectExtent l="0" t="0" r="0" b="0"/>
                      <wp:wrapNone/>
                      <wp:docPr id="150" name="Frame148"/>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0"/>
              <w:ind w:left="0" w:right="0" w:hanging="0"/>
              <w:jc w:val="center"/>
              <w:rPr/>
            </w:pPr>
            <w:r>
              <w:rPr/>
              <w:t>  ​ ​ ​</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center"/>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22, 2019</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22, 2019</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26, 2019</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22, 2019</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2019</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21, 2019</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 2019</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31, 2019</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16, 2019</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2019</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2019</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26, 2019</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27, 2019</w:t>
            </w:r>
          </w:p>
        </w:tc>
        <w:tc>
          <w:tcPr>
            <w:tcW w:w="3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2019</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12, 2019</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9, 2019</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10, 2019</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23, 2019</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0.40</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2018:</w:t>
      </w:r>
    </w:p>
    <w:tbl>
      <w:tblPr>
        <w:tblW w:w="6907" w:type="dxa"/>
        <w:jc w:val="left"/>
        <w:tblInd w:w="200" w:type="dxa"/>
        <w:tblLayout w:type="fixed"/>
        <w:tblCellMar>
          <w:top w:w="0" w:type="dxa"/>
          <w:left w:w="0" w:type="dxa"/>
          <w:bottom w:w="0" w:type="dxa"/>
          <w:right w:w="0" w:type="dxa"/>
        </w:tblCellMar>
      </w:tblPr>
      <w:tblGrid>
        <w:gridCol w:w="1621"/>
        <w:gridCol w:w="346"/>
        <w:gridCol w:w="1516"/>
        <w:gridCol w:w="346"/>
        <w:gridCol w:w="1711"/>
        <w:gridCol w:w="346"/>
        <w:gridCol w:w="275"/>
        <w:gridCol w:w="746"/>
      </w:tblGrid>
      <w:tr>
        <w:trPr/>
        <w:tc>
          <w:tcPr>
            <w:tcW w:w="1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29335" cy="175260"/>
                      <wp:effectExtent l="0" t="0" r="0" b="0"/>
                      <wp:wrapNone/>
                      <wp:docPr id="151" name="Frame149"/>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62660" cy="175260"/>
                      <wp:effectExtent l="0" t="0" r="0" b="0"/>
                      <wp:wrapNone/>
                      <wp:docPr id="153" name="Frame15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86485" cy="175260"/>
                      <wp:effectExtent l="0" t="0" r="0" b="0"/>
                      <wp:wrapNone/>
                      <wp:docPr id="155" name="Frame15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74625" cy="175260"/>
                      <wp:effectExtent l="0" t="0" r="0" b="0"/>
                      <wp:wrapNone/>
                      <wp:docPr id="157" name="Frame15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73710" cy="175260"/>
                      <wp:effectExtent l="0" t="0" r="0" b="0"/>
                      <wp:wrapNone/>
                      <wp:docPr id="158" name="Frame156"/>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vAlign w:val="center"/>
          </w:tcPr>
          <w:p>
            <w:pPr>
              <w:pStyle w:val="TableContents"/>
              <w:bidi w:val="0"/>
              <w:spacing w:before="0" w:after="0"/>
              <w:ind w:left="0" w:right="0" w:hanging="0"/>
              <w:jc w:val="center"/>
              <w:rPr/>
            </w:pPr>
            <w:r>
              <w:rPr/>
              <w:t>  ​ ​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vAlign w:val="center"/>
          </w:tcPr>
          <w:p>
            <w:pPr>
              <w:pStyle w:val="TableContents"/>
              <w:bidi w:val="0"/>
              <w:spacing w:before="0" w:after="0"/>
              <w:ind w:left="0" w:right="0" w:hanging="0"/>
              <w:jc w:val="center"/>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 2018</w:t>
            </w:r>
          </w:p>
        </w:tc>
        <w:tc>
          <w:tcPr>
            <w:tcW w:w="346" w:type="dxa"/>
            <w:tcBorders/>
            <w:shd w:fill="CCEEFF" w:val="clear"/>
            <w:vAlign w:val="center"/>
          </w:tcPr>
          <w:p>
            <w:pPr>
              <w:pStyle w:val="TableContents"/>
              <w:bidi w:val="0"/>
              <w:spacing w:before="0" w:after="0"/>
              <w:ind w:left="0" w:right="0" w:hanging="0"/>
              <w:jc w:val="center"/>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2018</w:t>
            </w:r>
          </w:p>
        </w:tc>
        <w:tc>
          <w:tcPr>
            <w:tcW w:w="346" w:type="dxa"/>
            <w:tcBorders/>
            <w:shd w:fill="CCEEFF" w:val="clear"/>
            <w:vAlign w:val="center"/>
          </w:tcPr>
          <w:p>
            <w:pPr>
              <w:pStyle w:val="TableContents"/>
              <w:bidi w:val="0"/>
              <w:spacing w:before="0" w:after="0"/>
              <w:ind w:left="0" w:right="0" w:hanging="0"/>
              <w:jc w:val="center"/>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31, 2018</w:t>
            </w:r>
          </w:p>
        </w:tc>
        <w:tc>
          <w:tcPr>
            <w:tcW w:w="346" w:type="dxa"/>
            <w:tcBorders/>
            <w:shd w:fill="CCEEFF" w:val="clear"/>
            <w:vAlign w:val="center"/>
          </w:tcPr>
          <w:p>
            <w:pPr>
              <w:pStyle w:val="TableContents"/>
              <w:bidi w:val="0"/>
              <w:spacing w:before="0" w:after="0"/>
              <w:ind w:left="0" w:right="0" w:hanging="0"/>
              <w:jc w:val="center"/>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26, 2018</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15, 2018</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2018</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 2018</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31, 2018</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15, 2018</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0.35</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Dividend Reinvestment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adopted an “opt out” dividend reinvestment plan for our stockholders. See “</w:t>
      </w:r>
      <w:r>
        <w:rPr>
          <w:rFonts w:ascii="Times New Roman;Times;serif" w:hAnsi="Times New Roman;Times;serif"/>
          <w:i/>
          <w:sz w:val="20"/>
        </w:rPr>
        <w:t>Dividend Reinvestment Plan.”</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182" w:name="MANAGEMENTSDISCUSSIONANDANALYSISOFFINANC"/>
      <w:bookmarkStart w:id="183" w:name="_1aad5ea1_fdec_4576_9427_d25f57e0fd90"/>
      <w:bookmarkEnd w:id="182"/>
      <w:bookmarkEnd w:id="183"/>
      <w:r>
        <w:rPr>
          <w:rFonts w:ascii="Times New Roman;Times;serif" w:hAnsi="Times New Roman;Times;serif"/>
          <w:b/>
          <w:sz w:val="20"/>
        </w:rPr>
        <w:t>MANAGEMENT’S DISCUSSION AND ANALYSIS OF FINANCIAL CONDITION AND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200" w:right="200" w:firstLine="360"/>
        <w:jc w:val="left"/>
        <w:rPr/>
      </w:pPr>
      <w:r>
        <w:rPr>
          <w:rFonts w:ascii="Times New Roman;Times;serif" w:hAnsi="Times New Roman;Times;serif"/>
          <w:sz w:val="20"/>
        </w:rPr>
        <w:t>The information contained in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"item7managementsdiscussionandanalysisoff"</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II, Item 7. Management’s Discussion and Analysis of Financial Condition and Results of Operations</w:t>
      </w:r>
      <w:r>
        <w:rPr>
          <w:rStyle w:val="InternetLink"/>
          <w:sz w:val="20"/>
          <w:i/>
          <w:b w:val="false"/>
          <w:rFonts w:ascii="Times New Roman;Times;serif" w:hAnsi="Times New Roman;Times;serif"/>
        </w:rPr>
        <w:fldChar w:fldCharType="end"/>
      </w:r>
      <w:r>
        <w:rPr>
          <w:rFonts w:ascii="Times New Roman;Times;serif" w:hAnsi="Times New Roman;Times;serif"/>
          <w:sz w:val="20"/>
        </w:rPr>
        <w:t>” of our most recent Annual Report on Form 10-K and in “</w:t>
      </w:r>
      <w:r>
        <w:fldChar w:fldCharType="begin"/>
      </w:r>
      <w:r>
        <w:rPr>
          <w:rStyle w:val="InternetLink"/>
          <w:sz w:val="20"/>
          <w:i/>
          <w:b w:val="false"/>
          <w:rFonts w:ascii="Times New Roman;Times;serif" w:hAnsi="Times New Roman;Times;serif"/>
        </w:rPr>
        <w:instrText xml:space="preserve"> HYPERLINK "https://www.sec.gov/Archives/edgar/data/1653384/000095017024125299/rway-20240930.htm" \l "item2managementsdiscussionandanalysisoff"</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 Item 2. Management’s Discussion and Analysis of Financial Condition and Results of Operations</w:t>
      </w:r>
      <w:r>
        <w:rPr>
          <w:rStyle w:val="InternetLink"/>
          <w:sz w:val="20"/>
          <w:i/>
          <w:b w:val="false"/>
          <w:rFonts w:ascii="Times New Roman;Times;serif" w:hAnsi="Times New Roman;Times;serif"/>
        </w:rPr>
        <w:fldChar w:fldCharType="end"/>
      </w:r>
      <w:r>
        <w:rPr>
          <w:rFonts w:ascii="Times New Roman;Times;serif" w:hAnsi="Times New Roman;Times;serif"/>
          <w:sz w:val="20"/>
        </w:rPr>
        <w:t>” 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4" w:name="BUSINESS_283682"/>
      <w:bookmarkStart w:id="185" w:name="_7ee293af_bde9_4400_bb00_274b3d1c8854"/>
      <w:bookmarkEnd w:id="184"/>
      <w:bookmarkEnd w:id="185"/>
      <w:r>
        <w:rPr>
          <w:rFonts w:ascii="Times New Roman;Times;serif" w:hAnsi="Times New Roman;Times;serif"/>
          <w:b/>
          <w:sz w:val="20"/>
        </w:rPr>
        <w:t>BUSINESS</w:t>
      </w:r>
    </w:p>
    <w:p>
      <w:pPr>
        <w:pStyle w:val="TextBody"/>
        <w:bidi w:val="0"/>
        <w:spacing w:before="0" w:after="0"/>
        <w:ind w:left="200" w:right="200" w:firstLine="360"/>
        <w:jc w:val="left"/>
        <w:rPr/>
      </w:pPr>
      <w:r>
        <w:rPr>
          <w:rFonts w:ascii="Times New Roman;Times;serif" w:hAnsi="Times New Roman;Times;serif"/>
          <w:sz w:val="20"/>
        </w:rPr>
        <w:t>The information contained in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"item1business_632152"</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 Item 1. Business</w:t>
      </w:r>
      <w:r>
        <w:rPr>
          <w:rStyle w:val="InternetLink"/>
          <w:sz w:val="20"/>
          <w:i/>
          <w:b w:val="false"/>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"https://www.sec.gov/Archives/edgar/data/1653384/000095017024027913/rway-20231231.htm" \l "item1business_632152"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sz w:val="20"/>
        </w:rPr>
        <w:t>”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"item2properties_653484"</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 Item 2. Properties</w:t>
      </w:r>
      <w:r>
        <w:rPr>
          <w:rStyle w:val="InternetLink"/>
          <w:sz w:val="20"/>
          <w:i/>
          <w:b w:val="false"/>
          <w:rFonts w:ascii="Times New Roman;Times;serif" w:hAnsi="Times New Roman;Times;serif"/>
        </w:rPr>
        <w:fldChar w:fldCharType="end"/>
      </w:r>
      <w:r>
        <w:rPr>
          <w:rFonts w:ascii="Times New Roman;Times;serif" w:hAnsi="Times New Roman;Times;serif"/>
          <w:sz w:val="20"/>
        </w:rPr>
        <w:t>” and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"item3legalproceedings_119224"</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 Item 3. Legal Proceedings</w:t>
      </w:r>
      <w:r>
        <w:rPr>
          <w:rStyle w:val="InternetLink"/>
          <w:sz w:val="20"/>
          <w:i/>
          <w:b w:val="false"/>
          <w:rFonts w:ascii="Times New Roman;Times;serif" w:hAnsi="Times New Roman;Times;serif"/>
        </w:rPr>
        <w:fldChar w:fldCharType="end"/>
      </w:r>
      <w:r>
        <w:rPr>
          <w:rFonts w:ascii="Times New Roman;Times;serif" w:hAnsi="Times New Roman;Times;serif"/>
          <w:sz w:val="20"/>
        </w:rPr>
        <w:t>” of our most recent Annual Report on Form 10-K, and in “</w:t>
      </w:r>
      <w:r>
        <w:fldChar w:fldCharType="begin"/>
      </w:r>
      <w:r>
        <w:rPr>
          <w:rStyle w:val="InternetLink"/>
          <w:sz w:val="20"/>
          <w:i/>
          <w:b w:val="false"/>
          <w:rFonts w:ascii="Times New Roman;Times;serif" w:hAnsi="Times New Roman;Times;serif"/>
        </w:rPr>
        <w:instrText xml:space="preserve"> HYPERLINK "https://www.sec.gov/Archives/edgar/data/1653384/000095017024125299/rway-20240930.htm" \l "item1legalproceedings_844818"</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Part II, Item 1. Legal Proceedings</w:t>
      </w:r>
      <w:r>
        <w:rPr>
          <w:rStyle w:val="InternetLink"/>
          <w:sz w:val="20"/>
          <w:i/>
          <w:b w:val="false"/>
          <w:rFonts w:ascii="Times New Roman;Times;serif" w:hAnsi="Times New Roman;Times;serif"/>
        </w:rPr>
        <w:fldChar w:fldCharType="end"/>
      </w:r>
      <w:r>
        <w:rPr>
          <w:rFonts w:ascii="Times New Roman;Times;serif" w:hAnsi="Times New Roman;Times;serif"/>
          <w:sz w:val="20"/>
        </w:rPr>
        <w:t>” of our most recent Quarterly Report on Form 10-Q are incorporated herein by reference.</w:t>
      </w:r>
    </w:p>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sz w:val="20"/>
        </w:rPr>
      </w:pPr>
      <w:bookmarkStart w:id="186" w:name="Tc_R2Q7QE8bIUGs0h0vulyJiA_45_10"/>
      <w:bookmarkStart w:id="187" w:name="Tc_bpYDuZclWkubRrLXrstT9w_45_8"/>
      <w:bookmarkStart w:id="188" w:name="Tc_WpvId37BG0a5tuMcfRKyAg_45_5"/>
      <w:bookmarkStart w:id="189" w:name="Tc_a50yROiSNEm33jBjopvRKg_45_2"/>
      <w:bookmarkStart w:id="190" w:name="Tc_ALTkUnJLx0yuM8E0gdZHew_45_0"/>
      <w:bookmarkStart w:id="191" w:name="Tc_ECwf4jmIl0-4dJ-kLD7M7g_44_10"/>
      <w:bookmarkStart w:id="192" w:name="Tc_iO3my5H-T0C_LvijkbFIYw_44_8"/>
      <w:bookmarkStart w:id="193" w:name="Tc_YMZXkPT2LUuclsk9dL4tuQ_44_5"/>
      <w:bookmarkStart w:id="194" w:name="Tc_cMa0Qrpl-kOMsinxObpp7w_44_2"/>
      <w:bookmarkStart w:id="195" w:name="Tc_vWV4nni9Ek6rFVuqgaxcZg_44_0"/>
      <w:bookmarkStart w:id="196" w:name="Tc_61EDJUAGLkqnQ7zoCrOL8A_43_10"/>
      <w:bookmarkStart w:id="197" w:name="Tc_7HprgkOcKE2vt-G8MboQDg_43_8"/>
      <w:bookmarkStart w:id="198" w:name="Tc_Vmxt56Crj02rAPt75QuPiA_43_5"/>
      <w:bookmarkStart w:id="199" w:name="Tc_guPYIvlHrk-5jfIM0bL1QQ_43_2"/>
      <w:bookmarkStart w:id="200" w:name="Tc__JpHzZ1o5EqTteGrrgg2dA_43_0"/>
      <w:bookmarkStart w:id="201" w:name="Tc_PjjdXlyrS0aJtQNN0D4hUA_42_10"/>
      <w:bookmarkStart w:id="202" w:name="Tc_YUkePo5gOUeZsZFsKbKGxg_42_8"/>
      <w:bookmarkStart w:id="203" w:name="Tc_qSE-H64sjEqiwZTD3CykXA_42_5"/>
      <w:bookmarkStart w:id="204" w:name="Tc_AfvDZUcVFUGZFCL7D9ffzg_42_2"/>
      <w:bookmarkStart w:id="205" w:name="Tc_qBB_C5xxokuPR8pER-TQ4w_42_0"/>
      <w:bookmarkStart w:id="206" w:name="Tc_git0Uk6LrEeEuuRt74ZUww_41_10"/>
      <w:bookmarkStart w:id="207" w:name="Tc_hmzC2JT30kW7-TkpptGV4g_41_8"/>
      <w:bookmarkStart w:id="208" w:name="Tc_be17pHlXk06ZBRtQWJlQtg_41_5"/>
      <w:bookmarkStart w:id="209" w:name="Tc_jb7JBn4JE0iA_mkfQtyKJA_41_2"/>
      <w:bookmarkStart w:id="210" w:name="Tc_TtGDVvALTkefcaAlNT2LDw_41_0"/>
      <w:bookmarkStart w:id="211" w:name="Tc_cLQ8mJduM06WuAFCR16Bpg_40_10"/>
      <w:bookmarkStart w:id="212" w:name="Tc_M9u8MJ_6wEa3wNfTIqBA5A_40_8"/>
      <w:bookmarkStart w:id="213" w:name="Tc_wRWp31I1CkWNYhrGj09Hlw_40_5"/>
      <w:bookmarkStart w:id="214" w:name="Tc_6HmwTh_B2k62AmSbo1Hwlg_40_2"/>
      <w:bookmarkStart w:id="215" w:name="Tc_Gropwe5uq0Wuz1ntaI5VHg_40_0"/>
      <w:bookmarkStart w:id="216" w:name="Tc_58tspn0Rx0eq3Infdf2a-Q_39_10"/>
      <w:bookmarkStart w:id="217" w:name="Tc_NMdaajJAK0O8KylKVp6JEA_39_8"/>
      <w:bookmarkStart w:id="218" w:name="Tc_yJm9XVePAUSRguLDWvk9pg_39_5"/>
      <w:bookmarkStart w:id="219" w:name="Tc_TCHTNibjH02VcIQgik9TvA_39_2"/>
      <w:bookmarkStart w:id="220" w:name="Tc_PYzzjmQGx0KiBpsJE98MOg_39_0"/>
      <w:bookmarkStart w:id="221" w:name="Tc_5fKaIcrLsUSHVbg36USBFg_38_0"/>
      <w:bookmarkStart w:id="222" w:name="Tc_OtkKw1p9PUyo_RbocoJh9g_37_10"/>
      <w:bookmarkStart w:id="223" w:name="Tc__DbY1kc3Zk2nC41QEJJBMQ_37_8"/>
      <w:bookmarkStart w:id="224" w:name="Tc_IjE27YVZ5ki_GkResns7jQ_37_5"/>
      <w:bookmarkStart w:id="225" w:name="Tc_yPB0MVJv0USx2dlNfOP8DQ_37_2"/>
      <w:bookmarkStart w:id="226" w:name="Tc_KWZqmpVKpEGVyFHyDKeRmw_37_0"/>
      <w:bookmarkStart w:id="227" w:name="Tc_nHswOm7S80-xsqTfXLHe6w_36_10"/>
      <w:bookmarkStart w:id="228" w:name="Tc_cvMpjIjg2U6rUng7V_bo8g_36_8"/>
      <w:bookmarkStart w:id="229" w:name="Tc_IpNSyS9glkqDDloaESlx9A_36_6"/>
      <w:bookmarkStart w:id="230" w:name="Tc_dTT1L6-3pE6sp0ubHenp0g_36_5"/>
      <w:bookmarkStart w:id="231" w:name="Tc_ZAi5tDGRhUmlKz9VsBbm6Q_36_3"/>
      <w:bookmarkStart w:id="232" w:name="Tc_G-8phs9bm060v6n7LUc9dw_36_2"/>
      <w:bookmarkStart w:id="233" w:name="Tc_DzqUXfS110iUb11TBYSrGg_36_0"/>
      <w:bookmarkStart w:id="234" w:name="Tc_jfcdv0T-oEKDk9SvsDMcyA_35_10"/>
      <w:bookmarkStart w:id="235" w:name="Tc__mpvYJUqnkqtSaN9AA9PjQ_35_8"/>
      <w:bookmarkStart w:id="236" w:name="Tc_oNKHiQt5UUCcR67AL4V6JQ_35_6"/>
      <w:bookmarkStart w:id="237" w:name="Tc_Yc4rhi89IE63Y2Ak_YVU1A_35_5"/>
      <w:bookmarkStart w:id="238" w:name="Tc_el3r-N9aZ0iSW-qZ5FDW4A_35_3"/>
      <w:bookmarkStart w:id="239" w:name="Tc_u66jGXwyY0GuN4G88_UC6w_35_2"/>
      <w:bookmarkStart w:id="240" w:name="Tc_hRpzLYjP5EGBvD5eBWONjw_35_0"/>
      <w:bookmarkStart w:id="241" w:name="Tc_Axo1ZgWoqU2i1G1VTNCGBA_34_10"/>
      <w:bookmarkStart w:id="242" w:name="Tc_3PSjVePcS0qzwLsyroyXYg_34_8"/>
      <w:bookmarkStart w:id="243" w:name="Tc_Ra6cAAbGn0qMqpVAhpGZGQ_34_6"/>
      <w:bookmarkStart w:id="244" w:name="Tc_ywPsJ_2iKkG7a0Y48xcZ6w_34_5"/>
      <w:bookmarkStart w:id="245" w:name="Tc_CFai1GKmjki6mWVHdCLCGQ_34_3"/>
      <w:bookmarkStart w:id="246" w:name="Tc_MF_h0B__50SwcSoSluPT_w_34_2"/>
      <w:bookmarkStart w:id="247" w:name="Tc_dlbse76ptUu9_jvl07S1hg_34_0"/>
      <w:bookmarkStart w:id="248" w:name="Tc_VWvq5eQoIESNBWcj6EJy7A_33_10"/>
      <w:bookmarkStart w:id="249" w:name="Tc_4v-937gaEUK32dn7lH9EkA_33_8"/>
      <w:bookmarkStart w:id="250" w:name="Tc_lzFIA3abkE6PeGQbS-arTA_33_6"/>
      <w:bookmarkStart w:id="251" w:name="Tc_S7W5QthD9EqWHnHFl3VkCQ_33_5"/>
      <w:bookmarkStart w:id="252" w:name="Tc_cRYPqx7RYEKjwwQ453Z-OA_33_3"/>
      <w:bookmarkStart w:id="253" w:name="Tc_3pcDKBmXMEyYNJ2XGL6zMg_33_2"/>
      <w:bookmarkStart w:id="254" w:name="Tc_CkRgCaFI7EKAekF3_2-Zkg_33_0"/>
      <w:bookmarkStart w:id="255" w:name="Tc_O0m-8WTpLE2XdQjFDw4iag_32_10"/>
      <w:bookmarkStart w:id="256" w:name="Tc_P0IsD_nhLEe9_uIfprOELw_32_8"/>
      <w:bookmarkStart w:id="257" w:name="Tc_jV_PRacNnUWwNY1SuX3BxQ_32_6"/>
      <w:bookmarkStart w:id="258" w:name="Tc_n9E_I7VkBkWVaMc5Fm_cLQ_32_5"/>
      <w:bookmarkStart w:id="259" w:name="Tc_pFboc-YHcEOf-0Lxvua8wA_32_3"/>
      <w:bookmarkStart w:id="260" w:name="Tc_tu7be29nokaG1BrXTzePag_32_2"/>
      <w:bookmarkStart w:id="261" w:name="Tc_23N1Tder8U6qNjf6SCeUnQ_32_0"/>
      <w:bookmarkStart w:id="262" w:name="Tc_39PQPejLcEy4bw6cA06z0g_31_10"/>
      <w:bookmarkStart w:id="263" w:name="Tc_66O8x3iE90SWHD5YnPNKOQ_31_8"/>
      <w:bookmarkStart w:id="264" w:name="Tc_HYz5xasOoU2-vRBElj2VTA_31_6"/>
      <w:bookmarkStart w:id="265" w:name="Tc_IrcdQ58hsEap2tw4FtfQGA_31_5"/>
      <w:bookmarkStart w:id="266" w:name="Tc_JxNlxvCx6U6R1A8F2LVz8Q_31_3"/>
      <w:bookmarkStart w:id="267" w:name="Tc_IP0R346ToEuu4bcKFbMBhA_31_2"/>
      <w:bookmarkStart w:id="268" w:name="Tc_GvD9jTonskCzQBxXP6FBvg_31_0"/>
      <w:bookmarkStart w:id="269" w:name="Tc_NdIq3EnoVkOTfWo6vaONSw_30_0"/>
      <w:bookmarkStart w:id="270" w:name="Tc_ryFuTl7_sUCRcGNibNJbmw_29_10"/>
      <w:bookmarkStart w:id="271" w:name="Tc_NfrPlVXadUi_wchJ9837yg_29_8"/>
      <w:bookmarkStart w:id="272" w:name="Tc_lsHH_LHUWUSvFgzJ8z1XwQ_29_6"/>
      <w:bookmarkStart w:id="273" w:name="Tc_edfd8-gcMU64OtN9fdqNdA_29_5"/>
      <w:bookmarkStart w:id="274" w:name="Tc_6AOUNtcDCkqkcWckrRCsuQ_29_3"/>
      <w:bookmarkStart w:id="275" w:name="Tc_NsCMDx2YVkS6kQ5TM7CofA_29_2"/>
      <w:bookmarkStart w:id="276" w:name="Tc_tGJA0TlHNEmLBq57YxOaCQ_29_0"/>
      <w:bookmarkStart w:id="277" w:name="Tc_hzqkcrDEBUaNTuUykzhEoA_28_10"/>
      <w:bookmarkStart w:id="278" w:name="Tc_VpLWpKzBZU-5lBFPDOhAng_28_8"/>
      <w:bookmarkStart w:id="279" w:name="Tc_Jmh-SdGE60SM84mLeQ4Krg_28_5"/>
      <w:bookmarkStart w:id="280" w:name="Tc_1UM7DgHSuUG1JnV1Qq03tw_28_2"/>
      <w:bookmarkStart w:id="281" w:name="Tc_6EcZ1k0xtE6idXQdFGpU9A_28_0"/>
      <w:bookmarkStart w:id="282" w:name="Tc_oP4qN1eQn02Vo3C7-YQrlQ_27_10"/>
      <w:bookmarkStart w:id="283" w:name="Tc_r12PLx96yESKE8IUJ1RMyg_27_8"/>
      <w:bookmarkStart w:id="284" w:name="Tc_5Zp5oRGcSUu7xuL2XagAHQ_27_5"/>
      <w:bookmarkStart w:id="285" w:name="Tc_kKs9On1YPEewgY-NsPCCrw_27_2"/>
      <w:bookmarkStart w:id="286" w:name="Tc_5SCQinkXRkGHrJiPZDdYUA_27_0"/>
      <w:bookmarkStart w:id="287" w:name="Tc_dAWeI1iBnkOs52DGPNPRPg_26_10"/>
      <w:bookmarkStart w:id="288" w:name="Tc_4IM5_bKxHkO7pNWVHgIFMw_26_8"/>
      <w:bookmarkStart w:id="289" w:name="Tc_GM1hzNPO-UC8WVkx9KDjyQ_26_5"/>
      <w:bookmarkStart w:id="290" w:name="Tc_HaNpEr-4rUWvHOT9oPU_lw_26_2"/>
      <w:bookmarkStart w:id="291" w:name="Tc_5rOLc3Ef3kSaIw12aEsw-w_26_0"/>
      <w:bookmarkStart w:id="292" w:name="Tc_VMPwQZa-J0yOBXLLETAMpA_25_10"/>
      <w:bookmarkStart w:id="293" w:name="Tc_yQiaHdwSeUGSfIEg8f4Gag_25_8"/>
      <w:bookmarkStart w:id="294" w:name="Tc_dA-E1eR3DkqY65BsPTsDYQ_25_5"/>
      <w:bookmarkStart w:id="295" w:name="Tc_XP3zqC12XkGjP6O9_vQtxQ_25_2"/>
      <w:bookmarkStart w:id="296" w:name="Tc_HJj_BoHRLEOLfcjuC8UbGw_25_0"/>
      <w:bookmarkStart w:id="297" w:name="Tc_g4lyxzYK5EuHS3gpHSgBBQ_24_10"/>
      <w:bookmarkStart w:id="298" w:name="Tc_O5rCPld7oUWIks_NtOgOpQ_24_8"/>
      <w:bookmarkStart w:id="299" w:name="Tc_cTzJDPqIP0Ohoh4J65HNOg_24_5"/>
      <w:bookmarkStart w:id="300" w:name="Tc_x4s6FpxLOUSecK7S1GM87A_24_2"/>
      <w:bookmarkStart w:id="301" w:name="Tc_7d0HwmC7l0iV6M8-mdR1DQ_24_0"/>
      <w:bookmarkStart w:id="302" w:name="Tc_Q2V1Jw2mgkmr3SPPuqsxoA_23_10"/>
      <w:bookmarkStart w:id="303" w:name="Tc_MjiodfRLFUCeMeOK7hHiIQ_23_8"/>
      <w:bookmarkStart w:id="304" w:name="Tc_dw7mNy9jjEWhJ1UmV_kmBQ_23_5"/>
      <w:bookmarkStart w:id="305" w:name="Tc_Y8yMfH9h3kK4WGXFcuSRlw_23_2"/>
      <w:bookmarkStart w:id="306" w:name="Tc_v1py-op7Y0u0hehaCjOyjg_23_0"/>
      <w:bookmarkStart w:id="307" w:name="Tc_3ry0RxG7Bki6ogAsnIHumA_22_0"/>
      <w:bookmarkStart w:id="308" w:name="Tc_Q7nqlFMcB0iVJa2bLG4rZQ_21_10"/>
      <w:bookmarkStart w:id="309" w:name="Tc_sZPnHPEARUKenRJ9-bBQNg_21_8"/>
      <w:bookmarkStart w:id="310" w:name="Tc_eNgKcet6w0KPFh6INdHdYA_21_6"/>
      <w:bookmarkStart w:id="311" w:name="Tc_Z6YncwAo-UWVGHVxODKJeQ_21_5"/>
      <w:bookmarkStart w:id="312" w:name="Tc_I42O4Umwkkaxj5yGJQEUJA_21_3"/>
      <w:bookmarkStart w:id="313" w:name="Tc_RQYnRPgGfE6y0KfC4nurEA_21_2"/>
      <w:bookmarkStart w:id="314" w:name="Tc_0xS6FbHaf0OYkYSi4FF6eg_21_0"/>
      <w:bookmarkStart w:id="315" w:name="Tc_ZQXy3i8ppUqtNLZJvi4yDg_20_10"/>
      <w:bookmarkStart w:id="316" w:name="Tc_2IGyhu_Kb0aSTCplr-gQ8A_20_8"/>
      <w:bookmarkStart w:id="317" w:name="Tc_cr5ay4B5U0KTXyEM_YZhyQ_20_6"/>
      <w:bookmarkStart w:id="318" w:name="Tc__Xq9p64JwUeV42gYmisn_Q_20_5"/>
      <w:bookmarkStart w:id="319" w:name="Tc_AGkcjXin00uThUm4Lkx-PQ_20_3"/>
      <w:bookmarkStart w:id="320" w:name="Tc_Uiega0JfO0iCuOtv8JOXwQ_20_2"/>
      <w:bookmarkStart w:id="321" w:name="Tc_zukD_SsSqkyVIYLKmgPgCA_20_0"/>
      <w:bookmarkStart w:id="322" w:name="Tc_vFtiUy1hb0mzUuXJFN2bNQ_19_10"/>
      <w:bookmarkStart w:id="323" w:name="Tc_s-lTKM82NkOiKKx20siCMQ_19_8"/>
      <w:bookmarkStart w:id="324" w:name="Tc_XahJqlIzjki0IrX2QoMrWg_19_6"/>
      <w:bookmarkStart w:id="325" w:name="Tc_fLoVRsvIGEi91e9VLaBZWw_19_5"/>
      <w:bookmarkStart w:id="326" w:name="Tc_K5k8Ac3CX0i5ljPe7fLmww_19_3"/>
      <w:bookmarkStart w:id="327" w:name="Tc_8ZDV-_Mdp0yHMEg2I_LtGA_19_2"/>
      <w:bookmarkStart w:id="328" w:name="Tc_0ElxaODGy0y0krKsqZhbPw_19_0"/>
      <w:bookmarkStart w:id="329" w:name="Tc__6Laynz6uU-V1NPkkrqbCA_18_10"/>
      <w:bookmarkStart w:id="330" w:name="Tc_Jsriymp8sUGQSdFXFQOOsw_18_8"/>
      <w:bookmarkStart w:id="331" w:name="Tc_wiysB6nEVUeoeUgNGa3jRg_18_5"/>
      <w:bookmarkStart w:id="332" w:name="Tc_oBhZ0qVXeUqipQ8Ya6tWAQ_18_2"/>
      <w:bookmarkStart w:id="333" w:name="Tc_QFsjuFpC_UK-xmaU7R-rLw_18_0"/>
      <w:bookmarkStart w:id="334" w:name="Tc_Yat_7ENmyUKuRrmxMntIyQ_17_10"/>
      <w:bookmarkStart w:id="335" w:name="Tc_Kvto7czpA0mwkScOn4Ebqw_17_8"/>
      <w:bookmarkStart w:id="336" w:name="Tc_9TAy1htO9kOHSC5GTOojAA_17_5"/>
      <w:bookmarkStart w:id="337" w:name="Tc_a1l2gNUNk0eCYtl5Yz-5QQ_17_2"/>
      <w:bookmarkStart w:id="338" w:name="Tc_p9ehQ7I0aU-a5Pwr2MH11w_17_0"/>
      <w:bookmarkStart w:id="339" w:name="Tc_GtwnsMoRhECpvRzM6PJeXA_16_10"/>
      <w:bookmarkStart w:id="340" w:name="Tc_Gfjp8Ca79EWUJGGJAVdAXA_16_8"/>
      <w:bookmarkStart w:id="341" w:name="Tc_BfLp3PYtf0Wydb1WSuCoyg_16_5"/>
      <w:bookmarkStart w:id="342" w:name="Tc_Fjhv7KvXMkqpy4h3FY5reg_16_2"/>
      <w:bookmarkStart w:id="343" w:name="Tc_C1r08jKWA0mfdaartMgxKw_16_0"/>
      <w:bookmarkStart w:id="344" w:name="Tc_UVjAiDE9S0eWWVMxRhS6-A_15_10"/>
      <w:bookmarkStart w:id="345" w:name="Tc_WJM77VfK7Uyi9r2JQG3gXg_15_8"/>
      <w:bookmarkStart w:id="346" w:name="Tc_Y69yAd0BJkyjygkCZYARQQ_15_5"/>
      <w:bookmarkStart w:id="347" w:name="Tc_aAidQ58gxk-zX5NqWPjxPw_15_2"/>
      <w:bookmarkStart w:id="348" w:name="Tc_cnrg9TT1Akqp3dPrG6zOng_15_0"/>
      <w:bookmarkStart w:id="349" w:name="Tc_2zn08g0iMkucnNnH-9Y1mQ_14_0"/>
      <w:bookmarkStart w:id="350" w:name="Tc_VYFY4VgOGk2oOz9vr6MArQ_13_10"/>
      <w:bookmarkStart w:id="351" w:name="Tc_brigvQzxrEmeSlJyFOiFNw_13_8"/>
      <w:bookmarkStart w:id="352" w:name="Tc_3VYLFt6jrUOf7tZeX1HFJQ_13_6"/>
      <w:bookmarkStart w:id="353" w:name="Tc__NQELGRvS0ujdysVREYNeQ_13_5"/>
      <w:bookmarkStart w:id="354" w:name="Tc_0tH0EVJC_02z8Xi0hY1tBw_13_3"/>
      <w:bookmarkStart w:id="355" w:name="Tc_p7AT-BNkGkul2EAutUdc3A_13_2"/>
      <w:bookmarkStart w:id="356" w:name="Tc_C_XLhFPzHUe1_ATNTzaXaw_13_0"/>
      <w:bookmarkStart w:id="357" w:name="Tc_KejP0zRiuU27rv11D6iHMQ_12_10"/>
      <w:bookmarkStart w:id="358" w:name="Tc_ZFO1W0Wnn0-07ijZebceoQ_12_8"/>
      <w:bookmarkStart w:id="359" w:name="Tc_SxFRIoVXnUOSzNhXe26gAQ_12_6"/>
      <w:bookmarkStart w:id="360" w:name="Tc_RNwXUyhOcEGjU7Va5SOYyw_12_5"/>
      <w:bookmarkStart w:id="361" w:name="Tc_3gPmPIsCOEW11wGGoAoElg_12_3"/>
      <w:bookmarkStart w:id="362" w:name="Tc_WfwNhbbFQUGE8FQl3Ms0DQ_12_2"/>
      <w:bookmarkStart w:id="363" w:name="Tc_VRxIiB00EkWNwL7q3dlYKw_12_0"/>
      <w:bookmarkStart w:id="364" w:name="Tc_HGaLeYngCUqg5tFMMrLapg_11_10"/>
      <w:bookmarkStart w:id="365" w:name="Tc_hfGM-h2Fu0-gmJws-JarMA_11_8"/>
      <w:bookmarkStart w:id="366" w:name="Tc_CdaOzz80vEGe9cB6uu1uQg_11_6"/>
      <w:bookmarkStart w:id="367" w:name="Tc_8mAkB9Afxk-6583QAImBYg_11_5"/>
      <w:bookmarkStart w:id="368" w:name="Tc_HjqwZuR7z0aNm1brbB57kQ_11_3"/>
      <w:bookmarkStart w:id="369" w:name="Tc_1HqBbnkTdU24AaMNxqW6lA_11_2"/>
      <w:bookmarkStart w:id="370" w:name="Tc_Jw-fkJ5FKU2mtdQP2rNB9Q_11_0"/>
      <w:bookmarkStart w:id="371" w:name="Tc_d9DYS4xm4EWnGVMIEwIdFw_10_10"/>
      <w:bookmarkStart w:id="372" w:name="Tc_ZWuLKMTy-UaJ5glxxXniMA_10_8"/>
      <w:bookmarkStart w:id="373" w:name="Tc_FYjyPJT0W0eBChMkqR-BpQ_10_6"/>
      <w:bookmarkStart w:id="374" w:name="Tc_8tgQOO4j1UC6RPTw3McnTA_10_5"/>
      <w:bookmarkStart w:id="375" w:name="Tc__3qrAKQ2mU68ySz7dl_GZA_10_3"/>
      <w:bookmarkStart w:id="376" w:name="Tc_Vp9s-kmfPEi2pykEFvh1xQ_10_2"/>
      <w:bookmarkStart w:id="377" w:name="Tc_UuG8pikdxECx06lW6vJ8XA_10_0"/>
      <w:bookmarkStart w:id="378" w:name="Tc_eHZpCAOUb0eVdU5eildj9Q_9_10"/>
      <w:bookmarkStart w:id="379" w:name="Tc_Y1aqxqWsTUKxgpu-m-G6BQ_9_8"/>
      <w:bookmarkStart w:id="380" w:name="Tc_IE33c8o1dEe3WvxJC86OiQ_9_5"/>
      <w:bookmarkStart w:id="381" w:name="Tc_yENlZDMH7UyDzo-Qhr1www_9_2"/>
      <w:bookmarkStart w:id="382" w:name="Tc_9w32OD-LokiPb5ewHYEngw_9_0"/>
      <w:bookmarkStart w:id="383" w:name="Tc_gVto4kjUkUmVr795gSSt5w_8_10"/>
      <w:bookmarkStart w:id="384" w:name="Tc_FgieJr2Yw06UcLISuFXhmA_8_8"/>
      <w:bookmarkStart w:id="385" w:name="Tc_sA7sqLCBP0eGJBZzSAHegQ_8_5"/>
      <w:bookmarkStart w:id="386" w:name="Tc_fie9K1yQmU-1SBk0zjUzKw_8_2"/>
      <w:bookmarkStart w:id="387" w:name="Tc_sdBfNYonTUeoLkGjpWvjZQ_8_0"/>
      <w:bookmarkStart w:id="388" w:name="Tc_GFsFxWZlS02HWsAQ3yiNWQ_7_10"/>
      <w:bookmarkStart w:id="389" w:name="Tc_3CL2CDnqNEOaxB4rUvcUwA_7_8"/>
      <w:bookmarkStart w:id="390" w:name="Tc_M-a1CS9pr06O43ZILcIl7g_7_5"/>
      <w:bookmarkStart w:id="391" w:name="Tc_NHpTv8MKQU-cQQdbqIqrqA_7_2"/>
      <w:bookmarkStart w:id="392" w:name="Tc_AQd_p2Ng_0iBMIV3n62zjQ_7_0"/>
      <w:bookmarkStart w:id="393" w:name="Tc_XGwUlrcpckODNAaDpmhcFQ_6_0"/>
      <w:bookmarkStart w:id="394" w:name="Tc_97rymlB0KUiqZdLfB7NIdA_5_10"/>
      <w:bookmarkStart w:id="395" w:name="Tc_qYAWG-D0fkmGDoJCOovIKg_5_8"/>
      <w:bookmarkStart w:id="396" w:name="Tc_dDQ9NrpQjEiI8-i2LC1Rmw_5_5"/>
      <w:bookmarkStart w:id="397" w:name="Tc_udiGAU8sbkyFQRAiWiwU4Q_5_2"/>
      <w:bookmarkStart w:id="398" w:name="Tc_t7D19FhxKkqQLQgV_B6wWQ_5_0"/>
      <w:bookmarkStart w:id="399" w:name="Tc_dY8b-H8qAkGR376iNaMGHg_4_10"/>
      <w:bookmarkStart w:id="400" w:name="Tc_dL-S3FnuE0KyAMtXQqLeHA_4_8"/>
      <w:bookmarkStart w:id="401" w:name="Tc_W0Bw2UNMjEqErJCXrAz-og_4_5"/>
      <w:bookmarkStart w:id="402" w:name="Tc_DCboKNJ8xUyBS6vTNXhhjw_4_2"/>
      <w:bookmarkStart w:id="403" w:name="Tc_G6nzE3Lo5Ei5VX5YhJfmWA_3_10"/>
      <w:bookmarkStart w:id="404" w:name="Tc_uNlxwgyyoUWNLJLpZ_4LIg_3_8"/>
      <w:bookmarkStart w:id="405" w:name="Tc_Mn0ZnIaeD0G94UIiE85NWw_3_5"/>
      <w:bookmarkStart w:id="406" w:name="Tc_dQJKSpcpo0e2ZhSsuI0EPw_3_2"/>
      <w:bookmarkStart w:id="407" w:name="Tc_WRcUIVl4oUeqCJA1w1uicg_2_8"/>
      <w:bookmarkStart w:id="408" w:name="Tc_JhGLKxRAHUiax2Tjz27tMw_2_2"/>
      <w:bookmarkStart w:id="409" w:name="Tc_c4BCNZKhDUWZ3MrLaxPELA_1_2"/>
      <w:bookmarkStart w:id="410" w:name="_f2062f5f_b84e_4a02_b0f9_c8bca2591ad4"/>
      <w:bookmarkStart w:id="411" w:name="SENIORSECURITIES_884033"/>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ascii="Times New Roman;Times;serif" w:hAnsi="Times New Roman;Times;serif"/>
          <w:b/>
          <w:sz w:val="20"/>
        </w:rPr>
        <w:t>SENIOR SECURITIES</w:t>
      </w:r>
    </w:p>
    <w:p>
      <w:pPr>
        <w:pStyle w:val="TextBody"/>
        <w:bidi w:val="0"/>
        <w:spacing w:before="0" w:after="240"/>
        <w:ind w:left="200" w:right="200" w:firstLine="360"/>
        <w:jc w:val="left"/>
        <w:rPr/>
      </w:pPr>
      <w:r>
        <w:rPr>
          <w:rFonts w:ascii="Times New Roman;Times;serif" w:hAnsi="Times New Roman;Times;serif"/>
          <w:sz w:val="20"/>
        </w:rPr>
        <w:t xml:space="preserve">Information about our senior securities as of the fiscal years ended December 31, 2023, December 31, 2022, December 31, 2021, December 31, 2020, December 31, 2019, and December 31, 2018 is located in </w:t>
      </w:r>
      <w:hyperlink r:id="rId34">
        <w:r>
          <w:rPr>
            <w:rStyle w:val="InternetLink"/>
            <w:rFonts w:ascii="Times New Roman;Times;serif" w:hAnsi="Times New Roman;Times;serif"/>
            <w:b w:val="false"/>
            <w:i/>
            <w:sz w:val="20"/>
          </w:rPr>
          <w:t>Part II</w:t>
        </w:r>
      </w:hyperlink>
      <w:r>
        <w:rPr>
          <w:rFonts w:ascii="Times New Roman;Times;serif" w:hAnsi="Times New Roman;Times;serif"/>
          <w:i/>
          <w:sz w:val="20"/>
        </w:rPr>
        <w:t xml:space="preserve">, Item 8, </w:t>
      </w:r>
      <w:hyperlink r:id="rId35">
        <w:r>
          <w:rPr>
            <w:rStyle w:val="InternetLink"/>
            <w:rFonts w:ascii="Times New Roman;Times;serif" w:hAnsi="Times New Roman;Times;serif"/>
            <w:b w:val="false"/>
            <w:i/>
            <w:sz w:val="20"/>
          </w:rPr>
          <w:t>Note 7</w:t>
        </w:r>
      </w:hyperlink>
      <w:hyperlink r:id="rId36">
        <w:r>
          <w:rPr>
            <w:rStyle w:val="InternetLink"/>
            <w:rFonts w:ascii="Times New Roman;Times;serif" w:hAnsi="Times New Roman;Times;serif"/>
            <w:caps w:val="false"/>
            <w:smallCaps w:val="false"/>
            <w:sz w:val="20"/>
          </w:rPr>
          <w:t xml:space="preserve"> </w:t>
        </w:r>
      </w:hyperlink>
      <w:hyperlink r:id="rId37">
        <w:r>
          <w:rPr>
            <w:rStyle w:val="InternetLink"/>
            <w:rFonts w:ascii="Times New Roman;Times;serif" w:hAnsi="Times New Roman;Times;serif"/>
            <w:b w:val="false"/>
            <w:i w:val="false"/>
            <w:caps w:val="false"/>
            <w:smallCaps w:val="false"/>
            <w:sz w:val="20"/>
          </w:rPr>
          <w:t xml:space="preserve">- </w:t>
        </w:r>
      </w:hyperlink>
      <w:hyperlink r:id="rId38">
        <w:r>
          <w:rPr>
            <w:rStyle w:val="InternetLink"/>
            <w:rFonts w:ascii="Times New Roman;Times;serif" w:hAnsi="Times New Roman;Times;serif"/>
            <w:b w:val="false"/>
            <w:i/>
            <w:sz w:val="20"/>
          </w:rPr>
          <w:t>Borrowings</w:t>
        </w:r>
      </w:hyperlink>
      <w:r>
        <w:rPr>
          <w:rFonts w:ascii="Times New Roman;Times;serif" w:hAnsi="Times New Roman;Times;serif"/>
          <w:sz w:val="20"/>
        </w:rPr>
        <w:t xml:space="preserve"> in our most recent annual report on Form 10-K and is incorporated by reference into the Registration Statement of which this prospectus, any accompanying prospectus supplement and any related free writing prospectus is part. </w:t>
      </w:r>
      <w:hyperlink r:id="rId39">
        <w:r>
          <w:rPr>
            <w:rStyle w:val="InternetLink"/>
            <w:rFonts w:ascii="Times New Roman;Times;serif" w:hAnsi="Times New Roman;Times;serif"/>
            <w:b w:val="false"/>
            <w:i/>
            <w:sz w:val="20"/>
          </w:rPr>
          <w:t>The report of RSM US, LLP</w:t>
        </w:r>
      </w:hyperlink>
      <w:r>
        <w:rPr>
          <w:rFonts w:ascii="Times New Roman;Times;serif" w:hAnsi="Times New Roman;Times;serif"/>
          <w:sz w:val="20"/>
        </w:rPr>
        <w:t>, our independent registered public accounting firm, on the audited consolidated financial statements as of December 31, 2023 and December 31, 2022, which include the senior securities table, is included in our most recent annual report on Form 10-K and is incorporated by reference into the Registration Statement of which this prospectus, any accompanying prospectus supplement and any related free writing prospectus is part.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Information about our senior securities is shown in the following table as of September 30, 2024 (unaudited) and December 31, 2023 (in thousands).</w:t>
      </w:r>
    </w:p>
    <w:tbl>
      <w:tblPr>
        <w:tblW w:w="6787" w:type="dxa"/>
        <w:jc w:val="left"/>
        <w:tblInd w:w="200" w:type="dxa"/>
        <w:tblLayout w:type="fixed"/>
        <w:tblCellMar>
          <w:top w:w="0" w:type="dxa"/>
          <w:left w:w="0" w:type="dxa"/>
          <w:bottom w:w="0" w:type="dxa"/>
          <w:right w:w="0" w:type="dxa"/>
        </w:tblCellMar>
      </w:tblPr>
      <w:tblGrid>
        <w:gridCol w:w="1966"/>
        <w:gridCol w:w="346"/>
        <w:gridCol w:w="219"/>
        <w:gridCol w:w="711"/>
        <w:gridCol w:w="346"/>
        <w:gridCol w:w="184"/>
        <w:gridCol w:w="521"/>
        <w:gridCol w:w="346"/>
        <w:gridCol w:w="841"/>
        <w:gridCol w:w="346"/>
        <w:gridCol w:w="961"/>
      </w:tblGrid>
      <w:tr>
        <w:trPr/>
        <w:tc>
          <w:tcPr>
            <w:tcW w:w="19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8410" cy="175260"/>
                      <wp:effectExtent l="0" t="0" r="0" b="0"/>
                      <wp:wrapNone/>
                      <wp:docPr id="159" name="Frame15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9065" cy="175260"/>
                      <wp:effectExtent l="0" t="0" r="0" b="0"/>
                      <wp:wrapNone/>
                      <wp:docPr id="161" name="Frame15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51485" cy="175260"/>
                      <wp:effectExtent l="0" t="0" r="0" b="0"/>
                      <wp:wrapNone/>
                      <wp:docPr id="162" name="Frame160"/>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16840" cy="175260"/>
                      <wp:effectExtent l="0" t="0" r="0" b="0"/>
                      <wp:wrapNone/>
                      <wp:docPr id="164" name="Frame162"/>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30835" cy="175260"/>
                      <wp:effectExtent l="0" t="0" r="0" b="0"/>
                      <wp:wrapNone/>
                      <wp:docPr id="165" name="Frame163"/>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34035" cy="175260"/>
                      <wp:effectExtent l="0" t="0" r="0" b="0"/>
                      <wp:wrapNone/>
                      <wp:docPr id="167" name="Frame1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10235" cy="175260"/>
                      <wp:effectExtent l="0" t="0" r="0" b="0"/>
                      <wp:wrapNone/>
                      <wp:docPr id="169" name="Frame16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Amount</w:t>
            </w:r>
          </w:p>
        </w:tc>
        <w:tc>
          <w:tcPr>
            <w:tcW w:w="346" w:type="dxa"/>
            <w:tcBorders/>
            <w:vAlign w:val="center"/>
          </w:tcPr>
          <w:p>
            <w:pPr>
              <w:pStyle w:val="TableContents"/>
              <w:bidi w:val="0"/>
              <w:spacing w:before="0" w:after="1"/>
              <w:ind w:left="0" w:right="0" w:hanging="0"/>
              <w:jc w:val="center"/>
              <w:rPr/>
            </w:pPr>
            <w:r>
              <w:rPr/>
              <w:t>​</w:t>
            </w:r>
          </w:p>
        </w:tc>
        <w:tc>
          <w:tcPr>
            <w:tcW w:w="184" w:type="dxa"/>
            <w:tcBorders/>
            <w:vAlign w:val="center"/>
          </w:tcPr>
          <w:p>
            <w:pPr>
              <w:pStyle w:val="TableContents"/>
              <w:bidi w:val="0"/>
              <w:spacing w:before="0" w:after="1"/>
              <w:ind w:left="0" w:right="0" w:hanging="0"/>
              <w:jc w:val="center"/>
              <w:rPr/>
            </w:pPr>
            <w:r>
              <w:rPr/>
              <w:t>​</w:t>
            </w:r>
          </w:p>
        </w:tc>
        <w:tc>
          <w:tcPr>
            <w:tcW w:w="5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19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346" w:type="dxa"/>
            <w:tcBorders/>
            <w:vAlign w:val="center"/>
          </w:tcPr>
          <w:p>
            <w:pPr>
              <w:pStyle w:val="TableContents"/>
              <w:bidi w:val="0"/>
              <w:spacing w:before="0" w:after="1"/>
              <w:ind w:left="0" w:right="0" w:hanging="0"/>
              <w:jc w:val="center"/>
              <w:rPr/>
            </w:pPr>
            <w:r>
              <w:rPr/>
              <w:t>​</w:t>
            </w:r>
          </w:p>
        </w:tc>
        <w:tc>
          <w:tcPr>
            <w:tcW w:w="184" w:type="dxa"/>
            <w:tcBorders/>
            <w:vAlign w:val="center"/>
          </w:tcPr>
          <w:p>
            <w:pPr>
              <w:pStyle w:val="TableContents"/>
              <w:bidi w:val="0"/>
              <w:spacing w:before="0" w:after="1"/>
              <w:ind w:left="0" w:right="0" w:hanging="0"/>
              <w:jc w:val="center"/>
              <w:rPr/>
            </w:pPr>
            <w:r>
              <w:rPr/>
              <w:t>​</w:t>
            </w:r>
          </w:p>
        </w:tc>
        <w:tc>
          <w:tcPr>
            <w:tcW w:w="5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Involuntary</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19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Exclusive of</w:t>
            </w:r>
          </w:p>
        </w:tc>
        <w:tc>
          <w:tcPr>
            <w:tcW w:w="346" w:type="dxa"/>
            <w:tcBorders/>
            <w:vAlign w:val="center"/>
          </w:tcPr>
          <w:p>
            <w:pPr>
              <w:pStyle w:val="TableContents"/>
              <w:bidi w:val="0"/>
              <w:spacing w:before="0" w:after="1"/>
              <w:ind w:left="0" w:right="0" w:hanging="0"/>
              <w:jc w:val="center"/>
              <w:rPr/>
            </w:pPr>
            <w:r>
              <w:rPr/>
              <w:t>​</w:t>
            </w:r>
          </w:p>
        </w:tc>
        <w:tc>
          <w:tcPr>
            <w:tcW w:w="70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Asset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Liquidating</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Average</w:t>
            </w:r>
          </w:p>
        </w:tc>
      </w:tr>
      <w:tr>
        <w:trPr/>
        <w:tc>
          <w:tcPr>
            <w:tcW w:w="19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1"/>
              <w:ind w:left="0" w:right="0" w:hanging="0"/>
              <w:jc w:val="center"/>
              <w:rPr/>
            </w:pPr>
            <w:r>
              <w:rPr/>
              <w:t> </w:t>
            </w:r>
          </w:p>
        </w:tc>
        <w:tc>
          <w:tcPr>
            <w:tcW w:w="70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Coverage</w:t>
            </w:r>
          </w:p>
        </w:tc>
        <w:tc>
          <w:tcPr>
            <w:tcW w:w="346" w:type="dxa"/>
            <w:tcBorders/>
            <w:vAlign w:val="center"/>
          </w:tcPr>
          <w:p>
            <w:pPr>
              <w:pStyle w:val="TableContents"/>
              <w:bidi w:val="0"/>
              <w:spacing w:before="0" w:after="1"/>
              <w:ind w:left="0" w:right="0" w:hanging="0"/>
              <w:jc w:val="center"/>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Preference</w:t>
            </w:r>
          </w:p>
        </w:tc>
        <w:tc>
          <w:tcPr>
            <w:tcW w:w="346" w:type="dxa"/>
            <w:tcBorders/>
            <w:vAlign w:val="center"/>
          </w:tcPr>
          <w:p>
            <w:pPr>
              <w:pStyle w:val="TableContents"/>
              <w:bidi w:val="0"/>
              <w:spacing w:before="0" w:after="1"/>
              <w:ind w:left="0" w:right="0" w:hanging="0"/>
              <w:jc w:val="center"/>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Market Value</w:t>
            </w:r>
          </w:p>
        </w:tc>
      </w:tr>
      <w:tr>
        <w:trPr/>
        <w:tc>
          <w:tcPr>
            <w:tcW w:w="19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Class and Period</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Securities</w:t>
            </w:r>
            <w:r>
              <w:rPr>
                <w:rFonts w:ascii="Times New Roman;Times;serif" w:hAnsi="Times New Roman;Times;serif"/>
                <w:b/>
                <w:sz w:val="11"/>
              </w:rPr>
              <w:t>(1)</w:t>
            </w:r>
          </w:p>
        </w:tc>
        <w:tc>
          <w:tcPr>
            <w:tcW w:w="346" w:type="dxa"/>
            <w:tcBorders/>
            <w:vAlign w:val="center"/>
          </w:tcPr>
          <w:p>
            <w:pPr>
              <w:pStyle w:val="TableContents"/>
              <w:bidi w:val="0"/>
              <w:spacing w:before="0" w:after="1"/>
              <w:ind w:left="0" w:right="0" w:hanging="0"/>
              <w:jc w:val="center"/>
              <w:rPr/>
            </w:pPr>
            <w:r>
              <w:rPr/>
              <w:t>  ​ ​ ​</w:t>
            </w:r>
          </w:p>
        </w:tc>
        <w:tc>
          <w:tcPr>
            <w:tcW w:w="70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per Unit</w:t>
            </w:r>
            <w:r>
              <w:rPr>
                <w:rFonts w:ascii="Times New Roman;Times;serif" w:hAnsi="Times New Roman;Times;serif"/>
                <w:b/>
                <w:sz w:val="11"/>
              </w:rPr>
              <w:t>(2)</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per Unit</w:t>
            </w:r>
            <w:r>
              <w:rPr>
                <w:rFonts w:ascii="Times New Roman;Times;serif" w:hAnsi="Times New Roman;Times;serif"/>
                <w:b/>
                <w:sz w:val="11"/>
              </w:rPr>
              <w:t>(3)</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4"/>
              </w:rPr>
            </w:pPr>
            <w:r>
              <w:rPr>
                <w:rFonts w:ascii="Times New Roman;Times;serif" w:hAnsi="Times New Roman;Times;serif"/>
                <w:b/>
                <w:sz w:val="14"/>
              </w:rPr>
              <w:t>per Unit</w:t>
            </w:r>
            <w:r>
              <w:rPr>
                <w:rFonts w:ascii="Times New Roman;Times;serif" w:hAnsi="Times New Roman;Times;serif"/>
                <w:b/>
                <w:sz w:val="11"/>
              </w:rPr>
              <w:t>(4)</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2027 Notes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2024 (unaudited)</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152,250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4,332</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152,250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4,593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152,250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4,784</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2019</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2018</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2026 Notes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2024 (unaudited)</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95,000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6,341</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6,759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70,000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9,229</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31,310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2019</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2018</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2024 (unaudited)</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302,000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2,680</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272,000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3,011</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337,000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2,709</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10,938</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99,000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5,710</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2019</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7,169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2018</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Credit Facility - CIBC</w:t>
            </w:r>
            <w:r>
              <w:rPr>
                <w:rFonts w:ascii="Times New Roman;Times;serif" w:hAnsi="Times New Roman;Times;serif"/>
                <w:b/>
                <w:sz w:val="11"/>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2024 (unaudited)</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2019</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2018</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59,500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3,813</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September 30, 2024 (unaudited)</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549,250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1,924</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2023</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519,250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2,054</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559,250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2,030</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2021</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8,484</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2020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99,000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5,710</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2019</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61,000</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7,169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December 31, 2018</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59,500</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3,813</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N/A</w:t>
            </w:r>
          </w:p>
        </w:tc>
      </w:tr>
    </w:tbl>
    <w:tbl>
      <w:tblPr>
        <w:tblW w:w="5282" w:type="dxa"/>
        <w:jc w:val="left"/>
        <w:tblInd w:w="200" w:type="dxa"/>
        <w:tblLayout w:type="fixed"/>
        <w:tblCellMar>
          <w:top w:w="0" w:type="dxa"/>
          <w:left w:w="0" w:type="dxa"/>
          <w:bottom w:w="0" w:type="dxa"/>
          <w:right w:w="0" w:type="dxa"/>
        </w:tblCellMar>
      </w:tblPr>
      <w:tblGrid>
        <w:gridCol w:w="346"/>
        <w:gridCol w:w="49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amount of each class of senior securities outstanding.</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303"/>
        <w:gridCol w:w="95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coverage per unit is the ratio of the carrying value of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tc>
      </w:tr>
    </w:tbl>
    <w:tbl>
      <w:tblPr>
        <w:tblW w:w="9805" w:type="dxa"/>
        <w:jc w:val="left"/>
        <w:tblInd w:w="200" w:type="dxa"/>
        <w:tblLayout w:type="fixed"/>
        <w:tblCellMar>
          <w:top w:w="0" w:type="dxa"/>
          <w:left w:w="0" w:type="dxa"/>
          <w:bottom w:w="0" w:type="dxa"/>
          <w:right w:w="0" w:type="dxa"/>
        </w:tblCellMar>
      </w:tblPr>
      <w:tblGrid>
        <w:gridCol w:w="308"/>
        <w:gridCol w:w="94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tc>
      </w:tr>
    </w:tbl>
    <w:tbl>
      <w:tblPr>
        <w:tblW w:w="6992" w:type="dxa"/>
        <w:jc w:val="left"/>
        <w:tblInd w:w="200" w:type="dxa"/>
        <w:tblLayout w:type="fixed"/>
        <w:tblCellMar>
          <w:top w:w="0" w:type="dxa"/>
          <w:left w:w="0" w:type="dxa"/>
          <w:bottom w:w="0" w:type="dxa"/>
          <w:right w:w="0" w:type="dxa"/>
        </w:tblCellMar>
      </w:tblPr>
      <w:tblGrid>
        <w:gridCol w:w="346"/>
        <w:gridCol w:w="66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because the senior securities are not registered for public trading.</w:t>
            </w:r>
          </w:p>
        </w:tc>
      </w:tr>
    </w:tbl>
    <w:tbl>
      <w:tblPr>
        <w:tblW w:w="9805" w:type="dxa"/>
        <w:jc w:val="left"/>
        <w:tblInd w:w="200" w:type="dxa"/>
        <w:tblLayout w:type="fixed"/>
        <w:tblCellMar>
          <w:top w:w="0" w:type="dxa"/>
          <w:left w:w="0" w:type="dxa"/>
          <w:bottom w:w="0" w:type="dxa"/>
          <w:right w:w="0" w:type="dxa"/>
        </w:tblCellMar>
      </w:tblPr>
      <w:tblGrid>
        <w:gridCol w:w="315"/>
        <w:gridCol w:w="94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2018, the Company entered into the credit facility with CIBC. On May 31, 2019, in conjunction with securing and entering into the new Credit Facility, the Company terminated the credit facility with CIBC.</w:t>
            </w:r>
          </w:p>
        </w:tc>
      </w:tr>
    </w:tbl>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12" w:name="PORTFOLIOCOMPANIES_318382"/>
      <w:bookmarkStart w:id="413" w:name="_d666219d_815c_45b1_b31e_e71b6f20942b"/>
      <w:bookmarkEnd w:id="412"/>
      <w:bookmarkEnd w:id="413"/>
      <w:r>
        <w:rPr>
          <w:rFonts w:ascii="Times New Roman;Times;serif" w:hAnsi="Times New Roman;Times;serif"/>
          <w:b/>
          <w:sz w:val="20"/>
        </w:rPr>
        <w:t>PORTFOLIO COMPANIES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following table sets forth certain information regarding each of the portfolio companies in which we had a debt or equity investment as of September 30, 2024. We may receive rights to observe the meetings of our portfolio companies’ </w:t>
      </w:r>
      <w:r>
        <w:rPr>
          <w:rFonts w:ascii="Times New Roman;Times;serif" w:hAnsi="Times New Roman;Times;serif"/>
          <w:color w:val="231F20"/>
          <w:sz w:val="20"/>
        </w:rPr>
        <w:t>board</w:t>
      </w:r>
      <w:r>
        <w:rPr>
          <w:rFonts w:ascii="Times New Roman;Times;serif" w:hAnsi="Times New Roman;Times;serif"/>
          <w:sz w:val="20"/>
        </w:rPr>
        <w:t xml:space="preserve"> of directors. Other than these investments, our only relationship with our portfolio companies are the managerial assistance we may separately provide to our portfolio companies, which services would be ancillary to our investments. As of September 30, 2024, one representative of the Adviser held positions on the board of directors of Snagajob.com, Inc., Coginiti Corp, and Gynesonics, Inc. As of September 30, 2024, the Adviser held responsibility for all managerial responsibilities of Pivot 3, Inc. As of September 30, 2024, with the exception of Pivot3, Inc., we did not “control” any of our portfolio companies as defined in the 1940 Act. As of September 30, 2024, with the exception of Coginiti Corp, and Gynesonics, Inc., we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Runway Growth Finance Corp.</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Schedule of Investments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September 30, 2024</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9805" w:type="dxa"/>
        <w:jc w:val="left"/>
        <w:tblInd w:w="200" w:type="dxa"/>
        <w:tblLayout w:type="fixed"/>
        <w:tblCellMar>
          <w:top w:w="0" w:type="dxa"/>
          <w:left w:w="0" w:type="dxa"/>
          <w:bottom w:w="0" w:type="dxa"/>
          <w:right w:w="0" w:type="dxa"/>
        </w:tblCellMar>
      </w:tblPr>
      <w:tblGrid>
        <w:gridCol w:w="954"/>
        <w:gridCol w:w="346"/>
        <w:gridCol w:w="864"/>
        <w:gridCol w:w="346"/>
        <w:gridCol w:w="700"/>
        <w:gridCol w:w="346"/>
        <w:gridCol w:w="791"/>
        <w:gridCol w:w="346"/>
        <w:gridCol w:w="595"/>
        <w:gridCol w:w="346"/>
        <w:gridCol w:w="576"/>
        <w:gridCol w:w="346"/>
        <w:gridCol w:w="451"/>
        <w:gridCol w:w="346"/>
        <w:gridCol w:w="716"/>
        <w:gridCol w:w="346"/>
        <w:gridCol w:w="496"/>
        <w:gridCol w:w="346"/>
        <w:gridCol w:w="548"/>
      </w:tblGrid>
      <w:tr>
        <w:trPr/>
        <w:tc>
          <w:tcPr>
            <w:tcW w:w="9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ind w:left="0" w:right="0" w:hanging="0"/>
              <w:jc w:val="left"/>
              <w:rPr>
                <w:sz w:val="4"/>
                <w:szCs w:val="4"/>
              </w:rPr>
            </w:pPr>
            <w:r>
              <w:rPr>
                <w:sz w:val="4"/>
                <w:szCs w:val="4"/>
              </w:rPr>
            </w:r>
          </w:p>
        </w:tc>
      </w:tr>
      <w:tr>
        <w:trPr/>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05790" cy="175260"/>
                      <wp:effectExtent l="0" t="0" r="0" b="0"/>
                      <wp:wrapNone/>
                      <wp:docPr id="170" name="Frame16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48640" cy="175260"/>
                      <wp:effectExtent l="0" t="0" r="0" b="0"/>
                      <wp:wrapNone/>
                      <wp:docPr id="172" name="Frame17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44500" cy="175260"/>
                      <wp:effectExtent l="0" t="0" r="0" b="0"/>
                      <wp:wrapNone/>
                      <wp:docPr id="174" name="Frame172"/>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02285" cy="175260"/>
                      <wp:effectExtent l="0" t="0" r="0" b="0"/>
                      <wp:wrapNone/>
                      <wp:docPr id="176" name="Frame17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77825" cy="175260"/>
                      <wp:effectExtent l="0" t="0" r="0" b="0"/>
                      <wp:wrapNone/>
                      <wp:docPr id="178" name="Frame176"/>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5760" cy="175260"/>
                      <wp:effectExtent l="0" t="0" r="0" b="0"/>
                      <wp:wrapNone/>
                      <wp:docPr id="180" name="Frame178"/>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86385" cy="175260"/>
                      <wp:effectExtent l="0" t="0" r="0" b="0"/>
                      <wp:wrapNone/>
                      <wp:docPr id="182" name="Frame18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4660" cy="175260"/>
                      <wp:effectExtent l="0" t="0" r="0" b="0"/>
                      <wp:wrapNone/>
                      <wp:docPr id="184" name="Frame182"/>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14960" cy="175260"/>
                      <wp:effectExtent l="0" t="0" r="0" b="0"/>
                      <wp:wrapNone/>
                      <wp:docPr id="186" name="Frame18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47980" cy="175260"/>
                      <wp:effectExtent l="0" t="0" r="0" b="0"/>
                      <wp:wrapNone/>
                      <wp:docPr id="188" name="Frame186"/>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Percentage of </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8" w:type="dxa"/>
            <w:tcBorders/>
            <w:vAlign w:val="center"/>
          </w:tcPr>
          <w:p>
            <w:pPr>
              <w:pStyle w:val="TableContents"/>
              <w:bidi w:val="0"/>
              <w:spacing w:before="0" w:after="0"/>
              <w:ind w:left="0" w:right="0" w:hanging="0"/>
              <w:jc w:val="center"/>
              <w:rPr/>
            </w:pPr>
            <w:r>
              <w:rPr/>
              <w:t>​</w:t>
            </w:r>
          </w:p>
        </w:tc>
      </w:tr>
      <w:tr>
        <w:trPr/>
        <w:tc>
          <w:tcPr>
            <w:tcW w:w="9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 </w:t>
            </w:r>
          </w:p>
        </w:tc>
        <w:tc>
          <w:tcPr>
            <w:tcW w:w="346"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8"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Fair </w:t>
            </w:r>
          </w:p>
        </w:tc>
      </w:tr>
      <w:tr>
        <w:trPr/>
        <w:tc>
          <w:tcPr>
            <w:tcW w:w="954"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vAlign w:val="center"/>
          </w:tcPr>
          <w:p>
            <w:pPr>
              <w:pStyle w:val="TableContents"/>
              <w:bidi w:val="0"/>
              <w:spacing w:before="0" w:after="0"/>
              <w:ind w:left="0" w:right="0" w:hanging="0"/>
              <w:jc w:val="left"/>
              <w:rPr/>
            </w:pPr>
            <w:r>
              <w:rPr/>
              <w:t>  ​ ​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vAlign w:val="center"/>
          </w:tcPr>
          <w:p>
            <w:pPr>
              <w:pStyle w:val="TableContents"/>
              <w:bidi w:val="0"/>
              <w:spacing w:before="0" w:after="0"/>
              <w:ind w:left="0" w:right="0" w:hanging="0"/>
              <w:jc w:val="left"/>
              <w:rPr/>
            </w:pPr>
            <w:r>
              <w:rPr/>
              <w:t>  ​ ​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 Type</w:t>
            </w:r>
          </w:p>
        </w:tc>
        <w:tc>
          <w:tcPr>
            <w:tcW w:w="346" w:type="dxa"/>
            <w:tcBorders/>
            <w:vAlign w:val="center"/>
          </w:tcPr>
          <w:p>
            <w:pPr>
              <w:pStyle w:val="TableContents"/>
              <w:bidi w:val="0"/>
              <w:spacing w:before="0" w:after="0"/>
              <w:ind w:left="0" w:right="0" w:hanging="0"/>
              <w:jc w:val="left"/>
              <w:rPr/>
            </w:pPr>
            <w:r>
              <w:rPr/>
              <w:t>  ​ ​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Description</w:t>
            </w:r>
          </w:p>
        </w:tc>
        <w:tc>
          <w:tcPr>
            <w:tcW w:w="346" w:type="dxa"/>
            <w:tcBorders/>
            <w:vAlign w:val="center"/>
          </w:tcPr>
          <w:p>
            <w:pPr>
              <w:pStyle w:val="TableContents"/>
              <w:bidi w:val="0"/>
              <w:spacing w:before="0" w:after="0"/>
              <w:ind w:left="0" w:right="0" w:hanging="0"/>
              <w:jc w:val="left"/>
              <w:rPr/>
            </w:pPr>
            <w:r>
              <w:rPr/>
              <w:t>  ​ ​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Maturity Date</w:t>
            </w:r>
          </w:p>
        </w:tc>
        <w:tc>
          <w:tcPr>
            <w:tcW w:w="346" w:type="dxa"/>
            <w:tcBorders/>
            <w:vAlign w:val="center"/>
          </w:tcPr>
          <w:p>
            <w:pPr>
              <w:pStyle w:val="TableContents"/>
              <w:bidi w:val="0"/>
              <w:spacing w:before="0" w:after="0"/>
              <w:ind w:left="0" w:right="0" w:hanging="0"/>
              <w:jc w:val="left"/>
              <w:rPr/>
            </w:pPr>
            <w:r>
              <w:rPr/>
              <w:t>  ​ ​ ​</w:t>
            </w:r>
          </w:p>
        </w:tc>
        <w:tc>
          <w:tcPr>
            <w:tcW w:w="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 ​ ​</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Fully Diluted Basis</w:t>
            </w:r>
          </w:p>
        </w:tc>
        <w:tc>
          <w:tcPr>
            <w:tcW w:w="346" w:type="dxa"/>
            <w:tcBorders/>
            <w:vAlign w:val="center"/>
          </w:tcPr>
          <w:p>
            <w:pPr>
              <w:pStyle w:val="TableContents"/>
              <w:bidi w:val="0"/>
              <w:spacing w:before="0" w:after="0"/>
              <w:ind w:left="0" w:right="0" w:hanging="0"/>
              <w:jc w:val="left"/>
              <w:rPr/>
            </w:pPr>
            <w:r>
              <w:rPr/>
              <w:t>  ​ ​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Cost ($)</w:t>
            </w:r>
          </w:p>
        </w:tc>
        <w:tc>
          <w:tcPr>
            <w:tcW w:w="346" w:type="dxa"/>
            <w:tcBorders/>
            <w:vAlign w:val="center"/>
          </w:tcPr>
          <w:p>
            <w:pPr>
              <w:pStyle w:val="TableContents"/>
              <w:bidi w:val="0"/>
              <w:spacing w:before="0" w:after="0"/>
              <w:ind w:left="0" w:right="0" w:hanging="0"/>
              <w:jc w:val="left"/>
              <w:rPr/>
            </w:pPr>
            <w:r>
              <w:rPr/>
              <w:t>  ​ ​ ​</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Value ($)</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Non-Control/Non-Affiliate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pPr>
            <w:r>
              <w:rPr/>
              <w:t>​</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Debt Investments</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pPr>
            <w:r>
              <w:rPr/>
              <w:t>​</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Application Software</w:t>
            </w:r>
          </w:p>
        </w:tc>
        <w:tc>
          <w:tcPr>
            <w:tcW w:w="346" w:type="dxa"/>
            <w:tcBorders/>
            <w:shd w:fill="CCEEFF" w:val="clear"/>
            <w:vAlign w:val="center"/>
          </w:tcPr>
          <w:p>
            <w:pPr>
              <w:pStyle w:val="TableContents"/>
              <w:bidi w:val="0"/>
              <w:spacing w:before="0" w:after="0"/>
              <w:ind w:left="0" w:right="0" w:hanging="0"/>
              <w:jc w:val="left"/>
              <w:rPr/>
            </w:pPr>
            <w:r>
              <w:rPr/>
              <w:t>  ​ ​ ​</w:t>
            </w:r>
          </w:p>
        </w:tc>
        <w:tc>
          <w:tcPr>
            <w:tcW w:w="86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0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4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48" w:type="dxa"/>
            <w:tcBorders/>
            <w:shd w:fill="CCEEFF" w:val="clear"/>
            <w:vAlign w:val="center"/>
          </w:tcPr>
          <w:p>
            <w:pPr>
              <w:pStyle w:val="TableContents"/>
              <w:bidi w:val="0"/>
              <w:spacing w:before="0" w:after="0"/>
              <w:ind w:left="0" w:right="0" w:hanging="0"/>
              <w:jc w:val="right"/>
              <w:rPr/>
            </w:pPr>
            <w:r>
              <w:rPr/>
              <w:t>  ​</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Airship Group, Inc.</w:t>
            </w:r>
          </w:p>
        </w:tc>
        <w:tc>
          <w:tcPr>
            <w:tcW w:w="34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1225 West Burnside Suite 401 Portland, OR 97209 United States</w:t>
            </w:r>
          </w:p>
        </w:tc>
        <w:tc>
          <w:tcPr>
            <w:tcW w:w="3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SOFR+3.75%, 9.08% floor, 3.00% PIK, 3.25% ETP</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6/15/2028</w:t>
            </w:r>
          </w:p>
        </w:tc>
        <w:tc>
          <w:tcPr>
            <w:tcW w:w="34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48,759</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48,005</w:t>
            </w:r>
          </w:p>
        </w:tc>
        <w:tc>
          <w:tcPr>
            <w:tcW w:w="346"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47,952</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Blueshift Labs,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433 California Street Suite 800 8th Floor San Francisco, CA 94104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SOFR+6.25%, 11.25% floor, 2.00% PIK, 1.50%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12/15/2028</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25,886</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25,573</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23,777</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Circadence Corporation</w:t>
            </w:r>
          </w:p>
        </w:tc>
        <w:tc>
          <w:tcPr>
            <w:tcW w:w="34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1900 9th Street Suite 300 Boulder, CO 80302 United States</w:t>
            </w:r>
          </w:p>
        </w:tc>
        <w:tc>
          <w:tcPr>
            <w:tcW w:w="3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SOFR+9.50%, 12.26% floor, 7.50% ETP</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12/15/2025</w:t>
            </w:r>
          </w:p>
        </w:tc>
        <w:tc>
          <w:tcPr>
            <w:tcW w:w="34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23,752</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25,102</w:t>
            </w:r>
          </w:p>
        </w:tc>
        <w:tc>
          <w:tcPr>
            <w:tcW w:w="346"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20,034</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FiscalNote,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1201 Pennsylvania Avenue North West 6th Floor Washington, DC 20004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PRIME+5.00%, 9.00% floor, 1.00% PIK, 5.75%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7/15/2027</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38,896</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40,827</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37,872</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Snap! Mobile, Inc.</w:t>
            </w:r>
          </w:p>
        </w:tc>
        <w:tc>
          <w:tcPr>
            <w:tcW w:w="34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8300 7th Avenue South Seattle, WA 98108 United States</w:t>
            </w:r>
          </w:p>
        </w:tc>
        <w:tc>
          <w:tcPr>
            <w:tcW w:w="3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SOFR+7.50%, 12.10% floor, 3.83% ETP</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9/30/2028</w:t>
            </w:r>
          </w:p>
        </w:tc>
        <w:tc>
          <w:tcPr>
            <w:tcW w:w="34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18,000</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17,431</w:t>
            </w:r>
          </w:p>
        </w:tc>
        <w:tc>
          <w:tcPr>
            <w:tcW w:w="346"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17,431</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VTX Intermediate Holdings, Inc. (dba VertexOne)</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1321 Upland Drive Suite 8389 Houston, TX 77043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SOFR+9.00%, 9.50% floor, 10.00% cash cap, 4.50%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12/28/2026</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91,086</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92,497</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89,313</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Application Software - 46.59%*</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249,435</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236,379</w:t>
            </w:r>
          </w:p>
        </w:tc>
      </w:tr>
      <w:tr>
        <w:trPr/>
        <w:tc>
          <w:tcPr>
            <w:tcW w:w="9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left"/>
              <w:rPr/>
            </w:pPr>
            <w:r>
              <w:rPr/>
              <w:t>​</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Asset Management &amp; Custody Banks</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Betterment Holdings,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450 West 33rd Street Eleventh Floor New York, NY 10001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PRIME+4.50%, 8.50% floor</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10/6/2027</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8,000</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7,905</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8,058</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Asset Management &amp; Custody Banks - 1.59%*</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7,905</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8,058</w:t>
            </w:r>
          </w:p>
        </w:tc>
      </w:tr>
      <w:tr>
        <w:trPr/>
        <w:tc>
          <w:tcPr>
            <w:tcW w:w="9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left"/>
              <w:rPr/>
            </w:pPr>
            <w:r>
              <w:rPr/>
              <w:t>​</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Data Processing &amp; Outsourced Services</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Elevate Services,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2375 East Camelback Road Suite 690 Phoenix, AZ 85016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SOFR+7.50%, 12.78% floor</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7/10/2027</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26,000</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25,244</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26,186</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Interactions Corporation</w:t>
            </w:r>
          </w:p>
        </w:tc>
        <w:tc>
          <w:tcPr>
            <w:tcW w:w="34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31 Hayward Street Suite E Franklin, MA 02038 United States</w:t>
            </w:r>
          </w:p>
        </w:tc>
        <w:tc>
          <w:tcPr>
            <w:tcW w:w="3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SOFR+9.26%, 9.76% floor, 3.4375% ETP</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6/15/2027</w:t>
            </w:r>
          </w:p>
        </w:tc>
        <w:tc>
          <w:tcPr>
            <w:tcW w:w="34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40,000</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40,236</w:t>
            </w:r>
          </w:p>
        </w:tc>
        <w:tc>
          <w:tcPr>
            <w:tcW w:w="346"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39,723</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Predactiv, Inc. (fka Sharethis,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3000 El Camino Real Building 4, Suite 200 Palo Alto, CA 94306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SOFR+9.25%, 11.86% floor, 4.00%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10/31/2024</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17,678</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18,302</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18,506</w:t>
            </w:r>
          </w:p>
        </w:tc>
      </w:tr>
      <w:tr>
        <w:trPr/>
        <w:tc>
          <w:tcPr>
            <w:tcW w:w="9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SOFR+8.25%, 10.86% floor, 4.00% ETP</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10/31/2024</w:t>
            </w:r>
          </w:p>
        </w:tc>
        <w:tc>
          <w:tcPr>
            <w:tcW w:w="34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842</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872</w:t>
            </w:r>
          </w:p>
        </w:tc>
        <w:tc>
          <w:tcPr>
            <w:tcW w:w="346"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881</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Vesta Payment Solutions,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5400 Meadows Road, 5th Floor Lake Oswego, OR 97035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SOFR+7.00%, 9.00% floor, 5.00%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11/15/2026</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25,000</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25,291</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22,441</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Data Processing &amp; Outsourced Services - 21.23%*</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109,945</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107,737</w:t>
            </w:r>
          </w:p>
        </w:tc>
      </w:tr>
      <w:tr>
        <w:trPr/>
        <w:tc>
          <w:tcPr>
            <w:tcW w:w="9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left"/>
              <w:rPr/>
            </w:pPr>
            <w:r>
              <w:rPr/>
              <w:t>​</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xml:space="preserve">Electronic Equipment &amp; Instruments </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Brivo,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7700 Old Georgetown Road Suite 300 Bethesda, MD 20814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SOFR+6.85%, 10.89% floor, 3.00%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10/20/2027</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32,293</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32,424</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32,725</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Electronic Equipment &amp; Instruments - 6.45%*</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32,424</w:t>
            </w:r>
          </w:p>
        </w:tc>
        <w:tc>
          <w:tcPr>
            <w:tcW w:w="346" w:type="dxa"/>
            <w:tcBorders/>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32,725</w:t>
            </w:r>
          </w:p>
        </w:tc>
      </w:tr>
      <w:tr>
        <w:trPr/>
        <w:tc>
          <w:tcPr>
            <w:tcW w:w="9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left"/>
              <w:rPr/>
            </w:pPr>
            <w:r>
              <w:rPr/>
              <w:t>​</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Healthcare Equipment</w:t>
            </w:r>
          </w:p>
        </w:tc>
        <w:tc>
          <w:tcPr>
            <w:tcW w:w="34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r>
      <w:tr>
        <w:trPr/>
        <w:tc>
          <w:tcPr>
            <w:tcW w:w="9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Moximed, Inc.</w:t>
            </w:r>
          </w:p>
        </w:tc>
        <w:tc>
          <w:tcPr>
            <w:tcW w:w="346"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46602 Landing Parkway Fremont, CA 94538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PRIME+5.25%, 8.75% floor, 3.50% ETP</w:t>
            </w:r>
          </w:p>
        </w:tc>
        <w:tc>
          <w:tcPr>
            <w:tcW w:w="346"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7/1/2027</w:t>
            </w:r>
          </w:p>
        </w:tc>
        <w:tc>
          <w:tcPr>
            <w:tcW w:w="346"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15,000</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15,038</w:t>
            </w:r>
          </w:p>
        </w:tc>
        <w:tc>
          <w:tcPr>
            <w:tcW w:w="346" w:type="dxa"/>
            <w:tcBorders/>
            <w:shd w:fill="CCEEFF" w:val="clear"/>
            <w:vAlign w:val="center"/>
          </w:tcPr>
          <w:p>
            <w:pPr>
              <w:pStyle w:val="TableContents"/>
              <w:bidi w:val="0"/>
              <w:spacing w:before="0" w:after="0"/>
              <w:ind w:left="0" w:right="0" w:hanging="0"/>
              <w:jc w:val="left"/>
              <w:rPr/>
            </w:pPr>
            <w:r>
              <w:rPr/>
              <w:t> </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15,350</w:t>
            </w:r>
          </w:p>
        </w:tc>
      </w:tr>
      <w:tr>
        <w:trPr/>
        <w:tc>
          <w:tcPr>
            <w:tcW w:w="954"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Equipment - 3.03%*</w:t>
            </w:r>
          </w:p>
        </w:tc>
        <w:tc>
          <w:tcPr>
            <w:tcW w:w="346"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15,038</w:t>
            </w:r>
          </w:p>
        </w:tc>
        <w:tc>
          <w:tcPr>
            <w:tcW w:w="346" w:type="dxa"/>
            <w:tcBorders/>
            <w:vAlign w:val="center"/>
          </w:tcPr>
          <w:p>
            <w:pPr>
              <w:pStyle w:val="TableContents"/>
              <w:bidi w:val="0"/>
              <w:spacing w:before="0" w:after="0"/>
              <w:ind w:left="0" w:right="0" w:hanging="0"/>
              <w:jc w:val="left"/>
              <w:rPr/>
            </w:pPr>
            <w:r>
              <w:rPr/>
              <w:t> </w:t>
            </w:r>
          </w:p>
        </w:tc>
        <w:tc>
          <w:tcPr>
            <w:tcW w:w="548" w:type="dxa"/>
            <w:tcBorders>
              <w:bottom w:val="single" w:sz="2"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15,350</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*Value as percentage of net assets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19" w:type="dxa"/>
        <w:jc w:val="left"/>
        <w:tblInd w:w="200" w:type="dxa"/>
        <w:tblLayout w:type="fixed"/>
        <w:tblCellMar>
          <w:top w:w="0" w:type="dxa"/>
          <w:left w:w="0" w:type="dxa"/>
          <w:bottom w:w="0" w:type="dxa"/>
          <w:right w:w="0" w:type="dxa"/>
        </w:tblCellMar>
      </w:tblPr>
      <w:tblGrid>
        <w:gridCol w:w="916"/>
        <w:gridCol w:w="346"/>
        <w:gridCol w:w="991"/>
        <w:gridCol w:w="346"/>
        <w:gridCol w:w="691"/>
        <w:gridCol w:w="346"/>
        <w:gridCol w:w="721"/>
        <w:gridCol w:w="346"/>
        <w:gridCol w:w="586"/>
        <w:gridCol w:w="346"/>
        <w:gridCol w:w="571"/>
        <w:gridCol w:w="346"/>
        <w:gridCol w:w="451"/>
        <w:gridCol w:w="346"/>
        <w:gridCol w:w="706"/>
        <w:gridCol w:w="346"/>
        <w:gridCol w:w="586"/>
        <w:gridCol w:w="346"/>
        <w:gridCol w:w="586"/>
      </w:tblGrid>
      <w:tr>
        <w:trPr/>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81660" cy="175260"/>
                      <wp:effectExtent l="0" t="0" r="0" b="0"/>
                      <wp:wrapNone/>
                      <wp:docPr id="189" name="Frame18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29285" cy="175260"/>
                      <wp:effectExtent l="0" t="0" r="0" b="0"/>
                      <wp:wrapNone/>
                      <wp:docPr id="191" name="Frame18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38785" cy="175260"/>
                      <wp:effectExtent l="0" t="0" r="0" b="0"/>
                      <wp:wrapNone/>
                      <wp:docPr id="193" name="Frame1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57835" cy="175260"/>
                      <wp:effectExtent l="0" t="0" r="0" b="0"/>
                      <wp:wrapNone/>
                      <wp:docPr id="195" name="Frame19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2110" cy="175260"/>
                      <wp:effectExtent l="0" t="0" r="0" b="0"/>
                      <wp:wrapNone/>
                      <wp:docPr id="197" name="Frame19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2585" cy="175260"/>
                      <wp:effectExtent l="0" t="0" r="0" b="0"/>
                      <wp:wrapNone/>
                      <wp:docPr id="199"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86385" cy="175260"/>
                      <wp:effectExtent l="0" t="0" r="0" b="0"/>
                      <wp:wrapNone/>
                      <wp:docPr id="201" name="Frame19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48310" cy="175260"/>
                      <wp:effectExtent l="0" t="0" r="0" b="0"/>
                      <wp:wrapNone/>
                      <wp:docPr id="203" name="Frame20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72110" cy="175260"/>
                      <wp:effectExtent l="0" t="0" r="0" b="0"/>
                      <wp:wrapNone/>
                      <wp:docPr id="205" name="Frame2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72110" cy="175260"/>
                      <wp:effectExtent l="0" t="0" r="0" b="0"/>
                      <wp:wrapNone/>
                      <wp:docPr id="207" name="Frame20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Percentage of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Fair </w:t>
            </w:r>
          </w:p>
        </w:tc>
      </w:tr>
      <w:tr>
        <w:trPr/>
        <w:tc>
          <w:tcPr>
            <w:tcW w:w="9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 Type</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Description</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Maturity Date</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Fully Diluted Basis</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Cost ($)</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Value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shd w:fill="CCEEFF" w:val="clear"/>
            <w:vAlign w:val="center"/>
          </w:tcPr>
          <w:p>
            <w:pPr>
              <w:pStyle w:val="TableContents"/>
              <w:bidi w:val="0"/>
              <w:spacing w:before="0" w:after="0"/>
              <w:ind w:left="0" w:right="0" w:hanging="0"/>
              <w:jc w:val="left"/>
              <w:rPr/>
            </w:pPr>
            <w:r>
              <w:rPr/>
              <w:t>  ​ ​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2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EBR Systems, Inc.</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480 Oakmead Parkway Sunnyvale, CA 94085 United States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PRIME+4.90%, 8.90% floor, 4.50%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6/15/2027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40,000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39,900</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40,067</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Mingle Healthcare Solutions, Inc.</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8911 South Sandy Parkway Suite 200 Sandy, UT 84070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SOFR+9.75%, 12.26% floor, 10.50%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12/15/2026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4,322</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4,952</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2,609</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Nalu Medical, Inc.</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2320 Faraday Avenue Suite 100 Carlsbad, CA 92008 United States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PRIME+2.70%, 6.70% floor, 2.00% PIK, 4.50%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10/12/2027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20,797</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20,884</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21,355</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Onward Medical, N.V.</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Schimmelt 2 5611 ZX Eindhoven Netherlands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SOFR+6.50%, 10.75% floor, 2.50%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6/15/2028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17,088</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16,630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16,630</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Route 92 Medical, Inc.</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155 Bovet Road Suite 100 San Mateo, CA 94402 United States</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SOFR+8.48%, 8.98% floor, 3.95%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7/1/2026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35,000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34,787</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35,664</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SetPoint Medical Corporation</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25101 Rye Canyon Loop Valencia, CA 91355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SOFR+5.75%, 9.00% floor, 4.00%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12/1/2027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25,000</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25,180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25,760</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- 28.00%*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142,333</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142,085</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Human Resource &amp; Employment Services</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Snagajob.com, Inc.</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50 Milk Street Boston, MA 02109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SOFR+8.50% PIK, 9.00% floor, 2.75%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9/1/2025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42,297</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42,739</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37,325</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Human Resource &amp; Employment Services - 7.36%*</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42,739</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37,325</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Internet &amp; Direct Marketing Retail</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Madison Reed, Inc.</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430 Shotwell Street San Francisco, CA 94110 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PRIME+4.75%, 11.00% floor, 11.00% cash cap, 3.00%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12/16/2026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16,159</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16,089</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16,210</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Marley Spoon SE</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Paul-Lincke-Ufer 39-40 10999 Berlin, Germany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SOFR+7.50%, 8.26% floor, 1.25% PIK, 1.00%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6/15/2027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38,295</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38,258</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36,753</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Internet &amp; Direct Marketing Retail - 10.44%*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54,347</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52,963</w: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Internet Software and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Bombora, Inc.</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102 Madison Avenue Floor 5 New York, NY 10016 United States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SOFR+4.75%, 6.75% floor, 3.25% PIK, 0.96%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1/15/2028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28,674</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28,620</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28,413</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CarNow, Inc.</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1100 Circle 75 Parkway Suite 800 Atlanta, GA 30339 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SOFR+7.25%, 11.75% floor, 1.60%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3/22/2029</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20,000</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17,619</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17,698</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Skillshare, Inc.</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215 Park Avenue South 11th Floor New York, NY 10003 United States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SOFR+6.50%, 10.72% floor, 3.00%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11/8/2026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30,000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30,144</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29,502</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Synack, Inc.</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303 Twin Dolphin Drive, 6th Floor Redwood City, CA 94065 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SOFR+7.00%, 11.07% floor, 1.00%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12/29/2028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40,000</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39,844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39,893</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Zinnia Corporate Holdings, LLC</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5801 Southwest 6th Avenue Topeka, KS 66636 United States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SOFR+8.00%, 10.00% floor</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9/21/2029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40,000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39,202</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39,202</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Internet Software and Services - 30.49%*</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155,429</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154,708</w: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Property &amp; Casualty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Kin Insurance, Inc. </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222 Merchandise Mart Plaza Suite 228 Chicago, IL 60654 United States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PRIME+6.25%, 12.50% floor, 3.30%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9/15/2026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75,000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75,675</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76,125</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Property &amp; Casualty Insurance - 15.00%*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75,675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76,125</w: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System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3PL Central LLC (dba Extensiv)</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100 North Pacific Coast Highway Suite 1100 El Segundo, CA 90245 United States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SOFR+4.50%, 6.50% floor, 2.50% PIK, 2.34%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11/9/2027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71,751</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71,741</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69,333</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Linxup, LLC</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424 South Woods Mill Road Suite 210 Saint Louis, MO 63017 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PRIME+3.25%, 11.75% floor, 2.25% ETP</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11/15/2027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29,703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30,556</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Dejero Labs Inc.</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410 Albert Street Suite 200 Waterloo, Ontario N2L 3V3 Canada</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Second Lien</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SOFR+8.00%, 8.50% floor, 2.00% PIK, 3.00% ETP</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12/22/2025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14,390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14,590</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14,501</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System Software - 22.55%*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116,034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114,390</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Debt Investments - 192.73%*</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1,001,304</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977,845</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*Value as percentage of net assets</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894" w:type="dxa"/>
        <w:jc w:val="left"/>
        <w:tblInd w:w="200" w:type="dxa"/>
        <w:tblLayout w:type="fixed"/>
        <w:tblCellMar>
          <w:top w:w="0" w:type="dxa"/>
          <w:left w:w="0" w:type="dxa"/>
          <w:bottom w:w="0" w:type="dxa"/>
          <w:right w:w="0" w:type="dxa"/>
        </w:tblCellMar>
      </w:tblPr>
      <w:tblGrid>
        <w:gridCol w:w="841"/>
        <w:gridCol w:w="346"/>
        <w:gridCol w:w="841"/>
        <w:gridCol w:w="346"/>
        <w:gridCol w:w="616"/>
        <w:gridCol w:w="346"/>
        <w:gridCol w:w="1171"/>
        <w:gridCol w:w="346"/>
        <w:gridCol w:w="766"/>
        <w:gridCol w:w="346"/>
        <w:gridCol w:w="676"/>
        <w:gridCol w:w="346"/>
        <w:gridCol w:w="586"/>
        <w:gridCol w:w="346"/>
        <w:gridCol w:w="991"/>
        <w:gridCol w:w="346"/>
        <w:gridCol w:w="466"/>
        <w:gridCol w:w="346"/>
        <w:gridCol w:w="826"/>
      </w:tblGrid>
      <w:tr>
        <w:trPr/>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34035" cy="175260"/>
                      <wp:effectExtent l="0" t="0" r="0" b="0"/>
                      <wp:wrapNone/>
                      <wp:docPr id="208" name="Frame20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34035" cy="175260"/>
                      <wp:effectExtent l="0" t="0" r="0" b="0"/>
                      <wp:wrapNone/>
                      <wp:docPr id="210" name="Frame2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91160" cy="175260"/>
                      <wp:effectExtent l="0" t="0" r="0" b="0"/>
                      <wp:wrapNone/>
                      <wp:docPr id="212" name="Frame21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43585" cy="175260"/>
                      <wp:effectExtent l="0" t="0" r="0" b="0"/>
                      <wp:wrapNone/>
                      <wp:docPr id="214" name="Frame21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86410" cy="175260"/>
                      <wp:effectExtent l="0" t="0" r="0" b="0"/>
                      <wp:wrapNone/>
                      <wp:docPr id="216" name="Frame21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9260" cy="175260"/>
                      <wp:effectExtent l="0" t="0" r="0" b="0"/>
                      <wp:wrapNone/>
                      <wp:docPr id="218"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72110" cy="175260"/>
                      <wp:effectExtent l="0" t="0" r="0" b="0"/>
                      <wp:wrapNone/>
                      <wp:docPr id="220" name="Frame2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29285" cy="175260"/>
                      <wp:effectExtent l="0" t="0" r="0" b="0"/>
                      <wp:wrapNone/>
                      <wp:docPr id="222" name="Frame22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95910" cy="175260"/>
                      <wp:effectExtent l="0" t="0" r="0" b="0"/>
                      <wp:wrapNone/>
                      <wp:docPr id="224" name="Frame22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24510" cy="175260"/>
                      <wp:effectExtent l="0" t="0" r="0" b="0"/>
                      <wp:wrapNone/>
                      <wp:docPr id="226" name="Frame2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Percentage of</w:t>
            </w:r>
          </w:p>
        </w:tc>
        <w:tc>
          <w:tcPr>
            <w:tcW w:w="346" w:type="dxa"/>
            <w:tcBorders/>
            <w:vAlign w:val="center"/>
          </w:tcPr>
          <w:p>
            <w:pPr>
              <w:pStyle w:val="TableContents"/>
              <w:bidi w:val="0"/>
              <w:spacing w:before="0" w:after="0"/>
              <w:ind w:left="0" w:right="0" w:hanging="0"/>
              <w:jc w:val="left"/>
              <w:rPr/>
            </w:pPr>
            <w:r>
              <w:rPr/>
              <w:t>  ​ ​ ​</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Investment</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Class Held on a</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 </w:t>
            </w:r>
          </w:p>
        </w:tc>
      </w:tr>
      <w:tr>
        <w:trPr/>
        <w:tc>
          <w:tcPr>
            <w:tcW w:w="84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Portfolio Company</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Address</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Type</w:t>
            </w:r>
          </w:p>
        </w:tc>
        <w:tc>
          <w:tcPr>
            <w:tcW w:w="346" w:type="dxa"/>
            <w:tcBorders/>
            <w:vAlign w:val="center"/>
          </w:tcPr>
          <w:p>
            <w:pPr>
              <w:pStyle w:val="TableContents"/>
              <w:bidi w:val="0"/>
              <w:spacing w:before="0" w:after="0"/>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Investment Description</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Maturity Date</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Principal ($)</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Shares</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Fully Diluted Basis</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Cost ($)</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Fair  Value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Equity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Advertising</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lef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Minute Media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10 Northburgh St, London EC1V 0AT, United Kingdom</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1,039</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125</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136</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Advertising - 0.02%*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139</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Application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Aria Systems, Inc.</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575 Market Street 4th Floor San Francisco, CA 94105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G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289,419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250</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FiscalNote,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1201 Pennsylvania Avenue North West 6th Floor Washington, DC 20004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230,881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0.16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438</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296</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Application Software - 0.11%*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688</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546</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Healthcare Technology</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CareCloud,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7 Clyde Road Somerset Franklin Township, NJ 08873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11% Series A Cumulative Redeemable Perpetual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462,064</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12,132</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5,526</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Healthcare Technology - 1.09%*</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12,132</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5,526</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Human Resource &amp; Employment Services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Snagajob.com,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50 Milk Street Boston, MA 02109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Convertible Note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12/31/2026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1,696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1,696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Human Resource &amp; Employment Services - 0.00%*</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1,696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Internet &amp; Direct Marketing Retail</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Marley Spoon SE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Paul-Lincke-Ufer 39-40 10999 Berlin, Germany</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46,004</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0.22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Internet &amp; Direct Marketing Retail - 0.01%*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410</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60</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Technology Hardware, Storage &amp; Peripherals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Quantum Corporation</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224 Airport Parkway Suite 550 San Jose, CA 95110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22,986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2,607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zSpace, Inc.</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490 De Guigne Drive, Suite 200 Sunnyvale, CA 94085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Equity</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6,078,499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1,119</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Technology Hardware, Storage &amp; Peripherals - 0.02%*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3,726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Equity Investments - 1.25%*</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18,788</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6,351</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Warrants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Application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3DNA Corp. (dba NationBuilder)</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PO Box 811428 Los Angeles, CA 90081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C-1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12/28/2028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273,164</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104</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Airship Group,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1225 West Burnside Suite 401 Portland, OR 97209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F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6/28/2034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519,313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414</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450</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Aria Systems, Inc.</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575 Market Street 4th Floor San Francisco, CA 94105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G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6/29/2028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2,387,705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1,048</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1,133</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Blueshift Labs,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433 California Street Suite 800 8th Floor San Francisco, CA 94104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Success fee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188</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Circadence Corporation</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1900 9th Street Suite 300 Boulder, CO 80302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A-6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12/20/2028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1,538,462</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3,630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229</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A-6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10/31/2029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384,615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846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57</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Success fee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304</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287</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Dtex Systems,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19630 Allendale Avenue Suite 2218 Saratoga, CA 95070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C-Prime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6/1/2025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500,000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731</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C-Prime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7/11/2026</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833,333</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115</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1,218</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FiscalNote,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1201 Pennsylvania Avenue North West 6th Floor Washington, DC 20004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Earnout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7/29/2027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Snap! Mobile, Inc.</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8300 7th Avenue South Seattle, WA 98108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Series B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9/30/2034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19,140</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345</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345</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Application Software - 0.92%*</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7,159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4,652</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Asset Management &amp; Custody Banks</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1"/>
              </w:rPr>
            </w:pPr>
            <w:r>
              <w:rPr>
                <w:rFonts w:ascii="Times New Roman;Times;serif" w:hAnsi="Times New Roman;Times;serif"/>
                <w:sz w:val="11"/>
              </w:rPr>
              <w:t>Betterment Holdings, Inc.</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450 West 33rd Street Eleventh Floor New York, NY 10001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10/6/2033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7,680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63</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Warrants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10/6/2033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9,818</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74</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1"/>
              </w:rPr>
            </w:pPr>
            <w:r>
              <w:rPr>
                <w:rFonts w:ascii="Times New Roman;Times;serif" w:hAnsi="Times New Roman;Times;serif"/>
                <w:b/>
                <w:sz w:val="11"/>
              </w:rPr>
              <w:t>Total Asset Management &amp; Custody Banks - 0.03%*</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30" w:hanging="0"/>
              <w:jc w:val="right"/>
              <w:rPr>
                <w:rFonts w:ascii="Times New Roman;Times;serif" w:hAnsi="Times New Roman;Times;serif"/>
                <w:sz w:val="11"/>
              </w:rPr>
            </w:pPr>
            <w:r>
              <w:rPr>
                <w:rFonts w:ascii="Times New Roman;Times;serif" w:hAnsi="Times New Roman;Times;serif"/>
                <w:sz w:val="11"/>
              </w:rPr>
              <w:t>137</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*Value as percentage of net assets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714" w:type="dxa"/>
        <w:jc w:val="left"/>
        <w:tblInd w:w="200" w:type="dxa"/>
        <w:tblLayout w:type="fixed"/>
        <w:tblCellMar>
          <w:top w:w="0" w:type="dxa"/>
          <w:left w:w="0" w:type="dxa"/>
          <w:bottom w:w="0" w:type="dxa"/>
          <w:right w:w="0" w:type="dxa"/>
        </w:tblCellMar>
      </w:tblPr>
      <w:tblGrid>
        <w:gridCol w:w="841"/>
        <w:gridCol w:w="346"/>
        <w:gridCol w:w="646"/>
        <w:gridCol w:w="346"/>
        <w:gridCol w:w="616"/>
        <w:gridCol w:w="346"/>
        <w:gridCol w:w="1201"/>
        <w:gridCol w:w="346"/>
        <w:gridCol w:w="766"/>
        <w:gridCol w:w="346"/>
        <w:gridCol w:w="676"/>
        <w:gridCol w:w="346"/>
        <w:gridCol w:w="586"/>
        <w:gridCol w:w="346"/>
        <w:gridCol w:w="1006"/>
        <w:gridCol w:w="346"/>
        <w:gridCol w:w="466"/>
        <w:gridCol w:w="346"/>
        <w:gridCol w:w="796"/>
      </w:tblGrid>
      <w:tr>
        <w:trPr/>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4035" cy="175260"/>
                      <wp:effectExtent l="0" t="0" r="0" b="0"/>
                      <wp:wrapNone/>
                      <wp:docPr id="227" name="Frame2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10210" cy="175260"/>
                      <wp:effectExtent l="0" t="0" r="0" b="0"/>
                      <wp:wrapNone/>
                      <wp:docPr id="229" name="Frame22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91160" cy="175260"/>
                      <wp:effectExtent l="0" t="0" r="0" b="0"/>
                      <wp:wrapNone/>
                      <wp:docPr id="231" name="Frame22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62635" cy="175260"/>
                      <wp:effectExtent l="0" t="0" r="0" b="0"/>
                      <wp:wrapNone/>
                      <wp:docPr id="233" name="Frame23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86410" cy="175260"/>
                      <wp:effectExtent l="0" t="0" r="0" b="0"/>
                      <wp:wrapNone/>
                      <wp:docPr id="235" name="Frame23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9260" cy="175260"/>
                      <wp:effectExtent l="0" t="0" r="0" b="0"/>
                      <wp:wrapNone/>
                      <wp:docPr id="237"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72110" cy="175260"/>
                      <wp:effectExtent l="0" t="0" r="0" b="0"/>
                      <wp:wrapNone/>
                      <wp:docPr id="239" name="Frame23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38810" cy="175260"/>
                      <wp:effectExtent l="0" t="0" r="0" b="0"/>
                      <wp:wrapNone/>
                      <wp:docPr id="241" name="Frame23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95910" cy="175260"/>
                      <wp:effectExtent l="0" t="0" r="0" b="0"/>
                      <wp:wrapNone/>
                      <wp:docPr id="243" name="Frame24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05460" cy="175260"/>
                      <wp:effectExtent l="0" t="0" r="0" b="0"/>
                      <wp:wrapNone/>
                      <wp:docPr id="245"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Percentage of Class</w:t>
            </w:r>
          </w:p>
        </w:tc>
        <w:tc>
          <w:tcPr>
            <w:tcW w:w="346" w:type="dxa"/>
            <w:tcBorders/>
            <w:vAlign w:val="center"/>
          </w:tcPr>
          <w:p>
            <w:pPr>
              <w:pStyle w:val="TableContents"/>
              <w:bidi w:val="0"/>
              <w:spacing w:before="0" w:after="0"/>
              <w:ind w:left="0" w:right="0" w:hanging="0"/>
              <w:jc w:val="center"/>
              <w:rPr/>
            </w:pPr>
            <w:r>
              <w:rPr/>
              <w:t>  ​ ​ ​</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6" w:type="dxa"/>
            <w:tcBorders/>
            <w:vAlign w:val="center"/>
          </w:tcPr>
          <w:p>
            <w:pPr>
              <w:pStyle w:val="TableContents"/>
              <w:bidi w:val="0"/>
              <w:spacing w:before="0" w:after="0"/>
              <w:ind w:left="0" w:right="0" w:hanging="0"/>
              <w:jc w:val="center"/>
              <w:rPr/>
            </w:pPr>
            <w:r>
              <w:rPr/>
              <w:t>​</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Investment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Held on a Fully </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84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Portfolio Company</w:t>
            </w:r>
          </w:p>
        </w:tc>
        <w:tc>
          <w:tcPr>
            <w:tcW w:w="346" w:type="dxa"/>
            <w:tcBorders/>
            <w:vAlign w:val="center"/>
          </w:tcPr>
          <w:p>
            <w:pPr>
              <w:pStyle w:val="TableContents"/>
              <w:bidi w:val="0"/>
              <w:spacing w:before="0" w:after="0"/>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Address</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Type</w:t>
            </w:r>
          </w:p>
        </w:tc>
        <w:tc>
          <w:tcPr>
            <w:tcW w:w="346" w:type="dxa"/>
            <w:tcBorders/>
            <w:vAlign w:val="center"/>
          </w:tcPr>
          <w:p>
            <w:pPr>
              <w:pStyle w:val="TableContents"/>
              <w:bidi w:val="0"/>
              <w:spacing w:before="0" w:after="0"/>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Investment  Description</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Maturity Date</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Principal ($)</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Shares</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Diluted Basis</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Cost ($)</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Fair Value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Biotechnology</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Mustang Bio,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377 Plantation Street Worcester, MA 01605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3/4/2032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49,869</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315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TRACON Pharmaceuticals,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4350 La Jolla Village Drive Suite 800 San Diego, CA 92122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7,538</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226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Biotechnology - 0.00%*</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541</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Computer &amp; Electronics Retail</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Massdrop,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115 North McCarthy Boulevard Milpitas, CA 95035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B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7/22/2029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848,093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183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Computer &amp; Electronics Retail - 0.00%*</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183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Data Processing &amp; Outsourced Services</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Elevate Services,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2375 East Camelback Road Suite 690 Phoenix, AZ 85016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C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7/10/2033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248,997</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447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444</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C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7/17/2034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74,700</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118</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133</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Interactions Corporation</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31 Hayward Street Suite E Franklin, MA 02038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6/24/2032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189,408</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219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Predactiv, Inc. (fka Sharethis,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3000 El Camino Real Building 4, Suite 200 Palo Alto, CA 94306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D-3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12/3/2028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647,615</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2,162</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132</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Data Processing &amp; Outsourced Services - 0.14%*</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2,946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725</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Electronic Equipment &amp; Instruments</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Brivo,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7700 Old Georgetown Road Suite 300 Bethesda, MD 20814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A-2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10/20/2032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201,000</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98</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154</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Epic IO Technologies,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3463 Lakemont Boulevard Suite 104 Fort Mill, SC 29708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12/17/2028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505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343</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Electronic Equipment &amp; Instruments - 0.10%*</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603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497</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Healthcare Equipment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Moximed,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46602 Landing Parkway Fremont, CA 94538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C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6/24/2032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214,285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Revelle Aesthetics,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2570 West El Camino Real Suite 310 Mountain View, CA 94040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A-2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3/30/2032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115,591</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126</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27</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Healthcare Equipment - 0.01%*</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301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38</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Healthcare Technology</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Allurion Technologies,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11 Huron Drive Natick, MA 01760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3/30/2031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132,979</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282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3/30/2031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46,256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9/15/2032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46,256</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Earnout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8/1/2028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EBR Systems,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480 Oakmead Parkway Sunnyvale, CA 94085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6/30/2032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605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633</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Mingle Healthcare Solutions,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8911 South Sandy Parkway Suite 200 Sandy, UT 84070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CC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8/15/2028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1,770,973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492</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Nalu Medical,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2320 Faraday Avenue Suite 100 Carlsbad, CA 92008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D-2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10/12/2032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91,717</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74</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Onward Medical, N.V.</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Schimmelt 2 5611 ZX Eindhoven Netherlands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9/26/2034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165,338</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376</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Route 92 Medical,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155 Bovet Road Suite 100 San Mateo, CA 94402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8/17/2031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835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847</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SetPoint Medical Corporation</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25101 Rye Canyon Loop Valencia, CA 91355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B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6/29/2031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400,000</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190</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B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12/29/2032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600,000</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285</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VERO Biotech LLC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387 Technology Circle North West Suite 125 Atlanta, GA 30313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12/29/2025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377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137</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Healthcare Technology - 0.50%*</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3,477</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2,544</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Human Resource &amp; Employment Services</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CloudPay, Inc.</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Kingsgate House, Newbury Road Andover SP10 4DU England, United Kingdom</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B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6/30/2030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11,273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218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1,316</w: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8/17/2031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3,502</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83</w:t>
            </w:r>
          </w:p>
        </w:tc>
      </w:tr>
      <w:tr>
        <w:trPr/>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9/26/2032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5,252</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176</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125</w:t>
            </w:r>
          </w:p>
        </w:tc>
      </w:tr>
      <w:tr>
        <w:trPr/>
        <w:tc>
          <w:tcPr>
            <w:tcW w:w="841"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Snagajob.com, Inc.</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50 Milk Street Boston, MA 02109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B-1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9/29/2031</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763,269</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343</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8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Human Resource &amp; Employment Services - 0.30%*</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789</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30" w:hanging="0"/>
              <w:jc w:val="right"/>
              <w:rPr>
                <w:rFonts w:ascii="Times New Roman;Times;serif" w:hAnsi="Times New Roman;Times;serif"/>
                <w:sz w:val="10"/>
              </w:rPr>
            </w:pPr>
            <w:r>
              <w:rPr>
                <w:rFonts w:ascii="Times New Roman;Times;serif" w:hAnsi="Times New Roman;Times;serif"/>
                <w:sz w:val="10"/>
              </w:rPr>
              <w:t>1,524</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*Value as percentage of net assets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4014" w:type="dxa"/>
        <w:jc w:val="left"/>
        <w:tblInd w:w="200" w:type="dxa"/>
        <w:tblLayout w:type="fixed"/>
        <w:tblCellMar>
          <w:top w:w="0" w:type="dxa"/>
          <w:left w:w="0" w:type="dxa"/>
          <w:bottom w:w="0" w:type="dxa"/>
          <w:right w:w="0" w:type="dxa"/>
        </w:tblCellMar>
      </w:tblPr>
      <w:tblGrid>
        <w:gridCol w:w="766"/>
        <w:gridCol w:w="346"/>
        <w:gridCol w:w="3886"/>
        <w:gridCol w:w="346"/>
        <w:gridCol w:w="616"/>
        <w:gridCol w:w="346"/>
        <w:gridCol w:w="1201"/>
        <w:gridCol w:w="346"/>
        <w:gridCol w:w="766"/>
        <w:gridCol w:w="346"/>
        <w:gridCol w:w="676"/>
        <w:gridCol w:w="346"/>
        <w:gridCol w:w="586"/>
        <w:gridCol w:w="346"/>
        <w:gridCol w:w="991"/>
        <w:gridCol w:w="346"/>
        <w:gridCol w:w="586"/>
        <w:gridCol w:w="346"/>
        <w:gridCol w:w="826"/>
      </w:tblGrid>
      <w:tr>
        <w:trPr/>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r>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86410" cy="175260"/>
                      <wp:effectExtent l="0" t="0" r="0" b="0"/>
                      <wp:wrapNone/>
                      <wp:docPr id="246" name="Frame24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467610" cy="175260"/>
                      <wp:effectExtent l="0" t="0" r="0" b="0"/>
                      <wp:wrapNone/>
                      <wp:docPr id="248" name="Frame246"/>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91160" cy="175260"/>
                      <wp:effectExtent l="0" t="0" r="0" b="0"/>
                      <wp:wrapNone/>
                      <wp:docPr id="250" name="Frame24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62635" cy="175260"/>
                      <wp:effectExtent l="0" t="0" r="0" b="0"/>
                      <wp:wrapNone/>
                      <wp:docPr id="252" name="Frame25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86410" cy="175260"/>
                      <wp:effectExtent l="0" t="0" r="0" b="0"/>
                      <wp:wrapNone/>
                      <wp:docPr id="254" name="Frame2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29260" cy="175260"/>
                      <wp:effectExtent l="0" t="0" r="0" b="0"/>
                      <wp:wrapNone/>
                      <wp:docPr id="256"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72110" cy="175260"/>
                      <wp:effectExtent l="0" t="0" r="0" b="0"/>
                      <wp:wrapNone/>
                      <wp:docPr id="258" name="Frame2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29285" cy="175260"/>
                      <wp:effectExtent l="0" t="0" r="0" b="0"/>
                      <wp:wrapNone/>
                      <wp:docPr id="260" name="Frame25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72110" cy="175260"/>
                      <wp:effectExtent l="0" t="0" r="0" b="0"/>
                      <wp:wrapNone/>
                      <wp:docPr id="262" name="Frame2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24510" cy="175260"/>
                      <wp:effectExtent l="0" t="0" r="0" b="0"/>
                      <wp:wrapNone/>
                      <wp:docPr id="264" name="Frame26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Percentage of</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Investment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Class Held on a</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76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Portfolio Company</w:t>
            </w:r>
          </w:p>
        </w:tc>
        <w:tc>
          <w:tcPr>
            <w:tcW w:w="346" w:type="dxa"/>
            <w:tcBorders/>
            <w:vAlign w:val="center"/>
          </w:tcPr>
          <w:p>
            <w:pPr>
              <w:pStyle w:val="TableContents"/>
              <w:bidi w:val="0"/>
              <w:spacing w:before="0" w:after="0"/>
              <w:ind w:left="0" w:right="0" w:hanging="0"/>
              <w:jc w:val="center"/>
              <w:rPr/>
            </w:pPr>
            <w:r>
              <w:rPr/>
              <w:t>  ​ ​ ​</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Address</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0"/>
              </w:rPr>
              <w:t>Type</w:t>
            </w:r>
          </w:p>
        </w:tc>
        <w:tc>
          <w:tcPr>
            <w:tcW w:w="346" w:type="dxa"/>
            <w:tcBorders/>
            <w:vAlign w:val="center"/>
          </w:tcPr>
          <w:p>
            <w:pPr>
              <w:pStyle w:val="TableContents"/>
              <w:bidi w:val="0"/>
              <w:spacing w:before="0" w:after="0"/>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Investment  Description</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Maturity Date</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Principal ($)</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Shares</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0"/>
              </w:rPr>
              <w:t>Fully Diluted Basis</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Cost ($)</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Fair  Value ($)</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Internet &amp; Direct Marketing Retail</w:t>
            </w:r>
          </w:p>
        </w:tc>
        <w:tc>
          <w:tcPr>
            <w:tcW w:w="346" w:type="dxa"/>
            <w:tcBorders/>
            <w:shd w:fill="CCEEFF" w:val="clear"/>
            <w:vAlign w:val="center"/>
          </w:tcPr>
          <w:p>
            <w:pPr>
              <w:pStyle w:val="TableContents"/>
              <w:bidi w:val="0"/>
              <w:spacing w:before="0" w:after="0"/>
              <w:ind w:left="0" w:right="0" w:hanging="0"/>
              <w:jc w:val="center"/>
              <w:rPr/>
            </w:pPr>
            <w:r>
              <w:rPr/>
              <w:t>​</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Madison Reed, Inc.</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430 Shotwell Street San Francisco, CA 94110 United States</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209</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177</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Internet &amp; Direct Marketing Retail - 0.03%*</w:t>
            </w:r>
          </w:p>
        </w:tc>
        <w:tc>
          <w:tcPr>
            <w:tcW w:w="346" w:type="dxa"/>
            <w:tcBorders/>
            <w:shd w:fill="CCEEFF" w:val="clear"/>
            <w:vAlign w:val="center"/>
          </w:tcPr>
          <w:p>
            <w:pPr>
              <w:pStyle w:val="TableContents"/>
              <w:bidi w:val="0"/>
              <w:spacing w:before="0" w:after="0"/>
              <w:ind w:left="0" w:right="0" w:hanging="0"/>
              <w:jc w:val="center"/>
              <w:rPr/>
            </w:pPr>
            <w:r>
              <w:rPr/>
              <w:t>​</w:t>
            </w:r>
          </w:p>
        </w:tc>
        <w:tc>
          <w:tcPr>
            <w:tcW w:w="38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209</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177</w: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Internet Software and Services</w:t>
            </w:r>
          </w:p>
        </w:tc>
        <w:tc>
          <w:tcPr>
            <w:tcW w:w="346" w:type="dxa"/>
            <w:tcBorders/>
            <w:shd w:fill="CCEEFF" w:val="clear"/>
            <w:vAlign w:val="center"/>
          </w:tcPr>
          <w:p>
            <w:pPr>
              <w:pStyle w:val="TableContents"/>
              <w:bidi w:val="0"/>
              <w:spacing w:before="0" w:after="0"/>
              <w:ind w:left="0" w:right="0" w:hanging="0"/>
              <w:jc w:val="center"/>
              <w:rPr/>
            </w:pPr>
            <w:r>
              <w:rPr/>
              <w:t>​</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Bombora, Inc.</w:t>
            </w:r>
          </w:p>
        </w:tc>
        <w:tc>
          <w:tcPr>
            <w:tcW w:w="346" w:type="dxa"/>
            <w:tcBorders/>
            <w:vAlign w:val="center"/>
          </w:tcPr>
          <w:p>
            <w:pPr>
              <w:pStyle w:val="TableContents"/>
              <w:bidi w:val="0"/>
              <w:spacing w:before="0" w:after="0"/>
              <w:ind w:left="0" w:right="0" w:hanging="0"/>
              <w:jc w:val="center"/>
              <w:rPr/>
            </w:pPr>
            <w:r>
              <w:rPr/>
              <w:t>​</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102 Madison Avenue Floor 5 New York, NY 10016 United States</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3/31/2031</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121,581</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174</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8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12/26/2033</w:t>
            </w:r>
          </w:p>
        </w:tc>
        <w:tc>
          <w:tcPr>
            <w:tcW w:w="34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48,632</w:t>
            </w:r>
          </w:p>
        </w:tc>
        <w:tc>
          <w:tcPr>
            <w:tcW w:w="346" w:type="dxa"/>
            <w:tcBorders/>
            <w:shd w:fill="CCEEFF" w:val="clear"/>
            <w:vAlign w:val="center"/>
          </w:tcPr>
          <w:p>
            <w:pPr>
              <w:pStyle w:val="TableContents"/>
              <w:bidi w:val="0"/>
              <w:spacing w:before="0" w:after="0"/>
              <w:ind w:left="0" w:right="0" w:hanging="0"/>
              <w:jc w:val="center"/>
              <w:rPr/>
            </w:pPr>
            <w:r>
              <w:rPr/>
              <w:t>​</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43</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46</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CarNow, Inc.</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1100 Circle 75 Parkway Suite 800 Atlanta, GA 30339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3/22/2034</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200,000</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2,400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2,720</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Fidelis Cybersecurity,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4500 East West, Hwy Bethesda, MD 20814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3/25/2032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INRIX, Inc.</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10210 North East Points Drive Suite 400 Kirkland, WA 98033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7/26/2029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150,804</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522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374</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Longtail Ad Solutions, Inc. (dba JW Player)</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530 7th Avenue Suite 1906 New York, NY 10018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12/12/2029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387,596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315</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Skillshare, Inc.</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215 Park Avenue South 11th Floor New York, NY 10003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301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405</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Synack,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303 Twin Dolphin Drive, 6th Floor Redwood City, CA 94065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6/30/2032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116,908</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147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175</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Internet Software and Services - 0.82%*</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3,713</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4,150</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Property &amp; Casualty Insurance</w:t>
            </w:r>
          </w:p>
        </w:tc>
        <w:tc>
          <w:tcPr>
            <w:tcW w:w="34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Kin Insurance,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222 Merchandise Mart Plaza Suite 228 Chicago, IL 60654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D-3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9/26/2032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41,576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302</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322</w: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D-3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9/26/2032</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11,549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89</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D-3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9/26/2032</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9,239</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72</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Property &amp; Casualty Insurance - 0.10%*</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426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483</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Specialized Consumer Services</w:t>
            </w:r>
          </w:p>
        </w:tc>
        <w:tc>
          <w:tcPr>
            <w:tcW w:w="34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AllClear ID,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9600 Escarpment Boulevard Suite 745 Number 225 Austin, TX 78749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8/31/2027</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523,893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1,053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8/31/2027</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346,621</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697</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Credit Sesame,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444 Castro Street Suite 500 Mountain View, CA 94041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1/7/2030</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191,601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425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365</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Specialized Consumer Services - 0.07%*</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2,175</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365</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System Software</w:t>
            </w:r>
          </w:p>
        </w:tc>
        <w:tc>
          <w:tcPr>
            <w:tcW w:w="34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Dejero Labs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410 Albert Street Suite 200 Waterloo, Ontario N2L 3V3 Canada</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5/31/2029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333,621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192</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279</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Linxup, LLC</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424 South Woods Mill Road Suite 210 Saint Louis, MO 63017 United States</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Success fee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11/3/2033</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253</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247</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Scale Computing,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525 South Meridian Suite 3E Indianapolis, IN 46225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3/29/2029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9,665,667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346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System Software - 0.10%*</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791</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526</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Technology Hardware, Storage &amp; Peripherals</w:t>
            </w:r>
          </w:p>
        </w:tc>
        <w:tc>
          <w:tcPr>
            <w:tcW w:w="34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0"/>
              </w:rPr>
            </w:pPr>
            <w:r>
              <w:rPr>
                <w:rFonts w:ascii="Times New Roman;Times;serif" w:hAnsi="Times New Roman;Times;serif"/>
                <w:sz w:val="10"/>
              </w:rPr>
              <w:t>RealWear, Inc.</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600 Hatheway Road Suite 105 Vancouver, WA 98661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A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10/5/2028</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112,451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136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180</w: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A Preferred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12/28/2028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22,491</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25</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36</w:t>
            </w:r>
          </w:p>
        </w:tc>
      </w:tr>
      <w:tr>
        <w:trPr/>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Series A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6/27/2029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123,894</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381</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166</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Technology Hardware, Storage &amp; Peripherals - 0.08%*</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542</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382</w:t>
            </w:r>
          </w:p>
        </w:tc>
      </w:tr>
      <w:tr>
        <w:trPr/>
        <w:tc>
          <w:tcPr>
            <w:tcW w:w="7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Warrants - 3.20%*</w:t>
            </w:r>
          </w:p>
        </w:tc>
        <w:tc>
          <w:tcPr>
            <w:tcW w:w="346" w:type="dxa"/>
            <w:tcBorders/>
            <w:shd w:fill="CCEEFF" w:val="clear"/>
            <w:vAlign w:val="center"/>
          </w:tcPr>
          <w:p>
            <w:pPr>
              <w:pStyle w:val="TableContents"/>
              <w:bidi w:val="0"/>
              <w:spacing w:before="0" w:after="0"/>
              <w:ind w:left="0" w:right="0" w:hanging="0"/>
              <w:jc w:val="left"/>
              <w:rPr/>
            </w:pPr>
            <w:r>
              <w:rPr/>
              <w:t> </w:t>
            </w:r>
          </w:p>
        </w:tc>
        <w:tc>
          <w:tcPr>
            <w:tcW w:w="3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23,930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16,209</w:t>
            </w:r>
          </w:p>
        </w:tc>
      </w:tr>
      <w:tr>
        <w:trPr/>
        <w:tc>
          <w:tcPr>
            <w:tcW w:w="766" w:type="dxa"/>
            <w:tcBorders/>
            <w:vAlign w:val="center"/>
          </w:tcPr>
          <w:p>
            <w:pPr>
              <w:pStyle w:val="TableContents"/>
              <w:pBdr/>
              <w:bidi w:val="0"/>
              <w:spacing w:before="0" w:after="0"/>
              <w:ind w:left="0" w:right="0" w:hanging="0"/>
              <w:jc w:val="left"/>
              <w:rPr>
                <w:rFonts w:ascii="Times New Roman;Times;serif" w:hAnsi="Times New Roman;Times;serif"/>
                <w:b/>
                <w:sz w:val="10"/>
              </w:rPr>
            </w:pPr>
            <w:r>
              <w:rPr>
                <w:rFonts w:ascii="Times New Roman;Times;serif" w:hAnsi="Times New Roman;Times;serif"/>
                <w:b/>
                <w:sz w:val="10"/>
              </w:rPr>
              <w:t>Total Non-Control/Non-Affiliate Investments - 197.18%*</w:t>
            </w:r>
          </w:p>
        </w:tc>
        <w:tc>
          <w:tcPr>
            <w:tcW w:w="3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0"/>
              </w:rPr>
            </w:pPr>
            <w:r>
              <w:rPr>
                <w:rFonts w:ascii="Times New Roman;Times;serif" w:hAnsi="Times New Roman;Times;serif"/>
                <w:sz w:val="10"/>
              </w:rPr>
              <w:t>1,044,022</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30" w:hanging="0"/>
              <w:jc w:val="right"/>
              <w:rPr>
                <w:rFonts w:ascii="Times New Roman;Times;serif" w:hAnsi="Times New Roman;Times;serif"/>
                <w:sz w:val="10"/>
              </w:rPr>
            </w:pPr>
            <w:r>
              <w:rPr>
                <w:rFonts w:ascii="Times New Roman;Times;serif" w:hAnsi="Times New Roman;Times;serif"/>
                <w:sz w:val="10"/>
              </w:rPr>
              <w:t>1,000,405</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*Value as percentage of net assets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56" w:type="dxa"/>
        <w:jc w:val="left"/>
        <w:tblInd w:w="200" w:type="dxa"/>
        <w:tblLayout w:type="fixed"/>
        <w:tblCellMar>
          <w:top w:w="0" w:type="dxa"/>
          <w:left w:w="0" w:type="dxa"/>
          <w:bottom w:w="0" w:type="dxa"/>
          <w:right w:w="0" w:type="dxa"/>
        </w:tblCellMar>
      </w:tblPr>
      <w:tblGrid>
        <w:gridCol w:w="916"/>
        <w:gridCol w:w="346"/>
        <w:gridCol w:w="706"/>
        <w:gridCol w:w="226"/>
        <w:gridCol w:w="691"/>
        <w:gridCol w:w="346"/>
        <w:gridCol w:w="706"/>
        <w:gridCol w:w="346"/>
        <w:gridCol w:w="586"/>
        <w:gridCol w:w="346"/>
        <w:gridCol w:w="571"/>
        <w:gridCol w:w="346"/>
        <w:gridCol w:w="586"/>
        <w:gridCol w:w="346"/>
        <w:gridCol w:w="706"/>
        <w:gridCol w:w="346"/>
        <w:gridCol w:w="166"/>
        <w:gridCol w:w="586"/>
        <w:gridCol w:w="346"/>
        <w:gridCol w:w="166"/>
        <w:gridCol w:w="676"/>
      </w:tblGrid>
      <w:tr>
        <w:trPr/>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81660" cy="175260"/>
                      <wp:effectExtent l="0" t="0" r="0" b="0"/>
                      <wp:wrapNone/>
                      <wp:docPr id="265" name="Frame26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48310" cy="175260"/>
                      <wp:effectExtent l="0" t="0" r="0" b="0"/>
                      <wp:wrapNone/>
                      <wp:docPr id="267" name="Frame26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3510" cy="175260"/>
                      <wp:effectExtent l="0" t="0" r="0" b="0"/>
                      <wp:wrapNone/>
                      <wp:docPr id="268" name="Frame2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38785" cy="175260"/>
                      <wp:effectExtent l="0" t="0" r="0" b="0"/>
                      <wp:wrapNone/>
                      <wp:docPr id="269" name="Frame2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48310" cy="175260"/>
                      <wp:effectExtent l="0" t="0" r="0" b="0"/>
                      <wp:wrapNone/>
                      <wp:docPr id="271" name="Frame26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72110" cy="175260"/>
                      <wp:effectExtent l="0" t="0" r="0" b="0"/>
                      <wp:wrapNone/>
                      <wp:docPr id="273" name="Frame2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5" name="Frame2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72110" cy="175260"/>
                      <wp:effectExtent l="0" t="0" r="0" b="0"/>
                      <wp:wrapNone/>
                      <wp:docPr id="277" name="Frame27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48310" cy="175260"/>
                      <wp:effectExtent l="0" t="0" r="0" b="0"/>
                      <wp:wrapNone/>
                      <wp:docPr id="279" name="Frame27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05410" cy="175260"/>
                      <wp:effectExtent l="0" t="0" r="0" b="0"/>
                      <wp:wrapNone/>
                      <wp:docPr id="281" name="Frame27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72110" cy="175260"/>
                      <wp:effectExtent l="0" t="0" r="0" b="0"/>
                      <wp:wrapNone/>
                      <wp:docPr id="282" name="Frame28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05410" cy="175260"/>
                      <wp:effectExtent l="0" t="0" r="0" b="0"/>
                      <wp:wrapNone/>
                      <wp:docPr id="284" name="Frame28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Percentage of </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9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2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Maturity Date</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Fully Diluted Basis</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Cost ($)</w:t>
            </w:r>
          </w:p>
        </w:tc>
        <w:tc>
          <w:tcPr>
            <w:tcW w:w="346" w:type="dxa"/>
            <w:tcBorders/>
            <w:vAlign w:val="center"/>
          </w:tcPr>
          <w:p>
            <w:pPr>
              <w:pStyle w:val="TableContents"/>
              <w:bidi w:val="0"/>
              <w:spacing w:before="0" w:after="0"/>
              <w:ind w:left="0" w:right="0" w:hanging="0"/>
              <w:jc w:val="center"/>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Fair Value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Affiliate Investments</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Debt Investments</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Gynesonics, Inc.</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600 Chesapeake Drive Redwood City, CA 94063 United States</w:t>
            </w:r>
          </w:p>
        </w:tc>
        <w:tc>
          <w:tcPr>
            <w:tcW w:w="2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Senior Secured</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SOFR+8.75%, 8.00% ceiling, 5.00% ETP</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11/30/2026</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25,595</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center"/>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26,147</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26,041</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- 5.13%*</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26,147</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26,041</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Debt Investments - 5.13%*</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26,147</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26,041</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Equity Investments</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Application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Coginiti Corp</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464 Monterey Avenue Suite E Los Gatos, CA 95030 United States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1,040,160</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4,551</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104</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Application Software - 0.02%*</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4,551</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104</w: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Gynesonics, Inc.</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600 Chesapeake Drive Redwood City, CA 94063 United States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Series A-2 Preferred Stock</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3,266,668</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25,000</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23,969</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Series A-1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3,100,000</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3,100</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8,328</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- 6.37%*</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28,100</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32,297</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Equity Investments - 6.39%*</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32,651</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32,401</w:t>
            </w:r>
          </w:p>
        </w:tc>
      </w:tr>
      <w:tr>
        <w:trPr/>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Application Software</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Coginiti Corp</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464 Monterey Avenue Suite E Los Gatos, CA 95030 United States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3/9/2030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811,770</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79</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Application Software - 0.01%*</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79</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Gynesonics, Inc.</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600 Chesapeake Drive Redwood City, CA 94063 United States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Success fee</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3/1/2030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313</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448</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- 0.09%*</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313</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448</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Warrants - 0.10%*</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313</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527</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Affiliate Investments - 11.62%*</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59,111</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58,969</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Control Investments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Equity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Data Processing &amp; Outsourced Services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Pivot3, Inc.</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205 North Michigan Ave Suite 4200 Chicago IL 60601 United States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950</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1,198</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Data Processing &amp; Outsourced Services - 0.24%*</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950</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1,198</w:t>
            </w:r>
          </w:p>
        </w:tc>
      </w:tr>
      <w:tr>
        <w:trPr/>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Multi-Sector Holdings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Runway-Cadma I LLC</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205 North Michigan Ave Suite 4200 Chicago IL 60601 United States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Equity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5,600</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5,528</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Multi-Sector Holdings - 1.09%*</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5,600</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5,528</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Equity Investments - 1.33%*</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6,550</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6,726</w:t>
            </w:r>
          </w:p>
        </w:tc>
      </w:tr>
      <w:tr>
        <w:trPr/>
        <w:tc>
          <w:tcPr>
            <w:tcW w:w="91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Control Investments - 1.33%*</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6,550</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6,726</w:t>
            </w:r>
          </w:p>
        </w:tc>
      </w:tr>
      <w:tr>
        <w:trPr/>
        <w:tc>
          <w:tcPr>
            <w:tcW w:w="91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Total Investments - 210.13%*</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1,109,683</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1,066,100</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*Value as percentage of net assets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Set forth below is a brief description of each portfolio company in which the fair value of our investment represents greater than 5% of our total assets as of September 30, 2024.</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3PL Central LLC (dba Extensiv)</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3PL Central LLC is a unified cloud-based platform offering fulfillment software to 3PL and eCommerce brands, which provides complete visibility on inventory and order logistics. 3PL Central LLC’s feature set enables customers to manage inventory, automate routine tasks, operate in-house fulfillment, streamline online orders, and connect with its network of partner warehouses.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Gynesonics, Inc.</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Gynesonics, Inc., is a healthcare company focused on advancing women’s health by developing minimally invasive, incision-free, uterus-preserving, transcervical technologies for diagnostic and therapeutic applications.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Kin Insurance, Inc.</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Kin Insurance, Inc. (“Kin”) is a direct-to-consumer homeowner’s insurance business. Kin’s end-to-end platform handles all aspects of the business in-house, from lead generation to bind-and-quote / underwriting to claims.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VTX Intermediate Holdings, Inc. (dba VertexOne)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VTX Intermediate Holdings, Inc. (“VertexOne”) provides Customer Information System (“CIS”) software and related ancillary services to small-to-mid sized electric, water and gas utility companies. CIS is a mission critical system that manages customer accounts by measuring and reporting consumption, generating billing data, driving billing compliance and feeding all customer-facing activities. Additionally, VertexOne offers a digital customer engagement platform for utility and retail customers that is designed to lower costs to serve customers, improve collections and increase customer satisfaction.</w:t>
      </w:r>
    </w:p>
    <w:p>
      <w:pPr>
        <w:pStyle w:val="TextBody"/>
        <w:bidi w:val="0"/>
        <w:spacing w:before="0" w:after="0"/>
        <w:ind w:left="200" w:right="200" w:firstLine="360"/>
        <w:jc w:val="left"/>
        <w:rPr/>
      </w:pPr>
      <w:r>
        <w:rPr/>
        <w:t>​</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14" w:name="MANAGEMENT_796802"/>
      <w:bookmarkStart w:id="415" w:name="_8bc0fc57_4200_4968_97b8_9048529ca53f"/>
      <w:bookmarkEnd w:id="414"/>
      <w:bookmarkEnd w:id="415"/>
      <w:r>
        <w:rPr>
          <w:rFonts w:ascii="Times New Roman;Times;serif" w:hAnsi="Times New Roman;Times;serif"/>
          <w:b/>
          <w:sz w:val="20"/>
        </w:rPr>
        <w:t>MANAGEMENT</w:t>
      </w:r>
    </w:p>
    <w:p>
      <w:pPr>
        <w:pStyle w:val="TextBody"/>
        <w:bidi w:val="0"/>
        <w:spacing w:before="0" w:after="240"/>
        <w:ind w:left="200" w:right="200" w:firstLine="360"/>
        <w:jc w:val="left"/>
        <w:rPr/>
      </w:pPr>
      <w:r>
        <w:rPr>
          <w:rFonts w:ascii="Times New Roman;Times;serif" w:hAnsi="Times New Roman;Times;serif"/>
          <w:color w:val="231F20"/>
          <w:sz w:val="20"/>
        </w:rPr>
        <w:t>The</w:t>
      </w:r>
      <w:r>
        <w:rPr>
          <w:rFonts w:ascii="Times New Roman;Times;serif" w:hAnsi="Times New Roman;Times;serif"/>
          <w:sz w:val="20"/>
        </w:rPr>
        <w:t xml:space="preserve"> information in the sections entitled “</w:t>
      </w:r>
      <w:r>
        <w:fldChar w:fldCharType="begin"/>
      </w:r>
      <w:r>
        <w:rPr>
          <w:rStyle w:val="InternetLink"/>
          <w:sz w:val="20"/>
          <w:i/>
          <w:b w:val="false"/>
          <w:rFonts w:ascii="Times New Roman;Times;serif" w:hAnsi="Times New Roman;Times;serif"/>
        </w:rPr>
        <w:instrText xml:space="preserve"> HYPERLINK "https://www.sec.gov/Archives/edgar/data/1653384/000110465924128500/tm2427219-2_def14a.htm" \l "tP2AO"</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Election of Directors</w:t>
      </w:r>
      <w:r>
        <w:rPr>
          <w:rStyle w:val="InternetLink"/>
          <w:sz w:val="20"/>
          <w:i/>
          <w:b w:val="false"/>
          <w:rFonts w:ascii="Times New Roman;Times;serif" w:hAnsi="Times New Roman;Times;serif"/>
        </w:rPr>
        <w:fldChar w:fldCharType="end"/>
      </w:r>
      <w:r>
        <w:rPr>
          <w:rFonts w:ascii="Times New Roman;Times;serif" w:hAnsi="Times New Roman;Times;serif"/>
          <w:sz w:val="20"/>
        </w:rPr>
        <w:t>” and “</w:t>
      </w:r>
      <w:hyperlink r:id="rId40">
        <w:r>
          <w:rPr>
            <w:rStyle w:val="InternetLink"/>
            <w:rFonts w:ascii="Times New Roman;Times;serif" w:hAnsi="Times New Roman;Times;serif"/>
            <w:b w:val="false"/>
            <w:i/>
            <w:sz w:val="20"/>
          </w:rPr>
          <w:t>Corporate Governance</w:t>
        </w:r>
      </w:hyperlink>
      <w:r>
        <w:rPr>
          <w:rFonts w:ascii="Times New Roman;Times;serif" w:hAnsi="Times New Roman;Times;serif"/>
          <w:sz w:val="20"/>
        </w:rPr>
        <w:t>” in our most recent definitive proxy on Schedule 14A for our special meeting of stockholders (the “Special Proxy Statement”) and “</w:t>
      </w:r>
      <w:hyperlink r:id="rId41">
        <w:r>
          <w:rPr>
            <w:rStyle w:val="InternetLink"/>
            <w:rFonts w:ascii="Times New Roman;Times;serif" w:hAnsi="Times New Roman;Times;serif"/>
            <w:b w:val="false"/>
            <w:i/>
            <w:sz w:val="20"/>
          </w:rPr>
          <w:t>Certain Relationships and Related Party Transactions</w:t>
        </w:r>
      </w:hyperlink>
      <w:r>
        <w:rPr>
          <w:rFonts w:ascii="Times New Roman;Times;serif" w:hAnsi="Times New Roman;Times;serif"/>
          <w:sz w:val="20"/>
        </w:rPr>
        <w:t xml:space="preserve">” in our most recent definitive proxy statement on Schedule 14A for our annual meeting of stockholders (the “Annual Proxy Statement”) as well as information included in our current report on </w:t>
      </w:r>
      <w:hyperlink r:id="rId42">
        <w:r>
          <w:rPr>
            <w:rStyle w:val="InternetLink"/>
            <w:rFonts w:ascii="Times New Roman;Times;serif" w:hAnsi="Times New Roman;Times;serif"/>
            <w:b w:val="false"/>
            <w:i w:val="false"/>
            <w:caps w:val="false"/>
            <w:smallCaps w:val="false"/>
            <w:sz w:val="20"/>
          </w:rPr>
          <w:t>Form 8-K filed with the SEC on November 18, 2024</w:t>
        </w:r>
      </w:hyperlink>
      <w:r>
        <w:rPr>
          <w:rFonts w:ascii="Times New Roman;Times;serif" w:hAnsi="Times New Roman;Times;serif"/>
          <w:sz w:val="20"/>
        </w:rPr>
        <w:t xml:space="preserve"> and </w:t>
      </w:r>
      <w:hyperlink r:id="rId43">
        <w:r>
          <w:rPr>
            <w:rStyle w:val="InternetLink"/>
            <w:rFonts w:ascii="Times New Roman;Times;serif" w:hAnsi="Times New Roman;Times;serif"/>
            <w:b w:val="false"/>
            <w:i w:val="false"/>
            <w:caps w:val="false"/>
            <w:smallCaps w:val="false"/>
            <w:sz w:val="20"/>
          </w:rPr>
          <w:t>Form 8-K filed with the SEC on March 17, 2025</w:t>
        </w:r>
      </w:hyperlink>
      <w:r>
        <w:rPr>
          <w:rFonts w:ascii="Times New Roman;Times;serif" w:hAnsi="Times New Roman;Times;serif"/>
          <w:sz w:val="20"/>
        </w:rPr>
        <w:t xml:space="preserve"> is incorporated herein by reference.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16" w:name="MANAGEMENTANDOTHERAGREEMENTS_309250"/>
      <w:bookmarkStart w:id="417" w:name="_5e229331_81e0_4a8a_9094_caebf6e93698"/>
      <w:bookmarkEnd w:id="416"/>
      <w:bookmarkEnd w:id="417"/>
      <w:r>
        <w:rPr>
          <w:rFonts w:ascii="Times New Roman;Times;serif" w:hAnsi="Times New Roman;Times;serif"/>
          <w:b/>
          <w:sz w:val="20"/>
        </w:rPr>
        <w:t>MANAGEMENT AND OTHER AGREEMENTS</w:t>
      </w:r>
    </w:p>
    <w:p>
      <w:pPr>
        <w:pStyle w:val="TextBody"/>
        <w:bidi w:val="0"/>
        <w:spacing w:before="0" w:after="240"/>
        <w:ind w:left="200" w:right="200" w:firstLine="360"/>
        <w:jc w:val="left"/>
        <w:rPr/>
      </w:pPr>
      <w:r>
        <w:rPr>
          <w:rFonts w:ascii="Times New Roman;Times;serif" w:hAnsi="Times New Roman;Times;serif"/>
          <w:sz w:val="20"/>
        </w:rPr>
        <w:t>The information in the sections entitled “</w:t>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"item1business_632152"</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About RGC</w:t>
      </w:r>
      <w:r>
        <w:rPr>
          <w:rStyle w:val="InternetLink"/>
          <w:sz w:val="20"/>
          <w:i/>
          <w:b w:val="false"/>
          <w:rFonts w:ascii="Times New Roman;Times;serif" w:hAnsi="Times New Roman;Times;serif"/>
        </w:rPr>
        <w:fldChar w:fldCharType="end"/>
      </w:r>
      <w:r>
        <w:fldChar w:fldCharType="begin"/>
      </w:r>
      <w:r>
        <w:rPr>
          <w:rStyle w:val="InternetLink"/>
          <w:smallCaps w:val="false"/>
          <w:caps w:val="false"/>
          <w:sz w:val="20"/>
          <w:rFonts w:ascii="Times New Roman;Times;serif" w:hAnsi="Times New Roman;Times;serif"/>
        </w:rPr>
        <w:instrText xml:space="preserve"> HYPERLINK "https://www.sec.gov/Archives/edgar/data/1653384/000095017024027913/rway-20231231.htm" \l "item1business_632152"</w:instrText>
      </w:r>
      <w:r>
        <w:rPr>
          <w:rStyle w:val="InternetLink"/>
          <w:smallCaps w:val="false"/>
          <w:caps w:val="false"/>
          <w:sz w:val="20"/>
          <w:rFonts w:ascii="Times New Roman;Times;serif" w:hAnsi="Times New Roman;Times;serif"/>
        </w:rPr>
        <w:fldChar w:fldCharType="separate"/>
      </w:r>
      <w:r>
        <w:rPr>
          <w:rStyle w:val="InternetLink"/>
          <w:rFonts w:ascii="Times New Roman;Times;serif" w:hAnsi="Times New Roman;Times;serif"/>
          <w:caps w:val="false"/>
          <w:smallCaps w:val="false"/>
          <w:sz w:val="20"/>
        </w:rPr>
        <w:t xml:space="preserve">” </w:t>
      </w:r>
      <w:r>
        <w:rPr>
          <w:rStyle w:val="InternetLink"/>
          <w:smallCaps w:val="false"/>
          <w:caps w:val="false"/>
          <w:sz w:val="20"/>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"https://www.sec.gov/Archives/edgar/data/1653384/000095017024027913/rway-20231231.htm" \l "item1business_632152"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and “</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"item1business_632152"</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About Our Administrator</w:t>
      </w:r>
      <w:r>
        <w:rPr>
          <w:rStyle w:val="InternetLink"/>
          <w:sz w:val="20"/>
          <w:i/>
          <w:b w:val="false"/>
          <w:rFonts w:ascii="Times New Roman;Times;serif" w:hAnsi="Times New Roman;Times;serif"/>
        </w:rPr>
        <w:fldChar w:fldCharType="end"/>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"https://www.sec.gov/Archives/edgar/data/1653384/000095017024027913/rway-20231231.htm" \l "item1business_632152"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 in Part I, Item 1 “</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"item1business_632152"</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Business</w:t>
      </w:r>
      <w:r>
        <w:rPr>
          <w:rStyle w:val="InternetLink"/>
          <w:sz w:val="20"/>
          <w:i/>
          <w:b w:val="false"/>
          <w:rFonts w:ascii="Times New Roman;Times;serif" w:hAnsi="Times New Roman;Times;serif"/>
        </w:rPr>
        <w:fldChar w:fldCharType="end"/>
      </w:r>
      <w:r>
        <w:rPr>
          <w:rFonts w:ascii="Times New Roman;Times;serif" w:hAnsi="Times New Roman;Times;serif"/>
          <w:sz w:val="20"/>
        </w:rPr>
        <w:t>” of our most recent Annual Report on Form 10-K, and in “</w:t>
      </w:r>
      <w:hyperlink r:id="rId44">
        <w:r>
          <w:rPr>
            <w:rStyle w:val="InternetLink"/>
            <w:rFonts w:ascii="Times New Roman;Times;serif" w:hAnsi="Times New Roman;Times;serif"/>
            <w:b w:val="false"/>
            <w:i/>
            <w:sz w:val="20"/>
          </w:rPr>
          <w:t>Note 3—Related Party Agreements and Transactions</w:t>
        </w:r>
      </w:hyperlink>
      <w:r>
        <w:rPr>
          <w:rFonts w:ascii="Times New Roman;Times;serif" w:hAnsi="Times New Roman;Times;serif"/>
          <w:sz w:val="20"/>
        </w:rPr>
        <w:t>” in our financial statements in our most recent Quarterly Report on Form 10-Q is incorporated herein by reference.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18" w:name="RELATEDPARTYTRANSACTIONSANDCERTAINRELATI"/>
      <w:bookmarkStart w:id="419" w:name="_0f7789c0_bc93_46f9_8e50_1da5d045ce5f"/>
      <w:bookmarkEnd w:id="418"/>
      <w:bookmarkEnd w:id="419"/>
      <w:r>
        <w:rPr>
          <w:rFonts w:ascii="Times New Roman;Times;serif" w:hAnsi="Times New Roman;Times;serif"/>
          <w:b/>
          <w:sz w:val="20"/>
        </w:rPr>
        <w:t>RELATED-PARTY TRANSACTIONS AND CERTAIN RELATIONSHIPS</w:t>
      </w:r>
    </w:p>
    <w:p>
      <w:pPr>
        <w:pStyle w:val="TextBody"/>
        <w:bidi w:val="0"/>
        <w:spacing w:before="0" w:after="240"/>
        <w:ind w:left="200" w:right="200" w:firstLine="360"/>
        <w:jc w:val="left"/>
        <w:rPr/>
      </w:pPr>
      <w:r>
        <w:rPr>
          <w:rFonts w:ascii="Times New Roman;Times;serif" w:hAnsi="Times New Roman;Times;serif"/>
          <w:color w:val="231F20"/>
          <w:sz w:val="20"/>
        </w:rPr>
        <w:t>The</w:t>
      </w:r>
      <w:r>
        <w:rPr>
          <w:rFonts w:ascii="Times New Roman;Times;serif" w:hAnsi="Times New Roman;Times;serif"/>
          <w:sz w:val="20"/>
        </w:rPr>
        <w:t xml:space="preserve"> information in the section entitled “</w:t>
      </w:r>
      <w:r>
        <w:fldChar w:fldCharType="begin"/>
      </w:r>
      <w:r>
        <w:rPr>
          <w:rStyle w:val="InternetLink"/>
          <w:sz w:val="20"/>
          <w:i/>
          <w:b w:val="false"/>
          <w:rFonts w:ascii="Times New Roman;Times;serif" w:hAnsi="Times New Roman;Times;serif"/>
        </w:rPr>
        <w:instrText xml:space="preserve"> HYPERLINK "https://www.sec.gov/Archives/edgar/data/1653384/000110465924077786/tm242737-2_def14a.htm" \l "tCRAR"</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Certain Relationships and Related Transactions</w:t>
      </w:r>
      <w:r>
        <w:rPr>
          <w:rStyle w:val="InternetLink"/>
          <w:sz w:val="20"/>
          <w:i/>
          <w:b w:val="false"/>
          <w:rFonts w:ascii="Times New Roman;Times;serif" w:hAnsi="Times New Roman;Times;serif"/>
        </w:rPr>
        <w:fldChar w:fldCharType="end"/>
      </w:r>
      <w:r>
        <w:rPr>
          <w:rFonts w:ascii="Times New Roman;Times;serif" w:hAnsi="Times New Roman;Times;serif"/>
          <w:sz w:val="20"/>
        </w:rPr>
        <w:t>” in our most recent Annual Proxy Statement is incorporated herein by reference.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20" w:name="CONTROLPERSONSANDPRINCIPALSHAREHOLDERS_6"/>
      <w:bookmarkStart w:id="421" w:name="_7da6764a_ee65_4c93_85fd_1e0e09dd3eee"/>
      <w:bookmarkEnd w:id="420"/>
      <w:bookmarkEnd w:id="421"/>
      <w:r>
        <w:rPr>
          <w:rFonts w:ascii="Times New Roman;Times;serif" w:hAnsi="Times New Roman;Times;serif"/>
          <w:b/>
          <w:sz w:val="20"/>
        </w:rPr>
        <w:t>CONTROL PERSONS AND PRINCIPAL SHAREHOLDERS</w:t>
      </w:r>
    </w:p>
    <w:p>
      <w:pPr>
        <w:pStyle w:val="TextBody"/>
        <w:bidi w:val="0"/>
        <w:spacing w:before="0" w:after="240"/>
        <w:ind w:left="200" w:right="200" w:firstLine="360"/>
        <w:jc w:val="left"/>
        <w:rPr/>
      </w:pPr>
      <w:r>
        <w:rPr>
          <w:rFonts w:ascii="Times New Roman;Times;serif" w:hAnsi="Times New Roman;Times;serif"/>
          <w:sz w:val="20"/>
        </w:rPr>
        <w:t xml:space="preserve">The </w:t>
      </w:r>
      <w:r>
        <w:rPr>
          <w:rFonts w:ascii="Times New Roman;Times;serif" w:hAnsi="Times New Roman;Times;serif"/>
          <w:color w:val="231F20"/>
          <w:sz w:val="20"/>
        </w:rPr>
        <w:t>information</w:t>
      </w:r>
      <w:r>
        <w:rPr>
          <w:rFonts w:ascii="Times New Roman;Times;serif" w:hAnsi="Times New Roman;Times;serif"/>
          <w:sz w:val="20"/>
        </w:rPr>
        <w:t xml:space="preserve"> in the sections entitled “</w:t>
      </w:r>
      <w:r>
        <w:fldChar w:fldCharType="begin"/>
      </w:r>
      <w:r>
        <w:rPr>
          <w:rStyle w:val="InternetLink"/>
          <w:sz w:val="20"/>
          <w:i/>
          <w:b w:val="false"/>
          <w:rFonts w:ascii="Times New Roman;Times;serif" w:hAnsi="Times New Roman;Times;serif"/>
        </w:rPr>
        <w:instrText xml:space="preserve"> HYPERLINK "https://www.sec.gov/Archives/edgar/data/1653384/000110465924128500/tm2427219-2_def14a.htm" \l "tP2AO"</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Election of Directors</w:t>
      </w:r>
      <w:r>
        <w:rPr>
          <w:rStyle w:val="InternetLink"/>
          <w:sz w:val="20"/>
          <w:i/>
          <w:b w:val="false"/>
          <w:rFonts w:ascii="Times New Roman;Times;serif" w:hAnsi="Times New Roman;Times;serif"/>
        </w:rPr>
        <w:fldChar w:fldCharType="end"/>
      </w:r>
      <w:r>
        <w:rPr>
          <w:rFonts w:ascii="Times New Roman;Times;serif" w:hAnsi="Times New Roman;Times;serif"/>
          <w:sz w:val="20"/>
        </w:rPr>
        <w:t>” and “</w:t>
      </w:r>
      <w:r>
        <w:fldChar w:fldCharType="begin"/>
      </w:r>
      <w:r>
        <w:rPr>
          <w:rStyle w:val="InternetLink"/>
          <w:sz w:val="20"/>
          <w:i/>
          <w:b w:val="false"/>
          <w:rFonts w:ascii="Times New Roman;Times;serif" w:hAnsi="Times New Roman;Times;serif"/>
        </w:rPr>
        <w:instrText xml:space="preserve"> HYPERLINK "https://www.sec.gov/Archives/edgar/data/1653384/000110465924128500/tm2427219-2_def14a.htm" \l "tSOOB"</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Security Ownership of Certain Beneficial Owners and Management</w:t>
      </w:r>
      <w:r>
        <w:rPr>
          <w:rStyle w:val="InternetLink"/>
          <w:sz w:val="20"/>
          <w:i/>
          <w:b w:val="false"/>
          <w:rFonts w:ascii="Times New Roman;Times;serif" w:hAnsi="Times New Roman;Times;serif"/>
        </w:rPr>
        <w:fldChar w:fldCharType="end"/>
      </w:r>
      <w:r>
        <w:rPr>
          <w:rFonts w:ascii="Times New Roman;Times;serif" w:hAnsi="Times New Roman;Times;serif"/>
          <w:sz w:val="20"/>
        </w:rPr>
        <w:t>” in our most recent Special Proxy Statement is incorporated herein by reference.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22" w:name="DETERMINATIONOFNETASSETVALUE_837708"/>
      <w:bookmarkStart w:id="423" w:name="_3d667c8c_3add_4a62_8a9b_d3fcf0d03f35"/>
      <w:bookmarkEnd w:id="422"/>
      <w:bookmarkEnd w:id="423"/>
      <w:r>
        <w:rPr>
          <w:rFonts w:ascii="Times New Roman;Times;serif" w:hAnsi="Times New Roman;Times;serif"/>
          <w:b/>
          <w:sz w:val="20"/>
        </w:rPr>
        <w:t>DETERMINATION OF NET ASSET VALUE</w:t>
      </w:r>
    </w:p>
    <w:p>
      <w:pPr>
        <w:pStyle w:val="TextBody"/>
        <w:bidi w:val="0"/>
        <w:spacing w:before="0" w:after="240"/>
        <w:ind w:left="200" w:right="200" w:firstLine="360"/>
        <w:jc w:val="left"/>
        <w:rPr/>
      </w:pPr>
      <w:r>
        <w:rPr>
          <w:rFonts w:ascii="Times New Roman;Times;serif" w:hAnsi="Times New Roman;Times;serif"/>
          <w:color w:val="231F20"/>
          <w:sz w:val="20"/>
        </w:rPr>
        <w:t xml:space="preserve">The information in the section entitled </w:t>
      </w:r>
      <w:r>
        <w:rPr>
          <w:rFonts w:ascii="Times New Roman;Times;serif" w:hAnsi="Times New Roman;Times;serif"/>
          <w:sz w:val="20"/>
        </w:rPr>
        <w:t>“</w:t>
      </w:r>
      <w:hyperlink r:id="rId45">
        <w:r>
          <w:rPr>
            <w:rStyle w:val="InternetLink"/>
            <w:rFonts w:ascii="Times New Roman;Times;serif" w:hAnsi="Times New Roman;Times;serif"/>
            <w:b w:val="false"/>
            <w:i/>
            <w:sz w:val="20"/>
          </w:rPr>
          <w:t>Critical Accounting Policies</w:t>
        </w:r>
      </w:hyperlink>
      <w:hyperlink r:id="rId46">
        <w:r>
          <w:rPr>
            <w:rStyle w:val="InternetLink"/>
            <w:rFonts w:ascii="Times New Roman;Times;serif" w:hAnsi="Times New Roman;Times;serif"/>
            <w:b w:val="false"/>
            <w:i w:val="false"/>
            <w:caps w:val="false"/>
            <w:smallCaps w:val="false"/>
            <w:sz w:val="20"/>
          </w:rPr>
          <w:t>,</w:t>
        </w:r>
      </w:hyperlink>
      <w:r>
        <w:rPr>
          <w:rFonts w:ascii="Times New Roman;Times;serif" w:hAnsi="Times New Roman;Times;serif"/>
          <w:sz w:val="20"/>
        </w:rPr>
        <w:t xml:space="preserve">” in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"https://www.sec.gov/Archives/edgar/data/1653384/000095017024027913/rway-20231231.htm" \l "item8financialstatementsandsupplementary"</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Part II, Item 8 “</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"item8financialstatementsandsupplementary"</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Consolidated Financial Statements and Supplementary Data</w:t>
      </w:r>
      <w:r>
        <w:rPr>
          <w:rStyle w:val="InternetLink"/>
          <w:sz w:val="20"/>
          <w:i/>
          <w:b w:val="false"/>
          <w:rFonts w:ascii="Times New Roman;Times;serif" w:hAnsi="Times New Roman;Times;serif"/>
        </w:rPr>
        <w:fldChar w:fldCharType="end"/>
      </w:r>
      <w:r>
        <w:rPr>
          <w:rFonts w:ascii="Times New Roman;Times;serif" w:hAnsi="Times New Roman;Times;serif"/>
          <w:sz w:val="20"/>
        </w:rPr>
        <w:t>”</w:t>
      </w:r>
      <w:r>
        <w:rPr>
          <w:rFonts w:ascii="Times New Roman;Times;serif" w:hAnsi="Times New Roman;Times;serif"/>
          <w:color w:val="231F20"/>
          <w:sz w:val="20"/>
        </w:rPr>
        <w:t xml:space="preserve"> of our most recent Annual Report on Form 10-K, and in </w:t>
      </w:r>
      <w:r>
        <w:rPr>
          <w:rFonts w:ascii="Times New Roman;Times;serif" w:hAnsi="Times New Roman;Times;serif"/>
          <w:sz w:val="20"/>
        </w:rPr>
        <w:t>“</w:t>
      </w:r>
      <w:hyperlink r:id="rId47">
        <w:r>
          <w:rPr>
            <w:rStyle w:val="InternetLink"/>
            <w:rFonts w:ascii="Times New Roman;Times;serif" w:hAnsi="Times New Roman;Times;serif"/>
            <w:b w:val="false"/>
            <w:i/>
            <w:sz w:val="20"/>
          </w:rPr>
          <w:t>Note 2-Summary of Significant Accounting Policies</w:t>
        </w:r>
      </w:hyperlink>
      <w:r>
        <w:rPr>
          <w:rFonts w:ascii="Times New Roman;Times;serif" w:hAnsi="Times New Roman;Times;serif"/>
          <w:sz w:val="20"/>
        </w:rPr>
        <w:t>”</w:t>
      </w:r>
      <w:r>
        <w:rPr>
          <w:rFonts w:ascii="Times New Roman;Times;serif" w:hAnsi="Times New Roman;Times;serif"/>
          <w:color w:val="231F20"/>
          <w:sz w:val="20"/>
        </w:rPr>
        <w:t xml:space="preserve"> in our </w:t>
      </w:r>
      <w:r>
        <w:rPr>
          <w:rFonts w:ascii="Times New Roman;Times;serif" w:hAnsi="Times New Roman;Times;serif"/>
          <w:sz w:val="20"/>
        </w:rPr>
        <w:t>financial</w:t>
      </w:r>
      <w:r>
        <w:rPr>
          <w:rFonts w:ascii="Times New Roman;Times;serif" w:hAnsi="Times New Roman;Times;serif"/>
          <w:color w:val="231F20"/>
          <w:sz w:val="20"/>
        </w:rPr>
        <w:t xml:space="preserve"> statements in our most recent Quarterly Report on Form 10-Q is incorporated herein by reference.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24" w:name="DIVIDENDREINVESTMENTPLAN_250695"/>
      <w:bookmarkStart w:id="425" w:name="_cead9174_e06f_4eb6_b282_b4c6a6c1bdda"/>
      <w:bookmarkEnd w:id="424"/>
      <w:bookmarkEnd w:id="425"/>
      <w:r>
        <w:rPr>
          <w:rFonts w:ascii="Times New Roman;Times;serif" w:hAnsi="Times New Roman;Times;serif"/>
          <w:b/>
          <w:sz w:val="20"/>
        </w:rPr>
        <w:t>DIVIDEND REINVESTMENT PLAN</w:t>
      </w:r>
    </w:p>
    <w:p>
      <w:pPr>
        <w:pStyle w:val="TextBody"/>
        <w:bidi w:val="0"/>
        <w:spacing w:before="0" w:after="240"/>
        <w:ind w:left="200" w:right="200" w:firstLine="360"/>
        <w:jc w:val="left"/>
        <w:rPr/>
      </w:pPr>
      <w:r>
        <w:rPr>
          <w:rFonts w:ascii="Times New Roman;Times;serif" w:hAnsi="Times New Roman;Times;serif"/>
          <w:color w:val="231F20"/>
          <w:sz w:val="20"/>
        </w:rPr>
        <w:t xml:space="preserve">The information in the section entitled </w:t>
      </w:r>
      <w:r>
        <w:rPr>
          <w:rFonts w:ascii="Times New Roman;Times;serif" w:hAnsi="Times New Roman;Times;serif"/>
          <w:sz w:val="20"/>
        </w:rPr>
        <w:t>“</w:t>
      </w:r>
      <w:hyperlink r:id="rId48">
        <w:r>
          <w:rPr>
            <w:rStyle w:val="InternetLink"/>
            <w:rFonts w:ascii="Times New Roman;Times;serif" w:hAnsi="Times New Roman;Times;serif"/>
            <w:b w:val="false"/>
            <w:i/>
            <w:sz w:val="20"/>
          </w:rPr>
          <w:t>Dividend Reinvestment Plan</w:t>
        </w:r>
      </w:hyperlink>
      <w:hyperlink r:id="rId49">
        <w:r>
          <w:rPr>
            <w:rStyle w:val="InternetLink"/>
            <w:rFonts w:ascii="Times New Roman;Times;serif" w:hAnsi="Times New Roman;Times;serif"/>
            <w:b w:val="false"/>
            <w:i w:val="false"/>
            <w:caps w:val="false"/>
            <w:smallCaps w:val="false"/>
            <w:sz w:val="20"/>
          </w:rPr>
          <w:t>,</w:t>
        </w:r>
      </w:hyperlink>
      <w:r>
        <w:rPr>
          <w:rFonts w:ascii="Times New Roman;Times;serif" w:hAnsi="Times New Roman;Times;serif"/>
          <w:sz w:val="20"/>
        </w:rPr>
        <w:t xml:space="preserve">” in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"https://www.sec.gov/Archives/edgar/data/1653384/000095017024027913/rway-20231231.htm" \l "item7managementsdiscussionandanalysisoff"</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Part II, Item 7 “</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z w:val="20"/>
          <w:i/>
          <w:b w:val="false"/>
          <w:rFonts w:ascii="Times New Roman;Times;serif" w:hAnsi="Times New Roman;Times;serif"/>
        </w:rPr>
        <w:instrText xml:space="preserve"> HYPERLINK "https://www.sec.gov/Archives/edgar/data/1653384/000095017024027913/rway-20231231.htm" \l "item7managementsdiscussionandanalysisoff"</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Management’s Discussion and Analysis of Financial Conditions and Results of Operations</w:t>
      </w:r>
      <w:r>
        <w:rPr>
          <w:rStyle w:val="InternetLink"/>
          <w:sz w:val="20"/>
          <w:i/>
          <w:b w:val="false"/>
          <w:rFonts w:ascii="Times New Roman;Times;serif" w:hAnsi="Times New Roman;Times;serif"/>
        </w:rPr>
        <w:fldChar w:fldCharType="end"/>
      </w:r>
      <w:r>
        <w:rPr>
          <w:rFonts w:ascii="Times New Roman;Times;serif" w:hAnsi="Times New Roman;Times;serif"/>
          <w:sz w:val="20"/>
        </w:rPr>
        <w:t>”</w:t>
      </w:r>
      <w:r>
        <w:rPr>
          <w:rFonts w:ascii="Times New Roman;Times;serif" w:hAnsi="Times New Roman;Times;serif"/>
          <w:color w:val="231F20"/>
          <w:sz w:val="20"/>
        </w:rPr>
        <w:t xml:space="preserve"> of our most recent Annual Report on Form 10-K, and in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"https://www.sec.gov/Archives/edgar/data/1653384/000095017024125299/rway-20240930.htm" \l "item2managementsdiscussionandanalysisoff"</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Part I, Item 2 “</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z w:val="20"/>
          <w:i/>
          <w:b w:val="false"/>
          <w:rFonts w:ascii="Times New Roman;Times;serif" w:hAnsi="Times New Roman;Times;serif"/>
        </w:rPr>
        <w:instrText xml:space="preserve"> HYPERLINK "https://www.sec.gov/Archives/edgar/data/1653384/000095017024125299/rway-20240930.htm" \l "item2managementsdiscussionandanalysisoff"</w:instrText>
      </w:r>
      <w:r>
        <w:rPr>
          <w:rStyle w:val="InternetLink"/>
          <w:sz w:val="20"/>
          <w:i/>
          <w:b w:val="false"/>
          <w:rFonts w:ascii="Times New Roman;Times;serif" w:hAnsi="Times New Roman;Times;serif"/>
        </w:rPr>
        <w:fldChar w:fldCharType="separate"/>
      </w:r>
      <w:r>
        <w:rPr>
          <w:rStyle w:val="InternetLink"/>
          <w:rFonts w:ascii="Times New Roman;Times;serif" w:hAnsi="Times New Roman;Times;serif"/>
          <w:b w:val="false"/>
          <w:i/>
          <w:sz w:val="20"/>
        </w:rPr>
        <w:t>Management’s Discussion and Analysis of Financial Conditions and Results of Operations</w:t>
      </w:r>
      <w:r>
        <w:rPr>
          <w:rStyle w:val="InternetLink"/>
          <w:sz w:val="20"/>
          <w:i/>
          <w:b w:val="false"/>
          <w:rFonts w:ascii="Times New Roman;Times;serif" w:hAnsi="Times New Roman;Times;serif"/>
        </w:rPr>
        <w:fldChar w:fldCharType="end"/>
      </w:r>
      <w:r>
        <w:rPr>
          <w:rFonts w:ascii="Times New Roman;Times;serif" w:hAnsi="Times New Roman;Times;serif"/>
          <w:sz w:val="20"/>
        </w:rPr>
        <w:t>”</w:t>
      </w:r>
      <w:r>
        <w:rPr>
          <w:rFonts w:ascii="Times New Roman;Times;serif" w:hAnsi="Times New Roman;Times;serif"/>
          <w:color w:val="231F20"/>
          <w:sz w:val="20"/>
        </w:rPr>
        <w:t xml:space="preserve"> in our most recent Quarterly Report on Form </w:t>
      </w:r>
      <w:r>
        <w:rPr>
          <w:rFonts w:ascii="Times New Roman;Times;serif" w:hAnsi="Times New Roman;Times;serif"/>
          <w:sz w:val="20"/>
        </w:rPr>
        <w:t>10-</w:t>
      </w:r>
      <w:r>
        <w:rPr>
          <w:rFonts w:ascii="Times New Roman;Times;serif" w:hAnsi="Times New Roman;Times;serif"/>
          <w:color w:val="231F20"/>
          <w:sz w:val="20"/>
        </w:rPr>
        <w:t>Q is incorporated herein by reference.</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26" w:name="CERTAINUSFEDERALINCOMETAXCONSIDERATIONS_"/>
      <w:bookmarkStart w:id="427" w:name="_9ee01a34_0609_41b4_bb7a_512fe888bd15"/>
      <w:bookmarkEnd w:id="426"/>
      <w:bookmarkEnd w:id="427"/>
      <w:r>
        <w:rPr>
          <w:rFonts w:ascii="Times New Roman;Times;serif" w:hAnsi="Times New Roman;Times;serif"/>
          <w:b/>
          <w:sz w:val="20"/>
        </w:rPr>
        <w:t>CERTAIN U.S. FEDERAL INCOME TAX CONSIDERATIONS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discussion is a general summary of certain U.S. federal income tax considerations applicable to us and to an investment in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an interest in the Company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shareholders hold our common stock as capital assets (within the meaning of the Code).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discussion is based upon the Code, regulations promulgated thereunder,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alternative minimum, or gift tax or non U.S., state or local tax. It also does not discuss the special treatment under U.S. federal income tax laws that could result if we invested in tax-exempt securities or certain other investment assets.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purposes of this discussion, a “U.S. stockholder” is a beneficial owner of shares of our common stock that is for U.S. federal income tax purposes:</w:t>
      </w:r>
    </w:p>
    <w:tbl>
      <w:tblPr>
        <w:tblW w:w="4716" w:type="dxa"/>
        <w:jc w:val="left"/>
        <w:tblInd w:w="20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citizen or individual resident of the United States;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corporation (or other entity or arrangement treated as a corporation) organized in or under the laws of the United States or any political subdivision thereof;</w:t>
            </w:r>
          </w:p>
        </w:tc>
      </w:tr>
    </w:tbl>
    <w:tbl>
      <w:tblPr>
        <w:tblW w:w="8481" w:type="dxa"/>
        <w:jc w:val="left"/>
        <w:tblInd w:w="20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estate, the income of which is subject to U.S. federal income taxation regardless of its source;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trust if (i) a court within the United States is able to exercise primary supervision over the administration of the trust and one or more U.S. persons have authority to control all substantial decisions of the trust, or (ii) it has a valid election in effect under applicable U.S. Treasury Regulations to be treated as a U.S. person.</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“non-U.S. stockholder” means a beneficial owner of shares of our common stock that is neither a U.S. stockholder nor a partnership (or other entity or arrangement treated as a partnership for U.S. federal income tax purposes).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a partnership (including an entity or arrangement treated as a partnership for U.S. federal income tax purposes) holds our shares, the U.S. tax treatment of the partnership and each partner generally will depend on the status of the partner and the activities of the partnership.. A partnership considering an investment in our common stock should consult its own tax advisers regarding the U.S. federal income tax consequences of the acquisition, ownership and disposition of shares by the partnership.</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elected to be treated, and intend to qualify annually, as a RIC under Subchapter M of the Code; however, no assurance can be given that we will be able to maintain our RIC tax treatment.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qualify as a RIC, we must, among other things:</w:t>
      </w:r>
    </w:p>
    <w:tbl>
      <w:tblPr>
        <w:tblW w:w="4191" w:type="dxa"/>
        <w:jc w:val="left"/>
        <w:tblInd w:w="20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satisfy the Annual Distribution Requirement;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as defined in the Code (“QPTP”), hereinafter the “90% Gross Income Test;” and</w:t>
            </w:r>
          </w:p>
        </w:tc>
      </w:tr>
    </w:tbl>
    <w:tbl>
      <w:tblPr>
        <w:tblW w:w="6771" w:type="dxa"/>
        <w:jc w:val="left"/>
        <w:tblInd w:w="20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diversify our holdings so that, at the end of each quarter of each taxable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not more than 25% of the value of our total assets is invested in (i) the securities (other than U.S. Government securities and the securities of other RICs) of any issuer, (ii) the securities (other than securities of other RICs) of any two or more issuers that we control and that are determined to be engaged in the same business or similar or related trades or businesses, or the securities of one or more QPTPs (the “Diversification Tests”).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RIC, we generally are not subject to U.S. federal income tax on investment company taxable income and net capital gain that we timely distribute to our stockholders as dividends. We intend to distribute annually all or substantially all of such income. To the extent we retain any of our net capital gain or any investment company taxable income, we are subject to U.S. federal income tax imposed at corporate rates, and possibly U.S. federal excise tax (discussed below), on such retained amounts. We may choose to retain a portion of any investment company taxable income and some or all of our net capital gain, and pay the associated U.S. federal income tax and any applicable U.S. federal excise tax.</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a nondeductible 4% U.S. federal excise tax on certain of our undistributed income, unless we timely distribute (or are deemed to have timely distributed) an amount equal to at least the sum of:</w:t>
      </w:r>
    </w:p>
    <w:tbl>
      <w:tblPr>
        <w:tblW w:w="8796" w:type="dxa"/>
        <w:jc w:val="left"/>
        <w:tblInd w:w="20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 of our ordinary income (not taking into account any capital gains or losses) for the calendar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98.2% of our capital gain net income (which is the excess of the gains from sales or exchanges of capital assets over the losses from such sales or exchanges) for a one-year period generally ending on October 31 of the calendar year (unless an election is made by us to use our taxable year); and</w:t>
            </w:r>
          </w:p>
        </w:tc>
      </w:tr>
    </w:tbl>
    <w:tbl>
      <w:tblPr>
        <w:tblW w:w="8286" w:type="dxa"/>
        <w:jc w:val="left"/>
        <w:tblInd w:w="20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certain undistributed amounts from previous years on which we paid no U.S. federal income tax.</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While we intend to distribute sufficient income and capital gains in order to avoid imposition of this nondeductible 4% U.S. federal excise tax, we may not be successful in avoiding entirely the imposition of this tax.</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Times;serif" w:hAnsi="Times New Roman;Times;serif"/>
          <w:i/>
          <w:sz w:val="20"/>
        </w:rPr>
        <w:t>Regulation</w:t>
      </w:r>
      <w:r>
        <w:rPr>
          <w:rFonts w:ascii="Times New Roman;Times;serif" w:hAnsi="Times New Roman;Times;serif"/>
          <w:sz w:val="20"/>
        </w:rPr>
        <w: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limit the applicability of the 4% U.S. federal excise tax, we may make such dispositions at times that, from an investment standpoint, are not advantageous.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RIC is limited in its ability to deduct expenses in excess of its investment company taxable income.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taxable income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Failure to Qualify as a RIC</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we fail to qualify for treatment as a RIC, and certain relief provisions are not applicable, we would be subject to U.S. federal income tax on all of our taxable income (including our net capital gains) imposed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in our common stock,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U.S. federal income tax imposed at corporate rates on any net built-in gains with respect to certain of our assets </w:t>
      </w:r>
      <w:r>
        <w:rPr>
          <w:rFonts w:ascii="Times New Roman;Times;serif" w:hAnsi="Times New Roman;Times;serif"/>
          <w:i/>
          <w:sz w:val="20"/>
        </w:rPr>
        <w:t>(i.e.</w:t>
      </w:r>
      <w:r>
        <w:rPr>
          <w:rFonts w:ascii="Times New Roman;Times;serif" w:hAnsi="Times New Roman;Times;serif"/>
          <w:sz w:val="20"/>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remainder of this discussion assumes that we qualify as a RIC for each taxable year.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Company Investments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Debt Instruments. </w:t>
      </w:r>
      <w:r>
        <w:rPr>
          <w:rFonts w:ascii="Times New Roman;Times;serif" w:hAnsi="Times New Roman;Times;serif"/>
          <w:sz w:val="20"/>
        </w:rPr>
        <w:t>In certain circumstances, we may be required to recognize taxable income prior to the time at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Warrants. </w:t>
      </w:r>
      <w:r>
        <w:rPr>
          <w:rFonts w:ascii="Times New Roman;Times;serif" w:hAnsi="Times New Roman;Times;serif"/>
          <w:sz w:val="20"/>
        </w:rPr>
        <w:t>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and on the nature of the disposition transaction.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Foreign Investments. </w:t>
      </w:r>
      <w:r>
        <w:rPr>
          <w:rFonts w:ascii="Times New Roman;Times;serif" w:hAnsi="Times New Roman;Times;serif"/>
          <w:sz w:val="20"/>
        </w:rPr>
        <w:t>In the event we invest in foreign securities, we may be subject to withholding and other foreign taxes with respect to those securities. In this regard, withholding tax rates in countries with which the United States does not have a tax treaty may be 35% or more. The United States has entered into tax treaties with many foreign countries that may entitle us to a reduced rate of, or exemption from, withholding tax on investment income and gains. The effective rate of foreign tax cannot be determined at this time since the amount of our assets to be invested within various countries is not now known. We do not expect to satisfy the requirement to pass through to our stockholders their share of the foreign taxes paid by us.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Passive Foreign Investment Companies. </w:t>
      </w:r>
      <w:r>
        <w:rPr>
          <w:rFonts w:ascii="Times New Roman;Times;serif" w:hAnsi="Times New Roman;Times;serif"/>
          <w:sz w:val="20"/>
        </w:rPr>
        <w:t>If we purchase shares in a “passive foreign investment company,” or PFIC, we may be subject to U.S. federal income tax on any “excess distribution” received on, or any gain from, the disposition of such shares. Additional charges in the nature of interest generally will be imposed on us in respect of deferred taxes arising from any such excess distributions or gains. This additional tax and interest may apply even if we make a distribution as a taxable dividend by us to our shareholders in an amount equal to (1) any excess distribution, or (2) the gain from the dispositions of such shares. If we invest in a PFIC and elect to treat the PFIC as a “qualified electing fund”, or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Controlled Foreign Corporations.</w:t>
      </w:r>
      <w:r>
        <w:rPr>
          <w:rFonts w:ascii="Times New Roman;Times;serif" w:hAnsi="Times New Roman;Times;serif"/>
          <w:sz w:val="20"/>
        </w:rPr>
        <w:t xml:space="preserve"> If we hold more than 10% of the shares in a foreign corporation that is treated as a controlled foreign corporation, or “CFC,” we may be treated as receiving a deemed distribution (taxable as ordinary income) each year from such foreign corporation in an amount equal to our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indirectly or by attribution) 10% or more of the combined voting power of all classes of shares of a corporation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such income will be subject to the Annual Distribution Requirement and will be taken into account for purposes of the 4% U.S. federal excise tax. Income inclusions from a CFC will be “good income” for purposes of the 90% Gross Income Test provided that they are derived in connection with our business of investing in stocks and securities or the CFC distributes such income to us in the same taxable year to which the income is included in our income.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Foreign Currency Transactions. </w:t>
      </w:r>
      <w:r>
        <w:rPr>
          <w:rFonts w:ascii="Times New Roman;Times;serif" w:hAnsi="Times New Roman;Times;serif"/>
          <w:sz w:val="20"/>
        </w:rPr>
        <w:t>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U.S. Stockholders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Distributions by us generally are taxable to U.S. stockholders as ordinary income or capital gains. Distributions of our investment company taxable income will be taxable as ordinary income to U.S. stockholders to the extent of our current or accumulated earnings and profits, whether paid in cash or reinvested in additional shares of our common stock. To the extent such distributions paid by us to non-corporate U.S. stockholders (including individuals) are attributable to dividends from U.S. corporations and certain qualified foreign corporations and such distributions are timely designated (“Qualifying Dividends”), they may be eligible for reduced rates of U.S. federal income tax. In this regard, it is anticipated that distributions paid by us generally will not be attributable to dividends and, therefore, generally will not qualify for the reduced rate of U.S. federal income tax applicable to Qualifying Dividends.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Distributions of our net capital gain (which is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U.S. federal income tax on the retained amount, each U.S. stockholder will be required to include such stockholder’s share of the deemed distribution in income as if it had been distributed to the U.S. stockholder, and the U.S. stockholder will be entitled to claim a credit equal to such stockholder’s allocable share of the U.S. federal income tax paid on the deemed distribution by us. The amount of the deemed distribution net of such tax will be added to the U.S. stockholder’s adjusted tax basis for their common stock. Since we expect to pay U.S. federal income tax on any retained capital gains at the applicable corporate rate 0, and since that rate is in excess of the maximum rate currently payable by individuals on long-term capital gains, the amount of U.S. federal income tax that individual U.S. stockholders will be treated as having paid and for which they will receive a credit will exceed the U.S. federal income tax they owe on the retained net capital gain. Such excess generally may be claimed as a credit against the U.S. stockholder’s other U.S. federal income tax obligations or may be refunded to the extent it exceeds a U.S. stockholder’s liability for U.S. federal income tax. A U.S.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U.S. stockholders prior to the expiration of 60 days after the close of the relevant taxable year. We cannot treat any of our investment company taxable income as a “deemed distribution.”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or the applicable withholding agent will provide U.S. stockholders with a notice reporting the amount of any ordinary income dividends (including the amount of such dividend, if any, eligible to be treated as qualified dividend income) and capital gain dividends by January 31.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a stockholder a dividend in January which was declared in the previous October, November or December to stockholders of record on a specified date in one of these months, then the dividend will be treated for tax purposes as being paid by us and received by each stockholder on December 31 of the year in which the dividend was declared. If a U.S. stockholder purchases shares of our stock shortly before the record date of a distribution, the price of the shares will include the value of the distribution and the U.S. stockholder will be subject to U.S. federal income tax on the distribution even though it represents a return of its investment.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Dividend Reinvestment Plan. </w:t>
      </w:r>
      <w:r>
        <w:rPr>
          <w:rFonts w:ascii="Times New Roman;Times;serif" w:hAnsi="Times New Roman;Times;serif"/>
          <w:sz w:val="20"/>
        </w:rPr>
        <w:t>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Runway Growth Capital or our dividend paying agent, as applicable, prior to the record date of the next dividend or distribution. See “</w:t>
      </w:r>
      <w:r>
        <w:rPr>
          <w:rFonts w:ascii="Times New Roman;Times;serif" w:hAnsi="Times New Roman;Times;serif"/>
          <w:i/>
          <w:sz w:val="20"/>
        </w:rPr>
        <w:t>Dividend Reinvestment Plan</w:t>
      </w:r>
      <w:r>
        <w:rPr>
          <w:rFonts w:ascii="Times New Roman;Times;serif" w:hAnsi="Times New Roman;Times;serif"/>
          <w:sz w:val="20"/>
        </w:rPr>
        <w:t>.”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i/>
          <w:sz w:val="20"/>
        </w:rPr>
        <w:t xml:space="preserve">Dispositions. </w:t>
      </w:r>
      <w:r>
        <w:rPr>
          <w:rFonts w:ascii="Times New Roman;Times;serif" w:hAnsi="Times New Roman;Times;serif"/>
          <w:sz w:val="20"/>
        </w:rPr>
        <w:t xml:space="preserve">A U.S. stockholder generally will recognize gain or loss on the sale, exchange or other taxable disposition of shares of our common stock in an amount equal to the difference between the U.S. stockholder’s adjusted tax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otherwise, any such gain or loss will be classified as short-term capital gain or loss. Any capital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after the date on which the shares are disposed. In this case, the tax basis of the shares acquired will be adjusted to reflect the disallowed loss.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Tax Shelter Reporting Regulations. </w:t>
      </w:r>
      <w:r>
        <w:rPr>
          <w:rFonts w:ascii="Times New Roman;Times;serif" w:hAnsi="Times New Roman;Times;serif"/>
          <w:sz w:val="20"/>
        </w:rPr>
        <w:t>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Backup Withholding. </w:t>
      </w:r>
      <w:r>
        <w:rPr>
          <w:rFonts w:ascii="Times New Roman;Times;serif" w:hAnsi="Times New Roman;Times;serif"/>
          <w:sz w:val="20"/>
        </w:rPr>
        <w:t>We may be required in certain circumstances to backup withhold, currently at a rate of 24%, on taxable dividends or distributions paid to a non-corporate U.S. stockholder (1) who fail to provide us or the distribution paying agent with a correct taxpayer identification number (in the case of individuals, generally their social security number) or a certificate that such shareholder is exempt from backup withholding or (2) with respect to whom the IRS notifies us that such shareholder has failed to properly report certain interest and dividend income to the IRS and to respond to notices to that effect. Backup withholding is not an additional tax. Any amounts withheld from payments made to you may be refunded or credited against your U.S. federal income tax liability, if any, provided that the required information is timely furnished to the IRS.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 xml:space="preserve">Limitation on Deduction for Certain Expenses. </w:t>
      </w:r>
      <w:r>
        <w:rPr>
          <w:rFonts w:ascii="Times New Roman;Times;serif" w:hAnsi="Times New Roman;Times;serif"/>
          <w:sz w:val="20"/>
        </w:rPr>
        <w:t>For any period that we do not qualify as a “publicly offered regulated investment company,” as defined in the Code, U.S. stockholders will be treated as though they received a distribution equal to certain of our expenses. A “publicly offered regulated investment company” is a RIC whose shares are either (i) continuously offered pursuant to a public offering, (ii) regularly traded on an established securities market or (iii) held by at least 500 persons at all times during the taxable year. We expect that we will constitute a publicly offered RIC, but there can be no assurance that we will in fact so qualify for any of our taxable years. If we are not a publicly offered RIC for any period, a non-corporate U.S. stockholder’s allocable portion of our affected expenses, including our management fees, will be treated as an additional distribution to the U.S. stockholder and will be deductible by such U.S. stockholder only to the extent permitted under the limitations described below. For non-corporate U.S. stockholders, including individuals, trusts, and estates, significant limitations generally apply to the deductibility of certain expenses of a non-publicly offered RIC, including advisory fees. In particular, these expenses, referred to as “miscellaneous itemized deductions,” are currently not deductible to an individual or other non-corporate U.S. stockholder (and beginning in 2026, will be deductible only to the extent they exceed 2% of such a U.S. stockholder’s adjusted gross income), and are not deductible for alternative minimum tax purposes.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Tax-Exempt U.S. Stockholders.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such stockholder’s ownership of shares of common stock and receipt of dividends with respect to such shares. Moreover, under current law, if we incur indebtedness, such indebtedness will not be attributed to a tax-exempt U.S. stockholder. Therefore, a tax-exempt U.S. stockholder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RICs, the treatment of dividends payable to tax- exempt investors could be adversely affected. In addition, special rules would apply if we were to invest in certain real estate investment trusts or other taxable mortgage pools, which we do not currently plan to do, that could result in a tax-exempt U.S. stockholder recognizing income that would be treated as UBTI.</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Non-U.S. Stockholders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discussion only applies to non-U.S. stockholders. Whether an investment in shares of our common stock is appropriate for a non-U.S. stockholder will depend upon that person’s particular circumstances. An investment in shares of our common stock by a non-U.S. stockholder may have adverse tax consequences. non-U.S. stockholders should consult their own tax advisers before investing in shares of our common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general, distributions of our investment company taxable income generally are subject to U.S. withholding tax imposed at a 30% rate (or lower rate provided by an applicable treaty) to the extent of our current or accumulated earnings and profits unless an applicable exception applies. However, no withholding is required with respect to certain distributions if (i) the distributions are properly reported to our non-U.S. stockholders as “interest-related dividends” or “short-term capital gain dividends,” (ii) the distributions are derived from sources specified in the Code for such dividends and (iii) certain other requirements are satisfied. Currently, we do not anticipate that any significant amount of our distributions would be reported as eligible for this exemption from withholding. No assurance can be provided that any of our distributions will qualify for this exemption. If the distributions are effectively connected with a U.S. trade or business of the non-U.S. stockholder (and, if a treaty applies, are attributable to a permanent establishment of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Actual or deemed distributions of our net capital gains to a non-U.S. stockholder properly reported by us as capital gain dividends, and gains realized by a non-U.S. stockholder upon the sale or redemption of our common stock, will not be subject to U.S.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the non-U.S. stockholder was present in the United States for 183 days or more during the taxable year and certain other conditions are met.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we distribute our net capital gains in the form of deemed rather than actual distributions, a non-U.S. stockholder will be entitled to a U.S. federal income tax credit or tax refund equal to the non-U.S.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any actual or deemed distributions of our net capital gains, or any gains realized upon the sale or redemption of our common stock, are effectively connected with a U.S. trade or business of the non-U.S. stockholder (and, if an income tax treaty applies, are attributable to a permanent establishment maintained by the non-U.S. stockholder in the United States), such amounts will be subject to U.S.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a U.S. trade or business (and, if a treaty applies, are attributable to a permanent establishment maintained by the non-U.S. stockholder in the United States), may, under certain circumstances, be subject to an additional “branch profits tax” at a 30% rate (or at a lower rate if provided for by an applicable treaty). Accordingly, investment in shares of our common stock may not be appropriate for certain non-U.S. stockholders.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Non-U.S. stockholders will not generally be subject to U.S. federal income or withholding tax with respect to gain recognized on the sale or other disposition of shares of our common stock.</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Under the dividend reinvestment plan, our non-U.S.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withholding of U.S. federal income tax imposed at a 30% rate (or lower rate provided by an applicable income tax treaty) and only the net after-tax amount will be reinvested in our common stock. If the distribution is effectively connected with a U.S. trade or business of the non-U.S. stockholder (and, if a treaty applies, is attributable to a permanent establishment maintained by the non-U.S. stockholder in the United States), generally the full amount of the distribution will be reinvested in the plan and will nevertheless be subject to U.S. federal income tax imposed at the ordinary income rates applicable to U.S. persons. The non-U.S. stockholder will have an adjusted tax basis in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additional common stock purchased through the plan equal to the amount reinvested. The additional shares will have a new holding period commencing on the day following the day on which the shares are credited to the non-U.S. stockholder’s account.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a U.S. trade or business of the non-U.S. stockholder (and, if an income tax treaty applies, attributable to a permanent establishment maintained by the non-U.S. stockholder in the United States) would be subject to the 30% (or reduced applicable treaty rate) U.S.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 </w:t>
      </w:r>
      <w:r>
        <w:rPr>
          <w:rFonts w:ascii="Times New Roman;Times;serif" w:hAnsi="Times New Roman;Times;serif"/>
          <w:i/>
          <w:sz w:val="20"/>
        </w:rPr>
        <w:t>Failure to Qualify as a RIC</w:t>
      </w:r>
      <w:r>
        <w:rPr>
          <w:rFonts w:ascii="Times New Roman;Times;serif" w:hAnsi="Times New Roman;Times;serif"/>
          <w:sz w:val="20"/>
        </w:rPr>
        <w:t>” above.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is a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w:t>
      </w:r>
      <w:r>
        <w:rPr>
          <w:rFonts w:ascii="Times New Roman;Times;serif" w:hAnsi="Times New Roman;Times;serif"/>
          <w:color w:val="231F20"/>
          <w:sz w:val="20"/>
        </w:rPr>
        <w:t>non</w:t>
      </w:r>
      <w:r>
        <w:rPr>
          <w:rFonts w:ascii="Times New Roman;Times;serif" w:hAnsi="Times New Roman;Times;serif"/>
          <w:sz w:val="20"/>
        </w:rPr>
        <w:t>-U.S.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Non-U.S. stockholders should consult their own tax advisers with respect to the U.S. federal income tax and withholding tax, and state, local and non-U.S. tax consequences of an investment in the shares.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Foreign Account Tax Compliance Act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U.S.-source interest and dividends. While the Code would also require withholding on payments of the gross proceeds from the sale of any property that could produce U.S. source interest or dividends, the U.S. Department of the Treasury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28" w:name="DESCRIPTIONOFOURSECURITIES_489296"/>
      <w:bookmarkStart w:id="429" w:name="_bbd21859_29c3_4eaf_b2a8_2bd3f4a8f6e9"/>
      <w:bookmarkEnd w:id="428"/>
      <w:bookmarkEnd w:id="429"/>
      <w:r>
        <w:rPr>
          <w:rFonts w:ascii="Times New Roman;Times;serif" w:hAnsi="Times New Roman;Times;serif"/>
          <w:b/>
          <w:sz w:val="20"/>
        </w:rPr>
        <w:t>DESCRIPTION OF OUR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This prospectus contains a summary of our common stock, preferred stock, subscription rights, debt securities and warrants. These summaries are </w:t>
      </w:r>
      <w:r>
        <w:rPr>
          <w:rFonts w:ascii="Times New Roman;Times;serif" w:hAnsi="Times New Roman;Times;serif"/>
          <w:color w:val="231F20"/>
          <w:sz w:val="20"/>
        </w:rPr>
        <w:t>not</w:t>
      </w:r>
      <w:r>
        <w:rPr>
          <w:rFonts w:ascii="Times New Roman;Times;serif" w:hAnsi="Times New Roman;Times;serif"/>
          <w:sz w:val="20"/>
        </w:rPr>
        <w:t xml:space="preserve"> meant to be a complete description of each security. However, this prospectus and the accompanying prospectus supplement will describe the material terms and conditions for each security.</w:t>
      </w:r>
    </w:p>
    <w:p>
      <w:pPr>
        <w:pStyle w:val="TextBody"/>
        <w:bidi w:val="0"/>
        <w:spacing w:before="0" w:after="240"/>
        <w:ind w:left="200" w:right="200" w:hanging="0"/>
        <w:jc w:val="center"/>
        <w:rPr>
          <w:rFonts w:ascii="Times New Roman;Times;serif" w:hAnsi="Times New Roman;Times;serif"/>
          <w:b/>
          <w:sz w:val="20"/>
        </w:rPr>
      </w:pPr>
      <w:bookmarkStart w:id="430" w:name="Tc_8A-hvKalikK4QK23iZdSIw_6_4"/>
      <w:bookmarkStart w:id="431" w:name="Tc_Hm4fvsomcEOYfc9AWGssZA_6_0"/>
      <w:bookmarkStart w:id="432" w:name="Tc_Q0spM9vZF0qBZxXQyRe97Q_5_6"/>
      <w:bookmarkStart w:id="433" w:name="Tc_YJrBa-8wUEqzgiwSJMejWw_5_4"/>
      <w:bookmarkStart w:id="434" w:name="Tc_gZxk5dbWAkuDv9ytUDSiZg_5_2"/>
      <w:bookmarkStart w:id="435" w:name="Tc_O1m2wNxNxEOFQcMzwejzCA_5_0"/>
      <w:bookmarkStart w:id="436" w:name="Tc_fvYhmTvoa0ugKW749trxIA_4_6"/>
      <w:bookmarkStart w:id="437" w:name="Tc_nj9NGvMj0EWeIEkFMBaKJQ_4_4"/>
      <w:bookmarkStart w:id="438" w:name="Tc_awsUvXfXi0-5CLap2ONaHQ_4_2"/>
      <w:bookmarkStart w:id="439" w:name="Tc_CR9O6cX1PUiTewEtZwhv2w_3_6"/>
      <w:bookmarkStart w:id="440" w:name="Tc_T_B2Yx7BV0OlxEG-wXawZw_3_4"/>
      <w:bookmarkStart w:id="441" w:name="Tc_TnmymrOd80SNPLcTNlg8eg_2_6"/>
      <w:bookmarkStart w:id="442" w:name="Tc_jtPSSn2s9EuoxZJ1c3Hqtg_1_6"/>
      <w:bookmarkStart w:id="443" w:name="_e289d2c6_bedd_494c_a254_450f345fdaa9"/>
      <w:bookmarkStart w:id="444" w:name="DESCRIPTIONOFOURCAPITALSTOCK_353374"/>
      <w:bookmarkStart w:id="445" w:name="_9a07064d_5773_4e55_9c2e_8735c2c61558"/>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ascii="Times New Roman;Times;serif" w:hAnsi="Times New Roman;Times;serif"/>
          <w:b/>
          <w:sz w:val="20"/>
        </w:rPr>
        <w:t>DESCRIPTION OF OUR CAPITAL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description is based on relevant portions of the Maryland General Corporation Law (the “MGCL”) and on our certificate of incorporation and bylaws. This summary is not necessarily complete, and we refer you to the MGCL and our charter and bylaws for a more detailed description of the provisions summarized below.</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our charter, our authorized stock consists of 100 million shares of common stock, par value $0.01 per share, all of which are initially designated as common stock. As permitted by the MGCL, our charter provides that a majority of the entire Board, without any action by our shareholders, may amend the charter from time to time to increase or decrease the aggregate number of shares of stock or the number of shares of stock of any class or series that we have authority to issue. Our charter also provides that the Board may classify or reclassify any unissued shares of our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Board determines otherwise, we will issue all shares of our stock in uncertificated form.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None of our shares of common stock are subject to further calls or to assessments, sinking fund provisions, obligations or potential liabilities associated with ownership of the security (not including investment risks).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presents our outstanding classes of securities as of March 14, 2025:</w:t>
      </w:r>
    </w:p>
    <w:tbl>
      <w:tblPr>
        <w:tblW w:w="6217" w:type="dxa"/>
        <w:jc w:val="left"/>
        <w:tblInd w:w="200" w:type="dxa"/>
        <w:tblLayout w:type="fixed"/>
        <w:tblCellMar>
          <w:top w:w="0" w:type="dxa"/>
          <w:left w:w="0" w:type="dxa"/>
          <w:bottom w:w="0" w:type="dxa"/>
          <w:right w:w="0" w:type="dxa"/>
        </w:tblCellMar>
      </w:tblPr>
      <w:tblGrid>
        <w:gridCol w:w="1381"/>
        <w:gridCol w:w="346"/>
        <w:gridCol w:w="1141"/>
        <w:gridCol w:w="346"/>
        <w:gridCol w:w="1081"/>
        <w:gridCol w:w="346"/>
        <w:gridCol w:w="1576"/>
      </w:tblGrid>
      <w:tr>
        <w:trPr/>
        <w:tc>
          <w:tcPr>
            <w:tcW w:w="1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ind w:left="0" w:right="0" w:hanging="0"/>
              <w:jc w:val="left"/>
              <w:rPr>
                <w:sz w:val="4"/>
                <w:szCs w:val="4"/>
              </w:rPr>
            </w:pPr>
            <w:r>
              <w:rPr>
                <w:sz w:val="4"/>
                <w:szCs w:val="4"/>
              </w:rPr>
            </w:r>
          </w:p>
        </w:tc>
      </w:tr>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76935" cy="175260"/>
                      <wp:effectExtent l="0" t="0" r="0" b="0"/>
                      <wp:wrapNone/>
                      <wp:docPr id="286" name="Frame28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24535" cy="175260"/>
                      <wp:effectExtent l="0" t="0" r="0" b="0"/>
                      <wp:wrapNone/>
                      <wp:docPr id="288" name="Frame2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86435" cy="175260"/>
                      <wp:effectExtent l="0" t="0" r="0" b="0"/>
                      <wp:wrapNone/>
                      <wp:docPr id="290" name="Frame2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000760" cy="175260"/>
                      <wp:effectExtent l="0" t="0" r="0" b="0"/>
                      <wp:wrapNone/>
                      <wp:docPr id="292" name="Frame29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Held</w:t>
            </w:r>
          </w:p>
        </w:tc>
        <w:tc>
          <w:tcPr>
            <w:tcW w:w="346" w:type="dxa"/>
            <w:tcBorders/>
            <w:vAlign w:val="center"/>
          </w:tcPr>
          <w:p>
            <w:pPr>
              <w:pStyle w:val="TableContents"/>
              <w:bidi w:val="0"/>
              <w:spacing w:before="0" w:after="1"/>
              <w:ind w:left="0" w:right="0" w:hanging="0"/>
              <w:jc w:val="center"/>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Exclusive of</w:t>
            </w:r>
          </w:p>
        </w:tc>
      </w:tr>
      <w:tr>
        <w:trPr/>
        <w:tc>
          <w:tcPr>
            <w:tcW w:w="1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Us or for</w:t>
            </w:r>
          </w:p>
        </w:tc>
        <w:tc>
          <w:tcPr>
            <w:tcW w:w="346"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Held by Us</w:t>
            </w:r>
          </w:p>
        </w:tc>
      </w:tr>
      <w:tr>
        <w:trPr/>
        <w:tc>
          <w:tcPr>
            <w:tcW w:w="13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Title of Class</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Authorized</w:t>
            </w:r>
          </w:p>
        </w:tc>
        <w:tc>
          <w:tcPr>
            <w:tcW w:w="346" w:type="dxa"/>
            <w:tcBorders/>
            <w:vAlign w:val="center"/>
          </w:tcPr>
          <w:p>
            <w:pPr>
              <w:pStyle w:val="TableContents"/>
              <w:bidi w:val="0"/>
              <w:spacing w:before="0" w:after="1"/>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Our Account</w:t>
            </w:r>
          </w:p>
        </w:tc>
        <w:tc>
          <w:tcPr>
            <w:tcW w:w="346" w:type="dxa"/>
            <w:tcBorders/>
            <w:vAlign w:val="center"/>
          </w:tcPr>
          <w:p>
            <w:pPr>
              <w:pStyle w:val="TableContents"/>
              <w:bidi w:val="0"/>
              <w:spacing w:before="0" w:after="1"/>
              <w:ind w:left="0" w:right="0" w:hanging="0"/>
              <w:jc w:val="left"/>
              <w:rPr/>
            </w:pPr>
            <w:r>
              <w:rPr/>
              <w:t>  ​ ​ ​</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for Our Account</w:t>
            </w:r>
          </w:p>
        </w:tc>
      </w:tr>
      <w:tr>
        <w:trPr/>
        <w:tc>
          <w:tcPr>
            <w:tcW w:w="1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100,000,000</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37,347,428</w:t>
            </w:r>
          </w:p>
        </w:tc>
      </w:tr>
    </w:tbl>
    <w:p>
      <w:pPr>
        <w:pStyle w:val="TextBody"/>
        <w:bidi w:val="0"/>
        <w:spacing w:before="0" w:after="240"/>
        <w:ind w:left="200" w:right="200" w:firstLine="360"/>
        <w:jc w:val="both"/>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our charter, the Board may authorize us to issue shares of preferred stock in one or more classes or series, without shareholder approval, to the extent permitted by the 1940 Act. The Board has the power to fix the preferences, conversion and other rights, voting powers, restrictions, limitations as to dividends and other distributions, qualifications and terms and conditions of redemption of each class or series of preferred stock. We do not currently anticipate issuing preferred stock in the near future. In the event we issue preferred stock, we will make any required disclosure to shareholders. We will not offer preferred stock to the Adviser or our affiliates except on the same terms as offered to all other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Preferred stock could be issued with terms that would adversely affect our shareholders. Preferred stock could also be used as an anti-takeover device through the issuance of shares of a class or series of preferred stock with terms and conditions which could have the effect of delaying, deferring or preventing a transaction or a change in control. 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our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 Certain matters under the 1940 Act require the affirmative vote of the holders of at least a majority of the outstanding shares of preferred stock (as determined in accordance with the 1940 Act) voting together as a separate class. For example, the vote of such holders of preferred stock would be required to approve a proposal involving a plan of reorganization adversely affecting such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issuance of any preferred stock must be approved by a majority of the independent directors not otherwise interested in the transaction, who will have access, at our expense, to our legal counsel or to independent legal counsel.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Limitation on Liability of Directors and Officers; Indemnification and Advance of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entered into indemnification agreements with our directors and executive officers. The indemnification agreements provide our directors and executive officers the maximum indemnification permitted under Maryland law and the 1940 Act.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Provisions of the Maryland General Corporation Law and Our Charter and Bylaws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We expect the benefits of these provisions to outweigh the potential disadvantages of discouraging any such acquisition proposals because, among other things, the negotiation of such proposals may improve their terms.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Classified Board of Directors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will help to ensure the continuity and stability of our management and policies.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Election of Directors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bylaws, as authorized by our charter,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Number of Directors; Vacancies; Removal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charter provides that a director may be removed only for cause, as defined in our charter, and then only by the affirmative vote of at least two-thirds of the votes entitled to be cast in the election of directors.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Action by Stockholders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Advance Notice Provisions for Stockholder Nominations and Stockholder Proposals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bylaws provide that with respect to an annual meeting of stockholders, nominations of persons for election to the Board and the proposal of business to be considered by stockholders may be made only (1) pursuant to our notice of the meeting, (2) by or at the direction of the Board or (3) by a stockholder of the Company who is a stockholder of record both at the time of giving of notice provided for in our bylaws and at the time of the annual meeting, who is entitled to vote at the meeting and who has complied with the advance notice provisions of the bylaws. With respect to special meetings of stockholders, only the business specified in our notice of the meeting may be brought before the meeting. Nominations of persons for election to the Board at a special meeting may be made only (1) by or at the direction of the Board or (2) provided that the Board has determined that directors will be elected at the meeting, by a stockholder of the Company who is a stockholder of record both at the time of giving of notice provided for in our bylaws and at the time of the special meeting, who is entitled to vote at the meeting and who has complied with the advance notice provisions of the bylaws.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Calling of Special Meetings of Stockholders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Approval of Extraordinary Corporate Action; Amendment of Charter and Bylaws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charter and bylaws provide that the Board will have the exclusive power to make, alter, amend or repeal any provision of our bylaws.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 Appraisal Rights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Except with respect to appraisal rights arising in connection with the Control Share Act discussed below, as permitted by the MGCL, our charter provides that stockholders will not be entitled to exercise appraisal rights unless a majority of the Board shall determine such rights apply.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Control Share Acquisitions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MGCL Control Share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pStyle w:val="TextBody"/>
        <w:bidi w:val="0"/>
        <w:spacing w:before="0" w:after="240"/>
        <w:ind w:left="560" w:right="200" w:hanging="0"/>
        <w:jc w:val="left"/>
        <w:rPr/>
      </w:pPr>
      <w:r>
        <w:rPr/>
        <w:t>●</w:t>
      </w:r>
      <w:r>
        <w:rPr>
          <w:rFonts w:ascii="Times New Roman;Times;serif" w:hAnsi="Times New Roman;Times;serif"/>
          <w:sz w:val="20"/>
        </w:rPr>
        <w:t>one-tenth or more but less than one-third;</w:t>
      </w:r>
    </w:p>
    <w:p>
      <w:pPr>
        <w:pStyle w:val="TextBody"/>
        <w:bidi w:val="0"/>
        <w:spacing w:before="0" w:after="240"/>
        <w:ind w:left="560" w:right="200" w:hanging="0"/>
        <w:jc w:val="left"/>
        <w:rPr/>
      </w:pPr>
      <w:r>
        <w:rPr/>
        <w:t>●</w:t>
      </w:r>
      <w:r>
        <w:rPr>
          <w:rFonts w:ascii="Times New Roman;Times;serif" w:hAnsi="Times New Roman;Times;serif"/>
          <w:sz w:val="20"/>
        </w:rPr>
        <w:t>one-third or more but less than a majority; or</w:t>
      </w:r>
    </w:p>
    <w:p>
      <w:pPr>
        <w:pStyle w:val="TextBody"/>
        <w:bidi w:val="0"/>
        <w:spacing w:before="0" w:after="0"/>
        <w:ind w:left="560" w:right="200" w:hanging="0"/>
        <w:jc w:val="left"/>
        <w:rPr/>
      </w:pPr>
      <w:r>
        <w:rPr/>
        <w:t>●</w:t>
      </w:r>
      <w:r>
        <w:rPr>
          <w:rFonts w:ascii="Times New Roman;Times;serif" w:hAnsi="Times New Roman;Times;serif"/>
          <w:sz w:val="20"/>
        </w:rPr>
        <w:t>a majority or more of all voting power.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determines that it would be in our best interests to do so.</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beneficially owns 10% or more of the voting power of the corporation’s outstanding voting stock;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person is not an interested stockholder under this statute if the Board approved in advance the transaction by which the stockholder otherwise would have become an interested stockholder. However, in approving a transaction, the Board may provide that its approval is subject to compliance, at or after the time of approval, with any terms and conditions determined by the Board.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After the five-year prohibition, any business combination between the Maryland corporation and an interested stockholder generally must be recommended by the Board of the corporation and approved by the affirmative vote of at least:</w:t>
      </w:r>
    </w:p>
    <w:tbl>
      <w:tblPr>
        <w:tblW w:w="9231" w:type="dxa"/>
        <w:jc w:val="left"/>
        <w:tblInd w:w="20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of the votes entitled to be cast by holders of outstanding shares of voting stock of the corporation;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statute permits various exemptions from its provisions, including business combinations that are exempted by the Board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our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Conflict with 1940 Act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Exclusive Forum</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Our charter and bylaws provide that, to the fullest extent permitted by law, unless we consent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MGCL, the charter or bylaws or the securities, antifraud, unfair trade practices or similar laws of any international, national, state, provincial, territorial, local or other governmental or regulatory authority, including, in each case, the applicable rules and regulations promulgated thereunder, or (iv) any action asserting a claim governed by the internal affairs doctrine shall be a federal or state court located in the state of Delaware, provided that to the extent the appropriate court located in the state of Delaware determines that it does not have jurisdiction over such action, then the sole and exclusive forum shall be any federal or state court located in the state of Maryland. Any person or entity purchasing or otherwise acquiring any interest in shares of capital stock of the Company shall be deemed, to the fullest extent permitted by law, to have notice of and consented to these exclusive forum provisions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Company, with postage thereon prepaid.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Transfer Restrictions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shares of our common stock issued and sold by us prior to our initial public offering in reliance upon the available exemptions from the registration requirements of the Securities Act that were not registered for resale in connection with our initial public offering have not been registered under the Securities Act or the securities laws of any jurisdiction and, accordingly, until registered, may not be resold or transferred except as permitted under the Securities Act and the applicable securities laws of any jurisdiction. See “</w:t>
      </w:r>
      <w:r>
        <w:rPr>
          <w:rFonts w:ascii="Times New Roman;Times;serif" w:hAnsi="Times New Roman;Times;serif"/>
          <w:i/>
          <w:sz w:val="20"/>
        </w:rPr>
        <w:t>Shares Eligible For Future Sale</w:t>
      </w:r>
      <w:r>
        <w:rPr>
          <w:rFonts w:ascii="Times New Roman;Times;serif" w:hAnsi="Times New Roman;Times;serif"/>
          <w:sz w:val="20"/>
        </w:rPr>
        <w:t>” for additional information.</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sz w:val="20"/>
        </w:rPr>
      </w:pPr>
      <w:bookmarkStart w:id="446" w:name="DESCRIPTIONOFOURPREFERREDSTOCK_414964"/>
      <w:bookmarkStart w:id="447" w:name="_66f86281_3cd9_4736_bd3e_0c31e557c4df"/>
      <w:bookmarkStart w:id="448" w:name="_Toc187499187"/>
      <w:bookmarkEnd w:id="446"/>
      <w:bookmarkEnd w:id="447"/>
      <w:bookmarkEnd w:id="448"/>
      <w:r>
        <w:rPr>
          <w:rFonts w:ascii="Times New Roman;Times;serif" w:hAnsi="Times New Roman;Times;serif"/>
          <w:b/>
          <w:sz w:val="20"/>
        </w:rPr>
        <w:t>DESCRIPTION OF OUR PREFERRED STOCK</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 </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 xml:space="preserve">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(at least 200% prior to June 16, 2022);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tc>
      </w:tr>
    </w:tbl>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 xml:space="preserve">The features of the preferred stock are further limited by the requirements applicable to RICs under the Code. </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 xml:space="preserve">For any class or series of preferred stock that we may issue, our Board will determine and the articles supplementary and the prospectus supplement relating to such class or series will describe: </w:t>
      </w:r>
    </w:p>
    <w:tbl>
      <w:tblPr>
        <w:tblW w:w="5421" w:type="dxa"/>
        <w:jc w:val="left"/>
        <w:tblInd w:w="20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designation and number of shares of such class or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relating to convertibility or exchangeability of the shares of such class or series, including adjustments to the conversion price of such class or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and preferences, if any, of holders of shares of such class or series upon our liquidation, dissolution or winding up of our affairs; </w:t>
            </w:r>
          </w:p>
        </w:tc>
      </w:tr>
    </w:tbl>
    <w:tbl>
      <w:tblPr>
        <w:tblW w:w="6366" w:type="dxa"/>
        <w:jc w:val="left"/>
        <w:tblInd w:w="20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voting powers, if any, of the holders of shares of such class or series; </w:t>
            </w:r>
          </w:p>
        </w:tc>
      </w:tr>
    </w:tbl>
    <w:tbl>
      <w:tblPr>
        <w:tblW w:w="6816" w:type="dxa"/>
        <w:jc w:val="left"/>
        <w:tblInd w:w="20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relating to the redemption of the shares of such class or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limitations on our ability to pay dividends or make distributions on, or acquire or redeem, other securities while shares of such class or series are outstanding; </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conditions or restrictions on our ability to issue additional shares of such class or series or other securities; </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certain U.S. federal income tax considerations;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relative powers, preferences and participating, optional or special rights of shares of such class or series, and the qualifications, limitations or restrictions thereof. </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49" w:name="DESCRIPTIONOFOURSUBSCRIPTIONRIGHTS_66141"/>
      <w:bookmarkStart w:id="450" w:name="_ca0a9d15_6db8_4f16_866d_5e7efd7dd96f"/>
      <w:bookmarkStart w:id="451" w:name="_Toc187499188"/>
      <w:bookmarkEnd w:id="449"/>
      <w:bookmarkEnd w:id="450"/>
      <w:bookmarkEnd w:id="451"/>
      <w:r>
        <w:rPr>
          <w:rFonts w:ascii="Times New Roman;Times;serif" w:hAnsi="Times New Roman;Times;serif"/>
          <w:b/>
          <w:sz w:val="20"/>
        </w:rPr>
        <w:t>DESCRIPTION OF OUR SUBSCRIPTION RIGHTS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applicable prospectus supplement would describe the following terms of subscription rights in respect of which this prospectus is being delivered: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period of time the offering would remain open (which shall be open a minimum number of days such that all record holders would be eligible to participate in the offering and shall not be open longer than 120 days); </w:t>
            </w:r>
          </w:p>
        </w:tc>
      </w:tr>
    </w:tbl>
    <w:tbl>
      <w:tblPr>
        <w:tblW w:w="3456" w:type="dxa"/>
        <w:jc w:val="left"/>
        <w:tblInd w:w="20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title of such subscription rights; </w:t>
            </w:r>
          </w:p>
        </w:tc>
      </w:tr>
    </w:tbl>
    <w:tbl>
      <w:tblPr>
        <w:tblW w:w="7071" w:type="dxa"/>
        <w:jc w:val="left"/>
        <w:tblInd w:w="20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price for such subscription rights (or method of calculation thereof);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ratio of the offering (which, in the case of transferable rights, will require a minimum of three shares to be held of record before a person is entitled to purchase an additional share); </w:t>
            </w:r>
          </w:p>
        </w:tc>
      </w:tr>
    </w:tbl>
    <w:tbl>
      <w:tblPr>
        <w:tblW w:w="5916" w:type="dxa"/>
        <w:jc w:val="left"/>
        <w:tblInd w:w="20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such subscription rights issued to each shareholder;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to which such subscription rights are transferable and the market on which they may be traded if they are transferable;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certain U.S. federal income tax considerations applicable to the issuance or exercise of such subscription rights;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on which the right to exercise such subscription rights shall commence, and the date on which such right shall expire (subject to any extension);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to which such subscription rights include an over-subscription privilege with respect to unsubscribed securities and the terms of such over-subscription privilege; </w:t>
            </w:r>
          </w:p>
        </w:tc>
      </w:tr>
    </w:tbl>
    <w:tbl>
      <w:tblPr>
        <w:tblW w:w="8046" w:type="dxa"/>
        <w:jc w:val="left"/>
        <w:tblInd w:w="20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termination right we may have in connection with such subscription rights offering;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Exercise of Subscription Rights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Dilutive Effects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52" w:name="DESCRIPTIONOFOURWARRANTS_440594"/>
      <w:bookmarkStart w:id="453" w:name="_45364a7a_8fc3_409c_a770_f80329a9c71c"/>
      <w:bookmarkStart w:id="454" w:name="_Toc187499189"/>
      <w:bookmarkEnd w:id="452"/>
      <w:bookmarkEnd w:id="453"/>
      <w:bookmarkEnd w:id="454"/>
      <w:r>
        <w:rPr>
          <w:rFonts w:ascii="Times New Roman;Times;serif" w:hAnsi="Times New Roman;Times;serif"/>
          <w:b/>
          <w:sz w:val="20"/>
        </w:rPr>
        <w:t>DESCRIPTION OF OUR WARRANTS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 prospectus supplement will describe the particular terms of any series of warrants we may issue, including the following: </w:t>
      </w:r>
    </w:p>
    <w:tbl>
      <w:tblPr>
        <w:tblW w:w="2616" w:type="dxa"/>
        <w:jc w:val="left"/>
        <w:tblInd w:w="20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title of such warrants; </w:t>
            </w:r>
          </w:p>
        </w:tc>
      </w:tr>
    </w:tbl>
    <w:tbl>
      <w:tblPr>
        <w:tblW w:w="3741" w:type="dxa"/>
        <w:jc w:val="left"/>
        <w:tblInd w:w="20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number of such warrants; </w:t>
            </w:r>
          </w:p>
        </w:tc>
      </w:tr>
    </w:tbl>
    <w:tbl>
      <w:tblPr>
        <w:tblW w:w="5106" w:type="dxa"/>
        <w:jc w:val="left"/>
        <w:tblInd w:w="20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price or prices at which such warrants will be issued; </w:t>
            </w:r>
          </w:p>
        </w:tc>
      </w:tr>
    </w:tbl>
    <w:tbl>
      <w:tblPr>
        <w:tblW w:w="9576" w:type="dxa"/>
        <w:jc w:val="left"/>
        <w:tblInd w:w="20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currency or currencies, including composite currencies, in which the price of such warrants may be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the designation and terms of the securities with which the warrants are issued and the number of warrants issued with each such security or each principal amount of such security;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on which the right to exercise such warrants shall commence and the date on which such right will expire; </w:t>
            </w:r>
          </w:p>
        </w:tc>
      </w:tr>
    </w:tbl>
    <w:tbl>
      <w:tblPr>
        <w:tblW w:w="6216" w:type="dxa"/>
        <w:jc w:val="left"/>
        <w:tblInd w:w="20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such warrants will be issued in registered form or bearer form; </w:t>
            </w:r>
          </w:p>
        </w:tc>
      </w:tr>
    </w:tbl>
    <w:tbl>
      <w:tblPr>
        <w:tblW w:w="9171" w:type="dxa"/>
        <w:jc w:val="left"/>
        <w:tblInd w:w="20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the minimum or maximum amount of such warrants which may be exercised at any one time; </w:t>
            </w:r>
          </w:p>
        </w:tc>
      </w:tr>
    </w:tbl>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the date on and after which such warrants and the related securities will be separately transferable; </w:t>
            </w:r>
          </w:p>
        </w:tc>
      </w:tr>
    </w:tbl>
    <w:tbl>
      <w:tblPr>
        <w:tblW w:w="5256" w:type="dxa"/>
        <w:jc w:val="left"/>
        <w:tblInd w:w="20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with respect to book-entry procedures, if any; </w:t>
            </w:r>
          </w:p>
        </w:tc>
      </w:tr>
    </w:tbl>
    <w:tbl>
      <w:tblPr>
        <w:tblW w:w="5796" w:type="dxa"/>
        <w:jc w:val="left"/>
        <w:tblInd w:w="20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securities issuable upon exercise of the warrants; </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certain U.S. federal income tax considerations;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terms of such warrants, including terms, procedures and limitations relating to the exchange and exercise of such warrants.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our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55" w:name="DESCRIPTIONOFOURDEBTSECURITIES_292288"/>
      <w:bookmarkStart w:id="456" w:name="_Toc187499190"/>
      <w:bookmarkEnd w:id="455"/>
      <w:bookmarkEnd w:id="456"/>
      <w:r>
        <w:rPr>
          <w:rFonts w:ascii="Times New Roman;Times;serif" w:hAnsi="Times New Roman;Times;serif"/>
          <w:b/>
          <w:sz w:val="20"/>
        </w:rPr>
        <w:t>DESCRIPTION OF OUR DEBT SECURITIES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w:t>
      </w:r>
      <w:r>
        <w:rPr>
          <w:rFonts w:ascii="Times New Roman;Times;serif" w:hAnsi="Times New Roman;Times;serif"/>
          <w:i/>
          <w:sz w:val="20"/>
        </w:rPr>
        <w:t>Events of Default</w:t>
      </w:r>
      <w:r>
        <w:rPr>
          <w:rFonts w:ascii="Times New Roman;Times;serif" w:hAnsi="Times New Roman;Times;serif"/>
          <w:sz w:val="20"/>
        </w:rPr>
        <w:t xml:space="preserve"> — </w:t>
      </w:r>
      <w:r>
        <w:rPr>
          <w:rFonts w:ascii="Times New Roman;Times;serif" w:hAnsi="Times New Roman;Times;serif"/>
          <w:i/>
          <w:sz w:val="20"/>
        </w:rPr>
        <w:t>Remedies If an Event of Default Occurs</w:t>
      </w:r>
      <w:r>
        <w:rPr>
          <w:rFonts w:ascii="Times New Roman;Times;serif" w:hAnsi="Times New Roman;Times;serif"/>
          <w:sz w:val="20"/>
        </w:rPr>
        <w:t xml:space="preserve">.” Second, the trustee performs certain administrative duties for us.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Times;serif" w:hAnsi="Times New Roman;Times;serif"/>
          <w:i/>
          <w:sz w:val="20"/>
        </w:rPr>
        <w:t>Available Information</w:t>
      </w:r>
      <w:r>
        <w:rPr>
          <w:rFonts w:ascii="Times New Roman;Times;serif" w:hAnsi="Times New Roman;Times;serif"/>
          <w:sz w:val="20"/>
        </w:rPr>
        <w:t>” for information on how to obtain a copy of the applicable indenture.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prospectus supplement, which will accompany this prospectus, will describe the particular series of debt securities being offered, including, among other things: </w:t>
      </w:r>
    </w:p>
    <w:tbl>
      <w:tblPr>
        <w:tblW w:w="4911" w:type="dxa"/>
        <w:jc w:val="left"/>
        <w:tblInd w:w="20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designation or title of the series of debt securities; </w:t>
            </w:r>
          </w:p>
        </w:tc>
      </w:tr>
    </w:tbl>
    <w:tbl>
      <w:tblPr>
        <w:tblW w:w="5181" w:type="dxa"/>
        <w:jc w:val="left"/>
        <w:tblInd w:w="20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principal amount of the series of debt securities; </w:t>
            </w:r>
          </w:p>
        </w:tc>
      </w:tr>
    </w:tbl>
    <w:tbl>
      <w:tblPr>
        <w:tblW w:w="7941" w:type="dxa"/>
        <w:jc w:val="left"/>
        <w:tblInd w:w="20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the principal amount at which the series of debt securities will be offered; </w:t>
            </w:r>
          </w:p>
        </w:tc>
      </w:tr>
    </w:tbl>
    <w:tbl>
      <w:tblPr>
        <w:tblW w:w="4821" w:type="dxa"/>
        <w:jc w:val="left"/>
        <w:tblInd w:w="20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or dates on which principal will be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rate or rates (which may be either fixed or variable) and/or the method of determining such rate or rates of interest, if any;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or dates from which any interest will accrue, or the method of determining such date or dates, and the date or dates on which any interest will be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any interest may be paid by issuing additional securities of the same series in lieu of cash (and the terms upon which any such interest may be paid by issuing additional securities); </w:t>
            </w:r>
          </w:p>
        </w:tc>
      </w:tr>
    </w:tbl>
    <w:tbl>
      <w:tblPr>
        <w:tblW w:w="5616" w:type="dxa"/>
        <w:jc w:val="left"/>
        <w:tblInd w:w="20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for redemption, extension or early repayment, if any; </w:t>
            </w:r>
          </w:p>
        </w:tc>
      </w:tr>
    </w:tbl>
    <w:tbl>
      <w:tblPr>
        <w:tblW w:w="6606" w:type="dxa"/>
        <w:jc w:val="left"/>
        <w:tblInd w:w="20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currencies in which the series of debt securities are issued and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place or places, if any, other than or in addition to the Borough of Manhattan in the City of New York, of payment, transfer, conversion and/or exchange of the debt securities;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denominations in which the offered debt securities will be issued (if other than $1,000 and any integral multiple thereof); </w:t>
            </w:r>
          </w:p>
        </w:tc>
      </w:tr>
    </w:tbl>
    <w:tbl>
      <w:tblPr>
        <w:tblW w:w="3411" w:type="dxa"/>
        <w:jc w:val="left"/>
        <w:tblInd w:w="20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 for any sinking fund;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61" w:type="dxa"/>
        <w:jc w:val="left"/>
        <w:tblInd w:w="20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restrictive covenants; </w:t>
            </w:r>
          </w:p>
        </w:tc>
      </w:tr>
    </w:tbl>
    <w:tbl>
      <w:tblPr>
        <w:tblW w:w="2391" w:type="dxa"/>
        <w:jc w:val="left"/>
        <w:tblInd w:w="200" w:type="dxa"/>
        <w:tblLayout w:type="fixed"/>
        <w:tblCellMar>
          <w:top w:w="28" w:type="dxa"/>
          <w:left w:w="28" w:type="dxa"/>
          <w:bottom w:w="28" w:type="dxa"/>
          <w:right w:w="28" w:type="dxa"/>
        </w:tblCellMar>
      </w:tblPr>
      <w:tblGrid>
        <w:gridCol w:w="124"/>
        <w:gridCol w:w="256"/>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Events of Default; </w:t>
            </w:r>
          </w:p>
        </w:tc>
      </w:tr>
    </w:tbl>
    <w:tbl>
      <w:tblPr>
        <w:tblW w:w="5976" w:type="dxa"/>
        <w:jc w:val="left"/>
        <w:tblInd w:w="20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series of debt securities is issuable in certificated form; </w:t>
            </w:r>
          </w:p>
        </w:tc>
      </w:tr>
    </w:tbl>
    <w:tbl>
      <w:tblPr>
        <w:tblW w:w="4971" w:type="dxa"/>
        <w:jc w:val="left"/>
        <w:tblInd w:w="20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for defeasance or covenant defeasance;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special federal income tax implications, including, if applicable, U.S. federal income tax considerations relating to original issue discount;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tbl>
      <w:tblPr>
        <w:tblW w:w="9051" w:type="dxa"/>
        <w:jc w:val="left"/>
        <w:tblInd w:w="20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for convertibility or exchangeability of the debt securities into or for any other securities; </w:t>
            </w:r>
          </w:p>
        </w:tc>
      </w:tr>
    </w:tbl>
    <w:tbl>
      <w:tblPr>
        <w:tblW w:w="8046" w:type="dxa"/>
        <w:jc w:val="left"/>
        <w:tblInd w:w="20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debt securities are subject to subordination and the terms of such subordination; </w:t>
            </w:r>
          </w:p>
        </w:tc>
      </w:tr>
    </w:tbl>
    <w:tbl>
      <w:tblPr>
        <w:tblW w:w="6756" w:type="dxa"/>
        <w:jc w:val="left"/>
        <w:tblInd w:w="20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debt securities are secured and the terms of any security interest; </w:t>
            </w:r>
          </w:p>
        </w:tc>
      </w:tr>
    </w:tbl>
    <w:tbl>
      <w:tblPr>
        <w:tblW w:w="4431" w:type="dxa"/>
        <w:jc w:val="left"/>
        <w:tblInd w:w="20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listing, if any, on a securities exchange; and </w:t>
            </w:r>
          </w:p>
        </w:tc>
      </w:tr>
    </w:tbl>
    <w:tbl>
      <w:tblPr>
        <w:tblW w:w="1866" w:type="dxa"/>
        <w:jc w:val="left"/>
        <w:tblInd w:w="20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terms.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Generally, pursuant to the 1940 Act, our total borrowings are limited so that we cannot incur additional borrowings if immediately after such borrowing or issuance, the ratio of our total assets (less total liabilities other than indebtedness represented by senior securities) to our total indebtedness represented by senior securities plus preferred stock, if any, is at least 200%. However, legislation enacted in March 2018 has modified the 1940 Act by allowing a BDC to increase the maximum amount of leverage it may incur from an asset coverage ratio of 200% to an asset coverage ratio of 150%, if certain requirements are met. This means that generally, a BDC can borrow up to $1 for every $1 of investor equity or, if certain requirements are met and it reduces its asset coverage ratio, it can borrow up to $2 for every $1 of investor equity. The reduced asset coverage requirement would permit a BDC to double the amount of leverage it could incur. We are permitted to increase our asset coverage ratio to at least 150% if stockholders representing at least a majority of the votes cast, at an annual or special meeting at which quorum is met, approve a proposal to do so. On June 16, 2022, our stockholders approved the reduced asset coverage ratio at our 2022 annual meeting of stockholders. The reduced asset coverage ratio of 150% became effective upon receiving stockholder approval. We may also borrow amounts up to 5% of the value of our gross assets for temporary purposes without regard to asset coverage. For a discussion of the risks associated with leverage, see “</w:t>
      </w:r>
      <w:r>
        <w:rPr>
          <w:rFonts w:ascii="Times New Roman;Times;serif" w:hAnsi="Times New Roman;Times;serif"/>
          <w:i/>
          <w:sz w:val="20"/>
        </w:rPr>
        <w:t>Risk Factors—Risks Related to Business Development Companies—Regulations governing our operation as a business development company and RIC affect our ability to raise capital and the way in which we raise additional capital or borrow for investment purposes, which may have a negative effect on our growth. As a business development company, the necessity of raising additional capital may expose us to risks, including risks associated with leverage</w:t>
      </w:r>
      <w:r>
        <w:rPr>
          <w:rFonts w:ascii="Times New Roman;Times;serif" w:hAnsi="Times New Roman;Times;serif"/>
          <w:sz w:val="20"/>
        </w:rPr>
        <w:t xml:space="preserve">” in our most recent Annual Report on Form 10-K.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General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Times;serif" w:hAnsi="Times New Roman;Times;serif"/>
          <w:i/>
          <w:sz w:val="20"/>
        </w:rPr>
        <w:t>Resignation of Trustee</w:t>
      </w:r>
      <w:r>
        <w:rPr>
          <w:rFonts w:ascii="Times New Roman;Times;serif" w:hAnsi="Times New Roman;Times;serif"/>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Except as described under “— </w:t>
      </w:r>
      <w:r>
        <w:rPr>
          <w:rFonts w:ascii="Times New Roman;Times;serif" w:hAnsi="Times New Roman;Times;serif"/>
          <w:i/>
          <w:sz w:val="20"/>
        </w:rPr>
        <w:t>Events of Default</w:t>
      </w:r>
      <w:r>
        <w:rPr>
          <w:rFonts w:ascii="Times New Roman;Times;serif" w:hAnsi="Times New Roman;Times;serif"/>
          <w:sz w:val="20"/>
        </w:rPr>
        <w:t xml:space="preserve">” and “— </w:t>
      </w:r>
      <w:r>
        <w:rPr>
          <w:rFonts w:ascii="Times New Roman;Times;serif" w:hAnsi="Times New Roman;Times;serif"/>
          <w:i/>
          <w:sz w:val="20"/>
        </w:rPr>
        <w:t>Merger or Consolidation</w:t>
      </w:r>
      <w:r>
        <w:rPr>
          <w:rFonts w:ascii="Times New Roman;Times;serif" w:hAnsi="Times New Roman;Times;serif"/>
          <w:sz w:val="20"/>
        </w:rPr>
        <w:t xml:space="preserve">” below, the indenture does not contain any provisions that give you protection in the event we issue a large amount of debt or we are acquired by another entity.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Conversion and Exchange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Issuance of Securities in Registered Form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Book-Entry Holders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Street Name Holders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Legal Holders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Special Considerations for Indirect Holders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you hold debt securities through a bank, broker or other financial institution, either in book-entry form or in street name, we urge you to check with that institution to find out: </w:t>
      </w:r>
    </w:p>
    <w:tbl>
      <w:tblPr>
        <w:tblW w:w="4416" w:type="dxa"/>
        <w:jc w:val="left"/>
        <w:tblInd w:w="20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 it handles securities payments and notices, </w:t>
            </w:r>
          </w:p>
        </w:tc>
      </w:tr>
    </w:tbl>
    <w:tbl>
      <w:tblPr>
        <w:tblW w:w="3366" w:type="dxa"/>
        <w:jc w:val="left"/>
        <w:tblInd w:w="20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it imposes fees or charges, </w:t>
            </w:r>
          </w:p>
        </w:tc>
      </w:tr>
    </w:tbl>
    <w:tbl>
      <w:tblPr>
        <w:tblW w:w="6321" w:type="dxa"/>
        <w:jc w:val="left"/>
        <w:tblInd w:w="20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 it would handle a request for the holders’ consent, if ever required,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and how you can instruct it to send you debt securities registered in your own name so you can be a holder, if that is permitted in the future for a particular series of debt securities,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 it would exercise rights under the debt securities if there were a default or other event triggering the need for holders to act to protect their interests, and </w:t>
            </w:r>
          </w:p>
        </w:tc>
      </w:tr>
    </w:tbl>
    <w:tbl>
      <w:tblPr>
        <w:tblW w:w="9546" w:type="dxa"/>
        <w:jc w:val="left"/>
        <w:tblInd w:w="20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debt securities are in book-entry form, how the depositary’s rules and procedures will affect these matters. </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Global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global security may not be transferred to or registered in the name of anyone other than the depositary or its nominee, unless special termination situations arise. We describe those situations below under “—</w:t>
      </w:r>
      <w:r>
        <w:rPr>
          <w:rFonts w:ascii="Times New Roman;Times;serif" w:hAnsi="Times New Roman;Times;serif"/>
          <w:i/>
          <w:sz w:val="20"/>
        </w:rPr>
        <w:t>Special Situations when a Global Security Will Be Terminated</w:t>
      </w:r>
      <w:r>
        <w:rPr>
          <w:rFonts w:ascii="Times New Roman;Times;serif" w:hAnsi="Times New Roman;Times;serif"/>
          <w:sz w:val="20"/>
        </w:rPr>
        <w:t xml:space="preserve">”.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Special Considerations for Global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debt securities are issued only in the form of a global security, an investor should be aware of the following: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cannot cause the debt securities to be registered in his or her name, and cannot obtain certificates for his or her interest in the debt securities, except in the special situations we describe below.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w:t>
            </w:r>
            <w:r>
              <w:rPr>
                <w:rFonts w:ascii="Times New Roman;Times;serif" w:hAnsi="Times New Roman;Times;serif"/>
                <w:b w:val="false"/>
                <w:i/>
                <w:sz w:val="20"/>
              </w:rPr>
              <w:t>Issuance of Securities in Registered Form</w:t>
            </w:r>
            <w:r>
              <w:rPr>
                <w:caps w:val="false"/>
                <w:smallCaps w:val="false"/>
              </w:rPr>
              <w:t xml:space="preserve">” </w:t>
            </w:r>
            <w:r>
              <w:rPr>
                <w:rFonts w:ascii="Times New Roman;Times;serif" w:hAnsi="Times New Roman;Times;serif"/>
                <w:b w:val="false"/>
                <w:i w:val="false"/>
                <w:caps w:val="false"/>
                <w:smallCaps w:val="false"/>
                <w:sz w:val="20"/>
              </w:rPr>
              <w:t xml:space="preserve">above.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may not be able to sell interests in the debt securities to some insurance companies and other institutions that are required by law to own their securities in non-book-entry form.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redeem less than all the debt securities of a particular series being redeemed, DTC’s practice is to determine by lot the amount to be redeemed from each of its participants holding that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Termination of a Global Security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w:t>
      </w:r>
      <w:r>
        <w:rPr>
          <w:rFonts w:ascii="Times New Roman;Times;serif" w:hAnsi="Times New Roman;Times;serif"/>
          <w:i/>
          <w:sz w:val="20"/>
        </w:rPr>
        <w:t>Issuance of Securities in Registered Form</w:t>
      </w:r>
      <w:r>
        <w:rPr>
          <w:rFonts w:ascii="Times New Roman;Times;serif" w:hAnsi="Times New Roman;Times;serif"/>
          <w:sz w:val="20"/>
        </w:rPr>
        <w:t xml:space="preserve">” above.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 and Paying Agents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Payments on Global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Payments on Certificated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 When Offices Are Closed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Book-entry and other indirect holders should consult their banks or brokers for information on how they will receive payments on their debt securities.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Events of Default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You will have rights if an Event of Default occurs in respect of the debt securities of your series and is not cured, as described later in this subsection.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term “Event of Default” in respect of the debt securities of your series means any of the following (unless the prospectus supplement relating to such debt securities states otherwise): </w:t>
      </w:r>
    </w:p>
    <w:tbl>
      <w:tblPr>
        <w:tblW w:w="9805" w:type="dxa"/>
        <w:jc w:val="left"/>
        <w:tblInd w:w="200" w:type="dxa"/>
        <w:tblLayout w:type="fixed"/>
        <w:tblCellMar>
          <w:top w:w="28" w:type="dxa"/>
          <w:left w:w="28" w:type="dxa"/>
          <w:bottom w:w="28" w:type="dxa"/>
          <w:right w:w="28" w:type="dxa"/>
        </w:tblCellMar>
      </w:tblPr>
      <w:tblGrid>
        <w:gridCol w:w="124"/>
        <w:gridCol w:w="315"/>
        <w:gridCol w:w="93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default in the payment of any interest upon a debt securities of the series when due and payable and the default continues for a period of 30 days; </w:t>
            </w:r>
          </w:p>
        </w:tc>
      </w:tr>
    </w:tbl>
    <w:tbl>
      <w:tblPr>
        <w:tblW w:w="9805" w:type="dxa"/>
        <w:jc w:val="left"/>
        <w:tblInd w:w="200" w:type="dxa"/>
        <w:tblLayout w:type="fixed"/>
        <w:tblCellMar>
          <w:top w:w="28" w:type="dxa"/>
          <w:left w:w="28" w:type="dxa"/>
          <w:bottom w:w="28" w:type="dxa"/>
          <w:right w:w="28" w:type="dxa"/>
        </w:tblCellMar>
      </w:tblPr>
      <w:tblGrid>
        <w:gridCol w:w="124"/>
        <w:gridCol w:w="295"/>
        <w:gridCol w:w="93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default in the payment of the principal of (or premium, if any, on) a debt security of the series when it becomes due and payable at its maturity, including upon any redemption date or required repurchase date, and the default continues for a period of five days; </w:t>
            </w:r>
          </w:p>
        </w:tc>
      </w:tr>
    </w:tbl>
    <w:tbl>
      <w:tblPr>
        <w:tblW w:w="9805" w:type="dxa"/>
        <w:jc w:val="left"/>
        <w:tblInd w:w="200" w:type="dxa"/>
        <w:tblLayout w:type="fixed"/>
        <w:tblCellMar>
          <w:top w:w="28" w:type="dxa"/>
          <w:left w:w="28" w:type="dxa"/>
          <w:bottom w:w="28" w:type="dxa"/>
          <w:right w:w="28" w:type="dxa"/>
        </w:tblCellMar>
      </w:tblPr>
      <w:tblGrid>
        <w:gridCol w:w="124"/>
        <w:gridCol w:w="291"/>
        <w:gridCol w:w="93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3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w:t>
            </w:r>
          </w:p>
        </w:tc>
      </w:tr>
    </w:tbl>
    <w:tbl>
      <w:tblPr>
        <w:tblW w:w="9805" w:type="dxa"/>
        <w:jc w:val="left"/>
        <w:tblInd w:w="200" w:type="dxa"/>
        <w:tblLayout w:type="fixed"/>
        <w:tblCellMar>
          <w:top w:w="28" w:type="dxa"/>
          <w:left w:w="28" w:type="dxa"/>
          <w:bottom w:w="28" w:type="dxa"/>
          <w:right w:w="28" w:type="dxa"/>
        </w:tblCellMar>
      </w:tblPr>
      <w:tblGrid>
        <w:gridCol w:w="124"/>
        <w:gridCol w:w="287"/>
        <w:gridCol w:w="93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tc>
      </w:tr>
    </w:tbl>
    <w:tbl>
      <w:tblPr>
        <w:tblW w:w="9805" w:type="dxa"/>
        <w:jc w:val="left"/>
        <w:tblInd w:w="200" w:type="dxa"/>
        <w:tblLayout w:type="fixed"/>
        <w:tblCellMar>
          <w:top w:w="28" w:type="dxa"/>
          <w:left w:w="28" w:type="dxa"/>
          <w:bottom w:w="28" w:type="dxa"/>
          <w:right w:w="28" w:type="dxa"/>
        </w:tblCellMar>
      </w:tblPr>
      <w:tblGrid>
        <w:gridCol w:w="124"/>
        <w:gridCol w:w="310"/>
        <w:gridCol w:w="93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for bankruptcy or certain events of bankruptcy, insolvency, or reorganization involving us occur and remain undischarged or unstayed for a period of 60 days; </w:t>
            </w:r>
          </w:p>
        </w:tc>
      </w:tr>
    </w:tbl>
    <w:tbl>
      <w:tblPr>
        <w:tblW w:w="9805" w:type="dxa"/>
        <w:jc w:val="left"/>
        <w:tblInd w:w="200" w:type="dxa"/>
        <w:tblLayout w:type="fixed"/>
        <w:tblCellMar>
          <w:top w:w="28" w:type="dxa"/>
          <w:left w:w="28" w:type="dxa"/>
          <w:bottom w:w="28" w:type="dxa"/>
          <w:right w:w="28" w:type="dxa"/>
        </w:tblCellMar>
      </w:tblPr>
      <w:tblGrid>
        <w:gridCol w:w="124"/>
        <w:gridCol w:w="315"/>
        <w:gridCol w:w="93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deposit any sinking fund payment in respect of debt securities of the series on its due date, and do not cure this default within five days; and </w:t>
            </w:r>
          </w:p>
        </w:tc>
      </w:tr>
    </w:tbl>
    <w:tbl>
      <w:tblPr>
        <w:tblW w:w="9805" w:type="dxa"/>
        <w:jc w:val="left"/>
        <w:tblInd w:w="200" w:type="dxa"/>
        <w:tblLayout w:type="fixed"/>
        <w:tblCellMar>
          <w:top w:w="28" w:type="dxa"/>
          <w:left w:w="28" w:type="dxa"/>
          <w:bottom w:w="28" w:type="dxa"/>
          <w:right w:w="28" w:type="dxa"/>
        </w:tblCellMar>
      </w:tblPr>
      <w:tblGrid>
        <w:gridCol w:w="124"/>
        <w:gridCol w:w="324"/>
        <w:gridCol w:w="93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3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Event of Default in respect of debt securities of the series described in the applicable prospectus supplement occurs.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Remedies If an Event of Default Occurs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Before you are allowed to bypass your trustee and bring your own lawsuit or other formal legal action or take other steps to enforce your rights or protect your interests relating to the debt securities, the following must occur: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must give your trustee written notice that an Event of Default with respect to the relevant series of debt securities has occurred and remains uncured.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must not have taken action for 60 days after receipt of the above notice and offer of security or indemnity.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principal amount of the debt securities of that series must not have given the trustee a direction inconsistent with the above notice during that 60-day period.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However, you are entitled at any time to bring a lawsuit for the payment of money due on your debt securities on or after the due date.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of a majority in principal amount of the debt securities of the affected series may waive any past defaults other than a default </w:t>
      </w:r>
    </w:p>
    <w:tbl>
      <w:tblPr>
        <w:tblW w:w="5046" w:type="dxa"/>
        <w:jc w:val="left"/>
        <w:tblInd w:w="20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payment of principal, any premium, or interest or </w:t>
            </w:r>
          </w:p>
        </w:tc>
      </w:tr>
    </w:tbl>
    <w:tbl>
      <w:tblPr>
        <w:tblW w:w="8361" w:type="dxa"/>
        <w:jc w:val="left"/>
        <w:tblInd w:w="20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respect of a covenant that cannot be modified or amended without the consent of each holder. </w:t>
            </w:r>
          </w:p>
        </w:tc>
      </w:tr>
    </w:tbl>
    <w:p>
      <w:pPr>
        <w:pStyle w:val="TextBody"/>
        <w:bidi w:val="0"/>
        <w:spacing w:before="0" w:after="240"/>
        <w:ind w:left="200" w:right="200" w:firstLine="360"/>
        <w:jc w:val="left"/>
        <w:rPr>
          <w:rFonts w:ascii="Times New Roman;Times;serif" w:hAnsi="Times New Roman;Times;serif"/>
          <w:b/>
          <w:sz w:val="20"/>
        </w:rPr>
      </w:pPr>
      <w:r>
        <w:rPr>
          <w:rFonts w:ascii="Times New Roman;Times;serif" w:hAnsi="Times New Roman;Times;serif"/>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Merger, Consolidation or Sale of Assets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before and immediately after giving effect to such transaction or series of related transactions, no default or Event of Default shall have occurred and be continuing; and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Modification or Waiver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 are three types of changes we can make to the indenture and the debt securities issued thereunder.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Changes Requiring Approval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First, there are changes that we cannot make to the debt securities without the specific approval by the holders of debt securities. The following is a list of those types of changes: </w:t>
      </w:r>
    </w:p>
    <w:tbl>
      <w:tblPr>
        <w:tblW w:w="6906" w:type="dxa"/>
        <w:jc w:val="left"/>
        <w:tblInd w:w="20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the stated maturity of the principal of or interest on the debt securities; </w:t>
            </w:r>
          </w:p>
        </w:tc>
      </w:tr>
    </w:tbl>
    <w:tbl>
      <w:tblPr>
        <w:tblW w:w="4371" w:type="dxa"/>
        <w:jc w:val="left"/>
        <w:tblInd w:w="20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any amounts due on the debt securities; </w:t>
            </w:r>
          </w:p>
        </w:tc>
      </w:tr>
    </w:tbl>
    <w:tbl>
      <w:tblPr>
        <w:tblW w:w="9186" w:type="dxa"/>
        <w:jc w:val="left"/>
        <w:tblInd w:w="20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amount of principal payable upon acceleration of the maturity of a security following a default; </w:t>
            </w:r>
          </w:p>
        </w:tc>
      </w:tr>
    </w:tbl>
    <w:tbl>
      <w:tblPr>
        <w:tblW w:w="5586" w:type="dxa"/>
        <w:jc w:val="left"/>
        <w:tblInd w:w="20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adversely affect any right of repayment at the holder’s option;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the place (except as otherwise described in the prospectus or prospectus supplement) or currency of payment on a debt security; </w:t>
            </w:r>
          </w:p>
        </w:tc>
      </w:tr>
    </w:tbl>
    <w:tbl>
      <w:tblPr>
        <w:tblW w:w="3561" w:type="dxa"/>
        <w:jc w:val="left"/>
        <w:tblInd w:w="20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 your right to sue for payment; </w:t>
            </w:r>
          </w:p>
        </w:tc>
      </w:tr>
    </w:tbl>
    <w:tbl>
      <w:tblPr>
        <w:tblW w:w="8121" w:type="dxa"/>
        <w:jc w:val="left"/>
        <w:tblInd w:w="20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adversely affect any right to convert or exchange a debt security in accordance with its terms;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modify the subordination provisions in the indenture in a manner that is adverse to outstanding holders of the debt securities; </w:t>
            </w:r>
          </w:p>
        </w:tc>
      </w:tr>
    </w:tbl>
    <w:tbl>
      <w:tblPr>
        <w:tblW w:w="9486" w:type="dxa"/>
        <w:jc w:val="left"/>
        <w:tblInd w:w="20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percentage of holders of debt securities whose consent is needed to modify or amend the indenture;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percentage of holders of debt securities whose consent is needed to waive compliance with certain provisions of the indenture or to waive certain defaults;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modify certain of the provisions of the indenture dealing with supplemental indentures, modification and waiver of past defaults, changes to the quorum or voting requirements or the waiver of certain covenants; and </w:t>
            </w:r>
          </w:p>
        </w:tc>
      </w:tr>
    </w:tbl>
    <w:tbl>
      <w:tblPr>
        <w:tblW w:w="5331" w:type="dxa"/>
        <w:jc w:val="left"/>
        <w:tblInd w:w="20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any obligation we have to pay additional amounts.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Changes Not Requiring Approval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of default. We also do not need any approval to make any change that affects only debt securities to be issued under the indenture after the change takes effect.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Changes Requiring Majority Approval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Any other change to the indenture and the debt securities would require the following approval: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change affects only one series of debt securities, it must be approved by the holders of a majority in principal amount of that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Times;serif" w:hAnsi="Times New Roman;Times;serif"/>
          <w:i/>
          <w:sz w:val="20"/>
        </w:rPr>
        <w:t>Changes Requiring Your Approval</w:t>
      </w:r>
      <w:r>
        <w:rPr>
          <w:rFonts w:ascii="Times New Roman;Times;serif" w:hAnsi="Times New Roman;Times;serif"/>
          <w:sz w:val="20"/>
        </w:rPr>
        <w:t xml:space="preserve">.”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Further Details Concerning Voting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When taking a vote, we will use the following rules to decide how much principal to attribute to a debt security: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original issue discount securities, we will use the principal amount that would be due and payable on the voting date if the maturity of these debt securities were accelerated to that date because of a default.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debt securities whose principal amount is not known (for example, because it is based on an index), we will use a special rule for that debt security described in the prospectus supplement. </w:t>
            </w:r>
          </w:p>
        </w:tc>
      </w:tr>
    </w:tbl>
    <w:tbl>
      <w:tblPr>
        <w:tblW w:w="9036" w:type="dxa"/>
        <w:jc w:val="left"/>
        <w:tblInd w:w="20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debt securities denominated in one or more foreign currencies, we will use the U.S. dollar equivalent.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 </w:t>
            </w:r>
            <w:r>
              <w:rPr>
                <w:rFonts w:ascii="Times New Roman;Times;serif" w:hAnsi="Times New Roman;Times;serif"/>
                <w:b w:val="false"/>
                <w:i/>
                <w:sz w:val="20"/>
              </w:rPr>
              <w:t>Defeasance — Full Defeasance</w:t>
            </w:r>
            <w:r>
              <w:rPr>
                <w:rFonts w:ascii="Times New Roman;Times;serif" w:hAnsi="Times New Roman;Times;serif"/>
                <w:b w:val="false"/>
                <w:i w:val="false"/>
                <w:caps w:val="false"/>
                <w:smallCaps w:val="false"/>
                <w:sz w:val="20"/>
              </w:rPr>
              <w:t xml:space="preserve">.”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Satisfaction and Discharge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Defeasance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Covenant Defeasance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w:t>
      </w:r>
      <w:r>
        <w:rPr>
          <w:rFonts w:ascii="Times New Roman;Times;serif" w:hAnsi="Times New Roman;Times;serif"/>
          <w:i/>
          <w:sz w:val="20"/>
        </w:rPr>
        <w:t>Indenture Provisions — Subordination</w:t>
      </w:r>
      <w:r>
        <w:rPr>
          <w:rFonts w:ascii="Times New Roman;Times;serif" w:hAnsi="Times New Roman;Times;serif"/>
          <w:sz w:val="20"/>
        </w:rPr>
        <w:t xml:space="preserve">” below. In order to achieve covenant defeasance, we must do the following: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and officers’ certificate stating that all conditions precedent to covenant defeasance have been complied with.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 defeasance must not result in a breach or violation of, or result in a default under, the indenture or any of our other material agreements or instruments.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p>
        </w:tc>
      </w:tr>
    </w:tbl>
    <w:tbl>
      <w:tblPr>
        <w:tblW w:w="7836" w:type="dxa"/>
        <w:jc w:val="left"/>
        <w:tblInd w:w="20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Satisfy the conditions for covenant defeasance contained in any supplemental indentures.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Legal Defeasance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and officers’ certificate stating that all conditions precedent to defeasance have been complied with.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Defeasance must not result in a breach or violation of, or result in a default under, the indenture or any of our other material agreements or instruments.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p>
        </w:tc>
      </w:tr>
    </w:tbl>
    <w:tbl>
      <w:tblPr>
        <w:tblW w:w="7836" w:type="dxa"/>
        <w:jc w:val="left"/>
        <w:tblInd w:w="20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Satisfy the conditions for covenant defeasance contained in any supplemental indentures.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w:t>
      </w:r>
      <w:r>
        <w:rPr>
          <w:rFonts w:ascii="Times New Roman;Times;serif" w:hAnsi="Times New Roman;Times;serif"/>
          <w:i/>
          <w:sz w:val="20"/>
        </w:rPr>
        <w:t>Indenture Provisions — Subordination</w:t>
      </w:r>
      <w:r>
        <w:rPr>
          <w:rFonts w:ascii="Times New Roman;Times;serif" w:hAnsi="Times New Roman;Times;serif"/>
          <w:sz w:val="20"/>
        </w:rPr>
        <w:t xml:space="preserve">”.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Form, Exchange and Transfer of Certificated Registered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registered debt securities cease to be issued in book-entry form, they will be issued:</w:t>
      </w:r>
    </w:p>
    <w:tbl>
      <w:tblPr>
        <w:tblW w:w="3861" w:type="dxa"/>
        <w:jc w:val="left"/>
        <w:tblInd w:w="20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in fully registered certificated form, </w:t>
            </w:r>
          </w:p>
        </w:tc>
      </w:tr>
    </w:tbl>
    <w:tbl>
      <w:tblPr>
        <w:tblW w:w="2976" w:type="dxa"/>
        <w:jc w:val="left"/>
        <w:tblInd w:w="20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interest coupons,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we indicate otherwise in the prospectus supplement, in denominations of $1,000 and amounts that are multiples of $1,000.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Resignation of Trustee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Indenture Provisions — Subordination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0" w:after="240"/>
        <w:ind w:left="200" w:right="200" w:firstLine="360"/>
        <w:jc w:val="left"/>
        <w:rPr/>
      </w:pPr>
      <w:r>
        <w:rPr/>
        <w:t>“</w:t>
      </w:r>
      <w:r>
        <w:rPr>
          <w:rFonts w:ascii="Times New Roman;Times;serif" w:hAnsi="Times New Roman;Times;serif"/>
          <w:sz w:val="20"/>
        </w:rPr>
        <w:t xml:space="preserve">Senior Indebtedness” is defined in the indenture as the principal of (and premium, if any) and unpaid interest on: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tbl>
      <w:tblPr>
        <w:tblW w:w="7116" w:type="dxa"/>
        <w:jc w:val="left"/>
        <w:tblInd w:w="20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renewals, extensions, modifications and refinancings of any of this indebtedness.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Secured Indebtedness and Ranking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The Trustee under the Indenture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intend to use a nationally recognized financial institution to serve as the trustee under the indenture.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Considerations Relating To Foreign Currencies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Book-Entry Debt Securities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has advised us that it is: </w:t>
      </w:r>
    </w:p>
    <w:tbl>
      <w:tblPr>
        <w:tblW w:w="7341" w:type="dxa"/>
        <w:jc w:val="left"/>
        <w:tblInd w:w="20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limited purpose trust company organized under the laws of the State of New York; </w:t>
            </w:r>
          </w:p>
        </w:tc>
      </w:tr>
    </w:tbl>
    <w:tbl>
      <w:tblPr>
        <w:tblW w:w="7281" w:type="dxa"/>
        <w:jc w:val="left"/>
        <w:tblInd w:w="20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“banking organization” within the meaning of the New York State Banking Law; </w:t>
            </w:r>
          </w:p>
        </w:tc>
      </w:tr>
    </w:tbl>
    <w:tbl>
      <w:tblPr>
        <w:tblW w:w="3891" w:type="dxa"/>
        <w:jc w:val="left"/>
        <w:tblInd w:w="20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of the Federal Reserve System; </w:t>
            </w:r>
          </w:p>
        </w:tc>
      </w:tr>
    </w:tbl>
    <w:tbl>
      <w:tblPr>
        <w:tblW w:w="7311" w:type="dxa"/>
        <w:jc w:val="left"/>
        <w:tblInd w:w="20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“clearing corporation” within the meaning of the Uniform Commercial Code; and </w:t>
            </w:r>
          </w:p>
        </w:tc>
      </w:tr>
    </w:tbl>
    <w:tbl>
      <w:tblPr>
        <w:tblW w:w="6321" w:type="dxa"/>
        <w:jc w:val="left"/>
        <w:tblInd w:w="20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“clearing agency” registered under Section 17A of the Exchange Act. </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0" w:after="0"/>
        <w:ind w:left="200" w:right="200" w:firstLine="360"/>
        <w:jc w:val="left"/>
        <w:rPr>
          <w:color w:val="231F20"/>
        </w:rPr>
      </w:pPr>
      <w:r>
        <w:rPr>
          <w:color w:val="231F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57" w:name="REGULATION_247825"/>
      <w:bookmarkStart w:id="458" w:name="_d7aa388b_a00c_4dec_b085_b56d1d87c665"/>
      <w:bookmarkStart w:id="459" w:name="_Toc187499191"/>
      <w:bookmarkEnd w:id="457"/>
      <w:bookmarkEnd w:id="458"/>
      <w:bookmarkEnd w:id="459"/>
      <w:r>
        <w:rPr>
          <w:rFonts w:ascii="Times New Roman;Times;serif" w:hAnsi="Times New Roman;Times;serif"/>
          <w:b/>
          <w:sz w:val="20"/>
        </w:rPr>
        <w:t>REGULATION</w:t>
      </w:r>
    </w:p>
    <w:p>
      <w:pPr>
        <w:pStyle w:val="TextBody"/>
        <w:bidi w:val="0"/>
        <w:spacing w:before="0" w:after="240"/>
        <w:ind w:left="200" w:right="200" w:firstLine="360"/>
        <w:jc w:val="left"/>
        <w:rPr/>
      </w:pPr>
      <w:r>
        <w:rPr>
          <w:rFonts w:ascii="Times New Roman;Times;serif" w:hAnsi="Times New Roman;Times;serif"/>
          <w:sz w:val="20"/>
          <w:shd w:fill="FFFFFF" w:val="clear"/>
        </w:rPr>
        <w:t xml:space="preserve">The </w:t>
      </w:r>
      <w:r>
        <w:rPr>
          <w:rFonts w:ascii="Times New Roman;Times;serif" w:hAnsi="Times New Roman;Times;serif"/>
          <w:sz w:val="20"/>
        </w:rPr>
        <w:t>information</w:t>
      </w:r>
      <w:r>
        <w:rPr>
          <w:rFonts w:ascii="Times New Roman;Times;serif" w:hAnsi="Times New Roman;Times;serif"/>
          <w:sz w:val="20"/>
          <w:shd w:fill="FFFFFF" w:val="clear"/>
        </w:rPr>
        <w:t xml:space="preserve"> contained in “</w:t>
      </w:r>
      <w:r>
        <w:fldChar w:fldCharType="begin"/>
      </w:r>
      <w:r>
        <w:rPr>
          <w:rStyle w:val="InternetLink"/>
          <w:sz w:val="20"/>
          <w:i/>
          <w:b w:val="false"/>
          <w:shd w:fill="FFFFFF" w:val="clear"/>
          <w:rFonts w:ascii="Times New Roman;Times;serif" w:hAnsi="Times New Roman;Times;serif"/>
        </w:rPr>
        <w:instrText xml:space="preserve"> HYPERLINK "https://www.sec.gov/Archives/edgar/data/1653384/000095017024027913/rway-20231231.htm" \l "item1business_632152"</w:instrText>
      </w:r>
      <w:r>
        <w:rPr>
          <w:rStyle w:val="InternetLink"/>
          <w:sz w:val="20"/>
          <w:i/>
          <w:b w:val="false"/>
          <w:shd w:fill="FFFFFF" w:val="clear"/>
          <w:rFonts w:ascii="Times New Roman;Times;serif" w:hAnsi="Times New Roman;Times;serif"/>
        </w:rPr>
        <w:fldChar w:fldCharType="separate"/>
      </w:r>
      <w:r>
        <w:rPr>
          <w:rStyle w:val="InternetLink"/>
          <w:rFonts w:ascii="Times New Roman;Times;serif" w:hAnsi="Times New Roman;Times;serif"/>
          <w:b w:val="false"/>
          <w:i/>
          <w:sz w:val="20"/>
          <w:shd w:fill="FFFFFF" w:val="clear"/>
        </w:rPr>
        <w:t>Part I, Item 1. Business—Regulation as a Business Development Company</w:t>
      </w:r>
      <w:r>
        <w:rPr>
          <w:rStyle w:val="InternetLink"/>
          <w:sz w:val="20"/>
          <w:i/>
          <w:b w:val="false"/>
          <w:shd w:fill="FFFFFF" w:val="clear"/>
          <w:rFonts w:ascii="Times New Roman;Times;serif" w:hAnsi="Times New Roman;Times;serif"/>
        </w:rPr>
        <w:fldChar w:fldCharType="end"/>
      </w:r>
      <w:r>
        <w:rPr>
          <w:rFonts w:ascii="Times New Roman;Times;serif" w:hAnsi="Times New Roman;Times;serif"/>
          <w:sz w:val="20"/>
          <w:shd w:fill="FFFFFF" w:val="clear"/>
        </w:rPr>
        <w:t xml:space="preserve">” of our most recent Annual </w:t>
      </w:r>
      <w:r>
        <w:rPr>
          <w:rFonts w:ascii="Times New Roman;Times;serif" w:hAnsi="Times New Roman;Times;serif"/>
          <w:sz w:val="20"/>
        </w:rPr>
        <w:t>Report</w:t>
      </w:r>
      <w:r>
        <w:rPr>
          <w:rFonts w:ascii="Times New Roman;Times;serif" w:hAnsi="Times New Roman;Times;serif"/>
          <w:sz w:val="20"/>
          <w:shd w:fill="FFFFFF" w:val="clear"/>
        </w:rPr>
        <w:t xml:space="preserve"> on Form 10-K is incorporated herein by reference. </w:t>
      </w:r>
    </w:p>
    <w:p>
      <w:pPr>
        <w:pStyle w:val="TextBody"/>
        <w:bidi w:val="0"/>
        <w:spacing w:before="0" w:after="240"/>
        <w:ind w:left="200" w:right="200" w:firstLine="360"/>
        <w:jc w:val="left"/>
        <w:rPr>
          <w:color w:val="231F20"/>
        </w:rPr>
      </w:pPr>
      <w:r>
        <w:rPr>
          <w:color w:val="231F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60" w:name="PLANOFDISTRIBUTION_693318"/>
      <w:bookmarkStart w:id="461" w:name="_f149c325_2e80_4673_905a_8b5e87b2423b"/>
      <w:bookmarkStart w:id="462" w:name="_Toc187499192"/>
      <w:bookmarkEnd w:id="460"/>
      <w:bookmarkEnd w:id="461"/>
      <w:bookmarkEnd w:id="462"/>
      <w:r>
        <w:rPr>
          <w:rFonts w:ascii="Times New Roman;Times;serif" w:hAnsi="Times New Roman;Times;serif"/>
          <w:b/>
          <w:sz w:val="20"/>
        </w:rPr>
        <w:t>PLAN OF DISTRIBUTION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may offer, from time to time, in one or more offerings or series, up to $250,000,000 of our common stock, </w:t>
      </w:r>
      <w:r>
        <w:rPr>
          <w:rFonts w:ascii="Times New Roman;Times;serif" w:hAnsi="Times New Roman;Times;serif"/>
          <w:sz w:val="20"/>
        </w:rPr>
        <w:t>preferred</w:t>
      </w:r>
      <w:r>
        <w:rPr>
          <w:rFonts w:ascii="Times New Roman;Times;serif" w:hAnsi="Times New Roman;Times;serif"/>
          <w:color w:val="231F20"/>
          <w:sz w:val="20"/>
        </w:rPr>
        <w:t xml:space="preserve"> stock, debt securities, subscription rights to purchase shares of our common stock or warrants representing rights to </w:t>
      </w:r>
      <w:r>
        <w:rPr>
          <w:rFonts w:ascii="Times New Roman;Times;serif" w:hAnsi="Times New Roman;Times;serif"/>
          <w:sz w:val="20"/>
        </w:rPr>
        <w:t>purchase</w:t>
      </w:r>
      <w:r>
        <w:rPr>
          <w:rFonts w:ascii="Times New Roman;Times;serif" w:hAnsi="Times New Roman;Times;serif"/>
          <w:color w:val="231F20"/>
          <w:sz w:val="20"/>
        </w:rPr>
        <w:t xml:space="preserve"> shares of our common stock, preferred stock or debt securities, in one or more underwritten public offerings, at-the-market offerings, negotiated transactions, block trades, best efforts offerings or a combination of these methods.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t>
      </w:r>
      <w:r>
        <w:rPr>
          <w:rFonts w:ascii="Times New Roman;Times;serif" w:hAnsi="Times New Roman;Times;serif"/>
          <w:sz w:val="20"/>
        </w:rPr>
        <w:t>will</w:t>
      </w:r>
      <w:r>
        <w:rPr>
          <w:rFonts w:ascii="Times New Roman;Times;serif" w:hAnsi="Times New Roman;Times;serif"/>
          <w:color w:val="231F20"/>
          <w:sz w:val="20"/>
        </w:rPr>
        <w:t xml:space="preserve"> be named in the </w:t>
      </w:r>
      <w:r>
        <w:rPr>
          <w:rFonts w:ascii="Times New Roman;Times;serif" w:hAnsi="Times New Roman;Times;serif"/>
          <w:sz w:val="20"/>
        </w:rPr>
        <w:t>applicable</w:t>
      </w:r>
      <w:r>
        <w:rPr>
          <w:rFonts w:ascii="Times New Roman;Times;serif" w:hAnsi="Times New Roman;Times;serif"/>
          <w:color w:val="231F20"/>
          <w:sz w:val="20"/>
        </w:rPr>
        <w:t xml:space="preserv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The distribution of the securities may be effected from time to time in one or more transactions at a fixed price or </w:t>
      </w:r>
      <w:r>
        <w:rPr>
          <w:rFonts w:ascii="Times New Roman;Times;serif" w:hAnsi="Times New Roman;Times;serif"/>
          <w:sz w:val="20"/>
        </w:rPr>
        <w:t>prices</w:t>
      </w:r>
      <w:r>
        <w:rPr>
          <w:rFonts w:ascii="Times New Roman;Times;serif" w:hAnsi="Times New Roman;Times;serif"/>
          <w:color w:val="231F20"/>
          <w:sz w:val="20"/>
        </w:rPr>
        <w:t xml:space="preserve">, which may be changed, at prevailing market prices at the time of sale, at prices related to such prevailing market prices, or at negotiated prices, provided, however, that the offering price per share of any common stock offered by us, </w:t>
      </w:r>
      <w:r>
        <w:rPr>
          <w:rFonts w:ascii="Times New Roman;Times;serif" w:hAnsi="Times New Roman;Times;serif"/>
          <w:sz w:val="20"/>
        </w:rPr>
        <w:t>less</w:t>
      </w:r>
      <w:r>
        <w:rPr>
          <w:rFonts w:ascii="Times New Roman;Times;serif" w:hAnsi="Times New Roman;Times;serif"/>
          <w:color w:val="231F20"/>
          <w:sz w:val="20"/>
        </w:rPr>
        <w:t xml:space="preserve">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w:t>
      </w:r>
      <w:r>
        <w:rPr>
          <w:rFonts w:ascii="Times New Roman;Times;serif" w:hAnsi="Times New Roman;Times;serif"/>
          <w:sz w:val="20"/>
        </w:rPr>
        <w:t>market</w:t>
      </w:r>
      <w:r>
        <w:rPr>
          <w:rFonts w:ascii="Times New Roman;Times;serif" w:hAnsi="Times New Roman;Times;serif"/>
          <w:color w:val="231F20"/>
          <w:sz w:val="20"/>
        </w:rPr>
        <w:t xml:space="preserve"> prices.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w:t>
      </w:r>
      <w:r>
        <w:rPr>
          <w:rFonts w:ascii="Times New Roman;Times;serif" w:hAnsi="Times New Roman;Times;serif"/>
          <w:sz w:val="20"/>
        </w:rPr>
        <w:t>compensation</w:t>
      </w:r>
      <w:r>
        <w:rPr>
          <w:rFonts w:ascii="Times New Roman;Times;serif" w:hAnsi="Times New Roman;Times;serif"/>
          <w:color w:val="231F20"/>
          <w:sz w:val="20"/>
        </w:rPr>
        <w:t xml:space="preserve">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10% of the gross proceeds of the sale of securities offered pursuant to this prospectus and any applicable prospectus supplement. We may also reimburse the underwriter or agent for certain fees and legal expenses incurred by it.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Any underwriter may engage in over-allotment, stabilizing transactions, short-covering transactions and penalty </w:t>
      </w:r>
      <w:r>
        <w:rPr>
          <w:rFonts w:ascii="Times New Roman;Times;serif" w:hAnsi="Times New Roman;Times;serif"/>
          <w:sz w:val="20"/>
        </w:rPr>
        <w:t>bids</w:t>
      </w:r>
      <w:r>
        <w:rPr>
          <w:rFonts w:ascii="Times New Roman;Times;serif" w:hAnsi="Times New Roman;Times;serif"/>
          <w:color w:val="231F20"/>
          <w:sz w:val="20"/>
        </w:rPr>
        <w:t xml:space="preserve"> in accordance with Regulation M under the Exchange Act. Over-allotment involves sales in excess of the offering size, which create a short position. Stabilizing transactions permit bids to purchase the underlying security so long as the </w:t>
      </w:r>
      <w:r>
        <w:rPr>
          <w:rFonts w:ascii="Times New Roman;Times;serif" w:hAnsi="Times New Roman;Times;serif"/>
          <w:sz w:val="20"/>
        </w:rPr>
        <w:t>stabilizing</w:t>
      </w:r>
      <w:r>
        <w:rPr>
          <w:rFonts w:ascii="Times New Roman;Times;serif" w:hAnsi="Times New Roman;Times;serif"/>
          <w:color w:val="231F20"/>
          <w:sz w:val="20"/>
        </w:rPr>
        <w:t xml:space="preserve">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may sell securities directly or through agents we designate from time to time. We will name any agent involved in the </w:t>
      </w:r>
      <w:r>
        <w:rPr>
          <w:rFonts w:ascii="Times New Roman;Times;serif" w:hAnsi="Times New Roman;Times;serif"/>
          <w:sz w:val="20"/>
        </w:rPr>
        <w:t>offering</w:t>
      </w:r>
      <w:r>
        <w:rPr>
          <w:rFonts w:ascii="Times New Roman;Times;serif" w:hAnsi="Times New Roman;Times;serif"/>
          <w:color w:val="231F20"/>
          <w:sz w:val="20"/>
        </w:rPr>
        <w:t xml:space="preserve"> and sale of securities and we will describe any commissions we will pay the agent in the prospectus supplement. Unless the prospectus supplement states otherwise, the agent will act on a best-efforts basis for the period of its appointment.</w:t>
      </w:r>
    </w:p>
    <w:p>
      <w:pPr>
        <w:pStyle w:val="TextBody"/>
        <w:bidi w:val="0"/>
        <w:spacing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Under agreements that we may enter, underwriters, dealers and agents who participate in the distribution of the securities may be </w:t>
      </w:r>
      <w:r>
        <w:rPr>
          <w:rFonts w:ascii="Times New Roman;Times;serif" w:hAnsi="Times New Roman;Times;serif"/>
          <w:sz w:val="20"/>
        </w:rPr>
        <w:t>entitled</w:t>
      </w:r>
      <w:r>
        <w:rPr>
          <w:rFonts w:ascii="Times New Roman;Times;serif" w:hAnsi="Times New Roman;Times;serif"/>
          <w:color w:val="231F20"/>
          <w:sz w:val="20"/>
        </w:rPr>
        <w:t xml:space="preserve"> to indemnification by us against certain liabilities, including liabilities under the </w:t>
      </w:r>
      <w:r>
        <w:rPr>
          <w:rFonts w:ascii="Times New Roman;Times;serif" w:hAnsi="Times New Roman;Times;serif"/>
          <w:sz w:val="20"/>
        </w:rPr>
        <w:t>Securities</w:t>
      </w:r>
      <w:r>
        <w:rPr>
          <w:rFonts w:ascii="Times New Roman;Times;serif" w:hAnsi="Times New Roman;Times;serif"/>
          <w:color w:val="231F20"/>
          <w:sz w:val="20"/>
        </w:rPr>
        <w:t xml:space="preserve">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If so indicated in the applicable prospectus supplement, we will authorize underwriters or other persons acting as agents to solicit </w:t>
      </w:r>
      <w:r>
        <w:rPr>
          <w:rFonts w:ascii="Times New Roman;Times;serif" w:hAnsi="Times New Roman;Times;serif"/>
          <w:sz w:val="20"/>
        </w:rPr>
        <w:t>offers</w:t>
      </w:r>
      <w:r>
        <w:rPr>
          <w:rFonts w:ascii="Times New Roman;Times;serif" w:hAnsi="Times New Roman;Times;serif"/>
          <w:color w:val="231F20"/>
          <w:sz w:val="20"/>
        </w:rPr>
        <w:t xml:space="preserve">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may enter into derivative transactions with third parties, or sell securities not covered by this prospectus to third parties in privately negotiated transactions. If the applicable prospectus supplement indicates, in connection with those </w:t>
      </w:r>
      <w:r>
        <w:rPr>
          <w:rFonts w:ascii="Times New Roman;Times;serif" w:hAnsi="Times New Roman;Times;serif"/>
          <w:sz w:val="20"/>
        </w:rPr>
        <w:t>derivatives</w:t>
      </w:r>
      <w:r>
        <w:rPr>
          <w:rFonts w:ascii="Times New Roman;Times;serif" w:hAnsi="Times New Roman;Times;serif"/>
          <w:color w:val="231F20"/>
          <w:sz w:val="20"/>
        </w:rPr>
        <w:t xml:space="preserve">, the third parties may sell securities covered by this prospectus and the </w:t>
      </w:r>
      <w:r>
        <w:rPr>
          <w:rFonts w:ascii="Times New Roman;Times;serif" w:hAnsi="Times New Roman;Times;serif"/>
          <w:sz w:val="20"/>
        </w:rPr>
        <w:t>applicable</w:t>
      </w:r>
      <w:r>
        <w:rPr>
          <w:rFonts w:ascii="Times New Roman;Times;serif" w:hAnsi="Times New Roman;Times;serif"/>
          <w:color w:val="231F20"/>
          <w:sz w:val="20"/>
        </w:rPr>
        <w:t xml:space="preserv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In order to comply </w:t>
      </w:r>
      <w:r>
        <w:rPr>
          <w:rFonts w:ascii="Times New Roman;Times;serif" w:hAnsi="Times New Roman;Times;serif"/>
          <w:sz w:val="20"/>
        </w:rPr>
        <w:t>with</w:t>
      </w:r>
      <w:r>
        <w:rPr>
          <w:rFonts w:ascii="Times New Roman;Times;serif" w:hAnsi="Times New Roman;Times;serif"/>
          <w:color w:val="231F20"/>
          <w:sz w:val="20"/>
        </w:rPr>
        <w:t xml:space="preserve"> the securities laws of certain states, if applicable, the securities offered hereby will be sold in such jurisdictions only through registered or licensed brokers or dealers. </w:t>
      </w:r>
    </w:p>
    <w:p>
      <w:pPr>
        <w:pStyle w:val="TextBody"/>
        <w:bidi w:val="0"/>
        <w:spacing w:before="0" w:after="240"/>
        <w:ind w:left="200" w:right="200" w:firstLine="360"/>
        <w:jc w:val="left"/>
        <w:rPr>
          <w:color w:val="231F20"/>
        </w:rPr>
      </w:pPr>
      <w:r>
        <w:rPr>
          <w:color w:val="231F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sz w:val="20"/>
        </w:rPr>
      </w:pPr>
      <w:bookmarkStart w:id="463" w:name="CUSTODIANTRANSFERANDDIVIDENDPAYINGAGENTA"/>
      <w:bookmarkStart w:id="464" w:name="_eb073ae0_0dfb_4c86_990b_f77c53a2c65f"/>
      <w:bookmarkStart w:id="465" w:name="_Toc187499193"/>
      <w:bookmarkEnd w:id="463"/>
      <w:bookmarkEnd w:id="464"/>
      <w:bookmarkEnd w:id="465"/>
      <w:r>
        <w:rPr>
          <w:rFonts w:ascii="Times New Roman;Times;serif" w:hAnsi="Times New Roman;Times;serif"/>
          <w:b/>
          <w:sz w:val="20"/>
        </w:rPr>
        <w:t>CUSTODIAN, TRANSFER AND DIVIDEND PAYING AGENT AND REGISTRAR</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Our securities and loan documents are held by U.S. Bank, National Association, pursuant to a custodian agreement. </w:t>
      </w:r>
      <w:r>
        <w:rPr>
          <w:rFonts w:ascii="Times New Roman;Times;serif" w:hAnsi="Times New Roman;Times;serif"/>
          <w:sz w:val="20"/>
        </w:rPr>
        <w:t>The</w:t>
      </w:r>
      <w:r>
        <w:rPr>
          <w:rFonts w:ascii="Times New Roman;Times;serif" w:hAnsi="Times New Roman;Times;serif"/>
          <w:color w:val="231F20"/>
          <w:sz w:val="20"/>
        </w:rPr>
        <w:t xml:space="preserve"> principal business address of U.S. Bank, National Association, is 190 S. LaSalle Street, 8th Floor, Chicago, IL 60603. </w:t>
      </w:r>
      <w:r>
        <w:rPr>
          <w:rFonts w:ascii="Times New Roman;Times;serif" w:hAnsi="Times New Roman;Times;serif"/>
          <w:sz w:val="20"/>
        </w:rPr>
        <w:t>American</w:t>
      </w:r>
      <w:r>
        <w:rPr>
          <w:rFonts w:ascii="Times New Roman;Times;serif" w:hAnsi="Times New Roman;Times;serif"/>
          <w:color w:val="231F20"/>
          <w:sz w:val="20"/>
        </w:rPr>
        <w:t xml:space="preserve"> Stock Transfer &amp; Trust Company LLC will serve as our transfer agent, distribution paying agent and registrar. The principal business address of American Stock Transfer &amp; Trust Company LLC is 6201 15th Avenue, Brooklyn, NY 11219.</w:t>
      </w:r>
    </w:p>
    <w:p>
      <w:pPr>
        <w:pStyle w:val="TextBody"/>
        <w:bidi w:val="0"/>
        <w:spacing w:before="0" w:after="200"/>
        <w:ind w:left="200" w:right="200" w:hanging="0"/>
        <w:jc w:val="center"/>
        <w:rPr>
          <w:rFonts w:ascii="Times New Roman;Times;serif" w:hAnsi="Times New Roman;Times;serif"/>
          <w:b/>
          <w:sz w:val="20"/>
        </w:rPr>
      </w:pPr>
      <w:bookmarkStart w:id="466" w:name="BROKERAGEALLOCATIONANDOTHERPRACTICES_509"/>
      <w:bookmarkStart w:id="467" w:name="_591a804f_61da_41c7_a44b_fa893bd191d4"/>
      <w:bookmarkStart w:id="468" w:name="_Toc187499194"/>
      <w:bookmarkEnd w:id="466"/>
      <w:bookmarkEnd w:id="467"/>
      <w:bookmarkEnd w:id="468"/>
      <w:r>
        <w:rPr>
          <w:rFonts w:ascii="Times New Roman;Times;serif" w:hAnsi="Times New Roman;Times;serif"/>
          <w:b/>
          <w:sz w:val="20"/>
        </w:rPr>
        <w:t>BROKERAGE ALLOCATION AND OTHER PRACTICES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Since we will acquire and dispose of many of our investments in privately negotiated transactions, many of the transactions that we </w:t>
      </w:r>
      <w:r>
        <w:rPr>
          <w:rFonts w:ascii="Times New Roman;Times;serif" w:hAnsi="Times New Roman;Times;serif"/>
          <w:sz w:val="20"/>
        </w:rPr>
        <w:t>engage</w:t>
      </w:r>
      <w:r>
        <w:rPr>
          <w:rFonts w:ascii="Times New Roman;Times;serif" w:hAnsi="Times New Roman;Times;serif"/>
          <w:color w:val="231F20"/>
          <w:sz w:val="20"/>
        </w:rPr>
        <w:t xml:space="preserv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1934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pStyle w:val="TextBody"/>
        <w:bidi w:val="0"/>
        <w:spacing w:before="0" w:after="200"/>
        <w:ind w:left="200" w:right="200" w:hanging="0"/>
        <w:jc w:val="center"/>
        <w:rPr>
          <w:rFonts w:ascii="Times New Roman;Times;serif" w:hAnsi="Times New Roman;Times;serif"/>
          <w:b/>
          <w:sz w:val="20"/>
        </w:rPr>
      </w:pPr>
      <w:bookmarkStart w:id="469" w:name="LEGALMATTERS_296006"/>
      <w:bookmarkStart w:id="470" w:name="_68107455_63fc_4ff7_aa0e_d001473376c4"/>
      <w:bookmarkStart w:id="471" w:name="_Toc187499195"/>
      <w:bookmarkEnd w:id="469"/>
      <w:bookmarkEnd w:id="470"/>
      <w:bookmarkEnd w:id="471"/>
      <w:r>
        <w:rPr>
          <w:rFonts w:ascii="Times New Roman;Times;serif" w:hAnsi="Times New Roman;Times;serif"/>
          <w:b/>
          <w:sz w:val="20"/>
        </w:rPr>
        <w:t>LEGAL MATTERS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The validity of the common stock offered hereby and certain legal matters for us in connection with the offering will be passed </w:t>
      </w:r>
      <w:r>
        <w:rPr>
          <w:rFonts w:ascii="Times New Roman;Times;serif" w:hAnsi="Times New Roman;Times;serif"/>
          <w:sz w:val="20"/>
        </w:rPr>
        <w:t>upon</w:t>
      </w:r>
      <w:r>
        <w:rPr>
          <w:rFonts w:ascii="Times New Roman;Times;serif" w:hAnsi="Times New Roman;Times;serif"/>
          <w:color w:val="231F20"/>
          <w:sz w:val="20"/>
        </w:rPr>
        <w:t xml:space="preserve"> for us by Eversheds Sutherland (US) LLP. Eversheds Sutherland (US) LLP also represents the Adviser. </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Certain legal matters in connection with the offering will be passed upon for the underwriters, if any, by the counsel named in the prospectus supplement.</w:t>
      </w:r>
    </w:p>
    <w:p>
      <w:pPr>
        <w:pStyle w:val="TextBody"/>
        <w:bidi w:val="0"/>
        <w:spacing w:before="0" w:after="200"/>
        <w:ind w:left="200" w:right="200" w:hanging="0"/>
        <w:jc w:val="center"/>
        <w:rPr>
          <w:rFonts w:ascii="Times New Roman;Times;serif" w:hAnsi="Times New Roman;Times;serif"/>
          <w:b/>
          <w:sz w:val="20"/>
        </w:rPr>
      </w:pPr>
      <w:bookmarkStart w:id="472" w:name="INDEPENDENTREGISTEREDPUBLICACCOUNTINGFIR"/>
      <w:bookmarkStart w:id="473" w:name="_5052d222_9b6f_43de_8ec6_bd2ae4185ad7"/>
      <w:bookmarkStart w:id="474" w:name="_Toc187499196"/>
      <w:bookmarkEnd w:id="472"/>
      <w:bookmarkEnd w:id="473"/>
      <w:bookmarkEnd w:id="474"/>
      <w:r>
        <w:rPr>
          <w:rFonts w:ascii="Times New Roman;Times;serif" w:hAnsi="Times New Roman;Times;serif"/>
          <w:b/>
          <w:sz w:val="20"/>
        </w:rPr>
        <w:t>INDEPENDENT REGISTERED PUBLIC ACCOUNTING FIRM</w:t>
      </w:r>
    </w:p>
    <w:p>
      <w:pPr>
        <w:pStyle w:val="TextBody"/>
        <w:bidi w:val="0"/>
        <w:spacing w:before="0" w:after="200"/>
        <w:ind w:left="200" w:right="200" w:firstLine="360"/>
        <w:jc w:val="left"/>
        <w:rPr/>
      </w:pPr>
      <w:r>
        <w:rPr>
          <w:rFonts w:ascii="Times New Roman;Times;serif" w:hAnsi="Times New Roman;Times;serif"/>
          <w:sz w:val="20"/>
        </w:rPr>
        <w:t xml:space="preserve">The consolidated financial statements, financial highlights, and senior securities table of Runway Growth Finance Corp. as of December 31, 2023 and 2022 and for each of the years in the three-year period ended December 31, 2023 incorporated in this prospectus by reference from the Runway Growth Finance Corp. </w:t>
      </w:r>
      <w:hyperlink r:id="rId50">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xml:space="preserve">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The address of RSM US LLP is 30 South Wacker Drive, Suite 3300, Chicago, Illinois 60606. </w:t>
      </w:r>
    </w:p>
    <w:p>
      <w:pPr>
        <w:pStyle w:val="TextBody"/>
        <w:bidi w:val="0"/>
        <w:spacing w:before="0" w:after="200"/>
        <w:ind w:left="200" w:right="200" w:hanging="0"/>
        <w:jc w:val="center"/>
        <w:rPr>
          <w:rFonts w:ascii="Times New Roman;Times;serif" w:hAnsi="Times New Roman;Times;serif"/>
          <w:b/>
          <w:sz w:val="20"/>
        </w:rPr>
      </w:pPr>
      <w:bookmarkStart w:id="475" w:name="AVAILABLEINFORMATION_984735"/>
      <w:bookmarkStart w:id="476" w:name="_89c381d8_cd89_44d5_93f5_bdca32b36d36"/>
      <w:bookmarkStart w:id="477" w:name="_Toc187499197"/>
      <w:bookmarkEnd w:id="475"/>
      <w:bookmarkEnd w:id="476"/>
      <w:bookmarkEnd w:id="477"/>
      <w:r>
        <w:rPr>
          <w:rFonts w:ascii="Times New Roman;Times;serif" w:hAnsi="Times New Roman;Times;serif"/>
          <w:b/>
          <w:sz w:val="20"/>
        </w:rPr>
        <w:t>AVAILABLE INFORMATION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have filed with the SEC a registration statement on Form N-2, together with all amendments and related exhibits, under the </w:t>
      </w:r>
      <w:r>
        <w:rPr>
          <w:rFonts w:ascii="Times New Roman;Times;serif" w:hAnsi="Times New Roman;Times;serif"/>
          <w:sz w:val="20"/>
        </w:rPr>
        <w:t>Securities</w:t>
      </w:r>
      <w:r>
        <w:rPr>
          <w:rFonts w:ascii="Times New Roman;Times;serif" w:hAnsi="Times New Roman;Times;serif"/>
          <w:color w:val="231F20"/>
          <w:sz w:val="20"/>
        </w:rPr>
        <w:t xml:space="preserve"> Act, with respect to the securities offered by this prospectus. The registration statement contains additional information about us and the securities being offered by this prospectus.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also file </w:t>
      </w:r>
      <w:r>
        <w:rPr>
          <w:rFonts w:ascii="Times New Roman;Times;serif" w:hAnsi="Times New Roman;Times;serif"/>
          <w:sz w:val="20"/>
        </w:rPr>
        <w:t>with</w:t>
      </w:r>
      <w:r>
        <w:rPr>
          <w:rFonts w:ascii="Times New Roman;Times;serif" w:hAnsi="Times New Roman;Times;serif"/>
          <w:color w:val="231F20"/>
          <w:sz w:val="20"/>
        </w:rPr>
        <w:t xml:space="preserve"> or submit to the SEC periodic and current reports, proxy statements and other information meeting the informational </w:t>
      </w:r>
      <w:r>
        <w:rPr>
          <w:rFonts w:ascii="Times New Roman;Times;serif" w:hAnsi="Times New Roman;Times;serif"/>
          <w:sz w:val="20"/>
        </w:rPr>
        <w:t>requirements</w:t>
      </w:r>
      <w:r>
        <w:rPr>
          <w:rFonts w:ascii="Times New Roman;Times;serif" w:hAnsi="Times New Roman;Times;serif"/>
          <w:color w:val="231F20"/>
          <w:sz w:val="20"/>
        </w:rPr>
        <w:t xml:space="preserve"> of the 1934 Act.</w:t>
      </w:r>
    </w:p>
    <w:p>
      <w:pPr>
        <w:pStyle w:val="TextBody"/>
        <w:bidi w:val="0"/>
        <w:spacing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furnish our stockholders with annual reports containing audited financial statements, quarterly reports, and such other periodic reports as we determine to be appropriate or as may be required by law.</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color w:val="231F20"/>
          <w:sz w:val="20"/>
        </w:rPr>
        <w:t xml:space="preserve">We make </w:t>
      </w:r>
      <w:r>
        <w:rPr>
          <w:rFonts w:ascii="Times New Roman;Times;serif" w:hAnsi="Times New Roman;Times;serif"/>
          <w:sz w:val="20"/>
        </w:rPr>
        <w:t>available</w:t>
      </w:r>
      <w:r>
        <w:rPr>
          <w:rFonts w:ascii="Times New Roman;Times;serif" w:hAnsi="Times New Roman;Times;serif"/>
          <w:color w:val="231F20"/>
          <w:sz w:val="20"/>
        </w:rPr>
        <w:t xml:space="preserve"> on </w:t>
      </w:r>
      <w:r>
        <w:rPr>
          <w:rFonts w:ascii="Times New Roman;Times;serif" w:hAnsi="Times New Roman;Times;serif"/>
          <w:sz w:val="20"/>
        </w:rPr>
        <w:t>our</w:t>
      </w:r>
      <w:r>
        <w:rPr>
          <w:rFonts w:ascii="Times New Roman;Times;serif" w:hAnsi="Times New Roman;Times;serif"/>
          <w:color w:val="231F20"/>
          <w:sz w:val="20"/>
        </w:rPr>
        <w:t xml:space="preserve"> website (https://runwaygrowth.com/document-center/) our annual reports on Form 10-K, quarterly reports on Form 10-Q and our current reports on Form 8-K. The SEC also maintains a website (www.sec.gov) that contains such information. The reference to our website is an inactive textual reference only and the </w:t>
      </w:r>
      <w:r>
        <w:rPr>
          <w:rFonts w:ascii="Times New Roman;Times;serif" w:hAnsi="Times New Roman;Times;serif"/>
          <w:sz w:val="20"/>
        </w:rPr>
        <w:t>information contained on our website or the SEC’s website is not incorporated as a part of this prospectus. You may also obtain such information free of charge by contacting us in writing at 205 N. Michigan Ave., Suite 4200, Chicago, IL 60601, or by emailing us at investors@runwaygrowth.com</w:t>
      </w:r>
      <w:r>
        <w:rPr>
          <w:rFonts w:ascii="Times New Roman;Times;serif" w:hAnsi="Times New Roman;Times;serif"/>
          <w:color w:val="231F20"/>
          <w:sz w:val="20"/>
        </w:rPr>
        <w:t xml:space="preserv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78" w:name="INCORPORATIONOFCERTAININFORMATIONBYREFER"/>
      <w:bookmarkStart w:id="479" w:name="_06f60171_b3a0_43c4_8893_599b1e8c60c8"/>
      <w:bookmarkStart w:id="480" w:name="_Toc187499198"/>
      <w:bookmarkEnd w:id="478"/>
      <w:bookmarkEnd w:id="479"/>
      <w:bookmarkEnd w:id="480"/>
      <w:r>
        <w:rPr>
          <w:rFonts w:ascii="Times New Roman;Times;serif" w:hAnsi="Times New Roman;Times;serif"/>
          <w:b/>
          <w:sz w:val="20"/>
        </w:rPr>
        <w:t>INCORPORATION OF CERTAIN INFORMATION BY REFERENCE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prospectus incorporates by reference the documents set forth below that have been previously filed with the SEC:</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Times;serif" w:hAnsi="Times New Roman;Times;serif"/>
                  <w:b w:val="false"/>
                  <w:i w:val="false"/>
                  <w:caps w:val="false"/>
                  <w:smallCaps w:val="false"/>
                </w:rPr>
                <w:t>our Annual Report on Form 10-K for the fiscal year ended December 31, 2023, filed with the SEC on March 7, 2024;</w:t>
              </w:r>
            </w:hyperlink>
          </w:p>
        </w:tc>
      </w:tr>
    </w:tbl>
    <w:tbl>
      <w:tblPr>
        <w:tblW w:w="8646" w:type="dxa"/>
        <w:jc w:val="left"/>
        <w:tblInd w:w="20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266"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Times;serif" w:hAnsi="Times New Roman;Times;serif"/>
                  <w:b w:val="false"/>
                  <w:i w:val="false"/>
                  <w:caps w:val="false"/>
                  <w:smallCaps w:val="false"/>
                </w:rPr>
                <w:t>our Definitive Proxy Statement on Schedule 14A, filed with the SEC on July 3, 2024;</w:t>
              </w:r>
            </w:hyperlink>
          </w:p>
        </w:tc>
      </w:tr>
    </w:tbl>
    <w:tbl>
      <w:tblPr>
        <w:tblW w:w="9351" w:type="dxa"/>
        <w:jc w:val="left"/>
        <w:tblInd w:w="20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971"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Times;serif" w:hAnsi="Times New Roman;Times;serif"/>
                  <w:b w:val="false"/>
                  <w:i w:val="false"/>
                  <w:caps w:val="false"/>
                  <w:smallCaps w:val="false"/>
                </w:rPr>
                <w:t>our Definitive Proxy Statement on Schedule 14A, filed with the SEC on December 13, 2024;</w:t>
              </w:r>
            </w:hyperlink>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Reports on Form 10-Q for the fiscal quarters ended March 31, 2024, June 30, 2024 and September 30, 2024, filed with the SEC on </w:t>
            </w:r>
            <w:hyperlink r:id="rId54">
              <w:r>
                <w:rPr>
                  <w:rStyle w:val="InternetLink"/>
                  <w:rFonts w:ascii="Times New Roman;Times;serif" w:hAnsi="Times New Roman;Times;serif"/>
                  <w:b w:val="false"/>
                  <w:i w:val="false"/>
                  <w:caps w:val="false"/>
                  <w:smallCaps w:val="false"/>
                </w:rPr>
                <w:t>May 7, 2024</w:t>
              </w:r>
            </w:hyperlink>
            <w:r>
              <w:rPr>
                <w:rFonts w:ascii="Times New Roman;Times;serif" w:hAnsi="Times New Roman;Times;serif"/>
                <w:b w:val="false"/>
                <w:i w:val="false"/>
                <w:caps w:val="false"/>
                <w:smallCaps w:val="false"/>
                <w:sz w:val="20"/>
              </w:rPr>
              <w:t xml:space="preserve">, </w:t>
            </w:r>
            <w:hyperlink r:id="rId55">
              <w:r>
                <w:rPr>
                  <w:rStyle w:val="InternetLink"/>
                  <w:rFonts w:ascii="Times New Roman;Times;serif" w:hAnsi="Times New Roman;Times;serif"/>
                  <w:b w:val="false"/>
                  <w:i w:val="false"/>
                  <w:caps w:val="false"/>
                  <w:smallCaps w:val="false"/>
                </w:rPr>
                <w:t>August 8, 2024</w:t>
              </w:r>
            </w:hyperlink>
            <w:r>
              <w:rPr>
                <w:rFonts w:ascii="Times New Roman;Times;serif" w:hAnsi="Times New Roman;Times;serif"/>
                <w:b w:val="false"/>
                <w:i w:val="false"/>
                <w:caps w:val="false"/>
                <w:smallCaps w:val="false"/>
                <w:sz w:val="20"/>
              </w:rPr>
              <w:t xml:space="preserve">, and </w:t>
            </w:r>
            <w:hyperlink r:id="rId56">
              <w:r>
                <w:rPr>
                  <w:rStyle w:val="InternetLink"/>
                  <w:rFonts w:ascii="Times New Roman;Times;serif" w:hAnsi="Times New Roman;Times;serif"/>
                  <w:b w:val="false"/>
                  <w:i w:val="false"/>
                  <w:caps w:val="false"/>
                  <w:smallCaps w:val="false"/>
                </w:rPr>
                <w:t>November 12, 2024</w:t>
              </w:r>
            </w:hyperlink>
            <w:r>
              <w:rPr>
                <w:rFonts w:ascii="Times New Roman;Times;serif" w:hAnsi="Times New Roman;Times;serif"/>
                <w:b w:val="false"/>
                <w:i w:val="false"/>
                <w:caps w:val="false"/>
                <w:smallCaps w:val="false"/>
                <w:sz w:val="20"/>
              </w:rPr>
              <w:t>, respectively;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(other than information furnished rather than filed) filed with the SEC on </w:t>
            </w:r>
            <w:hyperlink r:id="rId57">
              <w:r>
                <w:rPr>
                  <w:rStyle w:val="InternetLink"/>
                  <w:rFonts w:ascii="Times New Roman;Times;serif" w:hAnsi="Times New Roman;Times;serif"/>
                  <w:b w:val="false"/>
                  <w:i w:val="false"/>
                  <w:caps w:val="false"/>
                  <w:smallCaps w:val="false"/>
                </w:rPr>
                <w:t>January 11, 2024</w:t>
              </w:r>
            </w:hyperlink>
            <w:r>
              <w:rPr>
                <w:rFonts w:ascii="Times New Roman;Times;serif" w:hAnsi="Times New Roman;Times;serif"/>
                <w:b w:val="false"/>
                <w:i w:val="false"/>
                <w:caps w:val="false"/>
                <w:smallCaps w:val="false"/>
                <w:sz w:val="20"/>
              </w:rPr>
              <w:t xml:space="preserve">, </w:t>
            </w:r>
            <w:hyperlink r:id="rId58">
              <w:r>
                <w:rPr>
                  <w:rStyle w:val="InternetLink"/>
                  <w:rFonts w:ascii="Times New Roman;Times;serif" w:hAnsi="Times New Roman;Times;serif"/>
                  <w:b w:val="false"/>
                  <w:i w:val="false"/>
                  <w:caps w:val="false"/>
                  <w:smallCaps w:val="false"/>
                </w:rPr>
                <w:t>March 7, 2024</w:t>
              </w:r>
            </w:hyperlink>
            <w:r>
              <w:rPr>
                <w:caps w:val="false"/>
                <w:smallCaps w:val="false"/>
              </w:rPr>
              <w:t xml:space="preserve"> </w:t>
            </w:r>
            <w:hyperlink r:id="rId59">
              <w:r>
                <w:rPr>
                  <w:rStyle w:val="InternetLink"/>
                  <w:rFonts w:ascii="Times New Roman;Times;serif" w:hAnsi="Times New Roman;Times;serif"/>
                  <w:b w:val="false"/>
                  <w:i w:val="false"/>
                  <w:caps w:val="false"/>
                  <w:smallCaps w:val="false"/>
                </w:rPr>
                <w:t>(Two filing)</w:t>
              </w:r>
            </w:hyperlink>
            <w:r>
              <w:rPr>
                <w:rFonts w:ascii="Times New Roman;Times;serif" w:hAnsi="Times New Roman;Times;serif"/>
                <w:b w:val="false"/>
                <w:i w:val="false"/>
                <w:caps w:val="false"/>
                <w:smallCaps w:val="false"/>
                <w:sz w:val="20"/>
              </w:rPr>
              <w:t xml:space="preserve">, </w:t>
            </w:r>
            <w:hyperlink r:id="rId60">
              <w:r>
                <w:rPr>
                  <w:rStyle w:val="InternetLink"/>
                  <w:rFonts w:ascii="Times New Roman;Times;serif" w:hAnsi="Times New Roman;Times;serif"/>
                  <w:b w:val="false"/>
                  <w:i w:val="false"/>
                  <w:caps w:val="false"/>
                  <w:smallCaps w:val="false"/>
                </w:rPr>
                <w:t>April 9, 2024</w:t>
              </w:r>
            </w:hyperlink>
            <w:r>
              <w:rPr>
                <w:rFonts w:ascii="Times New Roman;Times;serif" w:hAnsi="Times New Roman;Times;serif"/>
                <w:b w:val="false"/>
                <w:i w:val="false"/>
                <w:caps w:val="false"/>
                <w:smallCaps w:val="false"/>
                <w:sz w:val="20"/>
              </w:rPr>
              <w:t xml:space="preserve">, </w:t>
            </w:r>
            <w:hyperlink r:id="rId61">
              <w:r>
                <w:rPr>
                  <w:rStyle w:val="InternetLink"/>
                  <w:rFonts w:ascii="Times New Roman;Times;serif" w:hAnsi="Times New Roman;Times;serif"/>
                  <w:b w:val="false"/>
                  <w:i w:val="false"/>
                  <w:caps w:val="false"/>
                  <w:smallCaps w:val="false"/>
                </w:rPr>
                <w:t>May 7, 2024</w:t>
              </w:r>
            </w:hyperlink>
            <w:r>
              <w:rPr>
                <w:rFonts w:ascii="Times New Roman;Times;serif" w:hAnsi="Times New Roman;Times;serif"/>
                <w:b w:val="false"/>
                <w:i w:val="false"/>
                <w:caps w:val="false"/>
                <w:smallCaps w:val="false"/>
                <w:sz w:val="20"/>
              </w:rPr>
              <w:t xml:space="preserve">, </w:t>
            </w:r>
            <w:hyperlink r:id="rId62">
              <w:r>
                <w:rPr>
                  <w:rStyle w:val="InternetLink"/>
                  <w:rFonts w:ascii="Times New Roman;Times;serif" w:hAnsi="Times New Roman;Times;serif"/>
                  <w:b w:val="false"/>
                  <w:i w:val="false"/>
                  <w:caps w:val="false"/>
                  <w:smallCaps w:val="false"/>
                </w:rPr>
                <w:t>May 15, 2024</w:t>
              </w:r>
            </w:hyperlink>
            <w:r>
              <w:rPr>
                <w:rFonts w:ascii="Times New Roman;Times;serif" w:hAnsi="Times New Roman;Times;serif"/>
                <w:b w:val="false"/>
                <w:i w:val="false"/>
                <w:caps w:val="false"/>
                <w:smallCaps w:val="false"/>
                <w:sz w:val="20"/>
              </w:rPr>
              <w:t xml:space="preserve">, </w:t>
            </w:r>
            <w:hyperlink r:id="rId63">
              <w:r>
                <w:rPr>
                  <w:rStyle w:val="InternetLink"/>
                  <w:rFonts w:ascii="Times New Roman;Times;serif" w:hAnsi="Times New Roman;Times;serif"/>
                  <w:b w:val="false"/>
                  <w:i w:val="false"/>
                  <w:caps w:val="false"/>
                  <w:smallCaps w:val="false"/>
                </w:rPr>
                <w:t>July 11, 2024</w:t>
              </w:r>
            </w:hyperlink>
            <w:r>
              <w:rPr>
                <w:rFonts w:ascii="Times New Roman;Times;serif" w:hAnsi="Times New Roman;Times;serif"/>
                <w:b w:val="false"/>
                <w:i w:val="false"/>
                <w:caps w:val="false"/>
                <w:smallCaps w:val="false"/>
                <w:sz w:val="20"/>
              </w:rPr>
              <w:t xml:space="preserve">, </w:t>
            </w:r>
            <w:hyperlink r:id="rId64">
              <w:r>
                <w:rPr>
                  <w:rStyle w:val="InternetLink"/>
                  <w:rFonts w:ascii="Times New Roman;Times;serif" w:hAnsi="Times New Roman;Times;serif"/>
                  <w:b w:val="false"/>
                  <w:i w:val="false"/>
                  <w:caps w:val="false"/>
                  <w:smallCaps w:val="false"/>
                </w:rPr>
                <w:t>August 8, 2024</w:t>
              </w:r>
            </w:hyperlink>
            <w:r>
              <w:rPr>
                <w:rFonts w:ascii="Times New Roman;Times;serif" w:hAnsi="Times New Roman;Times;serif"/>
                <w:b w:val="false"/>
                <w:i w:val="false"/>
                <w:caps w:val="false"/>
                <w:smallCaps w:val="false"/>
                <w:sz w:val="20"/>
              </w:rPr>
              <w:t xml:space="preserve">, </w:t>
            </w:r>
            <w:hyperlink r:id="rId65">
              <w:r>
                <w:rPr>
                  <w:rStyle w:val="InternetLink"/>
                  <w:rFonts w:ascii="Times New Roman;Times;serif" w:hAnsi="Times New Roman;Times;serif"/>
                  <w:b w:val="false"/>
                  <w:i w:val="false"/>
                  <w:caps w:val="false"/>
                  <w:smallCaps w:val="false"/>
                </w:rPr>
                <w:t>August 26, 2024</w:t>
              </w:r>
            </w:hyperlink>
            <w:r>
              <w:rPr>
                <w:rFonts w:ascii="Times New Roman;Times;serif" w:hAnsi="Times New Roman;Times;serif"/>
                <w:b w:val="false"/>
                <w:i w:val="false"/>
                <w:caps w:val="false"/>
                <w:smallCaps w:val="false"/>
                <w:sz w:val="20"/>
              </w:rPr>
              <w:t xml:space="preserve">, </w:t>
            </w:r>
            <w:hyperlink r:id="rId66">
              <w:r>
                <w:rPr>
                  <w:rStyle w:val="InternetLink"/>
                  <w:rFonts w:ascii="Times New Roman;Times;serif" w:hAnsi="Times New Roman;Times;serif"/>
                  <w:b w:val="false"/>
                  <w:i w:val="false"/>
                  <w:caps w:val="false"/>
                  <w:smallCaps w:val="false"/>
                </w:rPr>
                <w:t>October 8, 2024</w:t>
              </w:r>
            </w:hyperlink>
            <w:r>
              <w:rPr>
                <w:rFonts w:ascii="Times New Roman;Times;serif" w:hAnsi="Times New Roman;Times;serif"/>
                <w:b w:val="false"/>
                <w:i w:val="false"/>
                <w:caps w:val="false"/>
                <w:smallCaps w:val="false"/>
                <w:sz w:val="20"/>
              </w:rPr>
              <w:t xml:space="preserve">, </w:t>
            </w:r>
            <w:hyperlink r:id="rId67">
              <w:r>
                <w:rPr>
                  <w:rStyle w:val="InternetLink"/>
                  <w:rFonts w:ascii="Times New Roman;Times;serif" w:hAnsi="Times New Roman;Times;serif"/>
                  <w:b w:val="false"/>
                  <w:i w:val="false"/>
                  <w:caps w:val="false"/>
                  <w:smallCaps w:val="false"/>
                </w:rPr>
                <w:t>November 1, 2024</w:t>
              </w:r>
            </w:hyperlink>
            <w:r>
              <w:rPr>
                <w:rFonts w:ascii="Times New Roman;Times;serif" w:hAnsi="Times New Roman;Times;serif"/>
                <w:b w:val="false"/>
                <w:i w:val="false"/>
                <w:caps w:val="false"/>
                <w:smallCaps w:val="false"/>
                <w:sz w:val="20"/>
              </w:rPr>
              <w:t xml:space="preserve">, </w:t>
            </w:r>
            <w:hyperlink r:id="rId68">
              <w:r>
                <w:rPr>
                  <w:rStyle w:val="InternetLink"/>
                  <w:rFonts w:ascii="Times New Roman;Times;serif" w:hAnsi="Times New Roman;Times;serif"/>
                  <w:b w:val="false"/>
                  <w:i w:val="false"/>
                  <w:caps w:val="false"/>
                  <w:smallCaps w:val="false"/>
                </w:rPr>
                <w:t>November 12, 2024</w:t>
              </w:r>
            </w:hyperlink>
            <w:r>
              <w:rPr>
                <w:rFonts w:ascii="Times New Roman;Times;serif" w:hAnsi="Times New Roman;Times;serif"/>
                <w:b w:val="false"/>
                <w:i w:val="false"/>
                <w:caps w:val="false"/>
                <w:smallCaps w:val="false"/>
                <w:sz w:val="20"/>
              </w:rPr>
              <w:t xml:space="preserve">, </w:t>
            </w:r>
            <w:hyperlink r:id="rId69">
              <w:r>
                <w:rPr>
                  <w:rStyle w:val="InternetLink"/>
                  <w:rFonts w:ascii="Times New Roman;Times;serif" w:hAnsi="Times New Roman;Times;serif"/>
                  <w:b w:val="false"/>
                  <w:i w:val="false"/>
                  <w:caps w:val="false"/>
                  <w:smallCaps w:val="false"/>
                </w:rPr>
                <w:t>November 18, 2024</w:t>
              </w:r>
            </w:hyperlink>
            <w:r>
              <w:rPr>
                <w:caps w:val="false"/>
                <w:smallCaps w:val="false"/>
              </w:rPr>
              <w:t xml:space="preserve"> </w:t>
            </w:r>
            <w:r>
              <w:rPr>
                <w:rFonts w:ascii="Times New Roman;Times;serif" w:hAnsi="Times New Roman;Times;serif"/>
                <w:b w:val="false"/>
                <w:i w:val="false"/>
                <w:caps w:val="false"/>
                <w:smallCaps w:val="false"/>
                <w:sz w:val="20"/>
              </w:rPr>
              <w:t xml:space="preserve">and </w:t>
            </w:r>
            <w:hyperlink r:id="rId70">
              <w:r>
                <w:rPr>
                  <w:rStyle w:val="InternetLink"/>
                  <w:rFonts w:ascii="Times New Roman;Times;serif" w:hAnsi="Times New Roman;Times;serif"/>
                  <w:b w:val="false"/>
                  <w:i w:val="false"/>
                  <w:caps w:val="false"/>
                  <w:smallCaps w:val="false"/>
                </w:rPr>
                <w:t>March 17, 2025</w:t>
              </w:r>
            </w:hyperlink>
            <w:r>
              <w:rPr>
                <w:rFonts w:ascii="Times New Roman;Times;serif" w:hAnsi="Times New Roman;Times;serif"/>
                <w:b w:val="false"/>
                <w:i w:val="false"/>
                <w:caps w:val="false"/>
                <w:smallCaps w:val="false"/>
                <w:sz w:val="20"/>
              </w:rPr>
              <w:t>;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referenced in our Registration Statement on </w:t>
            </w:r>
            <w:hyperlink r:id="rId71">
              <w:r>
                <w:rPr>
                  <w:rStyle w:val="InternetLink"/>
                  <w:rFonts w:ascii="Times New Roman;Times;serif" w:hAnsi="Times New Roman;Times;serif"/>
                  <w:b w:val="false"/>
                  <w:i w:val="false"/>
                  <w:caps w:val="false"/>
                  <w:smallCaps w:val="false"/>
                </w:rPr>
                <w:t>Form 8-A (No. 001-40938), as filed with the SEC on October 20, 2021</w:t>
              </w:r>
            </w:hyperlink>
            <w:r>
              <w:rPr>
                <w:rFonts w:ascii="Times New Roman;Times;serif" w:hAnsi="Times New Roman;Times;serif"/>
                <w:b w:val="false"/>
                <w:i w:val="false"/>
                <w:caps w:val="false"/>
                <w:smallCaps w:val="false"/>
                <w:sz w:val="20"/>
              </w:rPr>
              <w:t>, including any amendment or report filed for the purpose of updating such description prior to the termination of the offering of the common stock registered hereby.</w:t>
            </w:r>
          </w:p>
        </w:tc>
      </w:tr>
    </w:tbl>
    <w:p>
      <w:pPr>
        <w:pStyle w:val="TextBody"/>
        <w:bidi w:val="0"/>
        <w:spacing w:before="240" w:after="240"/>
        <w:ind w:left="200" w:right="200" w:firstLine="360"/>
        <w:jc w:val="left"/>
        <w:rPr>
          <w:rFonts w:ascii="Times New Roman;Times;serif" w:hAnsi="Times New Roman;Times;serif"/>
          <w:sz w:val="20"/>
        </w:rPr>
      </w:pPr>
      <w:r>
        <w:rPr>
          <w:rFonts w:ascii="Times New Roman;Times;serif" w:hAnsi="Times New Roman;Times;serif"/>
          <w:sz w:val="20"/>
        </w:rPr>
        <w:t xml:space="preserve">See “Available </w:t>
      </w:r>
      <w:r>
        <w:rPr>
          <w:rFonts w:ascii="Times New Roman;Times;serif" w:hAnsi="Times New Roman;Times;serif"/>
          <w:i/>
          <w:sz w:val="20"/>
        </w:rPr>
        <w:t>Information</w:t>
      </w:r>
      <w:r>
        <w:rPr>
          <w:rFonts w:ascii="Times New Roman;Times;serif" w:hAnsi="Times New Roman;Times;serif"/>
          <w:sz w:val="20"/>
        </w:rPr>
        <w:t>” for information on how to obtain a copy of these filings</w:t>
      </w:r>
    </w:p>
    <w:p>
      <w:pPr>
        <w:pStyle w:val="TextBody"/>
        <w:bidi w:val="0"/>
        <w:spacing w:before="0" w:after="240"/>
        <w:ind w:left="200" w:right="200" w:firstLine="360"/>
        <w:jc w:val="left"/>
        <w:rPr/>
      </w:pPr>
      <w:r>
        <w:rPr/>
        <w:t>​</w:t>
      </w:r>
    </w:p>
    <w:p>
      <w:pPr>
        <w:pStyle w:val="TextBody"/>
        <w:bidi w:val="0"/>
        <w:spacing w:before="0" w:after="240"/>
        <w:ind w:left="200" w:right="200" w:firstLine="36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color w:val="231F20"/>
        </w:rPr>
      </w:pPr>
      <w:bookmarkStart w:id="481" w:name="_Toc187499199"/>
      <w:bookmarkEnd w:id="481"/>
      <w:r>
        <w:rPr>
          <w:color w:val="231F20"/>
        </w:rPr>
        <w:t>​</w:t>
      </w:r>
    </w:p>
    <w:p>
      <w:pPr>
        <w:pStyle w:val="TextBody"/>
        <w:bidi w:val="0"/>
        <w:spacing w:before="0" w:after="0"/>
        <w:ind w:left="200" w:right="200" w:hanging="0"/>
        <w:jc w:val="center"/>
        <w:rPr/>
      </w:pPr>
      <w:bookmarkStart w:id="482" w:name="_6c084d79_739b_4ba0_8e32_257f9024a5e6"/>
      <w:bookmarkEnd w:id="482"/>
      <w:r>
        <w:rPr/>
        <w:t>​</w:t>
      </w:r>
    </w:p>
    <w:p>
      <w:pPr>
        <w:pStyle w:val="TextBody"/>
        <w:pBdr>
          <w:top w:val="single" w:sz="24" w:space="1" w:color="000000"/>
          <w:bottom w:val="single" w:sz="8" w:space="1" w:color="000000"/>
        </w:pBdr>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$100,000,000</w:t>
      </w:r>
    </w:p>
    <w:p>
      <w:pPr>
        <w:pStyle w:val="TextBody"/>
        <w:bidi w:val="0"/>
        <w:spacing w:before="0" w:after="0"/>
        <w:ind w:left="200" w:right="200" w:hanging="0"/>
        <w:jc w:val="center"/>
        <w:rPr>
          <w:color w:val="231F20"/>
        </w:rPr>
      </w:pPr>
      <w:r>
        <w:rPr>
          <w:color w:val="231F20"/>
        </w:rPr>
        <w:t>​</w:t>
      </w:r>
    </w:p>
    <w:p>
      <w:pPr>
        <w:pStyle w:val="TextBody"/>
        <w:bidi w:val="0"/>
        <w:spacing w:before="0" w:after="240"/>
        <w:ind w:left="200" w:right="200" w:hanging="0"/>
        <w:jc w:val="center"/>
        <w:rPr>
          <w:rFonts w:ascii="Times New Roman;Times;serif" w:hAnsi="Times New Roman;Times;serif"/>
          <w:b/>
          <w:color w:val="231F20"/>
          <w:sz w:val="40"/>
        </w:rPr>
      </w:pPr>
      <w:bookmarkStart w:id="483" w:name="RUNWAYGROWTHFINANCECORP_520561"/>
      <w:bookmarkEnd w:id="483"/>
      <w:r>
        <w:rPr>
          <w:rFonts w:ascii="Times New Roman;Times;serif" w:hAnsi="Times New Roman;Times;serif"/>
          <w:b/>
          <w:color w:val="231F20"/>
          <w:sz w:val="40"/>
        </w:rPr>
        <w:t>RUNWAY GROWTH FINANCE CORP.</w:t>
      </w:r>
    </w:p>
    <w:p>
      <w:pPr>
        <w:pStyle w:val="TextBody"/>
        <w:bidi w:val="0"/>
        <w:spacing w:before="0" w:after="240"/>
        <w:ind w:left="200" w:right="200" w:hanging="0"/>
        <w:jc w:val="center"/>
        <w:rPr>
          <w:rFonts w:ascii="Times New Roman;Times;serif" w:hAnsi="Times New Roman;Times;serif"/>
          <w:b/>
          <w:color w:val="231F20"/>
          <w:sz w:val="28"/>
        </w:rPr>
      </w:pPr>
      <w:r>
        <w:rPr>
          <w:rFonts w:ascii="Times New Roman;Times;serif" w:hAnsi="Times New Roman;Times;serif"/>
          <w:b/>
          <w:color w:val="231F20"/>
          <w:sz w:val="28"/>
        </w:rPr>
        <w:t>7.25% Notes due 2031</w:t>
      </w:r>
    </w:p>
    <w:p>
      <w:pPr>
        <w:pStyle w:val="TextBody"/>
        <w:bidi w:val="0"/>
        <w:spacing w:before="0" w:after="240"/>
        <w:ind w:left="200" w:right="200" w:hanging="0"/>
        <w:jc w:val="center"/>
        <w:rPr>
          <w:color w:val="231F20"/>
        </w:rPr>
      </w:pPr>
      <w:r>
        <w:rPr>
          <w:color w:val="231F20"/>
        </w:rPr>
        <w:t>​</w:t>
      </w:r>
    </w:p>
    <w:p>
      <w:pPr>
        <w:pStyle w:val="TextBody"/>
        <w:bidi w:val="0"/>
        <w:spacing w:before="0" w:after="240"/>
        <w:ind w:left="200" w:right="200" w:hanging="0"/>
        <w:jc w:val="center"/>
        <w:rPr>
          <w:color w:val="231F20"/>
        </w:rPr>
      </w:pPr>
      <w:r>
        <w:rPr>
          <w:color w:val="231F20"/>
        </w:rPr>
        <w:t>​</w:t>
      </w:r>
    </w:p>
    <w:p>
      <w:pPr>
        <w:pStyle w:val="TextBody"/>
        <w:bidi w:val="0"/>
        <w:spacing w:before="0" w:after="240"/>
        <w:ind w:left="200" w:right="200" w:hanging="0"/>
        <w:jc w:val="center"/>
        <w:rPr>
          <w:color w:val="231F20"/>
        </w:rPr>
      </w:pPr>
      <w:r>
        <w:rPr>
          <w:color w:val="231F20"/>
        </w:rPr>
        <w:t>​</w:t>
      </w:r>
    </w:p>
    <w:p>
      <w:pPr>
        <w:pStyle w:val="TextBody"/>
        <w:bidi w:val="0"/>
        <w:spacing w:before="0" w:after="0"/>
        <w:ind w:left="200" w:right="200" w:hanging="0"/>
        <w:jc w:val="center"/>
        <w:rPr>
          <w:color w:val="231F20"/>
        </w:rPr>
      </w:pPr>
      <w:r>
        <w:rPr>
          <w:color w:val="231F20"/>
        </w:rPr>
        <w:t>​</w:t>
      </w:r>
    </w:p>
    <w:p>
      <w:pPr>
        <w:pStyle w:val="TextBody"/>
        <w:bidi w:val="0"/>
        <w:spacing w:before="0" w:after="240"/>
        <w:ind w:left="200" w:right="200" w:hanging="0"/>
        <w:jc w:val="center"/>
        <w:rPr>
          <w:color w:val="231F20"/>
        </w:rPr>
      </w:pPr>
      <w:r>
        <w:rPr>
          <w:color w:val="231F20"/>
        </w:rPr>
        <w:t>​</w:t>
      </w:r>
    </w:p>
    <w:p>
      <w:pPr>
        <w:pStyle w:val="TextBody"/>
        <w:bidi w:val="0"/>
        <w:spacing w:before="0" w:after="240"/>
        <w:ind w:left="200" w:right="200" w:hanging="0"/>
        <w:jc w:val="center"/>
        <w:rPr>
          <w:rFonts w:ascii="Times New Roman;Times;serif" w:hAnsi="Times New Roman;Times;serif"/>
          <w:b/>
          <w:color w:val="231F20"/>
          <w:sz w:val="32"/>
        </w:rPr>
      </w:pPr>
      <w:r>
        <w:rPr>
          <w:rFonts w:ascii="Times New Roman;Times;serif" w:hAnsi="Times New Roman;Times;serif"/>
          <w:b/>
          <w:color w:val="231F20"/>
          <w:sz w:val="32"/>
        </w:rPr>
        <w:t>PROSPECTUS SUPPLEMENT</w:t>
      </w:r>
    </w:p>
    <w:p>
      <w:pPr>
        <w:pStyle w:val="TextBody"/>
        <w:bidi w:val="0"/>
        <w:spacing w:before="0" w:after="0"/>
        <w:ind w:left="200" w:right="200" w:hanging="0"/>
        <w:jc w:val="center"/>
        <w:rPr/>
      </w:pPr>
      <w:r>
        <w:rPr/>
        <w:t>​</w:t>
      </w:r>
    </w:p>
    <w:p>
      <w:pPr>
        <w:pStyle w:val="TextBody"/>
        <w:bidi w:val="0"/>
        <w:spacing w:before="0" w:after="240"/>
        <w:ind w:left="200" w:right="200" w:hanging="0"/>
        <w:jc w:val="center"/>
        <w:rPr/>
      </w:pPr>
      <w:r>
        <w:rPr/>
        <w:t>​</w:t>
      </w:r>
    </w:p>
    <w:p>
      <w:pPr>
        <w:pStyle w:val="TextBody"/>
        <w:bidi w:val="0"/>
        <w:spacing w:before="0" w:after="240"/>
        <w:ind w:left="200" w:right="200" w:hanging="0"/>
        <w:jc w:val="center"/>
        <w:rPr/>
      </w:pPr>
      <w:r>
        <w:rPr/>
        <w:t>​</w:t>
      </w:r>
    </w:p>
    <w:p>
      <w:pPr>
        <w:pStyle w:val="TextBody"/>
        <w:bidi w:val="0"/>
        <w:spacing w:before="0" w:after="240"/>
        <w:ind w:left="200" w:right="200" w:hanging="0"/>
        <w:jc w:val="center"/>
        <w:rPr/>
      </w:pPr>
      <w:r>
        <w:rPr/>
        <w:t>​</w:t>
      </w:r>
    </w:p>
    <w:p>
      <w:pPr>
        <w:pStyle w:val="TextBody"/>
        <w:bidi w:val="0"/>
        <w:spacing w:before="0" w:after="0"/>
        <w:ind w:left="200" w:right="200" w:hanging="0"/>
        <w:jc w:val="center"/>
        <w:rPr>
          <w:rFonts w:ascii="Times New Roman;Times;serif" w:hAnsi="Times New Roman;Times;serif"/>
          <w:i/>
          <w:sz w:val="20"/>
        </w:rPr>
      </w:pPr>
      <w:r>
        <w:rPr>
          <w:rFonts w:ascii="Times New Roman;Times;serif" w:hAnsi="Times New Roman;Times;serif"/>
          <w:i/>
          <w:sz w:val="20"/>
        </w:rPr>
        <w:t>Joint Book-Running Managers</w:t>
      </w:r>
    </w:p>
    <w:p>
      <w:pPr>
        <w:pStyle w:val="TextBody"/>
        <w:bidi w:val="0"/>
        <w:spacing w:before="0" w:after="0"/>
        <w:ind w:left="200" w:right="200" w:hanging="0"/>
        <w:jc w:val="left"/>
        <w:rPr/>
      </w:pPr>
      <w:r>
        <w:rPr/>
        <w:t>​</w:t>
      </w:r>
    </w:p>
    <w:tbl>
      <w:tblPr>
        <w:tblW w:w="7219" w:type="dxa"/>
        <w:jc w:val="left"/>
        <w:tblInd w:w="200" w:type="dxa"/>
        <w:tblLayout w:type="fixed"/>
        <w:tblCellMar>
          <w:top w:w="0" w:type="dxa"/>
          <w:left w:w="0" w:type="dxa"/>
          <w:bottom w:w="0" w:type="dxa"/>
          <w:right w:w="0" w:type="dxa"/>
        </w:tblCellMar>
      </w:tblPr>
      <w:tblGrid>
        <w:gridCol w:w="2191"/>
        <w:gridCol w:w="1951"/>
        <w:gridCol w:w="1576"/>
        <w:gridCol w:w="1501"/>
      </w:tblGrid>
      <w:tr>
        <w:trPr/>
        <w:tc>
          <w:tcPr>
            <w:tcW w:w="219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Oppenheimer &amp; Co.</w:t>
            </w:r>
          </w:p>
        </w:tc>
        <w:tc>
          <w:tcPr>
            <w:tcW w:w="1951"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 Riley Securities</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Lucid Capital </w:t>
              <w:br/>
              <w:t>Markets</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BC Partners </w:t>
              <w:br/>
              <w:t>Securities</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i/>
          <w:color w:val="231F20"/>
          <w:sz w:val="20"/>
        </w:rPr>
      </w:pPr>
      <w:r>
        <w:rPr>
          <w:rFonts w:ascii="Times New Roman;Times;serif" w:hAnsi="Times New Roman;Times;serif"/>
          <w:i/>
          <w:color w:val="231F20"/>
          <w:sz w:val="20"/>
        </w:rPr>
        <w:t>Co-Managers</w:t>
      </w:r>
    </w:p>
    <w:p>
      <w:pPr>
        <w:pStyle w:val="TextBody"/>
        <w:bidi w:val="0"/>
        <w:spacing w:before="0" w:after="0"/>
        <w:ind w:left="200" w:right="200" w:hanging="0"/>
        <w:jc w:val="left"/>
        <w:rPr/>
      </w:pPr>
      <w:r>
        <w:rPr/>
        <w:t>​</w:t>
      </w:r>
    </w:p>
    <w:tbl>
      <w:tblPr>
        <w:tblW w:w="2582" w:type="dxa"/>
        <w:jc w:val="left"/>
        <w:tblInd w:w="200" w:type="dxa"/>
        <w:tblLayout w:type="fixed"/>
        <w:tblCellMar>
          <w:top w:w="0" w:type="dxa"/>
          <w:left w:w="0" w:type="dxa"/>
          <w:bottom w:w="0" w:type="dxa"/>
          <w:right w:w="0" w:type="dxa"/>
        </w:tblCellMar>
      </w:tblPr>
      <w:tblGrid>
        <w:gridCol w:w="1066"/>
        <w:gridCol w:w="1516"/>
      </w:tblGrid>
      <w:tr>
        <w:trPr/>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InspereX</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William Blair</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color w:val="231F20"/>
          <w:sz w:val="24"/>
        </w:rPr>
      </w:pPr>
      <w:r>
        <w:rPr>
          <w:rFonts w:ascii="Times New Roman;Times;serif" w:hAnsi="Times New Roman;Times;serif"/>
          <w:b/>
          <w:color w:val="231F20"/>
          <w:sz w:val="24"/>
        </w:rPr>
        <w:t>January 27, 2026</w:t>
      </w:r>
    </w:p>
    <w:p>
      <w:pPr>
        <w:pStyle w:val="TextBody"/>
        <w:bidi w:val="0"/>
        <w:spacing w:before="0" w:after="0"/>
        <w:ind w:left="200" w:right="200" w:hanging="0"/>
        <w:jc w:val="left"/>
        <w:rPr/>
      </w:pPr>
      <w:r>
        <w:rPr/>
        <w:t>​</w:t>
      </w:r>
    </w:p>
    <w:p>
      <w:pPr>
        <w:pStyle w:val="TextBody"/>
        <w:pBdr>
          <w:top w:val="single" w:sz="8" w:space="1" w:color="000000"/>
          <w:bottom w:val="single" w:sz="24" w:space="1" w:color="000000"/>
        </w:pBdr>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53384/000095017025042625/rway-20241231.htm" TargetMode="External"/><Relationship Id="rId3" Type="http://schemas.openxmlformats.org/officeDocument/2006/relationships/hyperlink" Target="https://www.sec.gov/ix?doc=/Archives/edgar/data/1653384/000095017025042625/rway-20241231.htm" TargetMode="External"/><Relationship Id="rId4" Type="http://schemas.openxmlformats.org/officeDocument/2006/relationships/hyperlink" Target="https://www.sec.gov/ix?doc=/Archives/edgar/data/1653384/000095017025042625/rway-20241231.htm" TargetMode="External"/><Relationship Id="rId5" Type="http://schemas.openxmlformats.org/officeDocument/2006/relationships/hyperlink" Target="https://www.sec.gov/ix?doc=/Archives/edgar/data/1653384/000110465925028778/tm2510347d1_10ka.htm" TargetMode="External"/><Relationship Id="rId6" Type="http://schemas.openxmlformats.org/officeDocument/2006/relationships/hyperlink" Target="https://www.sec.gov/ix?doc=/Archives/edgar/data/1653384/000095017025069164/rway-20250331.htm" TargetMode="External"/><Relationship Id="rId7" Type="http://schemas.openxmlformats.org/officeDocument/2006/relationships/hyperlink" Target="https://www.sec.gov/ix?doc=/Archives/edgar/data/1653384/000095017025104963/rway-20250630.htm" TargetMode="External"/><Relationship Id="rId8" Type="http://schemas.openxmlformats.org/officeDocument/2006/relationships/hyperlink" Target="https://www.sec.gov/ix?doc=/Archives/edgar/data/1653384/000119312525269547/rway-20250930.htm" TargetMode="External"/><Relationship Id="rId9" Type="http://schemas.openxmlformats.org/officeDocument/2006/relationships/hyperlink" Target="https://www.sec.gov/ix?doc=/Archives/edgar/data/1653384/000095017025060091/rway-20250429.htm" TargetMode="External"/><Relationship Id="rId10" Type="http://schemas.openxmlformats.org/officeDocument/2006/relationships/hyperlink" Target="https://www.sec.gov/ix?doc=/Archives/edgar/data/1653384/000110465925006338/tm254593d1_8k.htm" TargetMode="External"/><Relationship Id="rId11" Type="http://schemas.openxmlformats.org/officeDocument/2006/relationships/hyperlink" Target="https://www.sec.gov/ix?doc=/Archives/edgar/data/1653384/000110465925006724/tm254731d1_8k.htm" TargetMode="External"/><Relationship Id="rId12" Type="http://schemas.openxmlformats.org/officeDocument/2006/relationships/hyperlink" Target="https://www.sec.gov/ix?doc=/Archives/edgar/data/1653384/000110465925007261/tm254820d1_8k.htm" TargetMode="External"/><Relationship Id="rId13" Type="http://schemas.openxmlformats.org/officeDocument/2006/relationships/hyperlink" Target="https://www.sec.gov/ix?doc=/Archives/edgar/data/1653384/000110465925007704/tm254887d1_8k.htm" TargetMode="External"/><Relationship Id="rId14" Type="http://schemas.openxmlformats.org/officeDocument/2006/relationships/hyperlink" Target="https://www.sec.gov/ix?doc=/Archives/edgar/data/1653384/000110465925024489/tm259526d1_8k.htm" TargetMode="External"/><Relationship Id="rId15" Type="http://schemas.openxmlformats.org/officeDocument/2006/relationships/hyperlink" Target="https://www.sec.gov/ix?doc=/Archives/edgar/data/1653384/000110465925026124/tm259920d1_8k.htm" TargetMode="External"/><Relationship Id="rId16" Type="http://schemas.openxmlformats.org/officeDocument/2006/relationships/hyperlink" Target="https://www.sec.gov/ix?doc=/Archives/edgar/data/1653384/000095017025042658/rway-20250320.htm" TargetMode="External"/><Relationship Id="rId17" Type="http://schemas.openxmlformats.org/officeDocument/2006/relationships/hyperlink" Target="https://www.sec.gov/ix?doc=/Archives/edgar/data/1653384/000110465925033086/tm2511865d1_8k.htm" TargetMode="External"/><Relationship Id="rId18" Type="http://schemas.openxmlformats.org/officeDocument/2006/relationships/hyperlink" Target="https://www.sec.gov/ix?doc=/Archives/edgar/data/1653384/000095017025066436/rway-20250508.htm" TargetMode="External"/><Relationship Id="rId19" Type="http://schemas.openxmlformats.org/officeDocument/2006/relationships/hyperlink" Target="https://www.sec.gov/ix?doc=/Archives/edgar/data/1653384/000119312525141505/d948307d8k.htm" TargetMode="External"/><Relationship Id="rId20" Type="http://schemas.openxmlformats.org/officeDocument/2006/relationships/hyperlink" Target="https://www.sec.gov/ix?doc=/Archives/edgar/data/1653384/000095017025104611/rway-20250807.htm" TargetMode="External"/><Relationship Id="rId21" Type="http://schemas.openxmlformats.org/officeDocument/2006/relationships/hyperlink" Target="https://www.sec.gov/ix?doc=/Archives/edgar/data/1653384/000095017025104985/rway-20250807.htm" TargetMode="External"/><Relationship Id="rId22" Type="http://schemas.openxmlformats.org/officeDocument/2006/relationships/hyperlink" Target="https://www.sec.gov/ix?doc=/Archives/edgar/data/1653384/000119312525235226/rway-20251009.htm" TargetMode="External"/><Relationship Id="rId23" Type="http://schemas.openxmlformats.org/officeDocument/2006/relationships/hyperlink" Target="https://www.sec.gov/ix?doc=/Archives/edgar/data/1653384/000119312525236076/rway-20251009.htm" TargetMode="External"/><Relationship Id="rId24" Type="http://schemas.openxmlformats.org/officeDocument/2006/relationships/hyperlink" Target="https://www.sec.gov/ix?doc=/Archives/edgar/data/1653384/000119312525236260/rway-20251010.htm" TargetMode="External"/><Relationship Id="rId25" Type="http://schemas.openxmlformats.org/officeDocument/2006/relationships/hyperlink" Target="https://www.sec.gov/ix?doc=/Archives/edgar/data/1653384/000119312525268184/rway-20251106.htm" TargetMode="External"/><Relationship Id="rId26" Type="http://schemas.openxmlformats.org/officeDocument/2006/relationships/hyperlink" Target="https://www.sec.gov/ix?doc=/Archives/edgar/data/1653384/000119312525269466/rway-20251106.htm" TargetMode="External"/><Relationship Id="rId27" Type="http://schemas.openxmlformats.org/officeDocument/2006/relationships/hyperlink" Target="https://www.sec.gov/ix?doc=/Archives/edgar/data/1653384/000110465925118515/tm2532782d1_8k.htm" TargetMode="External"/><Relationship Id="rId28" Type="http://schemas.openxmlformats.org/officeDocument/2006/relationships/hyperlink" Target="https://www.sec.gov/ix?doc=/Archives/edgar/data/1653384/000110465926006589/tm264080d1_8k.htm" TargetMode="External"/><Relationship Id="rId29" Type="http://schemas.openxmlformats.org/officeDocument/2006/relationships/hyperlink" Target="https://www.sec.gov/Archives/edgar/data/1653384/000110465921127885/tm2130527d1_8a12b.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hyperlink" Target="https://www.sec.gov/ix?doc=/Archives/edgar/data/1653384/000095017024027913/rway-20231231.htm" TargetMode="External"/><Relationship Id="rId33" Type="http://schemas.openxmlformats.org/officeDocument/2006/relationships/hyperlink" Target="https://www.sec.gov/ix?doc=/Archives/edgar/data/1653384/000095017024125299/rway-20240930.htm" TargetMode="External"/><Relationship Id="rId34" Type="http://schemas.openxmlformats.org/officeDocument/2006/relationships/hyperlink" Target="https://www.sec.gov/ix?doc=/Archives/edgar/data/1653384/000095017024027913/rway-20231231.htm" TargetMode="External"/><Relationship Id="rId35" Type="http://schemas.openxmlformats.org/officeDocument/2006/relationships/hyperlink" Target="https://www.sec.gov/ix?doc=/Archives/edgar/data/1653384/000095017024027913/rway-20231231.htm" TargetMode="External"/><Relationship Id="rId36" Type="http://schemas.openxmlformats.org/officeDocument/2006/relationships/hyperlink" Target="https://www.sec.gov/ix?doc=/Archives/edgar/data/1653384/000095017024027913/rway-20231231.htm" TargetMode="External"/><Relationship Id="rId37" Type="http://schemas.openxmlformats.org/officeDocument/2006/relationships/hyperlink" Target="https://www.sec.gov/ix?doc=/Archives/edgar/data/1653384/000095017024027913/rway-20231231.htm" TargetMode="External"/><Relationship Id="rId38" Type="http://schemas.openxmlformats.org/officeDocument/2006/relationships/hyperlink" Target="https://www.sec.gov/ix?doc=/Archives/edgar/data/1653384/000095017024027913/rway-20231231.htm" TargetMode="External"/><Relationship Id="rId39" Type="http://schemas.openxmlformats.org/officeDocument/2006/relationships/hyperlink" Target="https://www.sec.gov/ix?doc=/Archives/edgar/data/1653384/000095017024027913/rway-20231231.htm" TargetMode="External"/><Relationship Id="rId40" Type="http://schemas.openxmlformats.org/officeDocument/2006/relationships/hyperlink" Target="https://www.sec.gov/Archives/edgar/data/1653384/000110465924128500/tm2427219-2_def14a.htm" TargetMode="External"/><Relationship Id="rId41" Type="http://schemas.openxmlformats.org/officeDocument/2006/relationships/hyperlink" Target="https://www.sec.gov/Archives/edgar/data/1653384/000110465924128500/tm2427219-2_def14a.htm" TargetMode="External"/><Relationship Id="rId42" Type="http://schemas.openxmlformats.org/officeDocument/2006/relationships/hyperlink" Target="https://www.sec.gov/ix?doc=/Archives/edgar/data/1653384/000110465924120133/tm2428660d1_8k.htm" TargetMode="External"/><Relationship Id="rId43" Type="http://schemas.openxmlformats.org/officeDocument/2006/relationships/hyperlink" Target="https://www.sec.gov/ix?doc=/Archives/edgar/data/1653384/000110465925024489/tm259526d1_8k.htm" TargetMode="External"/><Relationship Id="rId44" Type="http://schemas.openxmlformats.org/officeDocument/2006/relationships/hyperlink" Target="https://www.sec.gov/ix?doc=/Archives/edgar/data/1653384/000095017024125299/rway-20240930.htm" TargetMode="External"/><Relationship Id="rId45" Type="http://schemas.openxmlformats.org/officeDocument/2006/relationships/hyperlink" Target="https://www.sec.gov/ix?doc=/Archives/edgar/data/1653384/000095017024027913/rway-20231231.htm" TargetMode="External"/><Relationship Id="rId46" Type="http://schemas.openxmlformats.org/officeDocument/2006/relationships/hyperlink" Target="https://www.sec.gov/ix?doc=/Archives/edgar/data/1653384/000095017024027913/rway-20231231.htm" TargetMode="External"/><Relationship Id="rId47" Type="http://schemas.openxmlformats.org/officeDocument/2006/relationships/hyperlink" Target="https://www.sec.gov/ix?doc=/Archives/edgar/data/1653384/000095017024125299/rway-20240930.htm" TargetMode="External"/><Relationship Id="rId48" Type="http://schemas.openxmlformats.org/officeDocument/2006/relationships/hyperlink" Target="https://www.sec.gov/ix?doc=/Archives/edgar/data/1653384/000095017024027913/rway-20231231.htm" TargetMode="External"/><Relationship Id="rId49" Type="http://schemas.openxmlformats.org/officeDocument/2006/relationships/hyperlink" Target="https://www.sec.gov/ix?doc=/Archives/edgar/data/1653384/000095017024027913/rway-20231231.htm" TargetMode="External"/><Relationship Id="rId50" Type="http://schemas.openxmlformats.org/officeDocument/2006/relationships/hyperlink" Target="https://www.sec.gov/ix?doc=/Archives/edgar/data/1653384/000095017024027913/rway-20231231.htm" TargetMode="External"/><Relationship Id="rId51" Type="http://schemas.openxmlformats.org/officeDocument/2006/relationships/hyperlink" Target="https://www.sec.gov/ix?doc=/Archives/edgar/data/1653384/000095017024027913/rway-20231231.htm" TargetMode="External"/><Relationship Id="rId52" Type="http://schemas.openxmlformats.org/officeDocument/2006/relationships/hyperlink" Target="https://www.sec.gov/Archives/edgar/data/1653384/000110465924077786/tm242737-2_def14a.htm" TargetMode="External"/><Relationship Id="rId53" Type="http://schemas.openxmlformats.org/officeDocument/2006/relationships/hyperlink" Target="https://www.sec.gov/Archives/edgar/data/1653384/000110465924128500/tm2427219-2_def14a.htm" TargetMode="External"/><Relationship Id="rId54" Type="http://schemas.openxmlformats.org/officeDocument/2006/relationships/hyperlink" Target="https://www.sec.gov/ix?doc=/Archives/edgar/data/1653384/000095017024054449/rway-20240331.htm" TargetMode="External"/><Relationship Id="rId55" Type="http://schemas.openxmlformats.org/officeDocument/2006/relationships/hyperlink" Target="https://www.sec.gov/ix?doc=/Archives/edgar/data/1653384/000095017024093857/rway-20240630.htm" TargetMode="External"/><Relationship Id="rId56" Type="http://schemas.openxmlformats.org/officeDocument/2006/relationships/hyperlink" Target="https://www.sec.gov/ix?doc=/Archives/edgar/data/1653384/000095017024125299/rway-20240930.htm" TargetMode="External"/><Relationship Id="rId57" Type="http://schemas.openxmlformats.org/officeDocument/2006/relationships/hyperlink" Target="https://www.sec.gov/ix?doc=/Archives/edgar/data/1653384/000110465924003319/tm243049d1_8k.htm" TargetMode="External"/><Relationship Id="rId58" Type="http://schemas.openxmlformats.org/officeDocument/2006/relationships/hyperlink" Target="https://www.sec.gov/ix?doc=/Archives/edgar/data/1653384/000110465924031719/tm248210d1_8k.htm" TargetMode="External"/><Relationship Id="rId59" Type="http://schemas.openxmlformats.org/officeDocument/2006/relationships/hyperlink" Target="https://www.sec.gov/ix?doc=/Archives/edgar/data/1653384/000095017024027909/rway-20240307.htm" TargetMode="External"/><Relationship Id="rId60" Type="http://schemas.openxmlformats.org/officeDocument/2006/relationships/hyperlink" Target="https://www.sec.gov/ix?doc=/Archives/edgar/data/1653384/000110465924045246/tm2411388d1_8k.htm" TargetMode="External"/><Relationship Id="rId61" Type="http://schemas.openxmlformats.org/officeDocument/2006/relationships/hyperlink" Target="https://www.sec.gov/ix?doc=/Archives/edgar/data/1653384/000095017024054340/rway-20240507.htm" TargetMode="External"/><Relationship Id="rId62" Type="http://schemas.openxmlformats.org/officeDocument/2006/relationships/hyperlink" Target="https://www.sec.gov/ix?doc=/Archives/edgar/data/1653384/000110465924061483/tm2414444d1_8k.htm" TargetMode="External"/><Relationship Id="rId63" Type="http://schemas.openxmlformats.org/officeDocument/2006/relationships/hyperlink" Target="https://www.sec.gov/ix?doc=/Archives/edgar/data/1653384/000110465924079115/tm2419210d1_8k.htm" TargetMode="External"/><Relationship Id="rId64" Type="http://schemas.openxmlformats.org/officeDocument/2006/relationships/hyperlink" Target="https://www.sec.gov/ix?doc=/Archives/edgar/data/1653384/000095017024093902/rway-20240808.htm" TargetMode="External"/><Relationship Id="rId65" Type="http://schemas.openxmlformats.org/officeDocument/2006/relationships/hyperlink" Target="https://www.sec.gov/ix?doc=/Archives/edgar/data/1653384/000110465924092873/tm2422580d1_8k.htm" TargetMode="External"/><Relationship Id="rId66" Type="http://schemas.openxmlformats.org/officeDocument/2006/relationships/hyperlink" Target="https://www.sec.gov/ix?doc=/Archives/edgar/data/1653384/000110465924107051/tm2425772d1_8k.htm" TargetMode="External"/><Relationship Id="rId67" Type="http://schemas.openxmlformats.org/officeDocument/2006/relationships/hyperlink" Target="https://www.sec.gov/ix?doc=/Archives/edgar/data/1653384/000110465924113138/tm2427161d1_8k.htm" TargetMode="External"/><Relationship Id="rId68" Type="http://schemas.openxmlformats.org/officeDocument/2006/relationships/hyperlink" Target="https://www.sec.gov/ix?doc=/Archives/edgar/data/1653384/000095017024125291/rway-20241112.htm" TargetMode="External"/><Relationship Id="rId69" Type="http://schemas.openxmlformats.org/officeDocument/2006/relationships/hyperlink" Target="https://www.sec.gov/ix?doc=/Archives/edgar/data/1653384/000110465924120133/tm2428660d1_8k.htm" TargetMode="External"/><Relationship Id="rId70" Type="http://schemas.openxmlformats.org/officeDocument/2006/relationships/hyperlink" Target="https://www.sec.gov/ix?doc=/Archives/edgar/data/1653384/000110465925024489/tm259526d1_8k.htm" TargetMode="External"/><Relationship Id="rId71" Type="http://schemas.openxmlformats.org/officeDocument/2006/relationships/hyperlink" Target="https://www.sec.gov/Archives/edgar/data/1653384/000110465921127885/tm2130527d1_8a12b.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73912</Words>
  <Characters>389709</Characters>
  <CharactersWithSpaces>467001</CharactersWithSpaces>
  <Paragraphs>9297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