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rway-20250930.htm"/>
        <w:bookmarkStart w:id="1" w:name="ksrway20250930"/>
        <w:bookmarkEnd w:id="0"/>
        <w:bookmarkEnd w:id="1"/>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pBdr>
          <w:top w:val="single" w:sz="24" w:space="1" w:color="000000"/>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3"/>
        <w:gridCol w:w="9142"/>
      </w:tblGrid>
      <w:tr>
        <w:trPr/>
        <w:tc>
          <w:tcPr>
            <w:tcW w:w="1063" w:type="dxa"/>
            <w:tcBorders/>
            <w:vAlign w:val="center"/>
          </w:tcPr>
          <w:p>
            <w:pPr>
              <w:pStyle w:val="TableContents"/>
              <w:bidi w:val="0"/>
              <w:spacing w:before="0" w:after="283"/>
              <w:jc w:val="left"/>
              <w:rPr>
                <w:sz w:val="4"/>
                <w:szCs w:val="4"/>
              </w:rPr>
            </w:pPr>
            <w:r>
              <w:rPr>
                <w:sz w:val="4"/>
                <w:szCs w:val="4"/>
              </w:rPr>
            </w:r>
          </w:p>
        </w:tc>
        <w:tc>
          <w:tcPr>
            <w:tcW w:w="9142" w:type="dxa"/>
            <w:tcBorders/>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 One)</w:t>
            </w:r>
          </w:p>
        </w:tc>
        <w:tc>
          <w:tcPr>
            <w:tcW w:w="9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814-01180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left"/>
        <w:rPr/>
      </w:pPr>
      <w:r>
        <w:rPr/>
        <w:t> </w:t>
      </w:r>
    </w:p>
    <w:tbl>
      <w:tblPr>
        <w:tblW w:w="5042" w:type="dxa"/>
        <w:jc w:val="left"/>
        <w:tblInd w:w="0" w:type="dxa"/>
        <w:tblLayout w:type="fixed"/>
        <w:tblCellMar>
          <w:top w:w="28" w:type="dxa"/>
          <w:left w:w="28" w:type="dxa"/>
          <w:bottom w:w="28" w:type="dxa"/>
          <w:right w:w="28" w:type="dxa"/>
        </w:tblCellMar>
      </w:tblPr>
      <w:tblGrid>
        <w:gridCol w:w="2011"/>
        <w:gridCol w:w="3031"/>
      </w:tblGrid>
      <w:tr>
        <w:trPr/>
        <w:tc>
          <w:tcPr>
            <w:tcW w:w="201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0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of incorporation)</w:t>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pPr>
      <w:r>
        <w:rPr/>
        <w:t> </w:t>
      </w:r>
    </w:p>
    <w:tbl>
      <w:tblPr>
        <w:tblW w:w="4337" w:type="dxa"/>
        <w:jc w:val="left"/>
        <w:tblInd w:w="0" w:type="dxa"/>
        <w:tblLayout w:type="fixed"/>
        <w:tblCellMar>
          <w:top w:w="28" w:type="dxa"/>
          <w:left w:w="28" w:type="dxa"/>
          <w:bottom w:w="28" w:type="dxa"/>
          <w:right w:w="28" w:type="dxa"/>
        </w:tblCellMar>
      </w:tblPr>
      <w:tblGrid>
        <w:gridCol w:w="3301"/>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 N. Michigan Ave., Suite 4200</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(312) 698-6902</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018" w:type="dxa"/>
        <w:jc w:val="left"/>
        <w:tblInd w:w="0" w:type="dxa"/>
        <w:tblLayout w:type="fixed"/>
        <w:tblCellMar>
          <w:top w:w="28" w:type="dxa"/>
          <w:left w:w="28" w:type="dxa"/>
          <w:bottom w:w="28" w:type="dxa"/>
          <w:right w:w="28" w:type="dxa"/>
        </w:tblCellMar>
      </w:tblPr>
      <w:tblGrid>
        <w:gridCol w:w="3496"/>
        <w:gridCol w:w="169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Common Stock, par value $0.01 per share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6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RWAY</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382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Nasdaq Global Select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8.00% Notes due 2027</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RWAYZ</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 LLC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noBreakHyphen/>
        <w:t>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w:t>
        <w:noBreakHyphen/>
        <w:t>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issuer had 36,134,037 shares of common stock, $0.01 par value per share, outstanding as of November 4, 2025.</w:t>
      </w:r>
    </w:p>
    <w:p>
      <w:pPr>
        <w:pStyle w:val="TextBody"/>
        <w:bidi w:val="0"/>
        <w:jc w:val="left"/>
        <w:rPr/>
      </w:pPr>
      <w:r>
        <w:rPr/>
        <w:t> </w:t>
      </w:r>
    </w:p>
    <w:p>
      <w:pPr>
        <w:pStyle w:val="TextBody"/>
        <w:pBdr>
          <w:top w:val="single" w:sz="8" w:space="1" w:color="000000"/>
          <w:bottom w:val="single" w:sz="2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sz w:val="20"/>
        </w:rPr>
      </w:pPr>
      <w:r>
        <w:rPr>
          <w:rFonts w:ascii="Times New Roman" w:hAnsi="Times New Roman"/>
          <w:b/>
          <w:color w:val="000000"/>
          <w:sz w:val="20"/>
        </w:rPr>
        <w:t>RUNWAY GROWTH FINANCE CORP.</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FORM 10</w:t>
        <w:noBreakHyphen/>
        <w:t>Q FOR THE QUARTER ENDED September 30, 2025</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9"/>
        <w:gridCol w:w="146"/>
        <w:gridCol w:w="8467"/>
        <w:gridCol w:w="146"/>
        <w:gridCol w:w="617"/>
      </w:tblGrid>
      <w:tr>
        <w:trPr/>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br/>
            </w:r>
            <w:r>
              <w:rPr>
                <w:rFonts w:ascii="Times New Roman" w:hAnsi="Times New Roman"/>
                <w:b/>
                <w:color w:val="000000"/>
                <w:sz w:val="16"/>
              </w:rPr>
              <w:t>NO.</w:t>
            </w:r>
          </w:p>
        </w:tc>
      </w:tr>
      <w:tr>
        <w:trPr/>
        <w:tc>
          <w:tcPr>
            <w:tcW w:w="8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PART 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financialinformation_110173">
              <w:r>
                <w:rPr>
                  <w:rStyle w:val="InternetLink"/>
                  <w:rFonts w:ascii="Times New Roman" w:hAnsi="Times New Roman"/>
                  <w:b/>
                  <w:color w:val="000000"/>
                  <w:sz w:val="20"/>
                </w:rPr>
                <w:t>FINANCIAL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financialstatements_531063">
              <w:r>
                <w:rPr>
                  <w:rStyle w:val="InternetLink"/>
                  <w:rFonts w:ascii="Times New Roman" w:hAnsi="Times New Roman"/>
                  <w:color w:val="000000"/>
                  <w:sz w:val="20"/>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financialstatements_531063">
              <w:r>
                <w:rPr>
                  <w:rStyle w:val="InternetLink"/>
                  <w:rFonts w:ascii="Times New Roman" w:hAnsi="Times New Roman"/>
                  <w:color w:val="0000FF"/>
                  <w:sz w:val="20"/>
                  <w:u w:val="single"/>
                </w:rPr>
                <w:t>Consolidated Financial Statements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 Statements of Assets and Liabilities as of September 30, 2025 (unaudited) and December 31, 2024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operations">
              <w:r>
                <w:rPr>
                  <w:rStyle w:val="InternetLink"/>
                  <w:rFonts w:ascii="Times New Roman" w:hAnsi="Times New Roman"/>
                  <w:color w:val="0000FF"/>
                  <w:sz w:val="20"/>
                  <w:u w:val="single"/>
                </w:rPr>
                <w:t>Statements of Operations for the three and nine months ended September 30, 2025 and 2024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hangesinnetassets_914180">
              <w:r>
                <w:rPr>
                  <w:rStyle w:val="InternetLink"/>
                  <w:rFonts w:ascii="Times New Roman" w:hAnsi="Times New Roman"/>
                  <w:color w:val="0000FF"/>
                  <w:sz w:val="20"/>
                  <w:u w:val="single"/>
                </w:rPr>
                <w:t>Statements of Changes in Net Assets for the three and nine months ended September 30, 2025 and 2024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tatementsofcashflows">
              <w:r>
                <w:rPr>
                  <w:rStyle w:val="InternetLink"/>
                  <w:rFonts w:ascii="Times New Roman" w:hAnsi="Times New Roman"/>
                  <w:color w:val="0000FF"/>
                  <w:sz w:val="20"/>
                  <w:u w:val="single"/>
                </w:rPr>
                <w:t>Statements of Cash Flows for the nine months ended September 30, 2025 and 2024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460338">
              <w:r>
                <w:rPr>
                  <w:rStyle w:val="InternetLink"/>
                  <w:rFonts w:ascii="Times New Roman" w:hAnsi="Times New Roman"/>
                  <w:color w:val="0000FF"/>
                  <w:sz w:val="20"/>
                  <w:u w:val="single"/>
                </w:rPr>
                <w:t>Schedule of Investments as of September 30, 2025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statementsofassetsandliabilities_107261">
              <w:r>
                <w:rPr>
                  <w:rStyle w:val="InternetLink"/>
                  <w:rFonts w:ascii="Times New Roman" w:hAnsi="Times New Roman"/>
                  <w:color w:val="0000FF"/>
                  <w:sz w:val="20"/>
                  <w:u w:val="single"/>
                </w:rPr>
                <w:t>Consolidated</w:t>
              </w:r>
            </w:hyperlink>
            <w:hyperlink w:anchor="statementsofassetsandliabilities_107261">
              <w:r>
                <w:rPr>
                  <w:rStyle w:val="InternetLink"/>
                  <w:rFonts w:ascii="Times New Roman" w:hAnsi="Times New Roman"/>
                  <w:color w:val="0000FF"/>
                  <w:sz w:val="20"/>
                </w:rPr>
                <w:t xml:space="preserve"> </w:t>
              </w:r>
            </w:hyperlink>
            <w:hyperlink w:anchor="scheduleofinvestments_pp">
              <w:r>
                <w:rPr>
                  <w:rStyle w:val="InternetLink"/>
                  <w:rFonts w:ascii="Times New Roman" w:hAnsi="Times New Roman"/>
                  <w:color w:val="0000FF"/>
                  <w:sz w:val="20"/>
                  <w:u w:val="single"/>
                </w:rPr>
                <w:t>Schedule of Investments as of December 31, 2024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tofinancialstatements_777521">
              <w:r>
                <w:rPr>
                  <w:rStyle w:val="InternetLink"/>
                  <w:rFonts w:ascii="Times New Roman" w:hAnsi="Times New Roman"/>
                  <w:color w:val="0000FF"/>
                  <w:sz w:val="20"/>
                  <w:u w:val="single"/>
                </w:rPr>
                <w:t>Notes to Consolidated Financial Statements (unaudited)</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2managementsdiscussionandanalysisoff">
              <w:r>
                <w:rPr>
                  <w:rStyle w:val="InternetLink"/>
                  <w:rFonts w:ascii="Times New Roman" w:hAnsi="Times New Roman"/>
                  <w:color w:val="000000"/>
                  <w:sz w:val="20"/>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3quantitativeandqualitativedisclosur">
              <w:r>
                <w:rPr>
                  <w:rStyle w:val="InternetLink"/>
                  <w:rFonts w:ascii="Times New Roman" w:hAnsi="Times New Roman"/>
                  <w:color w:val="000000"/>
                  <w:sz w:val="20"/>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quantitativeandqualitativedisclosur">
              <w:r>
                <w:rPr>
                  <w:rStyle w:val="InternetLink"/>
                  <w:rFonts w:ascii="Times New Roman" w:hAnsi="Times New Roman"/>
                  <w:color w:val="0000FF"/>
                  <w:sz w:val="20"/>
                  <w:u w:val="single"/>
                </w:rPr>
                <w:t>Quantitative and Qualitative Disclosures About Market Risk</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4controlsandprocedures_691536">
              <w:r>
                <w:rPr>
                  <w:rStyle w:val="InternetLink"/>
                  <w:rFonts w:ascii="Times New Roman" w:hAnsi="Times New Roman"/>
                  <w:color w:val="000000"/>
                  <w:sz w:val="20"/>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4controlsandprocedures_691536">
              <w:r>
                <w:rPr>
                  <w:rStyle w:val="InternetLink"/>
                  <w:rFonts w:ascii="Times New Roman" w:hAnsi="Times New Roman"/>
                  <w:color w:val="0000FF"/>
                  <w:sz w:val="20"/>
                  <w:u w:val="single"/>
                </w:rPr>
                <w:t>Controls and Procedures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PART II.</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iiotherinformation_686450">
              <w:r>
                <w:rPr>
                  <w:rStyle w:val="InternetLink"/>
                  <w:rFonts w:ascii="Times New Roman" w:hAnsi="Times New Roman"/>
                  <w:b/>
                  <w:color w:val="000000"/>
                  <w:sz w:val="20"/>
                </w:rPr>
                <w:t>OTHER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legalproceedings_844818">
              <w:r>
                <w:rPr>
                  <w:rStyle w:val="InternetLink"/>
                  <w:rFonts w:ascii="Times New Roman" w:hAnsi="Times New Roman"/>
                  <w:color w:val="000000"/>
                  <w:sz w:val="20"/>
                </w:rPr>
                <w:t>Item 1.</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legalproceedings_844818">
              <w:r>
                <w:rPr>
                  <w:rStyle w:val="InternetLink"/>
                  <w:rFonts w:ascii="Times New Roman" w:hAnsi="Times New Roman"/>
                  <w:color w:val="0000FF"/>
                  <w:sz w:val="20"/>
                  <w:u w:val="single"/>
                </w:rPr>
                <w:t>Legal Proceedings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1ariskfactors_996118">
              <w:r>
                <w:rPr>
                  <w:rStyle w:val="InternetLink"/>
                  <w:rFonts w:ascii="Times New Roman" w:hAnsi="Times New Roman"/>
                  <w:color w:val="000000"/>
                  <w:sz w:val="20"/>
                </w:rPr>
                <w:t>Item 1A.</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1ariskfactors_996118">
              <w:r>
                <w:rPr>
                  <w:rStyle w:val="InternetLink"/>
                  <w:rFonts w:ascii="Times New Roman" w:hAnsi="Times New Roman"/>
                  <w:color w:val="0000FF"/>
                  <w:sz w:val="20"/>
                  <w:u w:val="single"/>
                </w:rPr>
                <w:t>Risk Factors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2unregisteredsalesofequitysecurities">
              <w:r>
                <w:rPr>
                  <w:rStyle w:val="InternetLink"/>
                  <w:rFonts w:ascii="Times New Roman" w:hAnsi="Times New Roman"/>
                  <w:color w:val="000000"/>
                  <w:sz w:val="20"/>
                </w:rPr>
                <w:t>Item 2.</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Times New Roman" w:hAnsi="Times New Roman"/>
                  <w:color w:val="0000FF"/>
                  <w:sz w:val="20"/>
                  <w:u w:val="single"/>
                </w:rPr>
                <w:t>Unregistered Sales of Equity Securities and Use of Proceeds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3defaultsuponseniorsecurities_59067">
              <w:r>
                <w:rPr>
                  <w:rStyle w:val="InternetLink"/>
                  <w:rFonts w:ascii="Times New Roman" w:hAnsi="Times New Roman"/>
                  <w:color w:val="000000"/>
                  <w:sz w:val="20"/>
                </w:rPr>
                <w:t>Item 3.</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3defaultsuponseniorsecurities_59067">
              <w:r>
                <w:rPr>
                  <w:rStyle w:val="InternetLink"/>
                  <w:rFonts w:ascii="Times New Roman" w:hAnsi="Times New Roman"/>
                  <w:color w:val="0000FF"/>
                  <w:sz w:val="20"/>
                  <w:u w:val="single"/>
                </w:rPr>
                <w:t>Defaults Upon Senior Securities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4minesafetydisclosures_325402">
              <w:r>
                <w:rPr>
                  <w:rStyle w:val="InternetLink"/>
                  <w:rFonts w:ascii="Times New Roman" w:hAnsi="Times New Roman"/>
                  <w:color w:val="000000"/>
                  <w:sz w:val="20"/>
                </w:rPr>
                <w:t>Item 4.</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4minesafetydisclosures_325402">
              <w:r>
                <w:rPr>
                  <w:rStyle w:val="InternetLink"/>
                  <w:rFonts w:ascii="Times New Roman" w:hAnsi="Times New Roman"/>
                  <w:color w:val="0000FF"/>
                  <w:sz w:val="20"/>
                  <w:u w:val="single"/>
                </w:rPr>
                <w:t>Mine Safety Disclosures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5otherinformation_981141">
              <w:r>
                <w:rPr>
                  <w:rStyle w:val="InternetLink"/>
                  <w:rFonts w:ascii="Times New Roman" w:hAnsi="Times New Roman"/>
                  <w:color w:val="000000"/>
                  <w:sz w:val="20"/>
                </w:rPr>
                <w:t>Item 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5otherinformation_981141">
              <w:r>
                <w:rPr>
                  <w:rStyle w:val="InternetLink"/>
                  <w:rFonts w:ascii="Times New Roman" w:hAnsi="Times New Roman"/>
                  <w:color w:val="0000FF"/>
                  <w:sz w:val="20"/>
                  <w:u w:val="single"/>
                </w:rPr>
                <w:t>Other Information</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8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9" w:type="dxa"/>
            <w:tcBorders/>
            <w:shd w:fill="CCEEFF" w:val="clear"/>
            <w:tcMar>
              <w:top w:w="0" w:type="dxa"/>
              <w:left w:w="0" w:type="dxa"/>
              <w:bottom w:w="0" w:type="dxa"/>
              <w:right w:w="0" w:type="dxa"/>
            </w:tcMar>
            <w:vAlign w:val="center"/>
          </w:tcPr>
          <w:p>
            <w:pPr>
              <w:pStyle w:val="TableContents"/>
              <w:bidi w:val="0"/>
              <w:spacing w:before="0" w:after="283"/>
              <w:jc w:val="right"/>
              <w:rPr/>
            </w:pPr>
            <w:hyperlink w:anchor="item6exhibits_524452">
              <w:r>
                <w:rPr>
                  <w:rStyle w:val="InternetLink"/>
                  <w:rFonts w:ascii="Times New Roman" w:hAnsi="Times New Roman"/>
                  <w:color w:val="000000"/>
                  <w:sz w:val="20"/>
                </w:rPr>
                <w:t>Item 6.</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6exhibits_524452">
              <w:r>
                <w:rPr>
                  <w:rStyle w:val="InternetLink"/>
                  <w:rFonts w:ascii="Times New Roman" w:hAnsi="Times New Roman"/>
                  <w:color w:val="0000FF"/>
                  <w:sz w:val="20"/>
                  <w:u w:val="single"/>
                </w:rPr>
                <w:t>Exhibits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6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_230440">
              <w:r>
                <w:rPr>
                  <w:rStyle w:val="InternetLink"/>
                  <w:rFonts w:ascii="Times New Roman" w:hAnsi="Times New Roman"/>
                  <w:b/>
                  <w:color w:val="000000"/>
                  <w:sz w:val="20"/>
                </w:rPr>
                <w:t>SIGNATURES</w:t>
              </w:r>
            </w:hyperlink>
            <w:hyperlink w:anchor="signatures_230440">
              <w:r>
                <w:rPr>
                  <w:rStyle w:val="InternetLink"/>
                  <w:rFonts w:ascii="Times New Roman" w:hAnsi="Times New Roman"/>
                  <w:color w:val="000000"/>
                  <w:sz w:val="20"/>
                </w:rPr>
                <w:t xml:space="preserve">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0" w:after="240"/>
        <w:jc w:val="left"/>
        <w:rPr>
          <w:rFonts w:ascii="Times New Roman" w:hAnsi="Times New Roman"/>
          <w:color w:val="000000"/>
          <w:sz w:val="20"/>
        </w:rPr>
      </w:pPr>
      <w:bookmarkStart w:id="3" w:name="partifinancialinformation_110173"/>
      <w:bookmarkEnd w:id="3"/>
      <w:r>
        <w:rPr>
          <w:rFonts w:ascii="Times New Roman" w:hAnsi="Times New Roman"/>
          <w:color w:val="000000"/>
          <w:sz w:val="20"/>
        </w:rPr>
        <w:t>PART I. FINANCIAL INFORMATION</w:t>
      </w:r>
    </w:p>
    <w:p>
      <w:pPr>
        <w:pStyle w:val="Heading1"/>
        <w:bidi w:val="0"/>
        <w:spacing w:before="0" w:after="240"/>
        <w:jc w:val="left"/>
        <w:rPr>
          <w:rFonts w:ascii="Times New Roman" w:hAnsi="Times New Roman"/>
          <w:color w:val="000000"/>
          <w:sz w:val="20"/>
        </w:rPr>
      </w:pPr>
      <w:bookmarkStart w:id="4" w:name="item1financialstatements_531063"/>
      <w:bookmarkEnd w:id="4"/>
      <w:r>
        <w:rPr>
          <w:rFonts w:ascii="Times New Roman" w:hAnsi="Times New Roman"/>
          <w:color w:val="000000"/>
          <w:sz w:val="20"/>
        </w:rPr>
        <w:t>Item 1.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spacing w:before="0" w:after="240"/>
        <w:jc w:val="center"/>
        <w:rPr>
          <w:rFonts w:ascii="Times New Roman" w:hAnsi="Times New Roman"/>
          <w:b/>
          <w:color w:val="000000"/>
          <w:sz w:val="20"/>
        </w:rPr>
      </w:pPr>
      <w:bookmarkStart w:id="5" w:name="statementsofassetsandliabilities_107261"/>
      <w:bookmarkEnd w:id="5"/>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362"/>
        <w:gridCol w:w="146"/>
        <w:gridCol w:w="234"/>
        <w:gridCol w:w="174"/>
        <w:gridCol w:w="1097"/>
        <w:gridCol w:w="166"/>
        <w:gridCol w:w="146"/>
        <w:gridCol w:w="228"/>
        <w:gridCol w:w="170"/>
        <w:gridCol w:w="1068"/>
        <w:gridCol w:w="414"/>
      </w:tblGrid>
      <w:tr>
        <w:trPr/>
        <w:tc>
          <w:tcPr>
            <w:tcW w:w="63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Non-control/non-affiliate investments at fair value (cost of $976,399</w:t>
            </w:r>
            <w:r>
              <w:rPr>
                <w:rFonts w:ascii="Times New Roman" w:hAnsi="Times New Roman"/>
                <w:color w:val="000000"/>
                <w:sz w:val="20"/>
              </w:rPr>
              <w:t> </w:t>
            </w:r>
            <w:r>
              <w:rPr>
                <w:rFonts w:ascii="Times New Roman" w:hAnsi="Times New Roman"/>
                <w:color w:val="000000"/>
                <w:sz w:val="16"/>
              </w:rPr>
              <w:t>and $1,038,135,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1,005,328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Affiliate investments at fair value (cost of $4,551</w:t>
            </w:r>
            <w:r>
              <w:rPr>
                <w:rFonts w:ascii="Times New Roman" w:hAnsi="Times New Roman"/>
                <w:color w:val="000000"/>
                <w:sz w:val="20"/>
              </w:rPr>
              <w:t> </w:t>
            </w:r>
            <w:r>
              <w:rPr>
                <w:rFonts w:ascii="Times New Roman" w:hAnsi="Times New Roman"/>
                <w:color w:val="000000"/>
                <w:sz w:val="16"/>
              </w:rPr>
              <w:t>and $59,198,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6"/>
              </w:rPr>
              <w:t>Control investments at fair value (cost of $13,233</w:t>
            </w:r>
            <w:r>
              <w:rPr>
                <w:rFonts w:ascii="Times New Roman" w:hAnsi="Times New Roman"/>
                <w:color w:val="000000"/>
                <w:sz w:val="20"/>
              </w:rPr>
              <w:t> </w:t>
            </w:r>
            <w:r>
              <w:rPr>
                <w:rFonts w:ascii="Times New Roman" w:hAnsi="Times New Roman"/>
                <w:color w:val="000000"/>
                <w:sz w:val="16"/>
              </w:rPr>
              <w:t>and $6,550,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Total investments at fair value (cost of $994,183</w:t>
            </w:r>
            <w:r>
              <w:rPr>
                <w:rFonts w:ascii="Times New Roman" w:hAnsi="Times New Roman"/>
                <w:color w:val="000000"/>
                <w:sz w:val="20"/>
              </w:rPr>
              <w:t> </w:t>
            </w:r>
            <w:r>
              <w:rPr>
                <w:rFonts w:ascii="Times New Roman" w:hAnsi="Times New Roman"/>
                <w:color w:val="000000"/>
                <w:sz w:val="16"/>
              </w:rPr>
              <w:t>and $1,103,883,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4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963,346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1,091,355</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debt, 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552,332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576,486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undistributed (overdistributed)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of common stock outstanding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6" w:name="statementsofoperations"/>
      <w:bookmarkEnd w:id="6"/>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3600"/>
        <w:gridCol w:w="146"/>
        <w:gridCol w:w="196"/>
        <w:gridCol w:w="146"/>
        <w:gridCol w:w="916"/>
        <w:gridCol w:w="166"/>
        <w:gridCol w:w="146"/>
        <w:gridCol w:w="196"/>
        <w:gridCol w:w="146"/>
        <w:gridCol w:w="916"/>
        <w:gridCol w:w="146"/>
        <w:gridCol w:w="146"/>
        <w:gridCol w:w="196"/>
        <w:gridCol w:w="146"/>
        <w:gridCol w:w="916"/>
        <w:gridCol w:w="166"/>
        <w:gridCol w:w="146"/>
        <w:gridCol w:w="196"/>
        <w:gridCol w:w="146"/>
        <w:gridCol w:w="916"/>
        <w:gridCol w:w="511"/>
      </w:tblGrid>
      <w:tr>
        <w:trPr/>
        <w:tc>
          <w:tcPr>
            <w:tcW w:w="3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110,853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45,387</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36,225,742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38,390,854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36,887,968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39,317,890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7" w:name="statementsofchangesinnetassets_914180"/>
      <w:bookmarkEnd w:id="7"/>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837"/>
        <w:gridCol w:w="617"/>
        <w:gridCol w:w="346"/>
        <w:gridCol w:w="165"/>
        <w:gridCol w:w="1038"/>
        <w:gridCol w:w="166"/>
        <w:gridCol w:w="146"/>
        <w:gridCol w:w="203"/>
        <w:gridCol w:w="151"/>
        <w:gridCol w:w="390"/>
        <w:gridCol w:w="166"/>
        <w:gridCol w:w="146"/>
        <w:gridCol w:w="348"/>
        <w:gridCol w:w="259"/>
        <w:gridCol w:w="296"/>
        <w:gridCol w:w="146"/>
        <w:gridCol w:w="146"/>
        <w:gridCol w:w="203"/>
        <w:gridCol w:w="151"/>
        <w:gridCol w:w="718"/>
        <w:gridCol w:w="166"/>
        <w:gridCol w:w="146"/>
        <w:gridCol w:w="407"/>
        <w:gridCol w:w="262"/>
        <w:gridCol w:w="869"/>
        <w:gridCol w:w="166"/>
        <w:gridCol w:w="146"/>
        <w:gridCol w:w="206"/>
        <w:gridCol w:w="153"/>
        <w:gridCol w:w="727"/>
        <w:gridCol w:w="319"/>
      </w:tblGrid>
      <w:tr>
        <w:trPr/>
        <w:tc>
          <w:tcPr>
            <w:tcW w:w="83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For the Three Months </w:t>
              <w:br/>
              <w:t>Ended September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Outstanding 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Treasury Stock</w:t>
            </w:r>
            <w:r>
              <w:rPr>
                <w:rFonts w:ascii="Times New Roman" w:hAnsi="Times New Roman"/>
                <w:color w:val="000000"/>
                <w:sz w:val="16"/>
              </w:rPr>
              <w:t>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498,874</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5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3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5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(4,359</w:t>
            </w:r>
          </w:p>
        </w:tc>
        <w:tc>
          <w:tcPr>
            <w:tcW w:w="3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4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5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9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545,504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489,526</w:t>
            </w:r>
          </w:p>
        </w:tc>
        <w:tc>
          <w:tcPr>
            <w:tcW w:w="3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3"/>
        <w:gridCol w:w="660"/>
        <w:gridCol w:w="346"/>
        <w:gridCol w:w="162"/>
        <w:gridCol w:w="1016"/>
        <w:gridCol w:w="166"/>
        <w:gridCol w:w="146"/>
        <w:gridCol w:w="202"/>
        <w:gridCol w:w="150"/>
        <w:gridCol w:w="387"/>
        <w:gridCol w:w="166"/>
        <w:gridCol w:w="146"/>
        <w:gridCol w:w="338"/>
        <w:gridCol w:w="252"/>
        <w:gridCol w:w="288"/>
        <w:gridCol w:w="146"/>
        <w:gridCol w:w="146"/>
        <w:gridCol w:w="202"/>
        <w:gridCol w:w="150"/>
        <w:gridCol w:w="713"/>
        <w:gridCol w:w="166"/>
        <w:gridCol w:w="146"/>
        <w:gridCol w:w="407"/>
        <w:gridCol w:w="260"/>
        <w:gridCol w:w="843"/>
        <w:gridCol w:w="166"/>
        <w:gridCol w:w="146"/>
        <w:gridCol w:w="204"/>
        <w:gridCol w:w="152"/>
        <w:gridCol w:w="720"/>
        <w:gridCol w:w="320"/>
      </w:tblGrid>
      <w:tr>
        <w:trPr/>
        <w:tc>
          <w:tcPr>
            <w:tcW w:w="89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9"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Nine Months Ended September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Outstanding 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Treasury Stock</w:t>
            </w:r>
            <w:r>
              <w:rPr>
                <w:rFonts w:ascii="Times New Roman" w:hAnsi="Times New Roman"/>
                <w:color w:val="000000"/>
                <w:sz w:val="16"/>
              </w:rPr>
              <w:t>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3"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37,347,428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45,283</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5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(21,816</w:t>
            </w:r>
          </w:p>
        </w:tc>
        <w:tc>
          <w:tcPr>
            <w:tcW w:w="3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5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3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5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5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545,504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489,526</w:t>
            </w:r>
          </w:p>
        </w:tc>
        <w:tc>
          <w:tcPr>
            <w:tcW w:w="3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center"/>
        <w:rPr/>
      </w:pPr>
      <w:r>
        <w:rPr/>
        <w:t> </w:t>
      </w:r>
    </w:p>
    <w:tbl>
      <w:tblPr>
        <w:tblW w:w="10205" w:type="dxa"/>
        <w:jc w:val="left"/>
        <w:tblInd w:w="0" w:type="dxa"/>
        <w:tblLayout w:type="fixed"/>
        <w:tblCellMar>
          <w:top w:w="28" w:type="dxa"/>
          <w:left w:w="28" w:type="dxa"/>
          <w:bottom w:w="28" w:type="dxa"/>
          <w:right w:w="28" w:type="dxa"/>
        </w:tblCellMar>
      </w:tblPr>
      <w:tblGrid>
        <w:gridCol w:w="805"/>
        <w:gridCol w:w="580"/>
        <w:gridCol w:w="346"/>
        <w:gridCol w:w="161"/>
        <w:gridCol w:w="1015"/>
        <w:gridCol w:w="166"/>
        <w:gridCol w:w="146"/>
        <w:gridCol w:w="202"/>
        <w:gridCol w:w="150"/>
        <w:gridCol w:w="387"/>
        <w:gridCol w:w="146"/>
        <w:gridCol w:w="146"/>
        <w:gridCol w:w="209"/>
        <w:gridCol w:w="156"/>
        <w:gridCol w:w="706"/>
        <w:gridCol w:w="166"/>
        <w:gridCol w:w="146"/>
        <w:gridCol w:w="202"/>
        <w:gridCol w:w="150"/>
        <w:gridCol w:w="713"/>
        <w:gridCol w:w="146"/>
        <w:gridCol w:w="146"/>
        <w:gridCol w:w="407"/>
        <w:gridCol w:w="260"/>
        <w:gridCol w:w="842"/>
        <w:gridCol w:w="166"/>
        <w:gridCol w:w="146"/>
        <w:gridCol w:w="204"/>
        <w:gridCol w:w="152"/>
        <w:gridCol w:w="720"/>
        <w:gridCol w:w="318"/>
      </w:tblGrid>
      <w:tr>
        <w:trPr/>
        <w:tc>
          <w:tcPr>
            <w:tcW w:w="80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For the Three Months </w:t>
              <w:br/>
              <w:t>Ended September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Outstanding 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Treasury Stock</w:t>
            </w:r>
            <w:r>
              <w:rPr>
                <w:rFonts w:ascii="Times New Roman" w:hAnsi="Times New Roman"/>
                <w:color w:val="000000"/>
                <w:sz w:val="16"/>
              </w:rPr>
              <w:t>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June 30,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38,547,295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506,383</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15,875</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Acquisition of treasury stock </w:t>
            </w:r>
            <w:r>
              <w:rPr>
                <w:rFonts w:ascii="Times New Roman" w:hAnsi="Times New Roman"/>
                <w:color w:val="000000"/>
                <w:sz w:val="11"/>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(6,728</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8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8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1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37,902,532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8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(57,169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2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507,358</w:t>
            </w:r>
          </w:p>
        </w:tc>
        <w:tc>
          <w:tcPr>
            <w:tcW w:w="3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42"/>
        <w:gridCol w:w="572"/>
        <w:gridCol w:w="346"/>
        <w:gridCol w:w="156"/>
        <w:gridCol w:w="979"/>
        <w:gridCol w:w="166"/>
        <w:gridCol w:w="146"/>
        <w:gridCol w:w="199"/>
        <w:gridCol w:w="148"/>
        <w:gridCol w:w="383"/>
        <w:gridCol w:w="146"/>
        <w:gridCol w:w="146"/>
        <w:gridCol w:w="204"/>
        <w:gridCol w:w="152"/>
        <w:gridCol w:w="689"/>
        <w:gridCol w:w="166"/>
        <w:gridCol w:w="146"/>
        <w:gridCol w:w="199"/>
        <w:gridCol w:w="148"/>
        <w:gridCol w:w="705"/>
        <w:gridCol w:w="166"/>
        <w:gridCol w:w="146"/>
        <w:gridCol w:w="407"/>
        <w:gridCol w:w="256"/>
        <w:gridCol w:w="798"/>
        <w:gridCol w:w="166"/>
        <w:gridCol w:w="146"/>
        <w:gridCol w:w="201"/>
        <w:gridCol w:w="149"/>
        <w:gridCol w:w="709"/>
        <w:gridCol w:w="323"/>
      </w:tblGrid>
      <w:tr>
        <w:trPr/>
        <w:tc>
          <w:tcPr>
            <w:tcW w:w="94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9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4"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Undistributed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Nine Months Ended September 30,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Outstanding Shares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Treasury Stock</w:t>
            </w:r>
            <w:r>
              <w:rPr>
                <w:rFonts w:ascii="Times New Roman" w:hAnsi="Times New Roman"/>
                <w:color w:val="000000"/>
                <w:sz w:val="16"/>
              </w:rPr>
              <w:t> </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(Overdistributed)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 Assets</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4"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1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49,130</w:t>
            </w:r>
          </w:p>
        </w:tc>
        <w:tc>
          <w:tcPr>
            <w:tcW w:w="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1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Acquisition of treasury stock </w:t>
            </w:r>
            <w:r>
              <w:rPr>
                <w:rFonts w:ascii="Times New Roman" w:hAnsi="Times New Roman"/>
                <w:color w:val="000000"/>
                <w:sz w:val="11"/>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(30,178</w:t>
            </w:r>
          </w:p>
        </w:tc>
        <w:tc>
          <w:tcPr>
            <w:tcW w:w="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1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(54,921</w:t>
            </w:r>
          </w:p>
        </w:tc>
        <w:tc>
          <w:tcPr>
            <w:tcW w:w="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Shares retired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51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reclassification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Balances at September 30, 2024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37,902,532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507,358</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pPr>
      <w:r>
        <w:rPr>
          <w:rFonts w:ascii="Times New Roman" w:hAnsi="Times New Roman"/>
          <w:color w:val="000000"/>
          <w:sz w:val="16"/>
        </w:rPr>
        <w:t>Number of shares is shown net of cumulative share repurchases of 5,246,541</w:t>
      </w:r>
      <w:r>
        <w:rPr>
          <w:color w:val="000000"/>
        </w:rPr>
        <w:t xml:space="preserve"> </w:t>
      </w:r>
      <w:r>
        <w:rPr>
          <w:rFonts w:ascii="Times New Roman" w:hAnsi="Times New Roman"/>
          <w:color w:val="000000"/>
          <w:sz w:val="16"/>
        </w:rPr>
        <w:t>and 3,478,046</w:t>
      </w:r>
      <w:r>
        <w:rPr>
          <w:color w:val="000000"/>
        </w:rPr>
        <w:t xml:space="preserve"> </w:t>
      </w:r>
      <w:r>
        <w:rPr>
          <w:rFonts w:ascii="Times New Roman" w:hAnsi="Times New Roman"/>
          <w:color w:val="000000"/>
          <w:sz w:val="16"/>
        </w:rPr>
        <w:t>shares as of September 30, 2025 and September 30, 2024, respectively.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Prior to December 31, 2024, the Company reported repurchases of common stock as a separate financial statement line item labeled as "Treasury stock" within "Total net assets" and labeled any related activity as "Acquisition of treasury stock." As of December 31, 2024 and going forward, any shares that were repurchased by the Company are to be returned to unissued common shares and amounts repurchased are presented as a deduction from "Common stock, par value" and "Additional paid-in capital." For more information, refer to "Repurchases of Common Stock" in "Note 2 - Summary of Significant Accounting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8" w:name="statementsofcashflows"/>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6599"/>
        <w:gridCol w:w="146"/>
        <w:gridCol w:w="231"/>
        <w:gridCol w:w="171"/>
        <w:gridCol w:w="887"/>
        <w:gridCol w:w="195"/>
        <w:gridCol w:w="171"/>
        <w:gridCol w:w="231"/>
        <w:gridCol w:w="171"/>
        <w:gridCol w:w="887"/>
        <w:gridCol w:w="516"/>
      </w:tblGrid>
      <w:tr>
        <w:trPr/>
        <w:tc>
          <w:tcPr>
            <w:tcW w:w="6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4"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45,387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Adjustments to reconcile net increase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(174,029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or repayments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147,041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or maturities of 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Payments for derivative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derivative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fixed income premiums or accretion of discounts and end-of-term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interest and fees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Increase (decrease) in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165,680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55,868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Payments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Borrowings under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under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(152,000</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of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of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Acquisition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Retirement of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(54,921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(163,516</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(55,221</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Effect of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and non-cash financing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26,043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26,367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9" w:name="scheduleofinvestments_460338"/>
      <w:bookmarkEnd w:id="9"/>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55"/>
        <w:gridCol w:w="146"/>
        <w:gridCol w:w="906"/>
        <w:gridCol w:w="146"/>
        <w:gridCol w:w="995"/>
        <w:gridCol w:w="146"/>
        <w:gridCol w:w="926"/>
        <w:gridCol w:w="146"/>
        <w:gridCol w:w="770"/>
        <w:gridCol w:w="146"/>
        <w:gridCol w:w="149"/>
        <w:gridCol w:w="620"/>
        <w:gridCol w:w="146"/>
        <w:gridCol w:w="146"/>
        <w:gridCol w:w="146"/>
        <w:gridCol w:w="146"/>
        <w:gridCol w:w="691"/>
        <w:gridCol w:w="166"/>
        <w:gridCol w:w="146"/>
        <w:gridCol w:w="146"/>
        <w:gridCol w:w="146"/>
        <w:gridCol w:w="691"/>
        <w:gridCol w:w="146"/>
        <w:gridCol w:w="146"/>
        <w:gridCol w:w="885"/>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55"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PIK,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PIK, 11.25%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SOFR+8.25% PIK, 11.25%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11.75% floor, 1.60%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8.00% floor, 1.00%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12.50% PIK, 31.05%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SOFR+5.50%, 7.50%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- 44.66%*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1.10%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 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8.25%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8.25%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10.80%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SOFR+6.65%, 10.45%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- 17.42%*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(11)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SOFR+ 8.75% PIK, 9.51%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Staples Distribution &amp; Retail - 8.14%*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11.77% floor, 2.75%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Hurricane Cleanco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6.25%, 6.25%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(10)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6.00%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8"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Financial Services - 16.45%*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983"/>
        <w:gridCol w:w="146"/>
        <w:gridCol w:w="911"/>
        <w:gridCol w:w="146"/>
        <w:gridCol w:w="1031"/>
        <w:gridCol w:w="146"/>
        <w:gridCol w:w="938"/>
        <w:gridCol w:w="146"/>
        <w:gridCol w:w="775"/>
        <w:gridCol w:w="146"/>
        <w:gridCol w:w="150"/>
        <w:gridCol w:w="624"/>
        <w:gridCol w:w="146"/>
        <w:gridCol w:w="146"/>
        <w:gridCol w:w="146"/>
        <w:gridCol w:w="146"/>
        <w:gridCol w:w="691"/>
        <w:gridCol w:w="166"/>
        <w:gridCol w:w="146"/>
        <w:gridCol w:w="146"/>
        <w:gridCol w:w="146"/>
        <w:gridCol w:w="691"/>
        <w:gridCol w:w="146"/>
        <w:gridCol w:w="146"/>
        <w:gridCol w:w="89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2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(26)</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(11) (12)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3.95%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- 22.60%*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12.50%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Household &amp; Personal Products - 8.01%*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12.00%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Insurance - 8.95%*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SOFR+6.75%, 10.96% floor, 2.00%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12.10% floor, 3.83%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Systems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6.50%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6.50%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 (28)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7.50%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11.07%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Systems Software - 29.43%*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&amp;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8.50% floor, 2.00%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&amp; Equipment - 17.70%*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- 179.53%*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898,966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27"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46"/>
        <w:gridCol w:w="826"/>
        <w:gridCol w:w="146"/>
        <w:gridCol w:w="146"/>
        <w:gridCol w:w="146"/>
        <w:gridCol w:w="146"/>
        <w:gridCol w:w="601"/>
        <w:gridCol w:w="146"/>
        <w:gridCol w:w="146"/>
        <w:gridCol w:w="146"/>
        <w:gridCol w:w="146"/>
        <w:gridCol w:w="60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(27)</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(13) (18) (19)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Consumer Staples Distribution &amp; Retail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8.75% Series A Cumulative Redeemable Perpetual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210"/>
        <w:gridCol w:w="146"/>
        <w:gridCol w:w="912"/>
        <w:gridCol w:w="146"/>
        <w:gridCol w:w="988"/>
        <w:gridCol w:w="146"/>
        <w:gridCol w:w="940"/>
        <w:gridCol w:w="146"/>
        <w:gridCol w:w="776"/>
        <w:gridCol w:w="146"/>
        <w:gridCol w:w="146"/>
        <w:gridCol w:w="829"/>
        <w:gridCol w:w="146"/>
        <w:gridCol w:w="146"/>
        <w:gridCol w:w="146"/>
        <w:gridCol w:w="146"/>
        <w:gridCol w:w="511"/>
        <w:gridCol w:w="146"/>
        <w:gridCol w:w="146"/>
        <w:gridCol w:w="146"/>
        <w:gridCol w:w="146"/>
        <w:gridCol w:w="513"/>
        <w:gridCol w:w="146"/>
        <w:gridCol w:w="146"/>
        <w:gridCol w:w="88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15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09"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8"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JWP Holdco LLC (fka Longtail Ad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8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870,514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Financial Services - 0.24%*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39"/>
        <w:gridCol w:w="146"/>
        <w:gridCol w:w="918"/>
        <w:gridCol w:w="146"/>
        <w:gridCol w:w="1003"/>
        <w:gridCol w:w="146"/>
        <w:gridCol w:w="953"/>
        <w:gridCol w:w="146"/>
        <w:gridCol w:w="782"/>
        <w:gridCol w:w="146"/>
        <w:gridCol w:w="146"/>
        <w:gridCol w:w="831"/>
        <w:gridCol w:w="146"/>
        <w:gridCol w:w="146"/>
        <w:gridCol w:w="146"/>
        <w:gridCol w:w="146"/>
        <w:gridCol w:w="511"/>
        <w:gridCol w:w="146"/>
        <w:gridCol w:w="146"/>
        <w:gridCol w:w="147"/>
        <w:gridCol w:w="147"/>
        <w:gridCol w:w="514"/>
        <w:gridCol w:w="146"/>
        <w:gridCol w:w="146"/>
        <w:gridCol w:w="90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 (20)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(13) (17)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VERO Biotech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 Care Equipment &amp; Services - 0.43%*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Household &amp; Personal Products - 0.08%*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Insurance - 0.25%*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Media &amp; Entertainment - 0.12%*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Pharmaceuticals, Biotechnology &amp; Life Sciences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Pharmaceuticals, Biotechnology &amp; Life Sciences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tbl>
      <w:tblPr>
        <w:tblW w:w="10212" w:type="dxa"/>
        <w:jc w:val="left"/>
        <w:tblInd w:w="0" w:type="dxa"/>
        <w:tblLayout w:type="fixed"/>
        <w:tblCellMar>
          <w:top w:w="28" w:type="dxa"/>
          <w:left w:w="28" w:type="dxa"/>
          <w:bottom w:w="28" w:type="dxa"/>
          <w:right w:w="28" w:type="dxa"/>
        </w:tblCellMar>
      </w:tblPr>
      <w:tblGrid>
        <w:gridCol w:w="161"/>
        <w:gridCol w:w="146"/>
        <w:gridCol w:w="946"/>
        <w:gridCol w:w="146"/>
        <w:gridCol w:w="901"/>
        <w:gridCol w:w="146"/>
        <w:gridCol w:w="961"/>
        <w:gridCol w:w="146"/>
        <w:gridCol w:w="916"/>
        <w:gridCol w:w="146"/>
        <w:gridCol w:w="766"/>
        <w:gridCol w:w="146"/>
        <w:gridCol w:w="146"/>
        <w:gridCol w:w="826"/>
        <w:gridCol w:w="146"/>
        <w:gridCol w:w="146"/>
        <w:gridCol w:w="146"/>
        <w:gridCol w:w="146"/>
        <w:gridCol w:w="691"/>
        <w:gridCol w:w="146"/>
        <w:gridCol w:w="146"/>
        <w:gridCol w:w="14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40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Systems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Systems Software - 0.13%*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&amp; Equipment - 0.21%*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976,399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931,915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left"/>
        <w:rPr/>
      </w:pPr>
      <w:r>
        <w:rPr/>
        <w:t> </w:t>
      </w:r>
    </w:p>
    <w:tbl>
      <w:tblPr>
        <w:tblW w:w="10582" w:type="dxa"/>
        <w:jc w:val="left"/>
        <w:tblInd w:w="0" w:type="dxa"/>
        <w:tblLayout w:type="fixed"/>
        <w:tblCellMar>
          <w:top w:w="28" w:type="dxa"/>
          <w:left w:w="28" w:type="dxa"/>
          <w:bottom w:w="28" w:type="dxa"/>
          <w:right w:w="28" w:type="dxa"/>
        </w:tblCellMar>
      </w:tblPr>
      <w:tblGrid>
        <w:gridCol w:w="161"/>
        <w:gridCol w:w="146"/>
        <w:gridCol w:w="1216"/>
        <w:gridCol w:w="146"/>
        <w:gridCol w:w="901"/>
        <w:gridCol w:w="146"/>
        <w:gridCol w:w="961"/>
        <w:gridCol w:w="146"/>
        <w:gridCol w:w="916"/>
        <w:gridCol w:w="146"/>
        <w:gridCol w:w="766"/>
        <w:gridCol w:w="146"/>
        <w:gridCol w:w="146"/>
        <w:gridCol w:w="826"/>
        <w:gridCol w:w="146"/>
        <w:gridCol w:w="146"/>
        <w:gridCol w:w="196"/>
        <w:gridCol w:w="146"/>
        <w:gridCol w:w="691"/>
        <w:gridCol w:w="146"/>
        <w:gridCol w:w="146"/>
        <w:gridCol w:w="196"/>
        <w:gridCol w:w="146"/>
        <w:gridCol w:w="69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7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Commercial &amp; Professional Services - 0.24%*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- 193.24%*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994,183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Foreign Currency Forward Contracts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06"/>
        <w:gridCol w:w="146"/>
        <w:gridCol w:w="1969"/>
        <w:gridCol w:w="146"/>
        <w:gridCol w:w="967"/>
        <w:gridCol w:w="146"/>
        <w:gridCol w:w="311"/>
        <w:gridCol w:w="1280"/>
        <w:gridCol w:w="146"/>
        <w:gridCol w:w="146"/>
        <w:gridCol w:w="364"/>
        <w:gridCol w:w="1504"/>
        <w:gridCol w:w="146"/>
        <w:gridCol w:w="196"/>
        <w:gridCol w:w="279"/>
        <w:gridCol w:w="837"/>
        <w:gridCol w:w="21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Great British Pound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Great British Pound (GBP)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September 30, 2025</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September 30, 2025, the U.S. PRIME Rate was 7.25%, the 1-Month SOFR was 4.13%, and the 3-Month SOFR was 3.98%.</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and Contingencies"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6.55%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8.15%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3.08%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3.58%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12.19% of total assets as of September 30, 2025.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 For any investments denoting a "cash cap", any interest above such cap will be recorded as PIK interest.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NYSE.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NASDAQ.</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Australian Stock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Euronext.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Deutsche Borse Xetra.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quarterly,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on non-accrual status as of September 30, 2025 and is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classified as a Level 1 asset due to being actively traded in the insitutional loan market.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0" w:name="scheduleofinvestments_pp"/>
      <w:bookmarkEnd w:id="10"/>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030"/>
        <w:gridCol w:w="146"/>
        <w:gridCol w:w="909"/>
        <w:gridCol w:w="146"/>
        <w:gridCol w:w="1020"/>
        <w:gridCol w:w="146"/>
        <w:gridCol w:w="934"/>
        <w:gridCol w:w="146"/>
        <w:gridCol w:w="774"/>
        <w:gridCol w:w="146"/>
        <w:gridCol w:w="150"/>
        <w:gridCol w:w="622"/>
        <w:gridCol w:w="146"/>
        <w:gridCol w:w="146"/>
        <w:gridCol w:w="146"/>
        <w:gridCol w:w="146"/>
        <w:gridCol w:w="691"/>
        <w:gridCol w:w="146"/>
        <w:gridCol w:w="146"/>
        <w:gridCol w:w="146"/>
        <w:gridCol w:w="146"/>
        <w:gridCol w:w="691"/>
        <w:gridCol w:w="146"/>
        <w:gridCol w:w="146"/>
        <w:gridCol w:w="887"/>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58"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7"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SOFR+3.75%, 9.08% floor, 3.00% PIK, 3.25%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SOFR+6.25%, 11.25% floor, 2.00% PIK,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Bridge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SOFR+9.50%, 12.26% floor, 7.50%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PRIME+5.00%, 9.00% floor, 1.00% PIK, 5.75%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 (14)</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11.25% floor, 1.50%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12.10% floor, 3.83%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Intermediate Holdings, Inc. (dba VertexOne)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8.00% floor, 1.00% PIK, 3.00%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12.50% PIK, 31.05%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SOFR+7.50%, 12.78%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Hurricane Cleanco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6.25%, 6.25% PIK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(10)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SOFR+9.26%, 9.76% floor, 3.9375%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Vesta Payment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9.00% floor, 5.00%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11.29% floor, 2.53%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PRIME+5.25%, 8.75% floor, 3.50%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1"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142"/>
        <w:gridCol w:w="146"/>
        <w:gridCol w:w="901"/>
        <w:gridCol w:w="146"/>
        <w:gridCol w:w="962"/>
        <w:gridCol w:w="146"/>
        <w:gridCol w:w="916"/>
        <w:gridCol w:w="146"/>
        <w:gridCol w:w="766"/>
        <w:gridCol w:w="146"/>
        <w:gridCol w:w="149"/>
        <w:gridCol w:w="617"/>
        <w:gridCol w:w="146"/>
        <w:gridCol w:w="146"/>
        <w:gridCol w:w="146"/>
        <w:gridCol w:w="146"/>
        <w:gridCol w:w="691"/>
        <w:gridCol w:w="146"/>
        <w:gridCol w:w="146"/>
        <w:gridCol w:w="146"/>
        <w:gridCol w:w="146"/>
        <w:gridCol w:w="691"/>
        <w:gridCol w:w="146"/>
        <w:gridCol w:w="146"/>
        <w:gridCol w:w="873"/>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4"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PRIME+4.90%, 8.90% floor,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 (16)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SOFR+9.75%, 12.26% floor, 10.50%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PRIME+2.70%, 6.70% floor, 2.00% PIK, 4.50%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10.75% floor, 2.50%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(11) (12) (17)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SOFR+8.48%, 8.98% floor, 3.95%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SOFR+5.75%, 9.00% floor, 4.00%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- 27.65%*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PIK, 9.00% floor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(27)</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PRIME+4.75%, 11.00% floor, 11.00% cash cap, 3.00%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SOFR+8.50% PIK, 9.26% floor, 1.00%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(10) (11) (18)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SOFR+4.75%, 6.75% floor, 3.25% PIK, 0.96%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SOFR+7.25%, 11.75% floor, 1.60%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SOFR+6.50%, 10.72% floor,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SOFR+7.00%, 11.07% floor, 1.00%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10.00% floor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- 30.31%*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PRIME+6.25%, 12.50% floor, 3.30%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3PL Central LLC (dba Extensiv)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SOFR+4.50%, 6.50% floor, 2.50% PIK, 2.34%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PRIME+3.25%, 11.75% floor, 2.25% ETP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SOFR+8.00%, 8.50% floor, 2.00% PIK, 3.00%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(10) (11)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- 22.19%*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- 183.16%*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27" w:type="dxa"/>
        <w:jc w:val="left"/>
        <w:tblInd w:w="0" w:type="dxa"/>
        <w:tblLayout w:type="fixed"/>
        <w:tblCellMar>
          <w:top w:w="28" w:type="dxa"/>
          <w:left w:w="28" w:type="dxa"/>
          <w:bottom w:w="28" w:type="dxa"/>
          <w:right w:w="28" w:type="dxa"/>
        </w:tblCellMar>
      </w:tblPr>
      <w:tblGrid>
        <w:gridCol w:w="161"/>
        <w:gridCol w:w="146"/>
        <w:gridCol w:w="1141"/>
        <w:gridCol w:w="146"/>
        <w:gridCol w:w="901"/>
        <w:gridCol w:w="146"/>
        <w:gridCol w:w="961"/>
        <w:gridCol w:w="146"/>
        <w:gridCol w:w="916"/>
        <w:gridCol w:w="146"/>
        <w:gridCol w:w="766"/>
        <w:gridCol w:w="146"/>
        <w:gridCol w:w="146"/>
        <w:gridCol w:w="826"/>
        <w:gridCol w:w="146"/>
        <w:gridCol w:w="146"/>
        <w:gridCol w:w="146"/>
        <w:gridCol w:w="146"/>
        <w:gridCol w:w="601"/>
        <w:gridCol w:w="146"/>
        <w:gridCol w:w="146"/>
        <w:gridCol w:w="146"/>
        <w:gridCol w:w="146"/>
        <w:gridCol w:w="601"/>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0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Minute Media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Advertising - 0.03%*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(19)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VTX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CareCloud,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Series A Cumulative Redeemable Perpetual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(15) (19)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 (9) (13) (18) (19) (22)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 (13) (15) (19)</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zSpace,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3DNA Corp. (dba NationBuilder)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Airship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Aria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G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Circadence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A-6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FiscalNote,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Piano Software,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Management &amp; Custody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Betterment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 Management &amp; Custody Banks - 0.03%*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161"/>
        <w:gridCol w:w="146"/>
        <w:gridCol w:w="1274"/>
        <w:gridCol w:w="146"/>
        <w:gridCol w:w="903"/>
        <w:gridCol w:w="146"/>
        <w:gridCol w:w="967"/>
        <w:gridCol w:w="146"/>
        <w:gridCol w:w="921"/>
        <w:gridCol w:w="146"/>
        <w:gridCol w:w="768"/>
        <w:gridCol w:w="146"/>
        <w:gridCol w:w="146"/>
        <w:gridCol w:w="826"/>
        <w:gridCol w:w="146"/>
        <w:gridCol w:w="146"/>
        <w:gridCol w:w="146"/>
        <w:gridCol w:w="146"/>
        <w:gridCol w:w="511"/>
        <w:gridCol w:w="146"/>
        <w:gridCol w:w="146"/>
        <w:gridCol w:w="146"/>
        <w:gridCol w:w="146"/>
        <w:gridCol w:w="511"/>
        <w:gridCol w:w="146"/>
        <w:gridCol w:w="146"/>
        <w:gridCol w:w="8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743"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2"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Biotechnology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Mustang Bio,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(15)</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TRACON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Biotechnology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Computer &amp; Electronics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Massdrop,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Computer &amp; Electronics Retail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7/10/2033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7/17/2034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Predactiv, Inc. (fka Sharethis,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Electronic Equipment &amp;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Brivo,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12/27/2034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Epic IO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Electronic Equipment &amp; Instruments - 0.13%*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Moximed,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6/24/2032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Equipment - 0.00%*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Allurion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6/14/2022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9/15/2032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(28)</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(14) (21) (28)</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EBR Systems,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(16)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Mingle Healthcare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CC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Nalu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 (9) (13) (17) (22)</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VERO Biotech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CloudPay,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B-1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Human Resource &amp; Employment Services - 0.30%*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647" w:type="dxa"/>
        <w:jc w:val="left"/>
        <w:tblInd w:w="0" w:type="dxa"/>
        <w:tblLayout w:type="fixed"/>
        <w:tblCellMar>
          <w:top w:w="28" w:type="dxa"/>
          <w:left w:w="28" w:type="dxa"/>
          <w:bottom w:w="28" w:type="dxa"/>
          <w:right w:w="28" w:type="dxa"/>
        </w:tblCellMar>
      </w:tblPr>
      <w:tblGrid>
        <w:gridCol w:w="161"/>
        <w:gridCol w:w="146"/>
        <w:gridCol w:w="1111"/>
        <w:gridCol w:w="146"/>
        <w:gridCol w:w="901"/>
        <w:gridCol w:w="146"/>
        <w:gridCol w:w="961"/>
        <w:gridCol w:w="146"/>
        <w:gridCol w:w="916"/>
        <w:gridCol w:w="146"/>
        <w:gridCol w:w="766"/>
        <w:gridCol w:w="146"/>
        <w:gridCol w:w="146"/>
        <w:gridCol w:w="826"/>
        <w:gridCol w:w="146"/>
        <w:gridCol w:w="146"/>
        <w:gridCol w:w="146"/>
        <w:gridCol w:w="146"/>
        <w:gridCol w:w="826"/>
        <w:gridCol w:w="146"/>
        <w:gridCol w:w="146"/>
        <w:gridCol w:w="14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572"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Madison Reed,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&amp; Direct Marketing Retail - 0.04%*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Fidelis Cybersecurity,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INRIX,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JWP Holdco LLC (fka Longtail Ad Solutions,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Skillshare,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Internet Software and Services - 0.79%*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Property &amp; Casualty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Kin Insurance,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9/26/2032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Property &amp; Casualty Insurance - 0.06%*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Specialized 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AllClear ID,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10/17/2018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Sesame,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Specialized Consumer Services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System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Dejero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 (9) (13)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Scale Computing,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9,665,667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System Software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RealWear,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Technology Hardware, Storage &amp; Peripherals - 0.07%*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1"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7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Non-Control/Non-Affiliate Investments - 195.27%*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thousands, except share data)</w:t>
      </w:r>
    </w:p>
    <w:tbl>
      <w:tblPr>
        <w:tblW w:w="10852" w:type="dxa"/>
        <w:jc w:val="left"/>
        <w:tblInd w:w="0" w:type="dxa"/>
        <w:tblLayout w:type="fixed"/>
        <w:tblCellMar>
          <w:top w:w="28" w:type="dxa"/>
          <w:left w:w="28" w:type="dxa"/>
          <w:bottom w:w="28" w:type="dxa"/>
          <w:right w:w="28" w:type="dxa"/>
        </w:tblCellMar>
      </w:tblPr>
      <w:tblGrid>
        <w:gridCol w:w="161"/>
        <w:gridCol w:w="146"/>
        <w:gridCol w:w="1216"/>
        <w:gridCol w:w="146"/>
        <w:gridCol w:w="901"/>
        <w:gridCol w:w="146"/>
        <w:gridCol w:w="961"/>
        <w:gridCol w:w="146"/>
        <w:gridCol w:w="916"/>
        <w:gridCol w:w="146"/>
        <w:gridCol w:w="766"/>
        <w:gridCol w:w="146"/>
        <w:gridCol w:w="146"/>
        <w:gridCol w:w="826"/>
        <w:gridCol w:w="146"/>
        <w:gridCol w:w="146"/>
        <w:gridCol w:w="196"/>
        <w:gridCol w:w="146"/>
        <w:gridCol w:w="826"/>
        <w:gridCol w:w="146"/>
        <w:gridCol w:w="146"/>
        <w:gridCol w:w="196"/>
        <w:gridCol w:w="146"/>
        <w:gridCol w:w="826"/>
        <w:gridCol w:w="146"/>
        <w:gridCol w:w="146"/>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Investment </w:t>
              <w:br/>
              <w:t>Description</w:t>
            </w:r>
            <w:r>
              <w:rPr>
                <w:rFonts w:ascii="Times New Roman" w:hAnsi="Times New Roman"/>
                <w:b/>
                <w:color w:val="000000"/>
                <w:sz w:val="11"/>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 ($)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Fair </w:t>
              <w:br/>
              <w:t xml:space="preserve">Value ($)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Footnotes</w:t>
            </w:r>
          </w:p>
        </w:tc>
      </w:tr>
      <w:tr>
        <w:trPr/>
        <w:tc>
          <w:tcPr>
            <w:tcW w:w="3677" w:type="dxa"/>
            <w:gridSpan w:val="7"/>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(25)</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 (12)</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 - 5.29%*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3,266,668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(30)</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(30)</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Application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Application Software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 (21)</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Healthcare Technology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 - 0.00%*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Affiliate Investments - 12.55%*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(26)</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(24)</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Data Processing &amp; Outsourced Services - 0.23%*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Multi-Sector Holdings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0"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Multi-Sector Holdings - 1.12%*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6" w:type="dxa"/>
            <w:gridSpan w:val="6"/>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 - 1.35%*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Control Investments - 1.35%*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Investments - 209.17%*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1,103,883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color w:val="000000"/>
        </w:rPr>
      </w:pPr>
      <w:r>
        <w:rPr>
          <w:color w:val="000000"/>
        </w:rPr>
        <w:t> </w:t>
      </w:r>
      <w:r>
        <w:rPr>
          <w:rFonts w:ascii="Times New Roman" w:hAnsi="Times New Roman"/>
          <w:b/>
          <w:color w:val="000000"/>
          <w:sz w:val="20"/>
        </w:rPr>
        <w:t>Consolidated Schedule of Investments – (continued)</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December 31, 2024</w:t>
      </w:r>
    </w:p>
    <w:tbl>
      <w:tblPr>
        <w:tblW w:w="10205" w:type="dxa"/>
        <w:jc w:val="left"/>
        <w:tblInd w:w="0" w:type="dxa"/>
        <w:tblLayout w:type="fixed"/>
        <w:tblCellMar>
          <w:top w:w="28" w:type="dxa"/>
          <w:left w:w="28" w:type="dxa"/>
          <w:bottom w:w="28" w:type="dxa"/>
          <w:right w:w="28" w:type="dxa"/>
        </w:tblCellMar>
      </w:tblPr>
      <w:tblGrid>
        <w:gridCol w:w="277"/>
        <w:gridCol w:w="146"/>
        <w:gridCol w:w="9782"/>
      </w:tblGrid>
      <w:tr>
        <w:trPr/>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2" w:type="dxa"/>
            <w:tcBorders/>
            <w:vAlign w:val="center"/>
          </w:tcPr>
          <w:p>
            <w:pPr>
              <w:pStyle w:val="TableContents"/>
              <w:bidi w:val="0"/>
              <w:spacing w:before="0" w:after="283"/>
              <w:jc w:val="left"/>
              <w:rPr>
                <w:sz w:val="4"/>
                <w:szCs w:val="4"/>
              </w:rPr>
            </w:pPr>
            <w:r>
              <w:rPr>
                <w:sz w:val="4"/>
                <w:szCs w:val="4"/>
              </w:rPr>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2024, the U.S. PRIME Rate was 7.50%, the 1-Month SOFR was 4.33%, and the 3-Month SOFR was 4.31%.</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held at Fair Value net of the Fair Value of Unfunded Commitments. Refer to "Note 8 – Commitments and Contingencies" for additional detail.</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portfolio companies are domiciled in the United States, unless otherwise noted.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United Kingdom. Fair value of United Kingdom domiciled investments represents 5.51%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Germany. Fair value of German domiciled investments represents 6.64%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Canada. Fair value of Canadian domiciled investments represents 2.83%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domiciled in the Netherlands. Fair value of Dutch domiciled investments represents 3.34% of net assets.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qualifying investment as defined under Section 55(a) of the Investment Company Act of 1940, as amended. The fair value of non-qualifying assets represents 9.28% of total assets as of December 31,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Represents a PIK security. PIK interest will be accrued and paid at maturity. For any investments denoting a "cash cap", any interest above such cap will be recorded as PIK interest.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Disclosures of end-of-term payments ("ETP") are one-time payments stated as a percentage of principal amount.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is an eligible loan investment in the collateral under the Credit Facility (as defined in "Note 7 – Borrowings").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are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NYSE.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NASDAQ.</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Australian Stock Exchange.</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Euronext.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Portfolio company is publicly traded and listed on Deutsche Borse Xetra.</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not a "restricted security" under the Securities Act.</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warrant count is based upon a percentage of ownership of Fidelis Cybersecurity, Inc.</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either a cash success fee payable or earnout of shares based on the consummation of certain trigger events.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represents a security with a tiered fee that increases quarterly, dependent upon the timing of repayment. Such fees are recorded in "Fee income" on the Consolidated Statements of Operations.</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assets recovered on the senior secured term loan to Pivot3, Inc. were contributed to P3 Holdco LLC by the Company, a wholly owned subsidiary of the Company. For more information, refer to "Note 2 – Summary of Significant Accounting Policies, Principles of Consolidation".</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Affiliate portfolio company as defined under the 1940 Act in which the Company owns between 5% and 25% (inclusive) of the investment's voting securities and does not have rights to maintain greater than 50% representation on the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Control portfolio company, as defined under the 1940 Act, in which the Company owns more than 25% of the investment’s voting securities or has greater than 50% representation on its board.</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was on non-accrual status as of December 31, 2024 and was therefore considered non-income producing.</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equity security was subject to a lock-up period until January 22, 2025.</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JobGet Holdings, Inc. (fka Snagajob.com, Inc.) has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had the right of first refusal on sale of preferred stock.</w:t>
            </w:r>
          </w:p>
        </w:tc>
      </w:tr>
      <w:tr>
        <w:trPr/>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as a percentage of net assets.</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bookmarkStart w:id="11" w:name="notestofinancialstatements_777521"/>
      <w:bookmarkEnd w:id="11"/>
      <w:r>
        <w:rPr>
          <w:rFonts w:ascii="Times New Roman" w:hAnsi="Times New Roman"/>
          <w:b/>
          <w:color w:val="000000"/>
          <w:sz w:val="20"/>
        </w:rPr>
        <w:t>Notes to Consolidated Financial Statements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p>
      <w:pPr>
        <w:pStyle w:val="Heading1"/>
        <w:bidi w:val="0"/>
        <w:spacing w:before="240" w:after="240"/>
        <w:jc w:val="both"/>
        <w:rPr>
          <w:rFonts w:ascii="Times New Roman" w:hAnsi="Times New Roman"/>
          <w:color w:val="000000"/>
          <w:sz w:val="20"/>
        </w:rPr>
      </w:pPr>
      <w:r>
        <w:rPr>
          <w:rFonts w:ascii="Times New Roman" w:hAnsi="Times New Roman"/>
          <w:color w:val="000000"/>
          <w:sz w:val="20"/>
        </w:rPr>
        <w:t>Note 1 – Organization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was formed primarily to lend to, and selectively invest in, high growth-potential companies in technology, healthcare, business services, financial services, and select consumer services and products in other high growth industries. The Company’s investment objective is to maximize its total return to its stockholders primarily through current income on its loan portfolio, and secondarily through capital gain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 On January 30, 2025, a private investment fund advised by BC Partners Advisors L.P. ("BC Partners") acquired the majority equity interest of RGC, and Mount Logan Capital Inc., an affiliate of BC Partners, acquired the remaining minority equity interest, together acquiring the entirety of the outstanding equity interest of RGC (the "BCP Transaction").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pStyle w:val="Heading1"/>
        <w:bidi w:val="0"/>
        <w:spacing w:before="120" w:after="240"/>
        <w:jc w:val="left"/>
        <w:rPr>
          <w:rFonts w:ascii="Times New Roman" w:hAnsi="Times New Roman"/>
          <w:color w:val="000000"/>
          <w:sz w:val="20"/>
        </w:rPr>
      </w:pPr>
      <w:r>
        <w:rPr>
          <w:rFonts w:ascii="Times New Roman" w:hAnsi="Times New Roman"/>
          <w:color w:val="000000"/>
          <w:sz w:val="20"/>
        </w:rPr>
        <w:t>Note 2 – Summary of Significant Accounting Policies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0" w:after="240"/>
        <w:jc w:val="both"/>
        <w:rPr>
          <w:rFonts w:ascii="Times New Roman" w:hAnsi="Times New Roman"/>
          <w:sz w:val="20"/>
        </w:rPr>
      </w:pPr>
      <w:r>
        <w:rPr>
          <w:rFonts w:ascii="Times New Roman" w:hAnsi="Times New Roman"/>
          <w:color w:val="000000"/>
          <w:sz w:val="20"/>
        </w:rPr>
        <w:t>The accompanying interim unaudited consolidated financial statements of the Company are prepared on the accrual basis of accounting in conformity with U.S. Generally Accepted Accounting Principles ("U.S. GAAP") and pursuant to the requirements for reporting on Form 10</w:t>
        <w:noBreakHyphen/>
        <w:t xml:space="preserve">Q and in compliance with Regulation S-X under the Securities Exchange Act of 1934, as amended. The Company is an investment company following the specialized accounting and reporting guidance specified in the Financial Accounting Standards Board’s ("FASB") Accounting Standards Codification ("ASC") Topic 946, </w:t>
      </w:r>
      <w:r>
        <w:rPr>
          <w:rFonts w:ascii="Times New Roman" w:hAnsi="Times New Roman"/>
          <w:i/>
          <w:color w:val="000000"/>
          <w:sz w:val="20"/>
        </w:rPr>
        <w:t>Financial Services - Investment Companies</w:t>
      </w:r>
      <w:r>
        <w:rPr>
          <w:rFonts w:ascii="Times New Roman" w:hAnsi="Times New Roman"/>
          <w:color w:val="000000"/>
          <w:sz w:val="20"/>
        </w:rPr>
        <w:t xml:space="preserve"> ("ASC 946").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management’s opinion, all adjustments necessary for the fair presentation of the interim financial statements have been included. These adjustments are of a normal recurring nature. The results of operations for the current interim period are not necessarily indicative of results that ultimately may be achieved for any other interim period or for the year ending December 31, 2025. The interim unaudited consolidated financial statements and notes hereto should be read in conjunction with the audited consolidated financial statements and notes thereto contained in the Company’s annual report on Form 10-K, as modified by the Company's annual report on Form 10-K/A, for the year ended December 31, 2024, filed with the Securities and Exchange Commission (the "SEC") on March 20, 2025 and March 27, 2025, respectively.</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entered into a joint venture agreement, effective as of March 6, 2024,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ASC 946, the Company is precluded from consolidating portfolio company investments, including those in which it has a controlling interest, unless the portfolio company is another investment company that is substantially wholly owned by it.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Company’s consolidated operations include the activities of its wholly owned subsidiary, P3 Holdco LLC ("P3 Holdco"). P3 Holdco serves to facilitate the Company’s investment in Pivot3, Inc. ("Pivot3"). As a result, the Company consolidates the financial results of P3 Holdco in its consolidated financial statements in accordance with ASC 946 and treats its indirect investment in Pivot3 as a portfolio investment held at fair value. All intercompany balances and transactions have been eliminated.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determined that the JV is an investment company under ASC Topic 946. However, in accordance with such guidance, the Company will generally not consolidate its investment in a company other than a substantially wholly owned investment company subsidiary, which is an extension of the operations of the Company, or a controlled operating company whose business consists of providing services to the Company. The Company does not consolidate its interest in the JV as it is not a substantially wholly owned investment company subsidiary of the Company. In addition, the JV is not an operating company and the Company does not control the JV due to the allocation of voting rights among the JV members. As a result, the JV is accounted for as a portfolio investment of the Company held at fair value and not included as a consolidated subsidiary in the Company's financial statements. Refer to the Consolidated Schedule of Investments for the Company’s equity interest in Pivot3 and the JV as of September 30, 2025 and December 31, 2024.</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follows the guidance in ASC Topic 860, </w:t>
      </w:r>
      <w:r>
        <w:rPr>
          <w:rFonts w:ascii="Times New Roman" w:hAnsi="Times New Roman"/>
          <w:i/>
          <w:color w:val="000000"/>
          <w:sz w:val="20"/>
        </w:rPr>
        <w:t>Transfers and Servicing</w:t>
      </w:r>
      <w:r>
        <w:rPr>
          <w:rFonts w:ascii="Times New Roman" w:hAnsi="Times New Roman"/>
          <w:color w:val="000000"/>
          <w:sz w:val="20"/>
        </w:rPr>
        <w:t xml:space="preserve"> ("ASC 860"), when accounting for transferred financial assets such as debt and equity assignments. Such guidance requires an assignment to meet the definition of a "participating interest", as defined in the guidance, and the following conditions to be met in order for sale treatment to be allowed: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assigned investments have been isolated from the Company and put presumptively beyond the reach of the Company and its creditors, even in bankruptcy or other receivership;</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each participant has the right to pledge or exchange the assigned investments it received, and no condition both constrains the participant from taking advantage of its right to pledge or exchange and provides more than a trivial benefit to the Company;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its consolidated affiliates or its agents do not maintain effective control over the assigned investments through either: (i) an agreement that entitles and/or obligates the Company to repurchase or redeem the assets before maturity, or (ii) the ability to unilaterally cause the holder to return the specific assets, other than through a cleanup call.</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Assignments and other partial debt or equity sales that do not meet the definition of a participating interest or the above conditions, should remain on the Company's Consolidated Statements of Assets and Liabilities and the proceeds recorded as a secured borrowing until the definition is met. </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Cash consists solely of funds deposited with financial institutions, while cash equivalents consist of short-term liquid investments in money market funds. Cash and cash equivalents are carried at cost, which approximates fair value. As of September 30, 2025 and December 31, 2024, $7.7 million and $4.0 million was invested in money market funds, respectively. Dividends earned from money market funds are recorded in "Other income" on the Consolidated Statements of Operations. The Company may hold foreign cash from time to time as a result of transactions related to investments denominated in foreign currencies. Foreign cash includes the value of foreign currencies held and translated to U.S. dollars using the prevailing foreign exchange rates as of September 30, 2025. Temporary fluctuations in any foreign currency held on the balance sheet date are recorded in "Net change in unrealized gain (loss) on forward contracts and foreign currency transactions" on the Consolidated Statements of Operations. Any realized gains or losses recognized upon foreign currency translated into local currency are recorded in "Net realized gain (loss) on forward contracts and foreign currency transactions" on the Consolidated Statements of Operations.</w:t>
      </w:r>
    </w:p>
    <w:p>
      <w:pPr>
        <w:pStyle w:val="TextBody"/>
        <w:bidi w:val="0"/>
        <w:spacing w:before="160" w:after="240"/>
        <w:jc w:val="both"/>
        <w:rPr>
          <w:rFonts w:ascii="Times New Roman" w:hAnsi="Times New Roman"/>
          <w:b/>
          <w:i/>
          <w:color w:val="000000"/>
          <w:sz w:val="20"/>
        </w:rPr>
      </w:pPr>
      <w:r>
        <w:rPr>
          <w:rFonts w:ascii="Times New Roman" w:hAnsi="Times New Roman"/>
          <w:b/>
          <w:i/>
          <w:color w:val="000000"/>
          <w:sz w:val="20"/>
        </w:rPr>
        <w:t>Investments Denominated in Foreign Currency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September 30, 2025 and December 31, 2024, the Company held two investments denominated in British pound sterling, and one investment denominated in Euros. Refer to the Consolidated Schedule of Investments and respective footnotes to the Consolidated Schedule of Investments for more details on the portfolio company investments held in foreign currencies as of September 30, 2025 and December 31, 2024.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on the Consolidated Statements of Operations. Any realized gains or losses upon settlement of investments and related receivables denominated in foreign currency are recorded in "Net realized gain (loss) on forward contracts and foreign currency transactions" on the Consolidated Statements of Operations.</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The Company may also enter into foreign currency forward contracts to mitigate its exposure to foreign currency fluctuations associated with certain investments denominated in foreign currencies. These contracts are recognized as derivative instruments and measured at fair value in accordance with ASC Topic 815, </w:t>
      </w:r>
      <w:r>
        <w:rPr>
          <w:rFonts w:ascii="Times New Roman" w:hAnsi="Times New Roman"/>
          <w:i/>
          <w:color w:val="000000"/>
          <w:sz w:val="20"/>
        </w:rPr>
        <w:t xml:space="preserve">Derivatives and Hedging </w:t>
      </w:r>
      <w:r>
        <w:rPr>
          <w:rFonts w:ascii="Times New Roman" w:hAnsi="Times New Roman"/>
          <w:color w:val="000000"/>
          <w:sz w:val="20"/>
        </w:rPr>
        <w:t>("ASC 815"), and are recorded as "Foreign currency forward contracts" on the Consolidated Statements of Assets and Liabilities. Changes in fair value are recorded in "Net change in unrealized gain (loss) on forward contracts and foreign currency transactions" on the Consolidated Statements of Operations. The payments and proceeds from derivative contracts are included in "Payments for derivative contracts" and "Proceeds from derivative contracts", respectively, on the Consolidated Statements of Cash Flows. The net cash flows realized on settlement of derivatives are included in "Net realized (gain) loss on forward contracts and foreign currency transactions" on the Consolidated Statements of Operations and Consolidated Statements of Cash Flows. Refer to "Note 4 – Investments" for more information regarding the foreign currency forward contracts.</w:t>
      </w:r>
    </w:p>
    <w:p>
      <w:pPr>
        <w:pStyle w:val="Heading2"/>
        <w:bidi w:val="0"/>
        <w:spacing w:before="160" w:after="240"/>
        <w:jc w:val="left"/>
        <w:rPr>
          <w:rFonts w:ascii="Times New Roman" w:hAnsi="Times New Roman"/>
          <w:i/>
          <w:color w:val="000000"/>
          <w:sz w:val="20"/>
        </w:rPr>
      </w:pPr>
      <w:r>
        <w:rPr>
          <w:rFonts w:ascii="Times New Roman" w:hAnsi="Times New Roman"/>
          <w:i/>
          <w:color w:val="000000"/>
          <w:sz w:val="20"/>
        </w:rPr>
        <w:t>Investment Transactions and Related Investment Income</w:t>
      </w:r>
    </w:p>
    <w:p>
      <w:pPr>
        <w:pStyle w:val="TextBody"/>
        <w:bidi w:val="0"/>
        <w:spacing w:before="0" w:after="160"/>
        <w:jc w:val="left"/>
        <w:rPr>
          <w:rFonts w:ascii="Times New Roman" w:hAnsi="Times New Roman"/>
          <w:sz w:val="20"/>
        </w:rPr>
      </w:pPr>
      <w:r>
        <w:rPr>
          <w:rFonts w:ascii="Times New Roman" w:hAnsi="Times New Roman"/>
          <w:color w:val="000000"/>
          <w:sz w:val="19"/>
        </w:rPr>
        <w:t>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end-of-term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19"/>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For the three and nine months ended September 30, 2025, 11.5%</w:t>
      </w:r>
      <w:r>
        <w:rPr>
          <w:rFonts w:ascii="Times New Roman" w:hAnsi="Times New Roman"/>
          <w:color w:val="000000"/>
          <w:sz w:val="20"/>
        </w:rPr>
        <w:t xml:space="preserve"> </w:t>
      </w:r>
      <w:r>
        <w:rPr>
          <w:rFonts w:ascii="Times New Roman" w:hAnsi="Times New Roman"/>
          <w:color w:val="000000"/>
          <w:sz w:val="19"/>
        </w:rPr>
        <w:t>and 11.1%, respectively, of the Company’s total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19"/>
        </w:rPr>
        <w:t>investment income was attributable to non-cash PIK interest. For the three and nine months ended September 30, 2024, 7.5%</w:t>
      </w:r>
      <w:r>
        <w:rPr>
          <w:rFonts w:ascii="Times New Roman" w:hAnsi="Times New Roman"/>
          <w:color w:val="000000"/>
          <w:sz w:val="20"/>
        </w:rPr>
        <w:t xml:space="preserve"> </w:t>
      </w:r>
      <w:r>
        <w:rPr>
          <w:rFonts w:ascii="Times New Roman" w:hAnsi="Times New Roman"/>
          <w:color w:val="000000"/>
          <w:sz w:val="19"/>
        </w:rPr>
        <w:t>and 8.4%, respectively, of the Company’s total investment income was attributable to non-cash PIK interest.</w:t>
      </w:r>
    </w:p>
    <w:p>
      <w:pPr>
        <w:pStyle w:val="TextBody"/>
        <w:bidi w:val="0"/>
        <w:spacing w:before="0" w:after="160"/>
        <w:jc w:val="both"/>
        <w:rPr>
          <w:rFonts w:ascii="Times New Roman" w:hAnsi="Times New Roman"/>
          <w:sz w:val="20"/>
        </w:rPr>
      </w:pPr>
      <w:r>
        <w:rPr>
          <w:rFonts w:ascii="Times New Roman" w:hAnsi="Times New Roman"/>
          <w:color w:val="000000"/>
          <w:sz w:val="19"/>
        </w:rPr>
        <w:t>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and ETP, is recorded on an accrual basis to the extent that the Company expects to collect such amounts.</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19"/>
        </w:rPr>
      </w:pPr>
      <w:r>
        <w:rPr>
          <w:rFonts w:ascii="Times New Roman" w:hAnsi="Times New Roman"/>
          <w:color w:val="000000"/>
          <w:sz w:val="19"/>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pStyle w:val="Heading2"/>
        <w:bidi w:val="0"/>
        <w:spacing w:before="200" w:after="240"/>
        <w:jc w:val="left"/>
        <w:rPr>
          <w:rFonts w:ascii="Times New Roman" w:hAnsi="Times New Roman"/>
          <w:i/>
          <w:color w:val="000000"/>
          <w:sz w:val="20"/>
        </w:rPr>
      </w:pPr>
      <w:r>
        <w:rPr>
          <w:rFonts w:ascii="Times New Roman" w:hAnsi="Times New Roman"/>
          <w:i/>
          <w:color w:val="000000"/>
          <w:sz w:val="20"/>
        </w:rPr>
        <w:t>Debt and Deferred Financing Costs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debt of the Company is carried at amortized cost on the Consolidated Statements of Assets and Liabilities, which is comprised of the principal amount borrowed, net of unamortized debt financing costs. Debt financing costs ("DFC") are fees and other direct incremental costs incurred by the Company in relation to debt financing and are amortized over the life of the related debt instrument or the life of such cost's respective service, if shorter, using the straight-line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"Unamortized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Non-Accrual Investments</w:t>
      </w:r>
    </w:p>
    <w:p>
      <w:pPr>
        <w:pStyle w:val="TextBody"/>
        <w:bidi w:val="0"/>
        <w:spacing w:before="0" w:after="160"/>
        <w:jc w:val="both"/>
        <w:rPr>
          <w:rFonts w:ascii="Times New Roman" w:hAnsi="Times New Roman"/>
          <w:color w:val="000000"/>
          <w:sz w:val="19"/>
        </w:rPr>
      </w:pPr>
      <w:r>
        <w:rPr>
          <w:rFonts w:ascii="Times New Roman" w:hAnsi="Times New Roman"/>
          <w:color w:val="000000"/>
          <w:sz w:val="19"/>
        </w:rPr>
        <w:t>Debt investments are placed on non-accrual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pStyle w:val="TextBody"/>
        <w:bidi w:val="0"/>
        <w:spacing w:before="0" w:after="80"/>
        <w:jc w:val="both"/>
        <w:rPr>
          <w:rFonts w:ascii="Times New Roman" w:hAnsi="Times New Roman"/>
          <w:color w:val="000000"/>
          <w:sz w:val="19"/>
        </w:rPr>
      </w:pPr>
      <w:r>
        <w:rPr>
          <w:rFonts w:ascii="Times New Roman" w:hAnsi="Times New Roman"/>
          <w:color w:val="000000"/>
          <w:sz w:val="19"/>
        </w:rPr>
        <w:t>The following table summarizes the cost, fair value, and types of income not recorded in "Interest income" on the Consolidated Statements of Operations related to senior secured term loans on non-accrual status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383"/>
        <w:gridCol w:w="346"/>
        <w:gridCol w:w="1043"/>
        <w:gridCol w:w="146"/>
        <w:gridCol w:w="259"/>
        <w:gridCol w:w="147"/>
        <w:gridCol w:w="517"/>
        <w:gridCol w:w="146"/>
        <w:gridCol w:w="146"/>
        <w:gridCol w:w="273"/>
        <w:gridCol w:w="156"/>
        <w:gridCol w:w="404"/>
        <w:gridCol w:w="146"/>
        <w:gridCol w:w="146"/>
        <w:gridCol w:w="258"/>
        <w:gridCol w:w="147"/>
        <w:gridCol w:w="516"/>
        <w:gridCol w:w="146"/>
        <w:gridCol w:w="146"/>
        <w:gridCol w:w="256"/>
        <w:gridCol w:w="146"/>
        <w:gridCol w:w="511"/>
        <w:gridCol w:w="146"/>
        <w:gridCol w:w="146"/>
        <w:gridCol w:w="256"/>
        <w:gridCol w:w="146"/>
        <w:gridCol w:w="511"/>
        <w:gridCol w:w="146"/>
        <w:gridCol w:w="146"/>
        <w:gridCol w:w="148"/>
        <w:gridCol w:w="427"/>
        <w:gridCol w:w="148"/>
        <w:gridCol w:w="601"/>
      </w:tblGrid>
      <w:tr>
        <w:trPr/>
        <w:tc>
          <w:tcPr>
            <w:tcW w:w="1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JobGet Holdings, Inc. (fka Snagajob.com, Inc.)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8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measures the value of its financial instruments at fair value in accordance with ASC Topic 820, </w:t>
      </w:r>
      <w:r>
        <w:rPr>
          <w:rFonts w:ascii="Times New Roman" w:hAnsi="Times New Roman"/>
          <w:i/>
          <w:color w:val="000000"/>
          <w:sz w:val="20"/>
        </w:rPr>
        <w:t>Fair Value Measurements and Disclosure</w:t>
      </w:r>
      <w:r>
        <w:rPr>
          <w:rFonts w:ascii="Times New Roman" w:hAnsi="Times New Roman"/>
          <w:color w:val="000000"/>
          <w:sz w:val="20"/>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1-Valuations are based on quoted prices in active markets for identical assets or liabilities that are accessible at the measurement 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Level 2-Valuations are based on quoted prices in markets that are not active or for which all significant inputs are observable, either directly or indirectly and model-based valuation techniques for which all significant inputs are observable.</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240" w:after="200"/>
        <w:jc w:val="left"/>
        <w:rPr>
          <w:rFonts w:ascii="Times New Roman" w:hAnsi="Times New Roman"/>
          <w:b w:val="false"/>
          <w:i/>
          <w:color w:val="000000"/>
          <w:sz w:val="20"/>
        </w:rPr>
      </w:pPr>
      <w:r>
        <w:rPr>
          <w:rFonts w:ascii="Times New Roman" w:hAnsi="Times New Roman"/>
          <w:b w:val="false"/>
          <w:i/>
          <w:color w:val="000000"/>
          <w:sz w:val="20"/>
        </w:rPr>
        <w:t>Investment Valuation Techniques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Company undertakes a multi-step valuation process each quarter, as described below:</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quarterly valuation process begins with each portfolio company investment being initially valued by RGC’s investment professionals that are responsible for the portfolio investment;</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Preliminary valuation conclusions are then documented and discussed with RGC’s valuation committee;</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Audit Committee of the Board of Directors (the "Audit Committee") then reviews these preliminary valuations from RGC and the independent valuation firm, if any, and makes a recommendation to the Board of Directors regarding such valuations; and</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 xml:space="preserve">The Board of Directors reviews the recommended preliminary valuations and determines the fair value of each investment in the Company’s portfolio, in good faith, based on the input of RGC, the independent valuation firm(s) and the Audit Committee.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Company’s investments are primarily loans made to and equity and warrants of small companies with potential for fast growth focused in technology, healthcare, business services, and other high-growth industries. These investments are generally considered Level 3 assets under ASC 820 because there is typically no known or accessible market or market indices for these types of debt and equity instruments and, thus, the Board of Directors must determine the fair value of these investment securities based on models utilizing unobservable inputs.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valuation committee considers relevant.</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Board of Directors makes this fair value determination on a quarterly basis and any other time when a decision regarding the fair value of the portfolio investments is required. There is no single standard for determining the fair value of investments that do not have an active public market. A determination of fair value of investments, particularly those of privately held companies, involves subjective judgments and estimates and depends on the facts and circumstances.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u w:val="single"/>
        </w:rPr>
      </w:pPr>
      <w:r>
        <w:rPr>
          <w:rFonts w:ascii="Times New Roman" w:hAnsi="Times New Roman"/>
          <w:color w:val="000000"/>
          <w:sz w:val="20"/>
          <w:u w:val="single"/>
        </w:rPr>
        <w:t>Debt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reasonable effective market interest rates for its investments. The range of interest rate spreads utilized is based on borrowers with similar credit profiles. All remaining expected cash flows of the investment are discounted using the calculated interest rate to determine a fair value for the debt investment.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valuation process includes, among other things,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estimates of proceeds that would be received in a liquidation scenario, or active market quotes for institutionally traded debt.</w:t>
      </w:r>
    </w:p>
    <w:p>
      <w:pPr>
        <w:pStyle w:val="TextBody"/>
        <w:bidi w:val="0"/>
        <w:spacing w:before="0" w:after="240"/>
        <w:jc w:val="both"/>
        <w:rPr>
          <w:rFonts w:ascii="Times New Roman" w:hAnsi="Times New Roman"/>
          <w:color w:val="000000"/>
          <w:sz w:val="20"/>
          <w:u w:val="single"/>
        </w:rPr>
      </w:pPr>
      <w:r>
        <w:rPr>
          <w:rFonts w:ascii="Times New Roman" w:hAnsi="Times New Roman"/>
          <w:color w:val="000000"/>
          <w:sz w:val="20"/>
          <w:u w:val="single"/>
        </w:rPr>
        <w:t>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Fair value of warrants is primarily determined using a Black Scholes option-pricing model. Privately held warrants and equity-related securities are valued based on an analysis of various factors including, but not limited to,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stock/units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Earnouts are considered contingent considerations. If a contingent consideration will result in cash proceeds, a scenario-based method is utilized. The value of the contingent consideration is determined based on the probability weighted value of the contingent consideration being achieved. If the contingent consideration is shares in a public company and based on the public stock price, the contingent consideration is valued using the barrier option pricing methodology, which utilizes the public company stock price and applicable discounts being considered in the valuation.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certain cases, the Company may apply alternative valuation methods to more accurately estimate the fair value of warrants. These may include the Current Value Method or other approaches deemed appropriate under the circumstances. Such methods may be used when a warrant is expected to settle in the near term, includes a put feature, or when there is a recent arm’s-length transaction or binding offer that provides relevant pricing information. Other approaches, such as a waterfall analysis or a model based on a warrant’s redemption value, may also be considered. The Current Value Method determines the warrant’s value based on its current redemption or liquidation value, considering the enterprise value and the rights and preferences of all debt and equity securities in the company’s capital structure.</w:t>
      </w:r>
    </w:p>
    <w:p>
      <w:pPr>
        <w:pStyle w:val="TextBody"/>
        <w:bidi w:val="0"/>
        <w:spacing w:before="80" w:after="240"/>
        <w:jc w:val="both"/>
        <w:rPr>
          <w:rFonts w:ascii="Times New Roman" w:hAnsi="Times New Roman"/>
          <w:color w:val="000000"/>
          <w:sz w:val="20"/>
          <w:u w:val="single"/>
        </w:rPr>
      </w:pPr>
      <w:r>
        <w:rPr>
          <w:rFonts w:ascii="Times New Roman" w:hAnsi="Times New Roman"/>
          <w:color w:val="000000"/>
          <w:sz w:val="20"/>
          <w:u w:val="single"/>
        </w:rPr>
        <w:t>Foreign Currency Forward Contracts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accordance with ASC 820, the Company measures these derivatives at fair value on a recurring basis using a market approach. The valuation technique relies on observable market inputs, including spot and forward exchange rates. The fair values are obtained through model-based pricing using inputs that are corroborated by market data and are classified as Level 2 within the fair value hierarchy.</w:t>
      </w:r>
    </w:p>
    <w:p>
      <w:pPr>
        <w:pStyle w:val="TextBody"/>
        <w:bidi w:val="0"/>
        <w:spacing w:before="80" w:after="240"/>
        <w:jc w:val="both"/>
        <w:rPr>
          <w:rFonts w:ascii="Times New Roman" w:hAnsi="Times New Roman"/>
          <w:color w:val="000000"/>
          <w:sz w:val="20"/>
          <w:u w:val="single"/>
        </w:rPr>
      </w:pPr>
      <w:r>
        <w:rPr>
          <w:rFonts w:ascii="Times New Roman" w:hAnsi="Times New Roman"/>
          <w:color w:val="000000"/>
          <w:sz w:val="20"/>
          <w:u w:val="single"/>
        </w:rPr>
        <w:t>Equity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fair value of an equity investment in a privately held company is initially the face value 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Under certain circumstances, the Company may use an alternative technique to value equity investments that better reflect the security’s fair value, such as the Current Value Method and other techniques as determined to be appropriate. This may include an expected settlement of a security in the near term, a model that incorporates a put feature associated with the security, the price paid or realized in a recently completed transaction or binding offer received in an arms-length transaction, a waterfall approach, or a model based on the redemption value of a security. The Current Value Method concludes the value of the security based on the current redemption value or the current liquidation value, taking into account the concluded enterprise value and the rights and preferences of all the debt and equity securities that make up a company’s capitalization.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240" w:after="240"/>
        <w:jc w:val="left"/>
        <w:rPr>
          <w:rFonts w:ascii="Times New Roman" w:hAnsi="Times New Roman"/>
          <w:i/>
          <w:color w:val="000000"/>
          <w:sz w:val="20"/>
        </w:rPr>
      </w:pPr>
      <w:r>
        <w:rPr>
          <w:rFonts w:ascii="Times New Roman" w:hAnsi="Times New Roman"/>
          <w:i/>
          <w:color w:val="000000"/>
          <w:sz w:val="20"/>
        </w:rPr>
        <w:t>Investment Classification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ASC 946, permanent tax differences are reclassified from accumulated undistributed earnings to paid-in-capital at the end of each year and have no impact on total net assets. For more information, refer to "Note 10 – Income Taxes." </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Per Share Information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Basic and diluted earnings (loss) per common share is calculated using the weighted-average number of common shares outstanding for the period presented. For the three and nine months ended September 30, 2025 and 2024, basic and diluted earnings (loss) per share of common stock were the same because there were no potentially dilutive securities outstanding. Per share data is based on the weighted-average shares outstanding.</w:t>
      </w:r>
    </w:p>
    <w:p>
      <w:pPr>
        <w:pStyle w:val="Heading2"/>
        <w:bidi w:val="0"/>
        <w:spacing w:before="0" w:after="240"/>
        <w:jc w:val="left"/>
        <w:rPr>
          <w:rFonts w:ascii="Times New Roman" w:hAnsi="Times New Roman"/>
          <w:sz w:val="20"/>
        </w:rPr>
      </w:pPr>
      <w:r>
        <w:rPr>
          <w:rFonts w:ascii="Times New Roman" w:hAnsi="Times New Roman"/>
          <w:i/>
          <w:color w:val="000000"/>
          <w:sz w:val="20"/>
        </w:rPr>
        <w:t>Comprehensive Income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reports all changes in comprehensive income in the Consolidated Statements of Operations. The Company did not have any other comprehensive income during the three and nine months ended September 30, 2025 and 2024. The Company’s comprehensive income is equal to its "Net increase (decrease) in net assets resulting from operations" on the Consolidated Statements of Operations. </w:t>
      </w:r>
    </w:p>
    <w:p>
      <w:pPr>
        <w:pStyle w:val="Heading2"/>
        <w:bidi w:val="0"/>
        <w:spacing w:before="240" w:after="240"/>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Repurchases of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Prior to December 31, 2024, the Company reported repurchases of common stock as a separate financial statement line item labeled as "Treasury stock" within "Total net assets" on the Consolidated Statements of Assets and Liabilities and Consolidated Statements of Changes in Net Assets, and labeled any related activity as "Acquisition of treasury stock" on the Consolidated Statements of Changes in Net Assets and Consolidated Statements of Cash Flows. As of and for the year ended December 31, 2024, as required under Maryland law, any shares repurchased by the Company are to be returned to unissued common shares and amounts repurchased are presented as a deduction from "Common stock, par value" and "Additional paid-in capital". The prior period activity has been reclassified during the year ended December 31, 2024 as a "Reclassification of share repurchases" within the Statement of Changes in Net Assets.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jc w:val="left"/>
        <w:rPr>
          <w:rFonts w:ascii="Times New Roman" w:hAnsi="Times New Roman"/>
          <w:sz w:val="20"/>
        </w:rPr>
      </w:pPr>
      <w:r>
        <w:rPr>
          <w:rFonts w:ascii="Times New Roman" w:hAnsi="Times New Roman"/>
          <w:color w:val="000000"/>
          <w:sz w:val="20"/>
        </w:rPr>
        <w:t xml:space="preserve">On November 26, 2024, the FASB issued ASU 2024-04, </w:t>
      </w:r>
      <w:r>
        <w:rPr>
          <w:rFonts w:ascii="Times New Roman" w:hAnsi="Times New Roman"/>
          <w:i/>
          <w:color w:val="000000"/>
          <w:sz w:val="20"/>
        </w:rPr>
        <w:t>Debt - Debt with Conversion and Other Options (Subtopic 470-20)- Induced Conversions of Convertible Debt Instruments</w:t>
      </w:r>
      <w:r>
        <w:rPr>
          <w:rFonts w:ascii="Times New Roman" w:hAnsi="Times New Roman"/>
          <w:color w:val="000000"/>
          <w:sz w:val="20"/>
        </w:rPr>
        <w:t xml:space="preserve"> ("ASU 2024-04"), related to induced conversions of convertible debt instruments. The amendments in this update clarify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plans to adopt the pronouncement for our fiscal year beginning January 1, 2026 and is currently evaluating the potential effect that the standard will have on our financial statement disclosures.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3 – Related Party Agreements and Transactions</w:t>
      </w:r>
    </w:p>
    <w:p>
      <w:pPr>
        <w:pStyle w:val="Heading2"/>
        <w:bidi w:val="0"/>
        <w:spacing w:before="0" w:after="240"/>
        <w:jc w:val="left"/>
        <w:rPr>
          <w:rFonts w:ascii="Times New Roman" w:hAnsi="Times New Roman"/>
          <w:i/>
          <w:color w:val="000000"/>
          <w:sz w:val="20"/>
        </w:rPr>
      </w:pPr>
      <w:r>
        <w:rPr>
          <w:rFonts w:ascii="Times New Roman" w:hAnsi="Times New Roman"/>
          <w:i/>
          <w:color w:val="000000"/>
          <w:sz w:val="20"/>
        </w:rPr>
        <w:t>Advisory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November 29, 2016, the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"Second Amended and Restated Advisory Agreement") at a virtual meeting and recommended that the Company’s stockholders approve the Second Amended and Restated Advisory Agreement. The amendments included certain revisions to the management and incentive fee calculation mechanisms and clarified language relating to liquidity events. In reliance upon certain exemptive relief granted by the SEC in connection with the global COVID-19 pandemic, the Board of Directors undertook to ratify the Second Amended and Restated Advisory Agreement at its next in-person meeting which was held in July 2021. The Second Amended and Restated Advisory Agreement became effective on May 27, 2021 upon approval by the stockholders at a special meeting of stockholders of the Company. On April 30, 2024, the Board of Directors renewed the Second Amended and Restated Advisory Agreement for a period of twelve months commencing May 27,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29, 2024, the Board of Directors, including the independent directors, approved the Third Amended and Restated Advisory Agreement (the "Advisory Agreement") and recommended that the Company's stockholders approve the Advisory Agreement. On January 23, 2025, the Company's stockholders approved the Advisory Agreement at a special meeting of stockholders of the Company, and the Advisory Agreement became effective on January 30, 2025 upon the closing of the BCP Transaction. Although the ownership of RGC changed in connection with the completion of the BCP Transaction, the management of RGC did not change, nor did the terms of the Advisory Agreement compared to the Second Amended and Restated Advisory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terms of the Advisory Agreement, RGC: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composition of the Company’s portfolio, the nature and timing of the changes to the portfolio and the manner of implementing such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identifies, evaluates and negotiates the structure of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executes, closes and monitors the investments the Company makes;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determines the securities and other assets that the Company will purchase, retain or sell;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performs due diligence on prospective investments;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provides the Company with such other investment advisory, research and related services as the Company may, from time to time, reasonably require for the investment of its funds.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Base Management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base management fee is payable on the first day of each calendar quarter and is calculated on the Company's gross assets, which, for purposes of the Advisory Agreement, is defined as the Company’s average daily gross assets, including assets purchased with borrowed funds or other forms of leverage, as of the end of the most recently completed fiscal quarter. The base management fee will be an amount equal to 0.375% (1.50% annualized) of the Company’s average daily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For the three and nine months ended September 30, 2025, RGC earned base management fees at a rate of 1.50% per annum, amounting to $4.0 million and $11.9 million, respectively. For the three and nine months ended September 30, 2024, RGC earned base management fees at a rate of 1.50% per annum, amounting to $3.9 million and $11.8 million, respectively. As the Company pays management fees at the beginning of each quarter, there were no management fees payable as of September 30, 2025 and December 31, 2024.</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Incentive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Pre-Incentive Fee NII will be based on the Pre-Incentive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stock/units, but excluding the incentive fee).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and nine months ended September 30, 2025, RGC earned incentive fees of $4.1 million and $11.5 million, respectively; of which $4.8 million and $10.1 million were payable in cash, respectively, and ($0.7) million and $1.4 million was accrued and generated from deferred interest, respectively. For the three and nine months ended September 30, 2024, RGC earned incentive fees of $4.0 million and $12.3 million, respectively, of which $3.1 million and $9.6 million was payable in cash, respectively, and $0.9 million and $2.6 million was accrued and generated from deferred interest, respectively. 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three and nine months ended September 30, 2025 and 2024 are net of such recategorizations during the respective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September 30, 2025, $4.8 million were payable in cash, and $11.5 million were deferred incentive fees payable, both of which are included in "Incentive fees payable" on the Statements of Assets and Liabilities. As of December 31, 2024, $4.0 million of incentive fees payable were payable in cash, and $10.1 million were deferred incentive fees payable, both of which are included in "Incentive fees payable" on the Consolidated Statements of Assets and Liabilities.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capital gains incentive fee consists of fees related to realized gains and losses and unrealized capital losses. As of each of September 30, 2025 and December 31, 2024, there were no capital gains incentive fees accrued, earned or payable to RGC under the Advisory Agreement.</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Administration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the three months ended September 30, 2025, the Company incurred $0.7 million of Administration Agreement expenses, of which $0.2 million was a third-party administrator expense and $0.5 million was overhead allocation expense. For the three months ended September 30, 2024, the Company incurred $0.4 million of Administration Agreement expenses, of which $0.1 million was a third-party administrator expense and $0.3 million was overhead allocation expense. All Administration Agreement expenses are recorded as "Administration Agreement expenses" on the Consolidated Statements of Operations for the three months ended September 30, 2025 and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nine months ended September 30, 2025, the Company incurred $2.0 million of Administration Agreement expenses, of which $0.5 million was a third-party administrator expense and $1.5 million was overhead allocation expense. For the nine months ended September 30, 2024, the Company incurred $1.5 million of Administration Agreement expenses, of which $0.5 million was a third-party administrator expense and $1.0 million was overhead allocation expense. All Administration Agreement expenses are recorded as "Administration Agreement expenses" on the Consolidated Statements of Operations for the nine months ended September 30, 2025 and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September 30, 2025, the Company had accrued a net payable to the Administrator of $0.9 million and a payable to the third-party administrator of $0.4 million As of December 31, 2024, the Company had accrued a net payable to the Administrator of $0.3 million and a payable to the third-party administrator of $0.2 million. All payables related to the Administration Agreement are recorded within "Accrued expenses and other liabilities" on the Consolidated Statements of Assets and Liabilities.</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License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Runway-Cadma I LLC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March 2024, the Company entered into a joint venture agreement with Cadma to create and co-manage Runway-Cadma I LLC, also referred to as the JV. The JV entered into a senior secured revolving credit facility with Apollo Capital Management, L.P ("Apollo Credit Facility"), which provided the JV with a $40.0 million commitment, subject to borrowing base requirements. The Apollo Credit Facility is non-recourse to the Company and bears interest at a per annum rate equal to the three-month SOFR plus an applicable margin rate of 4.15%. As of September 30, 2025, the JV has not drawn on the available commitment in the Apollo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During the three and nine months ended September 30, 2025, the Company contributed $6.7 million of equity capital to the JV. During the three and nine months ended September 30, 2024, the Company contributed $5.0 million and $5.6 million of equity capital to the JV, respectively. The Company had $6.4 thousand in receivables from the JV related to shared expenses as of September 30, 2025. The Company no receivables or payables between the Company and the JV as of December 31, 2024.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As of September 30, 2025 and December 31, 2024, the fair value of the Company's equity interest in the JV was $12.9 million and $5.7 million, respectively. As of September 30, 2025 and December 31, 2024, the JV had the following contributed capital and unfunded commitments from its members (in thousands):</w:t>
      </w:r>
    </w:p>
    <w:tbl>
      <w:tblPr>
        <w:tblW w:w="9173" w:type="dxa"/>
        <w:jc w:val="left"/>
        <w:tblInd w:w="0" w:type="dxa"/>
        <w:tblLayout w:type="fixed"/>
        <w:tblCellMar>
          <w:top w:w="28" w:type="dxa"/>
          <w:left w:w="28" w:type="dxa"/>
          <w:bottom w:w="28" w:type="dxa"/>
          <w:right w:w="28" w:type="dxa"/>
        </w:tblCellMar>
      </w:tblPr>
      <w:tblGrid>
        <w:gridCol w:w="4706"/>
        <w:gridCol w:w="408"/>
        <w:gridCol w:w="304"/>
        <w:gridCol w:w="1252"/>
        <w:gridCol w:w="146"/>
        <w:gridCol w:w="146"/>
        <w:gridCol w:w="399"/>
        <w:gridCol w:w="297"/>
        <w:gridCol w:w="1224"/>
        <w:gridCol w:w="291"/>
      </w:tblGrid>
      <w:tr>
        <w:trPr/>
        <w:tc>
          <w:tcPr>
            <w:tcW w:w="47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contributed capital by Runway Growth Finance Corp.</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contributed capital by all members</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unfunded commitments by Runway Growth Finance Corp.</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unfunded commitments by all members</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14, 2024, the Company assigned: (i) $10.0 million of its debt investment in Airship Group, Inc. and (ii) 107,296 warrants for shares of Series F Preferred Stock of Airship Group, Inc., to the JV, for an aggregate purchase price of $9.9 million, net of upfront fees. In accordance with ACS 860, this transaction met the criteria for a sale. On August 29, 2025, the JV and the Company completed a co-investment in the portfolio company Madison Reed, Inc., where the JV's share of the debt investment and success fee amounted to a purchase price of $13.4 million, net of upfront fees. As of September 30, 2025, the JV had two debt investments with an aggregate fair value of $23.7 million and two warrant investments with an aggregate fair value of $0.2 million. As of December 31, 2024, the JV had one debt investment with a fair value of $10.2 million and one equity investment with a fair value of $0.1 million.</w:t>
      </w:r>
    </w:p>
    <w:p>
      <w:pPr>
        <w:pStyle w:val="Heading2"/>
        <w:bidi w:val="0"/>
        <w:spacing w:before="360" w:after="240"/>
        <w:jc w:val="both"/>
        <w:rPr>
          <w:rFonts w:ascii="Times New Roman" w:hAnsi="Times New Roman"/>
          <w:i/>
          <w:color w:val="000000"/>
          <w:sz w:val="20"/>
        </w:rPr>
      </w:pPr>
      <w:r>
        <w:rPr>
          <w:rFonts w:ascii="Times New Roman" w:hAnsi="Times New Roman"/>
          <w:i/>
          <w:color w:val="000000"/>
          <w:sz w:val="20"/>
        </w:rPr>
        <w:t>Relationship with Oaktree Capital Management and OCM Growth Holdings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September 30, 2025, OCM Growth owned 8,279,668 shares of the Company's common stock, or 22.9% of the Company's outstanding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or 2,763,810 shares. Catherine Frey serves on the Company's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4 – Investments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Control and Affiliate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affiliate and control investments as of September 30, 2025, along with the transactions during the nine months ended September 30, 2025, are as follows (in thousands):</w:t>
      </w:r>
    </w:p>
    <w:tbl>
      <w:tblPr>
        <w:tblW w:w="11144" w:type="dxa"/>
        <w:jc w:val="left"/>
        <w:tblInd w:w="0" w:type="dxa"/>
        <w:tblLayout w:type="fixed"/>
        <w:tblCellMar>
          <w:top w:w="28" w:type="dxa"/>
          <w:left w:w="28" w:type="dxa"/>
          <w:bottom w:w="28" w:type="dxa"/>
          <w:right w:w="28" w:type="dxa"/>
        </w:tblCellMar>
      </w:tblPr>
      <w:tblGrid>
        <w:gridCol w:w="293"/>
        <w:gridCol w:w="682"/>
        <w:gridCol w:w="534"/>
        <w:gridCol w:w="146"/>
        <w:gridCol w:w="931"/>
        <w:gridCol w:w="146"/>
        <w:gridCol w:w="245"/>
        <w:gridCol w:w="183"/>
        <w:gridCol w:w="473"/>
        <w:gridCol w:w="146"/>
        <w:gridCol w:w="146"/>
        <w:gridCol w:w="196"/>
        <w:gridCol w:w="146"/>
        <w:gridCol w:w="601"/>
        <w:gridCol w:w="146"/>
        <w:gridCol w:w="146"/>
        <w:gridCol w:w="196"/>
        <w:gridCol w:w="146"/>
        <w:gridCol w:w="511"/>
        <w:gridCol w:w="146"/>
        <w:gridCol w:w="146"/>
        <w:gridCol w:w="196"/>
        <w:gridCol w:w="146"/>
        <w:gridCol w:w="661"/>
        <w:gridCol w:w="166"/>
        <w:gridCol w:w="146"/>
        <w:gridCol w:w="196"/>
        <w:gridCol w:w="146"/>
        <w:gridCol w:w="511"/>
        <w:gridCol w:w="166"/>
        <w:gridCol w:w="146"/>
        <w:gridCol w:w="196"/>
        <w:gridCol w:w="146"/>
        <w:gridCol w:w="57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1"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September 30, 2025</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w:t>
              <w:b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All affiliate and control investments, which as of September 30, 2025, represented 2.87%</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Company’s affiliate and control investments as of December 31, 2024, along with the transactions during the year ended December 31, 2024, are as follows (in thousands):</w:t>
      </w:r>
    </w:p>
    <w:tbl>
      <w:tblPr>
        <w:tblW w:w="10930" w:type="dxa"/>
        <w:jc w:val="left"/>
        <w:tblInd w:w="0" w:type="dxa"/>
        <w:tblLayout w:type="fixed"/>
        <w:tblCellMar>
          <w:top w:w="28" w:type="dxa"/>
          <w:left w:w="28" w:type="dxa"/>
          <w:bottom w:w="28" w:type="dxa"/>
          <w:right w:w="28" w:type="dxa"/>
        </w:tblCellMar>
      </w:tblPr>
      <w:tblGrid>
        <w:gridCol w:w="293"/>
        <w:gridCol w:w="682"/>
        <w:gridCol w:w="534"/>
        <w:gridCol w:w="146"/>
        <w:gridCol w:w="931"/>
        <w:gridCol w:w="146"/>
        <w:gridCol w:w="207"/>
        <w:gridCol w:w="154"/>
        <w:gridCol w:w="540"/>
        <w:gridCol w:w="146"/>
        <w:gridCol w:w="146"/>
        <w:gridCol w:w="196"/>
        <w:gridCol w:w="146"/>
        <w:gridCol w:w="601"/>
        <w:gridCol w:w="146"/>
        <w:gridCol w:w="146"/>
        <w:gridCol w:w="196"/>
        <w:gridCol w:w="146"/>
        <w:gridCol w:w="511"/>
        <w:gridCol w:w="146"/>
        <w:gridCol w:w="146"/>
        <w:gridCol w:w="359"/>
        <w:gridCol w:w="267"/>
        <w:gridCol w:w="305"/>
        <w:gridCol w:w="146"/>
        <w:gridCol w:w="146"/>
        <w:gridCol w:w="278"/>
        <w:gridCol w:w="207"/>
        <w:gridCol w:w="236"/>
        <w:gridCol w:w="146"/>
        <w:gridCol w:w="146"/>
        <w:gridCol w:w="196"/>
        <w:gridCol w:w="146"/>
        <w:gridCol w:w="601"/>
        <w:gridCol w:w="166"/>
        <w:gridCol w:w="146"/>
        <w:gridCol w:w="196"/>
        <w:gridCol w:w="146"/>
        <w:gridCol w:w="601"/>
        <w:gridCol w:w="191"/>
      </w:tblGrid>
      <w:tr>
        <w:trPr/>
        <w:tc>
          <w:tcPr>
            <w:tcW w:w="29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7"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 </w:t>
              <w:b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Income Earned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Value as of December </w:t>
              <w:br/>
              <w:t>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Additions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Gross </w:t>
              <w:br/>
              <w:t>Reductions</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 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 as of December 31, 2024</w:t>
            </w:r>
            <w:r>
              <w:rPr>
                <w:rFonts w:ascii="Times New Roman" w:hAnsi="Times New Roman"/>
                <w:b/>
                <w:color w:val="000000"/>
                <w:sz w:val="11"/>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 -</w:t>
              <w:br/>
              <w:t>Senior Secured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SOFR+8.75%, 8.00% ceiling, 5.00% ETP, due 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Coginiti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Gynesonics,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Success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Pivot3,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100% 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3"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gridSpan w:val="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pBdr>
          <w:bottom w:val="single" w:sz="6" w:space="1" w:color="000000"/>
        </w:pBdr>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Gross reductions include decreases in the basis of investments resulting from principal collections related to investment repayments or sales, the exchange of one or more existing Investments for one or more new investments and the movement of investment between categories.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All affiliate and control investments, which as of December 31, 2024, represented 13.90%</w:t>
      </w:r>
      <w:r>
        <w:rPr>
          <w:rFonts w:ascii="Times New Roman" w:hAnsi="Times New Roman"/>
          <w:color w:val="000000"/>
          <w:sz w:val="20"/>
        </w:rPr>
        <w:t xml:space="preserve"> </w:t>
      </w:r>
      <w:r>
        <w:rPr>
          <w:rFonts w:ascii="Times New Roman" w:hAnsi="Times New Roman"/>
          <w:color w:val="000000"/>
          <w:sz w:val="16"/>
        </w:rPr>
        <w:t>of the Company’s net assets, may be deemed to be restricted securities under the Securities Act, and were valued at fair value as determined in good faith by the Company’s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Portfolio Composition</w:t>
      </w:r>
    </w:p>
    <w:p>
      <w:pPr>
        <w:pStyle w:val="TextBody"/>
        <w:bidi w:val="0"/>
        <w:spacing w:before="0" w:after="120"/>
        <w:jc w:val="both"/>
        <w:rPr>
          <w:rFonts w:ascii="Times New Roman" w:hAnsi="Times New Roman"/>
          <w:color w:val="000000"/>
          <w:sz w:val="19"/>
        </w:rPr>
      </w:pPr>
      <w:r>
        <w:rPr>
          <w:rFonts w:ascii="Times New Roman" w:hAnsi="Times New Roman"/>
          <w:color w:val="000000"/>
          <w:sz w:val="19"/>
        </w:rPr>
        <w:t>The following table shows the fair value of the Company's portfolio of investments by geographic region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996"/>
        <w:gridCol w:w="146"/>
        <w:gridCol w:w="348"/>
        <w:gridCol w:w="259"/>
        <w:gridCol w:w="1231"/>
        <w:gridCol w:w="146"/>
        <w:gridCol w:w="146"/>
        <w:gridCol w:w="218"/>
        <w:gridCol w:w="899"/>
        <w:gridCol w:w="218"/>
        <w:gridCol w:w="450"/>
        <w:gridCol w:w="146"/>
        <w:gridCol w:w="311"/>
        <w:gridCol w:w="232"/>
        <w:gridCol w:w="1315"/>
        <w:gridCol w:w="146"/>
        <w:gridCol w:w="146"/>
        <w:gridCol w:w="201"/>
        <w:gridCol w:w="828"/>
        <w:gridCol w:w="201"/>
        <w:gridCol w:w="622"/>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0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76.48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Midwestern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Northwestern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 Central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Southeastern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Runway-Cadma I LLC</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171.88</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982,534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193.24</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209.17</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Runway-Cadma I LLC is a joint venture between the Company and Cadma. This entity invests in secured loans to growth-stage companies that have been originated by the Company. See "Note 2 – Summary of Significant Accounting Policies" for further discussion.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June 30, 2025, the Company transitioned from an internal industry classification system to the Global Industry Classification Standard ("GICS"). The following table shows the fair value of the Company's portfolio of investments by GICS industry as of September 30, 2025 (in thousands):</w:t>
      </w:r>
    </w:p>
    <w:p>
      <w:pPr>
        <w:pStyle w:val="TextBody"/>
        <w:bidi w:val="0"/>
        <w:jc w:val="both"/>
        <w:rPr/>
      </w:pPr>
      <w:r>
        <w:rPr/>
        <w:t> </w:t>
      </w:r>
    </w:p>
    <w:tbl>
      <w:tblPr>
        <w:tblW w:w="7186" w:type="dxa"/>
        <w:jc w:val="left"/>
        <w:tblInd w:w="0" w:type="dxa"/>
        <w:tblLayout w:type="fixed"/>
        <w:tblCellMar>
          <w:top w:w="28" w:type="dxa"/>
          <w:left w:w="28" w:type="dxa"/>
          <w:bottom w:w="28" w:type="dxa"/>
          <w:right w:w="28" w:type="dxa"/>
        </w:tblCellMar>
      </w:tblPr>
      <w:tblGrid>
        <w:gridCol w:w="2836"/>
        <w:gridCol w:w="146"/>
        <w:gridCol w:w="375"/>
        <w:gridCol w:w="279"/>
        <w:gridCol w:w="1325"/>
        <w:gridCol w:w="146"/>
        <w:gridCol w:w="146"/>
        <w:gridCol w:w="239"/>
        <w:gridCol w:w="986"/>
        <w:gridCol w:w="239"/>
        <w:gridCol w:w="469"/>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r>
      <w:tr>
        <w:trPr/>
        <w:tc>
          <w:tcPr>
            <w:tcW w:w="2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Systems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 Care Equipment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Commercial &amp;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&amp;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 Distribution &amp; 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&amp; Personal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 &amp;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Multi-Sector Holdings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193.24</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fair value of the Company's portfolio of investments by industry as of December 31, 2024 (in thousands):</w:t>
      </w:r>
    </w:p>
    <w:tbl>
      <w:tblPr>
        <w:tblW w:w="7636" w:type="dxa"/>
        <w:jc w:val="left"/>
        <w:tblInd w:w="0" w:type="dxa"/>
        <w:tblLayout w:type="fixed"/>
        <w:tblCellMar>
          <w:top w:w="28" w:type="dxa"/>
          <w:left w:w="28" w:type="dxa"/>
          <w:bottom w:w="28" w:type="dxa"/>
          <w:right w:w="28" w:type="dxa"/>
        </w:tblCellMar>
      </w:tblPr>
      <w:tblGrid>
        <w:gridCol w:w="3286"/>
        <w:gridCol w:w="146"/>
        <w:gridCol w:w="332"/>
        <w:gridCol w:w="247"/>
        <w:gridCol w:w="1400"/>
        <w:gridCol w:w="146"/>
        <w:gridCol w:w="146"/>
        <w:gridCol w:w="239"/>
        <w:gridCol w:w="986"/>
        <w:gridCol w:w="239"/>
        <w:gridCol w:w="469"/>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Assets</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Application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45.35</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Outsourced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System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&amp; Casualty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Internet &amp; Direct Marketing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Human Resource &amp; Employment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Equipment &amp;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Multi-Sector Holdings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Technology Hardware, Storage &amp; Peripherals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Specialized Consumer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Management &amp; Custody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Biotechnology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0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209.17</w:t>
            </w:r>
          </w:p>
        </w:tc>
        <w:tc>
          <w:tcPr>
            <w:tcW w:w="23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nine months ended September 30, 2025, the Company had a net realized loss of $0.4 million and $1.7 million, respectively, and a net change in unrealized gains of $0.2 million and $1.1 million, respectively, from its investments in warrants. For the three and nine months ended September 30, 2024, the Company had no realized gains or losses and a net change in unrealized gains of $0.9 million and $0.1 million, respectively, from its investments in warrants. Realized gains and losses from warrants are included in the respective control, affiliate, or non-control/non-affiliate "Net realized gain (loss)" on the Consolidated Statements of Operations. Unrealized gains and losses from investments in warrants are included in the respective control, affiliate, or non-control/non-affiliate "Net change in unrealized gain (loss)"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enters into foreign currency forward contracts from time to time to help mitigate the impact that an adverse change in foreign exchange rates would have on the value of the Company's investments denominated in foreign currencies and related interest income. Derivative contracts entered into by the Company are not designated as hedging instruments. Unrealized gain (loss) from the Company's foreign currency forward contracts are recorded within "Net change in unrealized gain (loss) on forward contracts and foreign currency transactions" on the Consolidated Statements of Operations. Realized gain (loss) from the Company's foreign currency forward contracts are recorded within "Net realized gain (loss) on forward contracts and foreign currency transactions" on the Consolidated Statements of Operations.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shows the Company's outstanding foreign currency forward contracts as of September 30, 2025 (in thousands): </w:t>
      </w:r>
    </w:p>
    <w:tbl>
      <w:tblPr>
        <w:tblW w:w="10205" w:type="dxa"/>
        <w:jc w:val="left"/>
        <w:tblInd w:w="0" w:type="dxa"/>
        <w:tblLayout w:type="fixed"/>
        <w:tblCellMar>
          <w:top w:w="28" w:type="dxa"/>
          <w:left w:w="28" w:type="dxa"/>
          <w:bottom w:w="28" w:type="dxa"/>
          <w:right w:w="28" w:type="dxa"/>
        </w:tblCellMar>
      </w:tblPr>
      <w:tblGrid>
        <w:gridCol w:w="1406"/>
        <w:gridCol w:w="146"/>
        <w:gridCol w:w="1969"/>
        <w:gridCol w:w="146"/>
        <w:gridCol w:w="967"/>
        <w:gridCol w:w="146"/>
        <w:gridCol w:w="311"/>
        <w:gridCol w:w="1280"/>
        <w:gridCol w:w="146"/>
        <w:gridCol w:w="146"/>
        <w:gridCol w:w="364"/>
        <w:gridCol w:w="1504"/>
        <w:gridCol w:w="146"/>
        <w:gridCol w:w="196"/>
        <w:gridCol w:w="279"/>
        <w:gridCol w:w="837"/>
        <w:gridCol w:w="216"/>
      </w:tblGrid>
      <w:tr>
        <w:trPr/>
        <w:tc>
          <w:tcPr>
            <w:tcW w:w="1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Sold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 to be Purchased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Gain </w:t>
              <w:br/>
              <w:t>(Loss)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Great British Pound (GBP)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Great British Pound (GBP)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foreign currency forward contracts as of December 31, 2024.</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Offsetting of Derivative Instruments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has derivative instruments that are subject to master netting agreements. These agreements include provisions to offset positions with the same counterparty in the event of default by either party. The Company’s unrealized loss on derivative instruments is reported as "Foreign currency forward contracts" on the Consolidated Statements of Assets and Liabilities. The following table presents the Company’s liabilities related to derivatives by counterparty, net of amounts available for offset under a master netting arrangement and net of any collateral received or pledged by the Company for such assets and liabilities as of September 30, 2025:</w:t>
      </w:r>
    </w:p>
    <w:tbl>
      <w:tblPr>
        <w:tblW w:w="10205" w:type="dxa"/>
        <w:jc w:val="left"/>
        <w:tblInd w:w="0" w:type="dxa"/>
        <w:tblLayout w:type="fixed"/>
        <w:tblCellMar>
          <w:top w:w="28" w:type="dxa"/>
          <w:left w:w="28" w:type="dxa"/>
          <w:bottom w:w="28" w:type="dxa"/>
          <w:right w:w="28" w:type="dxa"/>
        </w:tblCellMar>
      </w:tblPr>
      <w:tblGrid>
        <w:gridCol w:w="1663"/>
        <w:gridCol w:w="146"/>
        <w:gridCol w:w="507"/>
        <w:gridCol w:w="379"/>
        <w:gridCol w:w="1137"/>
        <w:gridCol w:w="166"/>
        <w:gridCol w:w="146"/>
        <w:gridCol w:w="455"/>
        <w:gridCol w:w="339"/>
        <w:gridCol w:w="387"/>
        <w:gridCol w:w="146"/>
        <w:gridCol w:w="146"/>
        <w:gridCol w:w="400"/>
        <w:gridCol w:w="297"/>
        <w:gridCol w:w="340"/>
        <w:gridCol w:w="146"/>
        <w:gridCol w:w="146"/>
        <w:gridCol w:w="450"/>
        <w:gridCol w:w="335"/>
        <w:gridCol w:w="383"/>
        <w:gridCol w:w="146"/>
        <w:gridCol w:w="146"/>
        <w:gridCol w:w="397"/>
        <w:gridCol w:w="295"/>
        <w:gridCol w:w="887"/>
        <w:gridCol w:w="220"/>
      </w:tblGrid>
      <w:tr>
        <w:trPr/>
        <w:tc>
          <w:tcPr>
            <w:tcW w:w="1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Counterparty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Liabilities Subject to Master Netting Agreement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Derivatives Available </w:t>
              <w:br/>
              <w:t>for Offset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Non-cash </w:t>
              <w:br/>
              <w:t>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Collateral Pledged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Amount of Derivative Liabilities</w:t>
            </w:r>
            <w:r>
              <w:rPr>
                <w:rFonts w:ascii="Times New Roman" w:hAnsi="Times New Roman"/>
                <w:color w:val="000000"/>
                <w:sz w:val="16"/>
              </w:rPr>
              <w:t> </w:t>
            </w:r>
            <w:r>
              <w:rPr>
                <w:rFonts w:ascii="Times New Roman" w:hAnsi="Times New Roman"/>
                <w:b/>
                <w:color w:val="000000"/>
                <w:sz w:val="11"/>
              </w:rPr>
              <w:t>(1)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Canadian Imperial Bank of Commerce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Net amount of derivative liabilities represents the net amount due from the Company to the counterparty.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were no liabilities related to derivatives available for offset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5 – Fair Value of Financial Instruments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Company’s assets recorded at fair value have been categorized based upon a fair value hierarchy in accordance with ASC 820. Refer to "Note 2  –  Summary of Significant Accounting Policies" for a discussion of the Company’s policies.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Investments measured at fair value on a recurring basis are categorized in the tables below based upon the lowest level of significant input to the valuations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2272"/>
        <w:gridCol w:w="146"/>
        <w:gridCol w:w="196"/>
        <w:gridCol w:w="146"/>
        <w:gridCol w:w="601"/>
        <w:gridCol w:w="146"/>
        <w:gridCol w:w="146"/>
        <w:gridCol w:w="256"/>
        <w:gridCol w:w="146"/>
        <w:gridCol w:w="436"/>
        <w:gridCol w:w="166"/>
        <w:gridCol w:w="146"/>
        <w:gridCol w:w="256"/>
        <w:gridCol w:w="146"/>
        <w:gridCol w:w="826"/>
        <w:gridCol w:w="146"/>
        <w:gridCol w:w="146"/>
        <w:gridCol w:w="472"/>
        <w:gridCol w:w="269"/>
        <w:gridCol w:w="1109"/>
        <w:gridCol w:w="146"/>
        <w:gridCol w:w="146"/>
        <w:gridCol w:w="256"/>
        <w:gridCol w:w="146"/>
        <w:gridCol w:w="826"/>
        <w:gridCol w:w="512"/>
      </w:tblGrid>
      <w:tr>
        <w:trPr/>
        <w:tc>
          <w:tcPr>
            <w:tcW w:w="2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Measured at Net Asset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Secured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857,636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Second Lien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21,177</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Preferred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37,386</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15,587</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7,656</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Forward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952,980</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Senior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Second Lien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82,641</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14,182</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4,026</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1,080,866</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16"/>
        </w:rPr>
      </w:pPr>
      <w:r>
        <w:rPr>
          <w:rFonts w:ascii="Times New Roman" w:hAnsi="Times New Roman"/>
          <w:color w:val="000000"/>
          <w:sz w:val="16"/>
        </w:rPr>
        <w:t>In accordance with ASC 820, the Company's equity investment in Runway-Cadma I LLC is measured using the net asset value as a practical expedient for fair value, and thus has not been classified in the fair value hierarchy.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Company transfers investments in and out of Levels 1, 2 and 3 as of the beginning balance sheet date, based on changes in the use of observable and unobservable inputs utilized to perform the valuation for the period. During the nine months ended September 30, 2025, the Company's preferred stock investment in CareCloud, Inc., valued at $9.2 million at the beginning of the reporting period, was reclassified from Level 2 to Level 3 due to delisting from the NASDAQ stock exchange. During the nine months ended September 30, 2024, the Company had warrant investments in portfolio companies that went public, resulting in asset transfers out of Level 3 and into Level 2 at the fair value of approximately $50 thousand.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September 30, 2025 (in thousands):</w:t>
      </w:r>
    </w:p>
    <w:tbl>
      <w:tblPr>
        <w:tblW w:w="12005" w:type="dxa"/>
        <w:jc w:val="left"/>
        <w:tblInd w:w="0" w:type="dxa"/>
        <w:tblLayout w:type="fixed"/>
        <w:tblCellMar>
          <w:top w:w="28" w:type="dxa"/>
          <w:left w:w="28" w:type="dxa"/>
          <w:bottom w:w="28" w:type="dxa"/>
          <w:right w:w="28" w:type="dxa"/>
        </w:tblCellMar>
      </w:tblPr>
      <w:tblGrid>
        <w:gridCol w:w="1036"/>
        <w:gridCol w:w="196"/>
        <w:gridCol w:w="146"/>
        <w:gridCol w:w="751"/>
        <w:gridCol w:w="166"/>
        <w:gridCol w:w="146"/>
        <w:gridCol w:w="256"/>
        <w:gridCol w:w="146"/>
        <w:gridCol w:w="601"/>
        <w:gridCol w:w="146"/>
        <w:gridCol w:w="146"/>
        <w:gridCol w:w="256"/>
        <w:gridCol w:w="195"/>
        <w:gridCol w:w="766"/>
        <w:gridCol w:w="166"/>
        <w:gridCol w:w="146"/>
        <w:gridCol w:w="256"/>
        <w:gridCol w:w="146"/>
        <w:gridCol w:w="665"/>
        <w:gridCol w:w="166"/>
        <w:gridCol w:w="146"/>
        <w:gridCol w:w="256"/>
        <w:gridCol w:w="258"/>
        <w:gridCol w:w="508"/>
        <w:gridCol w:w="146"/>
        <w:gridCol w:w="146"/>
        <w:gridCol w:w="256"/>
        <w:gridCol w:w="146"/>
        <w:gridCol w:w="515"/>
        <w:gridCol w:w="166"/>
        <w:gridCol w:w="146"/>
        <w:gridCol w:w="256"/>
        <w:gridCol w:w="158"/>
        <w:gridCol w:w="653"/>
        <w:gridCol w:w="166"/>
        <w:gridCol w:w="146"/>
        <w:gridCol w:w="25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Sales or prepayments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(225,106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principal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September 30,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923,180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September 30, 2025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presents a rollforward of Level 3 assets measured at fair value as of September 30, 2024 (in thousands):</w:t>
      </w:r>
    </w:p>
    <w:tbl>
      <w:tblPr>
        <w:tblW w:w="12005" w:type="dxa"/>
        <w:jc w:val="left"/>
        <w:tblInd w:w="0" w:type="dxa"/>
        <w:tblLayout w:type="fixed"/>
        <w:tblCellMar>
          <w:top w:w="28" w:type="dxa"/>
          <w:left w:w="28" w:type="dxa"/>
          <w:bottom w:w="28" w:type="dxa"/>
          <w:right w:w="28" w:type="dxa"/>
        </w:tblCellMar>
      </w:tblPr>
      <w:tblGrid>
        <w:gridCol w:w="1036"/>
        <w:gridCol w:w="196"/>
        <w:gridCol w:w="146"/>
        <w:gridCol w:w="751"/>
        <w:gridCol w:w="166"/>
        <w:gridCol w:w="146"/>
        <w:gridCol w:w="256"/>
        <w:gridCol w:w="146"/>
        <w:gridCol w:w="601"/>
        <w:gridCol w:w="166"/>
        <w:gridCol w:w="146"/>
        <w:gridCol w:w="256"/>
        <w:gridCol w:w="195"/>
        <w:gridCol w:w="766"/>
        <w:gridCol w:w="166"/>
        <w:gridCol w:w="146"/>
        <w:gridCol w:w="256"/>
        <w:gridCol w:w="158"/>
        <w:gridCol w:w="653"/>
        <w:gridCol w:w="146"/>
        <w:gridCol w:w="146"/>
        <w:gridCol w:w="256"/>
        <w:gridCol w:w="192"/>
        <w:gridCol w:w="574"/>
        <w:gridCol w:w="166"/>
        <w:gridCol w:w="146"/>
        <w:gridCol w:w="256"/>
        <w:gridCol w:w="146"/>
        <w:gridCol w:w="515"/>
        <w:gridCol w:w="146"/>
        <w:gridCol w:w="146"/>
        <w:gridCol w:w="256"/>
        <w:gridCol w:w="158"/>
        <w:gridCol w:w="653"/>
        <w:gridCol w:w="166"/>
        <w:gridCol w:w="146"/>
        <w:gridCol w:w="256"/>
        <w:gridCol w:w="146"/>
        <w:gridCol w:w="826"/>
        <w:gridCol w:w="211"/>
      </w:tblGrid>
      <w:tr>
        <w:trPr/>
        <w:tc>
          <w:tcPr>
            <w:tcW w:w="1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Senior Secured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Second Lien </w:t>
              <w:br/>
              <w:t> Loans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Preferred </w:t>
              <w:br/>
              <w:t>Stock/Units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w:t>
              <w:br/>
              <w:t>Stock/Units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December 31, 2023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Transfers in (out) of Level 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Purchases of investments</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or prepayments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 and ETP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Fair Value at September 30, 2024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1,054,209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Net change in unrealized gain (loss) on Level 3 investments still held</w:t>
            </w:r>
            <w:r>
              <w:rPr>
                <w:rFonts w:ascii="Times New Roman" w:hAnsi="Times New Roman"/>
                <w:color w:val="000000"/>
                <w:sz w:val="20"/>
              </w:rPr>
              <w:t> </w:t>
            </w:r>
            <w:r>
              <w:rPr>
                <w:rFonts w:ascii="Times New Roman" w:hAnsi="Times New Roman"/>
                <w:color w:val="000000"/>
                <w:sz w:val="16"/>
              </w:rPr>
              <w:t>as of September 30, 2024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Net of reorganization and restructuring of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September 30, 2025 (in thousands):</w:t>
      </w:r>
    </w:p>
    <w:tbl>
      <w:tblPr>
        <w:tblW w:w="10122" w:type="dxa"/>
        <w:jc w:val="left"/>
        <w:tblInd w:w="0" w:type="dxa"/>
        <w:tblLayout w:type="fixed"/>
        <w:tblCellMar>
          <w:top w:w="28" w:type="dxa"/>
          <w:left w:w="28" w:type="dxa"/>
          <w:bottom w:w="28" w:type="dxa"/>
          <w:right w:w="28" w:type="dxa"/>
        </w:tblCellMar>
      </w:tblPr>
      <w:tblGrid>
        <w:gridCol w:w="1981"/>
        <w:gridCol w:w="146"/>
        <w:gridCol w:w="196"/>
        <w:gridCol w:w="146"/>
        <w:gridCol w:w="691"/>
        <w:gridCol w:w="146"/>
        <w:gridCol w:w="146"/>
        <w:gridCol w:w="2281"/>
        <w:gridCol w:w="146"/>
        <w:gridCol w:w="1966"/>
        <w:gridCol w:w="146"/>
        <w:gridCol w:w="213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 - 30.2% (15.3%)</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 - 19.1% (13.6%)</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0.90x - 149.72x (6.73x)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17.1% - 41.6% (25.6%)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12.4% - 29.9% (18.2%)</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0.26x - 1.45x (0.66x)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20.1% - 20.2% (20.2%)</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 - 18.4% (14.6%)</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2.59x - 2.90x (2.68x)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Current Value Method </w:t>
            </w:r>
            <w:r>
              <w:rPr>
                <w:rFonts w:ascii="Times New Roman" w:hAnsi="Times New Roman"/>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 - 3.6% (3.6%)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50.0% - 80.0% (57.9%)</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(2.7</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 - 3.7% (3.6%)</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30.0% - 52.5% (48.4%)</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2.7</w:t>
            </w:r>
            <w:r>
              <w:rPr>
                <w:rFonts w:ascii="Times New Roman" w:hAnsi="Times New Roman"/>
                <w:color w:val="000000"/>
                <w:sz w:val="20"/>
              </w:rPr>
              <w:t> </w:t>
            </w:r>
            <w:r>
              <w:rPr>
                <w:rFonts w:ascii="Times New Roman" w:hAnsi="Times New Roman"/>
                <w:color w:val="000000"/>
                <w:sz w:val="16"/>
              </w:rPr>
              <w:t>- 4.0</w:t>
            </w:r>
            <w:r>
              <w:rPr>
                <w:rFonts w:ascii="Times New Roman" w:hAnsi="Times New Roman"/>
                <w:color w:val="000000"/>
                <w:sz w:val="20"/>
              </w:rPr>
              <w:t> </w:t>
            </w:r>
            <w:r>
              <w:rPr>
                <w:rFonts w:ascii="Times New Roman" w:hAnsi="Times New Roman"/>
                <w:color w:val="000000"/>
                <w:sz w:val="16"/>
              </w:rPr>
              <w:t>(2.9</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2.90x - 2.97x (2.96x)</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 - 3.6% (3.6%)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 - 52.5% (52.5%)</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 - 3.9% (3.6%)</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 - 95.0% (51.2%)</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- 4.0</w:t>
            </w:r>
            <w:r>
              <w:rPr>
                <w:rFonts w:ascii="Times New Roman" w:hAnsi="Times New Roman"/>
                <w:color w:val="000000"/>
                <w:sz w:val="20"/>
              </w:rPr>
              <w:t> </w:t>
            </w:r>
            <w:r>
              <w:rPr>
                <w:rFonts w:ascii="Times New Roman" w:hAnsi="Times New Roman"/>
                <w:color w:val="000000"/>
                <w:sz w:val="16"/>
              </w:rPr>
              <w:t>(2.9</w:t>
            </w:r>
            <w:r>
              <w:rPr>
                <w:rFonts w:ascii="Times New Roman" w:hAnsi="Times New Roman"/>
                <w:color w:val="000000"/>
                <w:sz w:val="20"/>
              </w:rPr>
              <w:t> </w:t>
            </w:r>
            <w:r>
              <w:rPr>
                <w:rFonts w:ascii="Times New Roman" w:hAnsi="Times New Roman"/>
                <w:color w:val="000000"/>
                <w:sz w:val="16"/>
              </w:rPr>
              <w:t>years)</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1.45x - 149.72x (3.97x)</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Option Pricing Model (“OPM”), which include industry volatility, risk free interest rate and estimated time to exit. The Equity Allocation model and the Black Scholes model were the main OPMs used during the period ended September 30, 2025.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Warrant investments using a PWERM valuation technique contain success fees, in which case the inputs are not applicable because the nature of a success fee is a fixed payout dependent on certain liquidation events.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Investment valued using a PWERM valuation technique and includes inputs that are based on scenario analysis specific to the asset recovery of such investment.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color w:val="000000"/>
          <w:sz w:val="16"/>
        </w:rPr>
      </w:pPr>
      <w:r>
        <w:rPr>
          <w:rFonts w:ascii="Times New Roman" w:hAnsi="Times New Roman"/>
          <w:color w:val="000000"/>
          <w:sz w:val="16"/>
        </w:rPr>
        <w:t>Investments valued using the Current Value Method, which may include a Waterfall valuation technique or be based on the redemption value of preferred shares. In the case of the JobGet Holdings, Inc. valuation, the inputs applied are based on an option pricing model that was utilized to value the shares that JobGet Holdings, Inc. owns in JobGet, Inc. In the case of a redemption value technique, inputs may be utilized in order to calculate a DLOM.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following table provides quantitative information regarding Level 3 fair value measurements as of December 31, 2024 (in thousands):</w:t>
      </w:r>
    </w:p>
    <w:tbl>
      <w:tblPr>
        <w:tblW w:w="10205" w:type="dxa"/>
        <w:jc w:val="left"/>
        <w:tblInd w:w="0" w:type="dxa"/>
        <w:tblLayout w:type="fixed"/>
        <w:tblCellMar>
          <w:top w:w="28" w:type="dxa"/>
          <w:left w:w="28" w:type="dxa"/>
          <w:bottom w:w="28" w:type="dxa"/>
          <w:right w:w="28" w:type="dxa"/>
        </w:tblCellMar>
      </w:tblPr>
      <w:tblGrid>
        <w:gridCol w:w="1927"/>
        <w:gridCol w:w="146"/>
        <w:gridCol w:w="196"/>
        <w:gridCol w:w="146"/>
        <w:gridCol w:w="826"/>
        <w:gridCol w:w="146"/>
        <w:gridCol w:w="146"/>
        <w:gridCol w:w="2363"/>
        <w:gridCol w:w="146"/>
        <w:gridCol w:w="1919"/>
        <w:gridCol w:w="146"/>
        <w:gridCol w:w="2098"/>
      </w:tblGrid>
      <w:tr>
        <w:trPr/>
        <w:tc>
          <w:tcPr>
            <w:tcW w:w="1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1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 Average)</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Senior Secured Loans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Discounted Cash Flow Analysis </w:t>
            </w:r>
            <w:r>
              <w:rPr>
                <w:rFonts w:ascii="Times New Roman" w:hAnsi="Times New Roman"/>
                <w:color w:val="000000"/>
                <w:sz w:val="11"/>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 - 45.7% (15.6%)</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 - 29.9% (13.9%)</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0.28x - 15.25x (4.22x)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PWERM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40.0% - 40.0% (40.0%)</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 - 18.6% (18.6%)</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1.25x - 1.25x (1.25x)</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Waterfall Approach </w:t>
            </w: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 - 52.5% (52.5%)</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3.75x - 3.75x (3.75x)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Second Lien Loans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Discounted Cash Flow Analysis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18.6% - 19.2% (19.1%)</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Origination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 - 18.4% (14.5%)</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1.90x - 2.85x (2.17x)</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Preferred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Waterfall Approach </w:t>
            </w: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52.5% - 52.5% (52.5%)</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3.75x - 3.75x (3.75x)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Option Pricing Model </w:t>
            </w:r>
            <w:r>
              <w:rPr>
                <w:rFonts w:ascii="Times New Roman" w:hAnsi="Times New Roman"/>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45.0% - 62.5% (45.1%)</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- 4.7</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2.82x - 12.87x (12.76x)</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- 4.1%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62.5% - 62.5% (62.5%)</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- 3.0</w:t>
            </w:r>
            <w:r>
              <w:rPr>
                <w:rFonts w:ascii="Times New Roman" w:hAnsi="Times New Roman"/>
                <w:color w:val="000000"/>
                <w:sz w:val="20"/>
              </w:rPr>
              <w:t> </w:t>
            </w:r>
            <w:r>
              <w:rPr>
                <w:rFonts w:ascii="Times New Roman" w:hAnsi="Times New Roman"/>
                <w:color w:val="000000"/>
                <w:sz w:val="16"/>
              </w:rPr>
              <w:t>(3.0</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Warrants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Option Pricing Model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 - 4.3% (4.1%)</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industry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 - 110.0% (47.7%)</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Estimated time to exit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w:t>
            </w:r>
            <w:r>
              <w:rPr>
                <w:rFonts w:ascii="Times New Roman" w:hAnsi="Times New Roman"/>
                <w:color w:val="000000"/>
                <w:sz w:val="20"/>
              </w:rPr>
              <w:t> </w:t>
            </w:r>
            <w:r>
              <w:rPr>
                <w:rFonts w:ascii="Times New Roman" w:hAnsi="Times New Roman"/>
                <w:color w:val="000000"/>
                <w:sz w:val="16"/>
              </w:rPr>
              <w:t>- 3.8</w:t>
            </w:r>
            <w:r>
              <w:rPr>
                <w:rFonts w:ascii="Times New Roman" w:hAnsi="Times New Roman"/>
                <w:color w:val="000000"/>
                <w:sz w:val="20"/>
              </w:rPr>
              <w:t> </w:t>
            </w:r>
            <w:r>
              <w:rPr>
                <w:rFonts w:ascii="Times New Roman" w:hAnsi="Times New Roman"/>
                <w:color w:val="000000"/>
                <w:sz w:val="16"/>
              </w:rPr>
              <w:t>(2.9</w:t>
            </w:r>
            <w:r>
              <w:rPr>
                <w:rFonts w:ascii="Times New Roman" w:hAnsi="Times New Roman"/>
                <w:color w:val="000000"/>
                <w:sz w:val="20"/>
              </w:rPr>
              <w:t> </w:t>
            </w:r>
            <w:r>
              <w:rPr>
                <w:rFonts w:ascii="Times New Roman" w:hAnsi="Times New Roman"/>
                <w:color w:val="000000"/>
                <w:sz w:val="16"/>
              </w:rPr>
              <w:t>years)</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1.27x - 8.89x (3.41x)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rPr>
              <w:t xml:space="preserve">PWERM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Waterfall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1.93x - 1.93x (1.93x)</w:t>
            </w:r>
          </w:p>
        </w:tc>
      </w:tr>
      <w:tr>
        <w:trPr/>
        <w:tc>
          <w:tcPr>
            <w:tcW w:w="1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Level 3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1,058,670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Warrant investments using a PWERM valuation technique contain success fees, in which case the inputs are not applicable because the nature of a success fee is a fixed payout dependent on certain liquidation events.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Investment valued using a PWERM valuation technique and includes inputs that are based on scenario analysis specific to the asset recovery of such investment.</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Investment valued using a Waterfall valuation technique. The inputs utilized in the valuation are based on an option pricing model that was utilized to value the shares that JobGet Holdings, Inc. owns in JobGet, Inc.</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jc w:val="both"/>
        <w:rPr>
          <w:rFonts w:ascii="Times New Roman" w:hAnsi="Times New Roman"/>
          <w:color w:val="000000"/>
          <w:sz w:val="16"/>
        </w:rPr>
      </w:pPr>
      <w:r>
        <w:rPr>
          <w:rFonts w:ascii="Times New Roman" w:hAnsi="Times New Roman"/>
          <w:color w:val="000000"/>
          <w:sz w:val="16"/>
        </w:rPr>
        <w:t xml:space="preserve">Includes Gynesonics, Inc., which was sold on January 2, 2025. As of December 31, 2024, the Company valued its investments in Gynesonics, Inc. at the expected sales proceeds from the acquisition.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Fair Value of Financial Instruments Reported at Cost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records its debt at amortized cost on the Consolidated Statements of Assets and Liabilities. The fair value of the Company’s Credit Facility, April 2026 Notes, December 2026 Notes, August 2027 Notes, and April 2028 Notes (each defined in "Note 7 – Borrowings") are estimated using Level 3 inputs, which involves discounting the remaining payments based on comparable market rates for similar instruments as of the measurement date. The July 2027 Notes and December 2027 Notes are publicly traded on NASDAQ and are valued using Level 1 inputs, reflecting the most recent market prices of $25.19 and $25.31 per share as of September 30, 2025, respectively. As of December 31, 2024, the market prices were $24.88 and $25.10 per share,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provides additional information about the approximate fair value and level in the fair value hierarchy of the Company’s outstanding borrowings as of September 30, 2025 and December 31, 2024 (in thousands):</w:t>
      </w:r>
    </w:p>
    <w:tbl>
      <w:tblPr>
        <w:tblW w:w="8298" w:type="dxa"/>
        <w:jc w:val="left"/>
        <w:tblInd w:w="0" w:type="dxa"/>
        <w:tblLayout w:type="fixed"/>
        <w:tblCellMar>
          <w:top w:w="28" w:type="dxa"/>
          <w:left w:w="28" w:type="dxa"/>
          <w:bottom w:w="28" w:type="dxa"/>
          <w:right w:w="28" w:type="dxa"/>
        </w:tblCellMar>
      </w:tblPr>
      <w:tblGrid>
        <w:gridCol w:w="1466"/>
        <w:gridCol w:w="299"/>
        <w:gridCol w:w="236"/>
        <w:gridCol w:w="176"/>
        <w:gridCol w:w="833"/>
        <w:gridCol w:w="146"/>
        <w:gridCol w:w="146"/>
        <w:gridCol w:w="196"/>
        <w:gridCol w:w="146"/>
        <w:gridCol w:w="691"/>
        <w:gridCol w:w="146"/>
        <w:gridCol w:w="146"/>
        <w:gridCol w:w="243"/>
        <w:gridCol w:w="181"/>
        <w:gridCol w:w="206"/>
        <w:gridCol w:w="146"/>
        <w:gridCol w:w="146"/>
        <w:gridCol w:w="196"/>
        <w:gridCol w:w="146"/>
        <w:gridCol w:w="691"/>
        <w:gridCol w:w="146"/>
        <w:gridCol w:w="146"/>
        <w:gridCol w:w="196"/>
        <w:gridCol w:w="146"/>
        <w:gridCol w:w="691"/>
        <w:gridCol w:w="391"/>
      </w:tblGrid>
      <w:tr>
        <w:trPr/>
        <w:tc>
          <w:tcPr>
            <w:tcW w:w="14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07" w:type="dxa"/>
            <w:gridSpan w:val="2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444,379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07" w:type="dxa"/>
            <w:gridSpan w:val="25"/>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321,785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2026 Notes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August 2027 Notes</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565,038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6 – Concentration of Credit Risk</w:t>
      </w:r>
    </w:p>
    <w:p>
      <w:pPr>
        <w:pStyle w:val="TextBody"/>
        <w:bidi w:val="0"/>
        <w:jc w:val="both"/>
        <w:rPr>
          <w:rFonts w:ascii="Times New Roman" w:hAnsi="Times New Roman"/>
          <w:color w:val="000000"/>
          <w:sz w:val="20"/>
        </w:rPr>
      </w:pPr>
      <w:r>
        <w:rPr>
          <w:rFonts w:ascii="Times New Roman" w:hAnsi="Times New Roman"/>
          <w:color w:val="000000"/>
          <w:sz w:val="20"/>
        </w:rPr>
        <w:t xml:space="preserve">In the normal course of business, the Company maintains its cash balances at large, high credit-quality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September 30, 2025. The Company predominantly collateralizes its investments by obtaining a first priority security interest in a portfolio company’s assets, which may include its intellectual property. </w:t>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As of September 30, 2025 and December 31, 2024, the Company’s five largest debt investments in portfolio companies represented 28.7% and 28.8%, respectively, of the total fair value of the Company’s debt investments in portfolio companies. As of September 30, 2025 and December 31, 2024, the Company had debt investments in 18 and 20 portfolio companies, respectively, that represented 5% or more of the Company’s net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7 – Borrowings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shows the Company's borrowings as of September 30, 2025 and December 31, 2024 (in thousands):</w:t>
      </w:r>
    </w:p>
    <w:tbl>
      <w:tblPr>
        <w:tblW w:w="8461" w:type="dxa"/>
        <w:jc w:val="left"/>
        <w:tblInd w:w="0" w:type="dxa"/>
        <w:tblLayout w:type="fixed"/>
        <w:tblCellMar>
          <w:top w:w="28" w:type="dxa"/>
          <w:left w:w="28" w:type="dxa"/>
          <w:bottom w:w="28" w:type="dxa"/>
          <w:right w:w="28" w:type="dxa"/>
        </w:tblCellMar>
      </w:tblPr>
      <w:tblGrid>
        <w:gridCol w:w="1766"/>
        <w:gridCol w:w="146"/>
        <w:gridCol w:w="348"/>
        <w:gridCol w:w="198"/>
        <w:gridCol w:w="939"/>
        <w:gridCol w:w="146"/>
        <w:gridCol w:w="146"/>
        <w:gridCol w:w="256"/>
        <w:gridCol w:w="146"/>
        <w:gridCol w:w="691"/>
        <w:gridCol w:w="146"/>
        <w:gridCol w:w="146"/>
        <w:gridCol w:w="378"/>
        <w:gridCol w:w="215"/>
        <w:gridCol w:w="847"/>
        <w:gridCol w:w="166"/>
        <w:gridCol w:w="146"/>
        <w:gridCol w:w="291"/>
        <w:gridCol w:w="166"/>
        <w:gridCol w:w="787"/>
        <w:gridCol w:w="391"/>
      </w:tblGrid>
      <w:tr>
        <w:trPr/>
        <w:tc>
          <w:tcPr>
            <w:tcW w:w="1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Face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DFC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70" w:type="dxa"/>
            <w:gridSpan w:val="2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181,475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50,932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70" w:type="dxa"/>
            <w:gridSpan w:val="20"/>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308,449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797,250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552,332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For the three months ended September 30, 2025 and 2024, the components of interest expense, amortization of deferred financing costs, unused fees on the Credit Facility (as defined below), and any other costs associated with the Company's borrowings were as follows (in thousands):</w:t>
      </w:r>
    </w:p>
    <w:tbl>
      <w:tblPr>
        <w:tblW w:w="10205" w:type="dxa"/>
        <w:jc w:val="left"/>
        <w:tblInd w:w="0" w:type="dxa"/>
        <w:tblLayout w:type="fixed"/>
        <w:tblCellMar>
          <w:top w:w="28" w:type="dxa"/>
          <w:left w:w="28" w:type="dxa"/>
          <w:bottom w:w="28" w:type="dxa"/>
          <w:right w:w="28" w:type="dxa"/>
        </w:tblCellMar>
      </w:tblPr>
      <w:tblGrid>
        <w:gridCol w:w="1903"/>
        <w:gridCol w:w="146"/>
        <w:gridCol w:w="229"/>
        <w:gridCol w:w="170"/>
        <w:gridCol w:w="702"/>
        <w:gridCol w:w="146"/>
        <w:gridCol w:w="146"/>
        <w:gridCol w:w="324"/>
        <w:gridCol w:w="241"/>
        <w:gridCol w:w="624"/>
        <w:gridCol w:w="146"/>
        <w:gridCol w:w="146"/>
        <w:gridCol w:w="305"/>
        <w:gridCol w:w="227"/>
        <w:gridCol w:w="585"/>
        <w:gridCol w:w="146"/>
        <w:gridCol w:w="146"/>
        <w:gridCol w:w="461"/>
        <w:gridCol w:w="344"/>
        <w:gridCol w:w="1416"/>
        <w:gridCol w:w="146"/>
        <w:gridCol w:w="146"/>
        <w:gridCol w:w="165"/>
        <w:gridCol w:w="579"/>
        <w:gridCol w:w="165"/>
        <w:gridCol w:w="451"/>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Unused Facility and </w:t>
              <w:br/>
              <w:t xml:space="preserve">Other Fees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12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pPr>
      <w:r>
        <w:rPr>
          <w:rFonts w:ascii="Times New Roman" w:hAnsi="Times New Roman"/>
          <w:color w:val="000000"/>
          <w:sz w:val="16"/>
        </w:rPr>
        <w:t>Unused facility and other fees for the three months ended September 30, 2024 include supplemental fees of $0.2</w:t>
      </w:r>
      <w:r>
        <w:rPr>
          <w:color w:val="000000"/>
        </w:rPr>
        <w:t xml:space="preserve"> </w:t>
      </w:r>
      <w:r>
        <w:rPr>
          <w:rFonts w:ascii="Times New Roman" w:hAnsi="Times New Roman"/>
          <w:color w:val="000000"/>
          <w:sz w:val="16"/>
        </w:rPr>
        <w:t>million, which were nonrecurring in nature. There were no</w:t>
      </w:r>
      <w:r>
        <w:rPr>
          <w:color w:val="000000"/>
        </w:rPr>
        <w:t xml:space="preserve"> </w:t>
      </w:r>
      <w:r>
        <w:rPr>
          <w:rFonts w:ascii="Times New Roman" w:hAnsi="Times New Roman"/>
          <w:color w:val="000000"/>
          <w:sz w:val="16"/>
        </w:rPr>
        <w:t>supplemental fees for the three months ended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For the nine months ended September 30, 2025 and 2024, the components of interest expense, amortization of deferred financing costs, unused fees on the Credit Facility (as defined below), and any other costs associated with the Company's borrowings were as follows (in thousands):</w:t>
      </w:r>
    </w:p>
    <w:tbl>
      <w:tblPr>
        <w:tblW w:w="10205" w:type="dxa"/>
        <w:jc w:val="left"/>
        <w:tblInd w:w="0" w:type="dxa"/>
        <w:tblLayout w:type="fixed"/>
        <w:tblCellMar>
          <w:top w:w="28" w:type="dxa"/>
          <w:left w:w="28" w:type="dxa"/>
          <w:bottom w:w="28" w:type="dxa"/>
          <w:right w:w="28" w:type="dxa"/>
        </w:tblCellMar>
      </w:tblPr>
      <w:tblGrid>
        <w:gridCol w:w="1852"/>
        <w:gridCol w:w="146"/>
        <w:gridCol w:w="228"/>
        <w:gridCol w:w="170"/>
        <w:gridCol w:w="701"/>
        <w:gridCol w:w="146"/>
        <w:gridCol w:w="146"/>
        <w:gridCol w:w="272"/>
        <w:gridCol w:w="203"/>
        <w:gridCol w:w="712"/>
        <w:gridCol w:w="146"/>
        <w:gridCol w:w="146"/>
        <w:gridCol w:w="272"/>
        <w:gridCol w:w="203"/>
        <w:gridCol w:w="711"/>
        <w:gridCol w:w="146"/>
        <w:gridCol w:w="146"/>
        <w:gridCol w:w="459"/>
        <w:gridCol w:w="341"/>
        <w:gridCol w:w="1408"/>
        <w:gridCol w:w="146"/>
        <w:gridCol w:w="146"/>
        <w:gridCol w:w="165"/>
        <w:gridCol w:w="579"/>
        <w:gridCol w:w="165"/>
        <w:gridCol w:w="450"/>
      </w:tblGrid>
      <w:tr>
        <w:trPr/>
        <w:tc>
          <w:tcPr>
            <w:tcW w:w="1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Amortization of </w:t>
              <w:br/>
              <w:t>DFC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Unused Facility and </w:t>
              <w:br/>
              <w:t xml:space="preserve">Other Fees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Interest and Other Debt Financing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Cost of Debt</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Nine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14.05</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4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Nine Months Ended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August 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December 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Unused facility and other fees for the nine months ended September 30, 2024 include supplemental fees of $0.2</w:t>
      </w:r>
      <w:r>
        <w:rPr>
          <w:rFonts w:ascii="Times New Roman" w:hAnsi="Times New Roman"/>
          <w:color w:val="000000"/>
          <w:sz w:val="20"/>
        </w:rPr>
        <w:t xml:space="preserve"> </w:t>
      </w:r>
      <w:r>
        <w:rPr>
          <w:rFonts w:ascii="Times New Roman" w:hAnsi="Times New Roman"/>
          <w:color w:val="000000"/>
          <w:sz w:val="16"/>
        </w:rPr>
        <w:t>million, which were nonrecurring in nature. There were no</w:t>
      </w:r>
      <w:r>
        <w:rPr>
          <w:rFonts w:ascii="Times New Roman" w:hAnsi="Times New Roman"/>
          <w:color w:val="000000"/>
          <w:sz w:val="20"/>
        </w:rPr>
        <w:t xml:space="preserve"> </w:t>
      </w:r>
      <w:r>
        <w:rPr>
          <w:rFonts w:ascii="Times New Roman" w:hAnsi="Times New Roman"/>
          <w:color w:val="000000"/>
          <w:sz w:val="16"/>
        </w:rPr>
        <w:t>supplemental fees for the nine months ended September 30, 2025.</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April 20, 2022, the Company entered into an amended and restated credit agreement with KeyBank National Association, acting as administrative agent, CIBC Bank USA and MUFG Union Bank, N.A. as co-documentation agents, the guarantors party thereto and syndication agent and the other lenders party thereto, which initially provided the Company with a $225.0 million commitment, subject to borrowing base requirements (as amended, supplemented or otherwise modified from time to time, the "Credit Facility"). On March 18, 2025, the Company entered into a Sixth Amendment to the Credit Facility, which, among other things, (i) extended the maturity date and revolving period; (ii) permits future financing subsidiaries, and (iii) amended certain other terms of the Credit Facility, including without limitation loan eligibility criteria, the borrowing base calculation, and excess concentration measures.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September 30, 2025,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March 18, 2028 and is followed by a one-year amortization period. The stated maturity date under the Credit Facility is March 18, 2029, unless extended.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Borrowings under the Credit Facility bear interest on a per annum rate equal to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all periods presented, the Company was in compliance with all such covenants.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three and nine months ended September 30, 2025, the weighted average outstanding principal balance was $225.6 million and $249.4 million, respectively, and the weighted average effective interest rate was 7.49% and 7.50%, respectively. For the three and nine months ended September 30, 2024, the weighted average outstanding principal balance was $273.0 million and $248.1 million, respectively, the weighted average effective interest rate was 8.55% and 8.54%,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2026 Notes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repaid in full by the Company on April 7, 2025 and are no longer outstanding.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April 2026 Notes are subject to a 1.00% increase in the interest rate in the event that, subject to certain exceptions, the April 2026 Notes cease to have an investment grade rating or receive an investment grade rating below the Investment Grade (as defined in the master note purchase agreement). The April 2026 Notes are general unsecured obligations of the Company that rank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December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December 2026 Notes bore an interest rate of 4.25% per year and were due on December 10, 2026, unless redeemed, purchased or prepaid prior to such date by the Company or its affiliates in accordance with their terms. The December 2026 Notes were repaid in full by the Company on April 7, 2025 and are no longer outstanding. Interest on the December 2026 Notes was due semiannually in arrears on June 10 and December 10 of each year.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December 2026 Notes issuance were $1.0 million, and were capitalized and deferred. As of December 31, 2024, unamortized deferred financing costs related to the December 2026 Notes were $0.4 million, of which $0.3 million were expensed during the nine months ended September 30, 2025 and $0.1 million were transferred to deferred financing costs of the April 2028 Notes, as defined below.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April 2026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April 2026 Notes bear an interest rate of 8.54% per year and are due on April 13, 2026, unless redeemed, purchased or prepaid prior to such date by the Company or its affiliates in accordance with their terms. Interest on the April 2026 Notes is due semiannually in arrears on April 13 and October 13 of each year. </w:t>
      </w:r>
    </w:p>
    <w:p>
      <w:pPr>
        <w:pStyle w:val="TextBody"/>
        <w:bidi w:val="0"/>
        <w:spacing w:before="0" w:after="240"/>
        <w:jc w:val="both"/>
        <w:rPr>
          <w:rFonts w:ascii="Times New Roman" w:hAnsi="Times New Roman"/>
          <w:sz w:val="20"/>
        </w:rPr>
      </w:pPr>
      <w:r>
        <w:rPr>
          <w:rFonts w:ascii="Times New Roman" w:hAnsi="Times New Roman"/>
          <w:color w:val="000000"/>
          <w:sz w:val="20"/>
        </w:rPr>
        <w:t>Aggregate costs in connection with the April 2026 Notes issuance were $0.4 million, and were capitalized and deferred. As of September 30, 2025 and December 31, 2024</w:t>
      </w:r>
      <w:r>
        <w:rPr>
          <w:rFonts w:ascii="Times New Roman" w:hAnsi="Times New Roman"/>
          <w:color w:val="000000"/>
          <w:sz w:val="16"/>
        </w:rPr>
        <w:t>,</w:t>
      </w:r>
      <w:r>
        <w:rPr>
          <w:rFonts w:ascii="Times New Roman" w:hAnsi="Times New Roman"/>
          <w:color w:val="000000"/>
          <w:sz w:val="20"/>
        </w:rPr>
        <w:t xml:space="preserve"> unamortized deferred financing costs related to the April 2026 Notes were $0.1 million and $0.2 million, respectively.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2027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July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July 28, 2022, the Company issued and sold $80.5 million in aggregate principal amount of 7.50% interest-bearing unsecured Notes due July 28,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July 2027 Notes issuance, including the underwriter’s discount and commissions, were $2.8 million, and were capitalized and deferred. As of September 30, 2025 and December 31, 2024, unamortized deferred financing costs related to the July 2027 Notes were $1.0 million and $1.4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August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31, 2022, the Company completed a private debt offering of $20.0 million in aggregate principal amount of 7.00% interest-bearing unsecured Series 2022A Senior Notes due 2027 (the "August 2027 Notes") to an institutional accredited investor (as defined in Regulation D under the Securities Act). The August 2027 Notes were due on August 31, 2027, unless redeemed, purchased or prepaid prior to such date by the Company or its affiliates in accordance with their terms. The August 2027 Notes were repaid in full by the Company on April 7, 2025 and are no longer outstanding.</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August 2027 Notes was due semiannually in arrears on February 15 and August 15 of each year. The August 2027 Notes were general unsecured obligations of the Company that ranked </w:t>
      </w:r>
      <w:r>
        <w:rPr>
          <w:rFonts w:ascii="Times New Roman" w:hAnsi="Times New Roman"/>
          <w:i/>
          <w:color w:val="000000"/>
          <w:sz w:val="20"/>
        </w:rPr>
        <w:t xml:space="preserve">pari passu </w:t>
      </w:r>
      <w:r>
        <w:rPr>
          <w:rFonts w:ascii="Times New Roman" w:hAnsi="Times New Roman"/>
          <w:color w:val="000000"/>
          <w:sz w:val="20"/>
        </w:rPr>
        <w:t>with all outstanding and future unsecured unsubordinated indebtedness issued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Aggregate costs in connection with the August 2027 Notes issuance were $0.7 million, and were capitalized and deferred. As of December 31, 2024, unamortized deferred financing costs related to the August 2027 Notes were $0.4 million, which were fully expensed upon repayment of the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December 2027 Notes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December 7, 2022, the Company issued and sold $51.75 million in aggregate principal amount of 8.00% interest-bearing unsecured Notes due December 28,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the Company's existing and future unsecured, unsubordinated indebtedness.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Aggregate costs in connection with the December 2027 Notes issuance, including the underwriter's discount and commissions, were $1.9 million, and were capitalized and deferred. As of September 30, 2025 and December 31, 2024, unamortized deferred financing costs related to the December 2027 Notes were $0.8 million and $1.1 million, respectively.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2028 Notes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April 2028 Notes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April 7, 2025, the Company completed a private debt offering of $107.0 million in aggregate principal amount of 7.51% interest-bearing unsecured Series 2025A Senior Notes due 2028 (the "April 2028 Notes") to institutional accredited investors (as defined in Regulation D under the Securities Act). The April 2028 Notes are due on April 7, 2028, unless redeemed, purchased or prepaid prior to such date by the Company or its affiliates in accordance with their terms.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Interest on the April 2028 Notes will be due semiannually in arrears on April 7 and October 7 of each year. The April 2028 Notes are general unsecured obligations of the Company that rank </w:t>
      </w:r>
      <w:r>
        <w:rPr>
          <w:rFonts w:ascii="Times New Roman" w:hAnsi="Times New Roman"/>
          <w:i/>
          <w:color w:val="000000"/>
          <w:sz w:val="20"/>
        </w:rPr>
        <w:t>pari passu</w:t>
      </w:r>
      <w:r>
        <w:rPr>
          <w:rFonts w:ascii="Times New Roman" w:hAnsi="Times New Roman"/>
          <w:color w:val="000000"/>
          <w:sz w:val="20"/>
        </w:rPr>
        <w:t xml:space="preserve"> with all outstanding and future unsecured unsubordinated indebtedness issued by the Company.</w:t>
        <w:br/>
        <w:br/>
        <w:t>Aggregate costs in connection with the April 2028 Notes issuance were $0.4 million, and were capitalized and deferred. As of September 30, 2025, unamortized deferred financing costs related to the April 2028 Notes were $0.3 million.</w:t>
      </w:r>
      <w:r>
        <w:rPr>
          <w:rFonts w:ascii="Times New Roman" w:hAnsi="Times New Roman"/>
          <w:b/>
          <w:i/>
          <w:color w:val="000000"/>
          <w:sz w:val="20"/>
        </w:rPr>
        <w:br/>
      </w:r>
      <w:r>
        <w:rPr>
          <w:rFonts w:ascii="Times New Roman" w:hAnsi="Times New Roman"/>
          <w:color w:val="000000"/>
          <w:sz w:val="20"/>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pPr>
      <w:r>
        <w:rPr/>
        <w:t> </w:t>
      </w:r>
    </w:p>
    <w:p>
      <w:pPr>
        <w:pStyle w:val="Heading1"/>
        <w:bidi w:val="0"/>
        <w:spacing w:before="120" w:after="240"/>
        <w:jc w:val="left"/>
        <w:rPr>
          <w:rFonts w:ascii="Times New Roman" w:hAnsi="Times New Roman"/>
          <w:color w:val="000000"/>
          <w:sz w:val="20"/>
        </w:rPr>
      </w:pPr>
      <w:r>
        <w:rPr>
          <w:rFonts w:ascii="Times New Roman" w:hAnsi="Times New Roman"/>
          <w:color w:val="000000"/>
          <w:sz w:val="20"/>
        </w:rPr>
        <w:t>Note 8 – Commitments, Contingencies, and Off-balance Sheet Arrangements</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the Company’s contractual obligations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2502"/>
        <w:gridCol w:w="146"/>
        <w:gridCol w:w="322"/>
        <w:gridCol w:w="183"/>
        <w:gridCol w:w="757"/>
        <w:gridCol w:w="166"/>
        <w:gridCol w:w="146"/>
        <w:gridCol w:w="256"/>
        <w:gridCol w:w="146"/>
        <w:gridCol w:w="691"/>
        <w:gridCol w:w="146"/>
        <w:gridCol w:w="146"/>
        <w:gridCol w:w="256"/>
        <w:gridCol w:w="146"/>
        <w:gridCol w:w="691"/>
        <w:gridCol w:w="146"/>
        <w:gridCol w:w="146"/>
        <w:gridCol w:w="496"/>
        <w:gridCol w:w="283"/>
        <w:gridCol w:w="554"/>
        <w:gridCol w:w="146"/>
        <w:gridCol w:w="146"/>
        <w:gridCol w:w="256"/>
        <w:gridCol w:w="146"/>
        <w:gridCol w:w="691"/>
        <w:gridCol w:w="495"/>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2"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Payments Due by Period </w:t>
            </w:r>
            <w:r>
              <w:rPr>
                <w:rFonts w:ascii="Times New Roman" w:hAnsi="Times New Roman"/>
                <w:b/>
                <w:color w:val="000000"/>
                <w:sz w:val="11"/>
              </w:rPr>
              <w:t>(1)</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 Year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11,519</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461,129</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Borrowings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311,000</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152,250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558,250</w:t>
            </w:r>
          </w:p>
        </w:tc>
        <w:tc>
          <w:tcPr>
            <w:tcW w:w="4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Incentive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10,116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568,366</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Excludes interest payable on borrowings, accrued expenses, and commitments to extend credit to the Company’s portfolio companies.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Amounts represent future principal repayments and not the carrying value of each liability (refer to "Note 7 – Borrowings").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160"/>
        <w:jc w:val="both"/>
        <w:rPr>
          <w:rFonts w:ascii="Times New Roman" w:hAnsi="Times New Roman"/>
          <w:color w:val="000000"/>
          <w:sz w:val="19"/>
        </w:rPr>
      </w:pPr>
      <w:r>
        <w:rPr>
          <w:rFonts w:ascii="Times New Roman" w:hAnsi="Times New Roman"/>
          <w:color w:val="000000"/>
          <w:sz w:val="19"/>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Assets and Liabilities.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pStyle w:val="TextBody"/>
        <w:bidi w:val="0"/>
        <w:spacing w:before="0" w:after="120"/>
        <w:jc w:val="both"/>
        <w:rPr>
          <w:rFonts w:ascii="Times New Roman" w:hAnsi="Times New Roman"/>
          <w:sz w:val="20"/>
        </w:rPr>
      </w:pPr>
      <w:r>
        <w:rPr>
          <w:rFonts w:ascii="Times New Roman" w:hAnsi="Times New Roman"/>
          <w:color w:val="000000"/>
          <w:sz w:val="19"/>
        </w:rPr>
        <w:t>The Company's unfunded commitments to provide debt and equity financing to its portfolio companies and Runway-Cadma I LLC amounted to $143.7</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w:t>
      </w:r>
      <w:r>
        <w:rPr>
          <w:rFonts w:ascii="Times New Roman" w:hAnsi="Times New Roman"/>
          <w:color w:val="000000"/>
          <w:sz w:val="19"/>
        </w:rPr>
        <w:t>and $176.7</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w:t>
      </w:r>
      <w:r>
        <w:rPr>
          <w:rFonts w:ascii="Times New Roman" w:hAnsi="Times New Roman"/>
          <w:color w:val="000000"/>
          <w:sz w:val="19"/>
        </w:rPr>
        <w:t>as of September 30, 2025 and December 31, 2024, respectively, shown in the table below (in thousands):</w:t>
      </w:r>
    </w:p>
    <w:tbl>
      <w:tblPr>
        <w:tblW w:w="9296" w:type="dxa"/>
        <w:jc w:val="left"/>
        <w:tblInd w:w="0" w:type="dxa"/>
        <w:tblLayout w:type="fixed"/>
        <w:tblCellMar>
          <w:top w:w="28" w:type="dxa"/>
          <w:left w:w="28" w:type="dxa"/>
          <w:bottom w:w="28" w:type="dxa"/>
          <w:right w:w="28" w:type="dxa"/>
        </w:tblCellMar>
      </w:tblPr>
      <w:tblGrid>
        <w:gridCol w:w="3496"/>
        <w:gridCol w:w="146"/>
        <w:gridCol w:w="1981"/>
        <w:gridCol w:w="146"/>
        <w:gridCol w:w="293"/>
        <w:gridCol w:w="218"/>
        <w:gridCol w:w="1034"/>
        <w:gridCol w:w="146"/>
        <w:gridCol w:w="146"/>
        <w:gridCol w:w="351"/>
        <w:gridCol w:w="200"/>
        <w:gridCol w:w="948"/>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Autobooks,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Blueshift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Bombora,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CarNow,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Digicert,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Elevate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Interactions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Linxup,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Marley Spoon 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Onward Medical, 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Route 92 Medical,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Runway-Cadma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SetPoint Medical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Shepherd Intermediate, LLC (dba FHAS)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Snap! Mobile,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Swing Education,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Synack,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Zinnia Corporate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Senior Secured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unused commitments to extend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also enter into foreign currency forward contracts to mitigate its exposure to foreign currency fluctuations associated with certain investments denominated in foreign currencies. While these contracts are recognized on the Consolidated Statements of Assets and Liabilities at fair value in accordance with ASC 815, they are also considered off-balance sheet arrangements because they may result in future cash payments or receipts that are not fully reflected in the financial statements as of September 30, 2025. As of September 30, 2025, the Company had outstanding forward currency contracts with a total notional amount of $29.4 million to purchase foreign currencies. For more information on the contracts and related maturities, refer to "Note 4 - Investments." There were no foreign currency forward contracts as of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9 – Net Assets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for an aggregate purchase price of $25 thousand.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Private Common Stock Offerings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 </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Repurchase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February 24, 2022, the Board of Directors approved a share repurchase program (the "First Repurchase Program") under which the Company was authorized to repurchase up to $25.0 million of its outstanding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November 2, 2023, the Board of Directors approved a share repurchase program (the "Second Repurchase Program"), under which the Company was authorized to repurchase up to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July 30, 2024, the Board of Directors approved a share repurchase program (the "Third Repurchase Program"), under which the Company was authorized to repurchase up to $15.0 million of its outstanding shares of common stock, at management's discretion from time to time in open-market transactions and in accordance with all applicable securities laws and regulations. The Company repurchased 1,199,867 shares in connection with the Third Repurchase Program for an aggregate purchase price of $12.5 million, exhausting the full approved amount of repurchases under the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May 7, 2025, the Board of Directors approved a share repurchase program (the "Fourth Repurchase Program"), under which the Company may repurchase up to $25.0 million of its outstanding shares of common stock, at management's discretion from time to time in open-market transactions and in accordance with all applicable securities laws and regulations. If not renewed, the Fourth Repurchase Program will terminate upon the earlier of (i) May 7, 2026 or (ii) the repurchase of $25.0 million of the Company's shares of common stock. From the inception of the Fourth Repurchase Program through September 30, 2025, the Company repurchased 1,213,391 shares for an aggregate purchase price of $12.5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both"/>
        <w:rPr>
          <w:rFonts w:ascii="Times New Roman" w:hAnsi="Times New Roman"/>
          <w:b/>
          <w:i/>
          <w:color w:val="000000"/>
          <w:sz w:val="19"/>
        </w:rPr>
      </w:pPr>
      <w:r>
        <w:rPr>
          <w:rFonts w:ascii="Times New Roman" w:hAnsi="Times New Roman"/>
          <w:b/>
          <w:i/>
          <w:color w:val="000000"/>
          <w:sz w:val="19"/>
        </w:rPr>
        <w:t>Distributions and Dividend Reinvestment Plan</w:t>
      </w:r>
    </w:p>
    <w:p>
      <w:pPr>
        <w:pStyle w:val="TextBody"/>
        <w:bidi w:val="0"/>
        <w:spacing w:before="0" w:after="120"/>
        <w:jc w:val="both"/>
        <w:rPr>
          <w:rFonts w:ascii="Times New Roman" w:hAnsi="Times New Roman"/>
          <w:sz w:val="20"/>
        </w:rPr>
      </w:pPr>
      <w:r>
        <w:rPr>
          <w:rFonts w:ascii="Times New Roman" w:hAnsi="Times New Roman"/>
          <w:color w:val="000000"/>
          <w:sz w:val="19"/>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9"/>
        </w:rPr>
        <w:t>The Company maintains a dividend reinvestment plan for common stockholders (the "Dividend Reinvestment Plan"). The Dividend Reinvestment Plan is administered by its transfer agent on behalf of the Company's record holders and participating brokerage firms. Brokerage firms and other financial intermediaries may decide not to participate in the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9"/>
        </w:rPr>
        <w:t>For the three and nine months ended September 30, 2025, the Company declared and paid dividends in the amount of $13.0</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w:t>
      </w:r>
      <w:r>
        <w:rPr>
          <w:rFonts w:ascii="Times New Roman" w:hAnsi="Times New Roman"/>
          <w:color w:val="000000"/>
          <w:sz w:val="19"/>
        </w:rPr>
        <w:t>and $39.5</w:t>
      </w:r>
      <w:r>
        <w:rPr>
          <w:rFonts w:ascii="Times New Roman" w:hAnsi="Times New Roman"/>
          <w:color w:val="000000"/>
          <w:sz w:val="20"/>
        </w:rPr>
        <w:t xml:space="preserve"> </w:t>
      </w:r>
      <w:r>
        <w:rPr>
          <w:rFonts w:ascii="Times New Roman" w:hAnsi="Times New Roman"/>
          <w:color w:val="000000"/>
          <w:sz w:val="19"/>
        </w:rPr>
        <w:t>million, respectively, of which $12.8</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w:t>
      </w:r>
      <w:r>
        <w:rPr>
          <w:rFonts w:ascii="Times New Roman" w:hAnsi="Times New Roman"/>
          <w:color w:val="000000"/>
          <w:sz w:val="19"/>
        </w:rPr>
        <w:t>and $38.7</w:t>
      </w:r>
      <w:r>
        <w:rPr>
          <w:rFonts w:ascii="Times New Roman" w:hAnsi="Times New Roman"/>
          <w:color w:val="000000"/>
          <w:sz w:val="20"/>
        </w:rPr>
        <w:t xml:space="preserve"> </w:t>
      </w:r>
      <w:r>
        <w:rPr>
          <w:rFonts w:ascii="Times New Roman" w:hAnsi="Times New Roman"/>
          <w:color w:val="000000"/>
          <w:sz w:val="19"/>
        </w:rPr>
        <w:t>million, respectively, were distributed in cash, with the remainder distributed in the form of 20,887</w:t>
      </w:r>
      <w:r>
        <w:rPr>
          <w:rFonts w:ascii="Times New Roman" w:hAnsi="Times New Roman"/>
          <w:color w:val="000000"/>
          <w:sz w:val="20"/>
        </w:rPr>
        <w:t xml:space="preserve"> </w:t>
      </w:r>
      <w:r>
        <w:rPr>
          <w:rFonts w:ascii="Times New Roman" w:hAnsi="Times New Roman"/>
          <w:color w:val="000000"/>
          <w:sz w:val="19"/>
        </w:rPr>
        <w:t>and 81,603</w:t>
      </w:r>
      <w:r>
        <w:rPr>
          <w:rFonts w:ascii="Times New Roman" w:hAnsi="Times New Roman"/>
          <w:color w:val="000000"/>
          <w:sz w:val="20"/>
        </w:rPr>
        <w:t xml:space="preserve"> </w:t>
      </w:r>
      <w:r>
        <w:rPr>
          <w:rFonts w:ascii="Times New Roman" w:hAnsi="Times New Roman"/>
          <w:color w:val="000000"/>
          <w:sz w:val="19"/>
        </w:rPr>
        <w:t>shares, respectively, of the Company's common stock purchased by the Company in the open market and distributed to stockholders pursuant to the Dividend Reinvestment Plan. For the three and nine months ended September 30, 2024, the Company declared and paid dividends in the amount of $17.3</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w:t>
      </w:r>
      <w:r>
        <w:rPr>
          <w:rFonts w:ascii="Times New Roman" w:hAnsi="Times New Roman"/>
          <w:color w:val="000000"/>
          <w:sz w:val="19"/>
        </w:rPr>
        <w:t>and $54.9</w:t>
      </w:r>
      <w:r>
        <w:rPr>
          <w:rFonts w:ascii="Times New Roman" w:hAnsi="Times New Roman"/>
          <w:color w:val="000000"/>
          <w:sz w:val="20"/>
        </w:rPr>
        <w:t xml:space="preserve"> </w:t>
      </w:r>
      <w:r>
        <w:rPr>
          <w:rFonts w:ascii="Times New Roman" w:hAnsi="Times New Roman"/>
          <w:color w:val="000000"/>
          <w:sz w:val="19"/>
        </w:rPr>
        <w:t>million, respectively, of which $17.1</w:t>
      </w:r>
      <w:r>
        <w:rPr>
          <w:rFonts w:ascii="Times New Roman" w:hAnsi="Times New Roman"/>
          <w:color w:val="000000"/>
          <w:sz w:val="20"/>
        </w:rPr>
        <w:t xml:space="preserve"> </w:t>
      </w:r>
      <w:r>
        <w:rPr>
          <w:rFonts w:ascii="Times New Roman" w:hAnsi="Times New Roman"/>
          <w:color w:val="000000"/>
          <w:sz w:val="19"/>
        </w:rPr>
        <w:t>million</w:t>
      </w:r>
      <w:r>
        <w:rPr>
          <w:rFonts w:ascii="Times New Roman" w:hAnsi="Times New Roman"/>
          <w:color w:val="000000"/>
          <w:sz w:val="20"/>
        </w:rPr>
        <w:t xml:space="preserve"> </w:t>
      </w:r>
      <w:r>
        <w:rPr>
          <w:rFonts w:ascii="Times New Roman" w:hAnsi="Times New Roman"/>
          <w:color w:val="000000"/>
          <w:sz w:val="19"/>
        </w:rPr>
        <w:t>and $54.1</w:t>
      </w:r>
      <w:r>
        <w:rPr>
          <w:rFonts w:ascii="Times New Roman" w:hAnsi="Times New Roman"/>
          <w:color w:val="000000"/>
          <w:sz w:val="20"/>
        </w:rPr>
        <w:t xml:space="preserve"> </w:t>
      </w:r>
      <w:r>
        <w:rPr>
          <w:rFonts w:ascii="Times New Roman" w:hAnsi="Times New Roman"/>
          <w:color w:val="000000"/>
          <w:sz w:val="19"/>
        </w:rPr>
        <w:t>million, respectively, were distributed in cash, with the remainder distributed in the form of 26,565</w:t>
      </w:r>
      <w:r>
        <w:rPr>
          <w:rFonts w:ascii="Times New Roman" w:hAnsi="Times New Roman"/>
          <w:color w:val="000000"/>
          <w:sz w:val="20"/>
        </w:rPr>
        <w:t xml:space="preserve"> </w:t>
      </w:r>
      <w:r>
        <w:rPr>
          <w:rFonts w:ascii="Times New Roman" w:hAnsi="Times New Roman"/>
          <w:color w:val="000000"/>
          <w:sz w:val="19"/>
        </w:rPr>
        <w:t>and 71,162</w:t>
      </w:r>
      <w:r>
        <w:rPr>
          <w:rFonts w:ascii="Times New Roman" w:hAnsi="Times New Roman"/>
          <w:color w:val="000000"/>
          <w:sz w:val="20"/>
        </w:rPr>
        <w:t xml:space="preserve"> </w:t>
      </w:r>
      <w:r>
        <w:rPr>
          <w:rFonts w:ascii="Times New Roman" w:hAnsi="Times New Roman"/>
          <w:color w:val="000000"/>
          <w:sz w:val="19"/>
        </w:rPr>
        <w:t>shares, respectively, of the Company's common stock purchased by the Company in the open market and distributed to stockholders pursuant to the Dividend Reinvestment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distributions declared and paid since inception through September 30, 2025:</w:t>
      </w:r>
    </w:p>
    <w:tbl>
      <w:tblPr>
        <w:tblW w:w="7829" w:type="dxa"/>
        <w:jc w:val="left"/>
        <w:tblInd w:w="0" w:type="dxa"/>
        <w:tblLayout w:type="fixed"/>
        <w:tblCellMar>
          <w:top w:w="28" w:type="dxa"/>
          <w:left w:w="28" w:type="dxa"/>
          <w:bottom w:w="28" w:type="dxa"/>
          <w:right w:w="28" w:type="dxa"/>
        </w:tblCellMar>
      </w:tblPr>
      <w:tblGrid>
        <w:gridCol w:w="1531"/>
        <w:gridCol w:w="146"/>
        <w:gridCol w:w="1051"/>
        <w:gridCol w:w="146"/>
        <w:gridCol w:w="1516"/>
        <w:gridCol w:w="146"/>
        <w:gridCol w:w="1516"/>
        <w:gridCol w:w="146"/>
        <w:gridCol w:w="331"/>
        <w:gridCol w:w="246"/>
        <w:gridCol w:w="863"/>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Declaration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26,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31,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15,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26,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21,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16,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5,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27,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30,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12,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9,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10,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23,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5,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8,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5,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20,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1,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12,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4,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5,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19,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29,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13,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19,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20,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28,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8,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24,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8,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22,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28,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28,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9,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23,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October 27,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8,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22,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7,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15,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15,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13,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28,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24,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July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12,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26,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5,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November 18,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April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May 19,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June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September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10 – Income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the tax cost basis and the estimated aggregate gross unrealized gain (loss) on investments for federal income tax purposes as of and for the period ended September 30, 2025 and the year ended December 31, 2024 (in thousands):</w:t>
      </w:r>
    </w:p>
    <w:tbl>
      <w:tblPr>
        <w:tblW w:w="6624" w:type="dxa"/>
        <w:jc w:val="left"/>
        <w:tblInd w:w="0" w:type="dxa"/>
        <w:tblLayout w:type="fixed"/>
        <w:tblCellMar>
          <w:top w:w="28" w:type="dxa"/>
          <w:left w:w="28" w:type="dxa"/>
          <w:bottom w:w="28" w:type="dxa"/>
          <w:right w:w="28" w:type="dxa"/>
        </w:tblCellMar>
      </w:tblPr>
      <w:tblGrid>
        <w:gridCol w:w="2911"/>
        <w:gridCol w:w="146"/>
        <w:gridCol w:w="293"/>
        <w:gridCol w:w="218"/>
        <w:gridCol w:w="1034"/>
        <w:gridCol w:w="166"/>
        <w:gridCol w:w="146"/>
        <w:gridCol w:w="251"/>
        <w:gridCol w:w="187"/>
        <w:gridCol w:w="1061"/>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 cost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1,100,345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gain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unrealized loss on a tax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(loss) on a tax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240"/>
        <w:jc w:val="both"/>
        <w:rPr>
          <w:rFonts w:ascii="Times New Roman" w:hAnsi="Times New Roman"/>
          <w:sz w:val="20"/>
        </w:rPr>
      </w:pPr>
      <w:r>
        <w:rPr>
          <w:rFonts w:ascii="Times New Roman" w:hAnsi="Times New Roman"/>
          <w:color w:val="000000"/>
          <w:sz w:val="20"/>
        </w:rPr>
        <w:t xml:space="preserve">The Company accounts for income taxes in conformity with ASC Topic 740, </w:t>
      </w:r>
      <w:r>
        <w:rPr>
          <w:rFonts w:ascii="Times New Roman" w:hAnsi="Times New Roman"/>
          <w:i/>
          <w:color w:val="000000"/>
          <w:sz w:val="20"/>
        </w:rPr>
        <w:t>Income Taxes</w:t>
      </w:r>
      <w:r>
        <w:rPr>
          <w:rFonts w:ascii="Times New Roman" w:hAnsi="Times New Roman"/>
          <w:color w:val="000000"/>
          <w:sz w:val="20"/>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"Tax expense" on the Consolidated Statements of Operations. There were no material uncertain income tax positions at September 30, 2025 or December 31, 2024. Although the Company files federal and state tax returns, the Company's major tax jurisdiction is federal. The previous three tax year-ends and the interim tax period since then remain subject to examination by the Internal Revenue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on which the Company paid no U.S. federal income tax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11 – Segment Reporting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and compliance, in addition to administrative functions, such as human resources, legal, finance and information technology.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240" w:after="240"/>
        <w:jc w:val="left"/>
        <w:rPr>
          <w:rFonts w:ascii="Times New Roman" w:hAnsi="Times New Roman"/>
          <w:color w:val="000000"/>
          <w:sz w:val="20"/>
        </w:rPr>
      </w:pPr>
      <w:r>
        <w:rPr>
          <w:rFonts w:ascii="Times New Roman" w:hAnsi="Times New Roman"/>
          <w:color w:val="000000"/>
          <w:sz w:val="20"/>
        </w:rPr>
        <w:t>Note 12 – Financial Highlights</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financial highlights for the nine months ended September 30, 2025 and 2024 (in thousands, except for per share data and ratios):</w:t>
      </w:r>
    </w:p>
    <w:tbl>
      <w:tblPr>
        <w:tblW w:w="10017" w:type="dxa"/>
        <w:jc w:val="left"/>
        <w:tblInd w:w="0" w:type="dxa"/>
        <w:tblLayout w:type="fixed"/>
        <w:tblCellMar>
          <w:top w:w="28" w:type="dxa"/>
          <w:left w:w="28" w:type="dxa"/>
          <w:bottom w:w="28" w:type="dxa"/>
          <w:right w:w="28" w:type="dxa"/>
        </w:tblCellMar>
      </w:tblPr>
      <w:tblGrid>
        <w:gridCol w:w="6716"/>
        <w:gridCol w:w="146"/>
        <w:gridCol w:w="196"/>
        <w:gridCol w:w="146"/>
        <w:gridCol w:w="691"/>
        <w:gridCol w:w="166"/>
        <w:gridCol w:w="146"/>
        <w:gridCol w:w="146"/>
        <w:gridCol w:w="196"/>
        <w:gridCol w:w="159"/>
        <w:gridCol w:w="757"/>
        <w:gridCol w:w="166"/>
        <w:gridCol w:w="386"/>
      </w:tblGrid>
      <w:tr>
        <w:trPr/>
        <w:tc>
          <w:tcPr>
            <w:tcW w:w="6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5"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9465" w:type="dxa"/>
            <w:gridSpan w:val="11"/>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Per Share Data</w:t>
            </w:r>
            <w:r>
              <w:rPr>
                <w:rFonts w:ascii="Times New Roman" w:hAnsi="Times New Roman"/>
                <w:b/>
                <w:color w:val="000000"/>
                <w:sz w:val="11"/>
              </w:rPr>
              <w:t>(1)</w:t>
            </w:r>
            <w:r>
              <w:rPr>
                <w:rFonts w:ascii="Times New Roman" w:hAnsi="Times New Roman"/>
                <w:b/>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from investment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 xml:space="preserve">Accretion (dilution), net </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5" w:type="dxa"/>
            <w:gridSpan w:val="11"/>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Total return based on net asset value</w:t>
            </w:r>
            <w:r>
              <w:rPr>
                <w:rFonts w:ascii="Times New Roman" w:hAnsi="Times New Roman"/>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net investment income to average net assets</w:t>
            </w:r>
            <w:r>
              <w:rPr>
                <w:rFonts w:ascii="Times New Roman" w:hAnsi="Times New Roman"/>
                <w:color w:val="000000"/>
                <w:sz w:val="11"/>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total operating expenses to average net assets</w:t>
            </w:r>
            <w:r>
              <w:rPr>
                <w:rFonts w:ascii="Times New Roman" w:hAnsi="Times New Roman"/>
                <w:color w:val="000000"/>
                <w:sz w:val="11"/>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total operating expenses, excluding incentive fees, to average net assets</w:t>
            </w:r>
            <w:r>
              <w:rPr>
                <w:rFonts w:ascii="Times New Roman" w:hAnsi="Times New Roman"/>
                <w:color w:val="000000"/>
                <w:sz w:val="11"/>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Ratio of net increase (decrease) in net assets resulting from operations to average net assets</w:t>
            </w:r>
            <w:r>
              <w:rPr>
                <w:rFonts w:ascii="Times New Roman" w:hAnsi="Times New Roman"/>
                <w:color w:val="000000"/>
                <w:sz w:val="11"/>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 share market value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Per share 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Weighted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Weighted average shares outstanding for the period,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36,887,968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39,317,890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All per share activity, excluding dividends, is calculated based on the weighted-average shares outstanding for the relevant period.</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Net accretion (dilution) represents the effect of issuance and repurchase of common stock.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sz w:val="20"/>
        </w:rPr>
      </w:pPr>
      <w:r>
        <w:rPr>
          <w:rFonts w:ascii="Times New Roman" w:hAnsi="Times New Roman"/>
          <w:color w:val="000000"/>
          <w:sz w:val="16"/>
        </w:rPr>
        <w:t>Total return based on net asset value is calculated as the change in net asset value per share during the period, plus dividends per share, divided by the beginning net asset value per share. The total returns are not annualized.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Total return based on market value is calculated as the change in market value per share during the period, plus dividends per share, divided by the beginning market value per share. The total returns are not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ratios are calculated based on weighted average net assets for the relevant period and are annualized.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ratio includes annualized incentive fees and as incentive fees are performance driven, the amount expensed in future periods may vary significantly and is dependent on overall investment performance, early terminations, scheduled prepayments and other liquidity events.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sz w:val="20"/>
        </w:rPr>
      </w:pPr>
      <w:r>
        <w:rPr>
          <w:rFonts w:ascii="Times New Roman" w:hAnsi="Times New Roman"/>
          <w:color w:val="000000"/>
          <w:sz w:val="16"/>
        </w:rPr>
        <w:t>The portfolio turnover rate for the period is calculated by taking the lesser of investment portfolio purchases or sales during the period, divided by the average investment portfolio value during the period. As such, portfolio turnover is not annualized.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r>
        <w:rPr>
          <w:rFonts w:ascii="Times New Roman" w:hAnsi="Times New Roman"/>
          <w:color w:val="000000"/>
          <w:sz w:val="20"/>
        </w:rPr>
        <w:t>Note 13 - Subsequent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evaluated events subsequent to September 30, 2025 through November 6, 2025. There have been no subsequent events that occurred during such period that would require recognition or disclosure, except as disclosed below.</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5, 2025, the Board of Directors declared a distribution of $0.33 per share for stockholders of record as of November 17, 2025, payable on or before December 3, 2025. </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Recent Portfolio Activity</w:t>
      </w:r>
    </w:p>
    <w:p>
      <w:pPr>
        <w:pStyle w:val="TextBody"/>
        <w:bidi w:val="0"/>
        <w:jc w:val="both"/>
        <w:rPr>
          <w:rFonts w:ascii="Times New Roman" w:hAnsi="Times New Roman"/>
          <w:color w:val="000000"/>
          <w:sz w:val="20"/>
        </w:rPr>
      </w:pPr>
      <w:r>
        <w:rPr>
          <w:rFonts w:ascii="Times New Roman" w:hAnsi="Times New Roman"/>
          <w:color w:val="000000"/>
          <w:sz w:val="20"/>
        </w:rPr>
        <w:t>From October 1, 2025 through November 6, 2025, the Company completed $12.0 million of additional debt commitments. In addition, the Company funded $1.2 million in unfunded commitments on existing investments. The Company also received $0.9 million in debt prepayments.</w:t>
      </w:r>
    </w:p>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SWK Agreement and Plan of Merger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9, 2025, the Company entered into an Agreement and Plan of Merger (the “Merger Agreement”) with RWAY Portfolio Holding Corp., a Delaware corporation and our direct wholly-owned subsidiary (“Intermediary Sub”), RWAY Portfolio Corp., a Delaware corporation and a direct wholly-owned subsidiary of Intermediary Sub (“Acquisition Sub”), RGC, a Delaware limited liability company and SWK Holdings Corporation, a Delaware corporation (“SWK”). The Merger Agreement provides that, subject to the conditions set forth in the Merger Agreement, Acquisition Sub will merge with and into SWK, with SWK continuing as the surviving company and as a wholly-owned subsidiary of Intermediary Sub, or, in the alternative, SWK will merge with and into Acquisition Sub, with Acquisition Sub continuing as the surviving company and as a wholly-owned subsidiary of Intermediary Sub (in either case, the “First Merger”). Immediately after the effectiveness of the First Merger, SWK or Acquisition Sub, as applicable, will merge with and into Intermediary Sub (the “Second Merger”), with Intermediary Sub continuing as the surviving company and as our wholly-owned subsidiary. Immediately after the effectiveness of the Second Merger, Intermediary Sub will merge with and into us (the “Third Merger” and together with the First Merger and the Second Merger, the “Mergers”), and we will continue as the surviving corporation. The Board of Directors and the board of directors of SWK have approved, among other things, the Merger Agreement and the transactions contemplated thereby (the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terms and conditions of the Merger Agreement, at the time a certificate of merger with respect to the First Merger is executed and filed with the Secretary of State of the State of Delaware as provided under the Delaware General Corporation Law (the “Effective Time”), each share of common stock, par value $0.001 per share, of SWK (“SWK Common Stock”) issued and outstanding immediately prior to the Effective Time (other than shares of SWK Common Stock held by a subsidiary of SWK or held, directly or indirectly, by the Company or any of its consolidated subsidiaries, including Intermediary Sub and Acquisition Sub and all treasury shares (the “Cancelled Shares”)) will be converted, at the election of the respective SWK stockholder, into the right to receive newly issued shares of common stock of the Company ("Common Stock"), par value $0.01 per share, equal to the Exchange Ratio (as defined below) (the “Per Share Stock Consideration”) or an amount of cash equal to the SWK Per Share NAV (as defined below) (the “Per Share Cash Consideration” and, together with the Per Share Stock Consideration, the “Total Per Share Merger Consideration”) and, in either case, an amount of cash, to be provided by RGC, equal to the quotient of (i) $9.0 million divided by (ii) the number of shares of SWK Common Stock issued and outstanding as of the Determination Date (as defined below) (excluding any Cancelled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Two (2) days (excluding Sundays and holidays) prior to the Effective Time (such date, the “Determination Date”), the Company and SWK will deliver to the other a calculation of its net asset value as of such date (such calculation with respect to SWK, the “Closing SWK NAV” and such calculation with respect to us, the “Closing RWAY NAV”), in each case calculated in good faith and determined in accordance with the accounting and reporting guidance set forth in ASC 946, as modified pursuant to the terms of the Merger Agreement. Based on such calculations, the parties will calculate: (1) the “SWK Per Share NAV,” which will be equal to (i) the Closing SWK NAV divided by (ii) the number of shares of SWK Common Stock issued and outstanding as of the Determination Date (excluding the Cancelled Shares) and (2) the “RWAY Per Share NAV,” which will be equal to (i) the Closing RWAY NAV divided by (ii) the number of shares of the Company's Common Stock issued and outstanding as of the Determination Date. The “Exchange Ratio” will be equal to the quotient (rounded to four decimal places) of (i) the SWK Per Share NAV divided by (ii) the RWAY Per Share NAV.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and SWK will update and redeliver the Closing RWAY NAV or the Closing SWK NAV, as applicable, in the event that the closing of the Mergers is subsequently materially delayed or there is a material change to either such calculation between the Determination Date and the closing of the Mergers and as needed to ensure that the calculation is determined within two (2) days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(excluding Sundays and holidays) prior to the Effective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Merger Agreement contains customary pre-closing covenants, including covenants requiring the Company and/or SWK, as applicable, to (i) use reasonable best efforts to cause the consummation of the Transactions, (ii) conduct business in the ordinary course, (iii) cooperate with the other party in the preparation and filing of a registration statement on Form N-14 (the “Registration Statement”), (iv) duly call, give notice of, convene and hold a special meeting of stockholders of SWK, (v) obtain certain regulatory and third party consents and (vi) refrain from taking, or causing their respective subsidiaries to take, certain actions prior to the consummation of the Mergers without, with respect to the Company, SWK’s consent and, with respect to SWK, the Company's consent (which consent in each case is not to be unreasonably withheld, delayed or conditioned).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consummation of the Mergers is subject to the satisfaction or (to the extent permitted by law) waiver of certain customary closing conditions, including effectiveness of the Registration Statement, approval by SWK’s stockholders, absence of a material adverse effect and certain other closing conditions set forth in the Merger Agreement. The obligation of each party to consummate the Mergers is also conditioned upon the other party’s representations and warranties being true and correct (subject to certain materiality exceptions) and the other party having performed in all material respects its obligations under the Merger Agreement. Further, the Merger Agreement provides that SWK will not be obligated to consummate the Mergers should the amount by which a third-party valuation firm values the portfolio assets of SWK as of the Determination Date (as adjusted pursuant to the terms of the Merger Agreement) be more than $5.0 million less than SWK’s good faith determination of the carrying value of the underlying portfolio assets of SWK as of 5:00 p.m. New York City time on the Determination Date (as reflected in the books and records of SWK, determined in accordance with GAAP and in a manner consistent with SWK’s historical calculation of the carrying value of such assets).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Key Stockholder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Concurrently with the Company entering into the Merger Agreement, it also entered into a key stockholder agreement (the “Key Stockholder Agreement”) with Double Black Diamond Offshore Ltd., a Cayman Islands exempted company (the “Key Stockholder”), and, solely for the purposes of Section 4 thereof, Black Diamond Offshore Ltd., a Cayman Islands exempted company. The Key Stockholder owns 8,493,088 shares of SWK Common Stock, representing in the aggregate approximately 69.9% of the outstanding shares of SWK Common Stock as of October 9, 2025. Pursuant to the Key Stockholder Agreement, the Key Stockholder has agreed to vote such shares of SWK Common Stock in favor of the approval and adoption of the Merger Agreement. Additionally, pursuant to the Key Stockholder Agreement, the Key Stockholder has agreed to refrain from, directly or indirectly, absent our prior written consent: (A)(i) engaging in or becoming a participant in any “solicitation” (as such term is used in the proxy rules of the SEC, but without regard to the exclusion set forth in Rule 14a-1(l)(2)(iv) of the Exchange Act), with respect to the Company, its Common Stock or any of its other voting securities, of proxies or consents; or conducting any non-binding referendum with respect to any matter or proposal to be voted on by holders of the Company's Common Stock or other voting securities, or (ii) making any public statement in support of any third-party solicitation or referendum with respect to the Company, its Common Stock or any of its other voting securities; (B) seeking or proposing, alone or in concert with others, to have RGC terminated or replaced, to prevent the adoption of the Advisory Agreement, or to have the Advisory Agreement terminated, amended, modified or otherwise replaced or canceled; (C)(i) seeking or proposing, alone or in concert with others, election or appointment to, or representation on, the Board of Directors; or nominating or proposing the nomination of, or recommending the nomination of, any candidate to the Board of Directors, or (ii) seeking or proposing, alone or in concert with others, the removal of any member of the Board of Directors; (D)(i) seeking or proposing, alone or in concert with others, to call a meeting of our stockholders, or (ii) making or being the proponent of any stockholder proposal (pursuant to Rule 14a-8 under the Exchange Act or otherwise) for consideration by the Company's stockholders; or (E) publicly disclosing any intention, plan or arrangement to take any action inconsistent with the provisions of sections (A) through (D) above.</w:t>
      </w:r>
    </w:p>
    <w:p>
      <w:pPr>
        <w:pStyle w:val="TextBody"/>
        <w:bidi w:val="0"/>
        <w:spacing w:before="0" w:after="240"/>
        <w:jc w:val="both"/>
        <w:rPr/>
      </w:pPr>
      <w:r>
        <w:rPr/>
        <w:t> </w:t>
      </w:r>
    </w:p>
    <w:p>
      <w:pPr>
        <w:pStyle w:val="TextBody"/>
        <w:bidi w:val="0"/>
        <w:jc w:val="left"/>
        <w:rPr/>
      </w:pPr>
      <w:r>
        <w:rPr/>
        <w:t> </w:t>
      </w:r>
    </w:p>
    <w:p>
      <w:pPr>
        <w:pStyle w:val="TextBody"/>
        <w:bidi w:val="0"/>
        <w:spacing w:before="240" w:after="24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12" w:name="item2managementsdiscussionandanalysisoff"/>
      <w:bookmarkEnd w:id="12"/>
      <w:r>
        <w:rPr>
          <w:rFonts w:ascii="Times New Roman" w:hAnsi="Times New Roman"/>
          <w:color w:val="000000"/>
          <w:sz w:val="20"/>
        </w:rPr>
        <w:t>Item 2. Management’s Discussion and Analysis of Financial Condition and Results of Operations.</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quarterly report on Form 10</w:t>
        <w:noBreakHyphen/>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political, economic or industry conditions, trade policies, restrictions and tariffs, the interest rate environment or conditions affecting the financial and capital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an economic downturn could disproportionately impact the companies that we intend to target for investment, potentially causing us to experience a decrease in investment opportunities and diminished demand for capital from these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contraction of available credit and/or an inability to access the equity markets that could impair our lending and investment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rate volatility that could adversely affect our results, particularly to the extent that we use leverage as part of our investment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of interest and inflation rates on 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prospects and the prospects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competition with other entities and our affiliates for investment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speculative and illiquid nature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use of borrowed money to finance a portion of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adequacy of our financing sources and working capital;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loss of key personnel and members of our management team;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cash flows, if any, from the operations of our portfolio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external investment adviser, Runway Growth Capital LLC, to locate suitable investments for us and to monitor and administer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Runway Growth Capital LLC to attract and retain highly talented professionals;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qualify and maintain our qualification as a RIC under Subchapter M of the Code, and as a BDC;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 disaster, such as a cyber-attack against us or against a third-party that has access to our data or networks, a natural catastrophe, an industrial accident, failure of our disaster-recovery systems, or consequential employee error;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legal, tax, and regulatory changes;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ability of the parties to consummate the proposed transactions that will result in SWK Holdings Corporation (“SWK”) merging with and into us (the “Mergers”) pursuant to an Agreement and Plan of Merger (the “Merger Agreement”), dated October 9, 2025, by and among us, RWAY Portfolio Holding Corp., RWAY Portfolio Corp., Runway Growth Capital LLC and SWK Holdings Corporation, on the expected timeline, or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realize the anticipated benefits of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effects of disruption on our business from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combined company’s plans, expectations, objectives and intentions as a result of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potential termination of the Merger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actions of our shareholders or the shareholders of SWK with respect to the proposals submitted for their approval in connection with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possibility that competing offers or acquisitions proposals will be made;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risk that stockholders litigation in connection with Mergers may result in significant costs of defense and liability;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other risks, uncertainties and other factors we identify under "Risk Factors" in Part I, Item 1A of our annual report on Form 10-K, as modified by the Company's annual report on Form 10-K/A, for the year ended December 31, 2024, filed with the Securities and Exchange Commission (the "SEC") on March 20, 2025 and March 27, 2025, respectively, and in this quarterly report on Form 10-Q.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Part I, Item 1A of our annual report on Form 10-K, as modified by the Company's annual report on Form 10-K/A, for the year ended December 31, 2024, filed with the SEC on March 20, 2025 and March 27, 2025,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have based the forward-looking statements included in this quarterly report on Form 10</w:t>
        <w:noBreakHyphen/>
        <w:t>Q on information available to us on the date of this quarterly report on Form 10</w:t>
        <w:noBreakHyphen/>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noBreakHyphen/>
        <w:t>K, quarterly reports on Form 10</w:t>
        <w:noBreakHyphen/>
        <w:t>Q and current reports on Form 8</w:t>
        <w:noBreakHyphen/>
        <w:t>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quarterly report on Form 10</w:t>
        <w:noBreakHyphen/>
        <w:t>Q.</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Runway Growth Finance Corp. ("we," "us," "our," or the "Company"), a Maryland corporation formed on August 31, 2015, is structured as an externally managed, non-diversified closed-end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We will remain an emerging growth company until the last day of our fiscal year following the fifth anniversary of our IPO, which closed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October 25, 2021 or until the earliest of (i) the last day of the first fiscal year in which we have total annual gross revenue of $1.235 billion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RGC, and certain other funds and accounts sponsored or managed by RGC and/or its affiliates, including BC Partners Advisors L.P. (collectively our "Affiliates"), rely on an order (the "Order") granted by the SEC that permits us greater flexibility than the 1940 Act permits to negotiate the terms of co-investments if our Board of Directors determines that it would be advantageous for us to co-invest with other accounts sponsored or managed by RGC and/or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Portfolio Composition and Investment Activity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Portfolio Composition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September 30, 2025, we had investments in 54 companies, representing 22 companies in which we held debt and warrant investments, 1 company in which we held debt investments and shares of common stock/units, preferred stock/units, or a combination with warrants, 7 companies in which we held a debt investment only, 15 companies in which we held warrant investments only, and 9 companies in which we held shares of common stock/units, preferred stock/units, equity interests, or a combination thereof with warrants. At December 31, 2024, we had investments in 57 companies, representing 23 companies in which we held debt and warrant investments, 5 companies in which we held debt investments and shares of common stock/units, preferred stock/units, or a combination with warrants, 4 companies in which we held a debt investment only, 17 companies in which we held warrant investments only, and 8 companies in which we held shares of common stock/units, preferred stock/units, equity interests, or a combination thereof with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 shows the fair value of our investments, by asset class, as of September 30, 2025 and December 31, 2024 (in thousands): </w:t>
      </w:r>
    </w:p>
    <w:tbl>
      <w:tblPr>
        <w:tblW w:w="6548" w:type="dxa"/>
        <w:jc w:val="left"/>
        <w:tblInd w:w="0" w:type="dxa"/>
        <w:tblLayout w:type="fixed"/>
        <w:tblCellMar>
          <w:top w:w="28" w:type="dxa"/>
          <w:left w:w="28" w:type="dxa"/>
          <w:bottom w:w="28" w:type="dxa"/>
          <w:right w:w="28" w:type="dxa"/>
        </w:tblCellMar>
      </w:tblPr>
      <w:tblGrid>
        <w:gridCol w:w="1037"/>
        <w:gridCol w:w="943"/>
        <w:gridCol w:w="196"/>
        <w:gridCol w:w="146"/>
        <w:gridCol w:w="826"/>
        <w:gridCol w:w="146"/>
        <w:gridCol w:w="146"/>
        <w:gridCol w:w="196"/>
        <w:gridCol w:w="146"/>
        <w:gridCol w:w="826"/>
        <w:gridCol w:w="146"/>
        <w:gridCol w:w="146"/>
        <w:gridCol w:w="157"/>
        <w:gridCol w:w="157"/>
        <w:gridCol w:w="648"/>
        <w:gridCol w:w="157"/>
        <w:gridCol w:w="529"/>
      </w:tblGrid>
      <w:tr>
        <w:trPr/>
        <w:tc>
          <w:tcPr>
            <w:tcW w:w="103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994,183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Secured Loans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Second Lien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Stock/Units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Stock/Units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98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6"/>
              </w:rPr>
            </w:pPr>
            <w:r>
              <w:rPr>
                <w:rFonts w:ascii="Times New Roman" w:hAnsi="Times New Roman"/>
                <w:b/>
                <w:color w:val="000000"/>
                <w:sz w:val="16"/>
              </w:rPr>
              <w:t>Total</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Times New Roman" w:hAnsi="Times New Roman"/>
          <w:color w:val="231F20"/>
          <w:sz w:val="20"/>
        </w:rPr>
        <w:t xml:space="preserve">For the three and nine months ended September 30, 2025, our debt investment portfolio had a dollar-weighted annualized yield of 16.8% and 15.3%, respectively. For the </w:t>
      </w:r>
      <w:r>
        <w:rPr>
          <w:rFonts w:ascii="Times New Roman" w:hAnsi="Times New Roman"/>
          <w:color w:val="000000"/>
          <w:sz w:val="20"/>
        </w:rPr>
        <w:t>three and nine months ended September 30, 2024</w:t>
      </w:r>
      <w:r>
        <w:rPr>
          <w:rFonts w:ascii="Times New Roman" w:hAnsi="Times New Roman"/>
          <w:color w:val="231F20"/>
          <w:sz w:val="20"/>
        </w:rPr>
        <w:t>, our debt investment portfolio had a dollar-weighted annualized yield of 15.9% and 15.5%,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September 30, 2025, our debt investments had a dollar-weighted average term of 54 months at origination and a dollar-weighted average remaining term of 33 months, or approximately 2.8 years. As of September 30, 2025, substantially all of our debt investments had a committed principal amount of between $6.0 million and $68.5 million and pay cash interest at annual interest rates of between 6.3% and 13.8%.</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The following table shows our dollar-weighted annualized yield by investment type for the </w:t>
      </w:r>
      <w:r>
        <w:rPr>
          <w:rFonts w:ascii="Times New Roman" w:hAnsi="Times New Roman"/>
          <w:color w:val="000000"/>
          <w:sz w:val="20"/>
        </w:rPr>
        <w:t>three and nine months ended September 30, 2025 and 2024</w:t>
      </w:r>
      <w:r>
        <w:rPr>
          <w:rFonts w:ascii="Times New Roman" w:hAnsi="Times New Roman"/>
          <w:color w:val="231F20"/>
          <w:sz w:val="20"/>
        </w:rPr>
        <w:t>:</w:t>
      </w:r>
    </w:p>
    <w:tbl>
      <w:tblPr>
        <w:tblW w:w="10988" w:type="dxa"/>
        <w:jc w:val="left"/>
        <w:tblInd w:w="0" w:type="dxa"/>
        <w:tblLayout w:type="fixed"/>
        <w:tblCellMar>
          <w:top w:w="28" w:type="dxa"/>
          <w:left w:w="28" w:type="dxa"/>
          <w:bottom w:w="28" w:type="dxa"/>
          <w:right w:w="28" w:type="dxa"/>
        </w:tblCellMar>
      </w:tblPr>
      <w:tblGrid>
        <w:gridCol w:w="1031"/>
        <w:gridCol w:w="146"/>
        <w:gridCol w:w="146"/>
        <w:gridCol w:w="511"/>
        <w:gridCol w:w="146"/>
        <w:gridCol w:w="241"/>
        <w:gridCol w:w="146"/>
        <w:gridCol w:w="146"/>
        <w:gridCol w:w="511"/>
        <w:gridCol w:w="146"/>
        <w:gridCol w:w="241"/>
        <w:gridCol w:w="146"/>
        <w:gridCol w:w="146"/>
        <w:gridCol w:w="511"/>
        <w:gridCol w:w="146"/>
        <w:gridCol w:w="241"/>
        <w:gridCol w:w="146"/>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146"/>
        <w:gridCol w:w="146"/>
        <w:gridCol w:w="511"/>
        <w:gridCol w:w="146"/>
        <w:gridCol w:w="241"/>
        <w:gridCol w:w="291"/>
      </w:tblGrid>
      <w:tr>
        <w:trPr/>
        <w:tc>
          <w:tcPr>
            <w:tcW w:w="1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0"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 Value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5"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Cost</w:t>
            </w:r>
            <w:r>
              <w:rPr>
                <w:rFonts w:ascii="Times New Roman" w:hAnsi="Times New Roman"/>
                <w:b/>
                <w:color w:val="000000"/>
                <w:sz w:val="11"/>
              </w:rPr>
              <w:t>(2)</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Equity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All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Investment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nine months ended September 30, 2025, we funded $52.5 million in four new portfolio companies and $55.2 million in nine existing companies, net of upfront loan origination fees and refinances. We also received $226.1 million in sales and prepayments from ten portfolio companies and $9.4 million in scheduled principal repayments from three portfolio companies. Of the sales and prepayments, $38.3 million in proceeds was from the termination of warrants, sale of preferred stock/units, sale of equity interest, or sale of common stock/units. During the nine months ended September 30, 2024, we funded $151.4 million in five new portfolio companies, $5.6 million in one joint venture, and $17.0 million in four existing portfolio companies, net of upfront loan origination fees and refinances. We also received $144.7 million in sales and prepayments from five portfolio companies and $2.4 million in scheduled principal repayments from one portfolio company. There was $0.1 million in proceeds from the termination of warrants, sale of preferred stock, sale of equity interest, or sale of common stock during the nine months ended September 30, 2024.</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Portfolio Reconciliation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is a reconciliation of our investment portfolio for the nine months ended September 30, 2025 and 2024 (in thousands):</w:t>
      </w:r>
    </w:p>
    <w:tbl>
      <w:tblPr>
        <w:tblW w:w="7679" w:type="dxa"/>
        <w:jc w:val="left"/>
        <w:tblInd w:w="0" w:type="dxa"/>
        <w:tblLayout w:type="fixed"/>
        <w:tblCellMar>
          <w:top w:w="28" w:type="dxa"/>
          <w:left w:w="28" w:type="dxa"/>
          <w:bottom w:w="28" w:type="dxa"/>
          <w:right w:w="28" w:type="dxa"/>
        </w:tblCellMar>
      </w:tblPr>
      <w:tblGrid>
        <w:gridCol w:w="2451"/>
        <w:gridCol w:w="2229"/>
        <w:gridCol w:w="196"/>
        <w:gridCol w:w="154"/>
        <w:gridCol w:w="874"/>
        <w:gridCol w:w="175"/>
        <w:gridCol w:w="154"/>
        <w:gridCol w:w="207"/>
        <w:gridCol w:w="154"/>
        <w:gridCol w:w="874"/>
        <w:gridCol w:w="211"/>
      </w:tblGrid>
      <w:tr>
        <w:trPr/>
        <w:tc>
          <w:tcPr>
            <w:tcW w:w="245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1,076,840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107,747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(226,052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maturities of U.S. Treasury Bills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945,964</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1,066,100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tbl>
      <w:tblPr>
        <w:tblW w:w="10205" w:type="dxa"/>
        <w:jc w:val="left"/>
        <w:tblInd w:w="0" w:type="dxa"/>
        <w:tblLayout w:type="fixed"/>
        <w:tblCellMar>
          <w:top w:w="28" w:type="dxa"/>
          <w:left w:w="28" w:type="dxa"/>
          <w:bottom w:w="28" w:type="dxa"/>
          <w:right w:w="28" w:type="dxa"/>
        </w:tblCellMar>
      </w:tblPr>
      <w:tblGrid>
        <w:gridCol w:w="916"/>
        <w:gridCol w:w="109"/>
        <w:gridCol w:w="9180"/>
      </w:tblGrid>
      <w:tr>
        <w:trPr/>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Investment</w:t>
            </w:r>
            <w:r>
              <w:rPr>
                <w:rFonts w:ascii="Times New Roman" w:hAnsi="Times New Roman"/>
                <w:color w:val="000000"/>
                <w:sz w:val="16"/>
              </w:rPr>
              <w:br/>
            </w:r>
            <w:r>
              <w:rPr>
                <w:rFonts w:ascii="Times New Roman" w:hAnsi="Times New Roman"/>
                <w:b/>
                <w:color w:val="000000"/>
                <w:sz w:val="16"/>
              </w:rPr>
              <w:t>Rating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 Definition</w:t>
            </w:r>
          </w:p>
        </w:tc>
      </w:tr>
      <w:tr>
        <w:trPr/>
        <w:tc>
          <w:tcPr>
            <w:tcW w:w="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above plan and/or strong enterprise profile, value, financial performance/coverage. Maintaining full covenant and payment compliance as agreed.</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at or reasonably close to plan. Acceptable business prospects, enterprise value, and financial coverage. Maintaining key covenant and payment compliance as agreed. Generally, all new loans are initially graded Category 2.</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below plan of record. Potential elements of concern over performance, trends and business outlook. Loan-to-value remains adequate. Potential key covenant non-compliance. Full payment compliance.</w:t>
            </w:r>
          </w:p>
        </w:tc>
      </w:tr>
      <w:tr>
        <w:trPr/>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Going concern nature in question. Substantial decline in enterprise value and all coverages. Covenant and payment default imminent if not currently present. Investments are nearly always in workout. May experience partial and/or full loss.</w:t>
            </w:r>
          </w:p>
        </w:tc>
      </w:tr>
    </w:tbl>
    <w:p>
      <w:pPr>
        <w:pStyle w:val="TextBody"/>
        <w:bidi w:val="0"/>
        <w:spacing w:before="240" w:after="120"/>
        <w:jc w:val="both"/>
        <w:rPr>
          <w:rFonts w:ascii="Times New Roman" w:hAnsi="Times New Roman"/>
          <w:color w:val="000000"/>
          <w:sz w:val="20"/>
        </w:rPr>
      </w:pPr>
      <w:r>
        <w:rPr>
          <w:rFonts w:ascii="Times New Roman" w:hAnsi="Times New Roman"/>
          <w:color w:val="000000"/>
          <w:sz w:val="20"/>
        </w:rPr>
        <w:t>The following table shows the investment ratings of our debt investments at fair value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219"/>
        <w:gridCol w:w="196"/>
        <w:gridCol w:w="691"/>
        <w:gridCol w:w="146"/>
        <w:gridCol w:w="146"/>
        <w:gridCol w:w="840"/>
        <w:gridCol w:w="397"/>
        <w:gridCol w:w="146"/>
        <w:gridCol w:w="1761"/>
        <w:gridCol w:w="146"/>
        <w:gridCol w:w="146"/>
        <w:gridCol w:w="196"/>
        <w:gridCol w:w="691"/>
        <w:gridCol w:w="146"/>
        <w:gridCol w:w="146"/>
        <w:gridCol w:w="840"/>
        <w:gridCol w:w="397"/>
        <w:gridCol w:w="146"/>
        <w:gridCol w:w="1809"/>
      </w:tblGrid>
      <w:tr>
        <w:trPr/>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Rating</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Total 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Portfolio Companies</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62.39</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r>
      <w:tr>
        <w:trPr/>
        <w:tc>
          <w:tcPr>
            <w:tcW w:w="12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r>
      <w:tr>
        <w:trPr/>
        <w:tc>
          <w:tcPr>
            <w:tcW w:w="1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878,813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970,244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r>
    </w:tbl>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Non-Accrual Status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Generally, when interest and/or principal payments on a loan become past due, or if we otherwise do not expect the borrower to be able to service its debt and other obligations, we will place the loan on non-accrual status and will cease recognizing interest income on that loan for financial reporting purposes until all principal and interest have been brought current through payment or due to a restructuring such that the interest income is deemed to be collectible.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the cost, fair value, and types of income not recorded in "Interest income" on the Consolidated Statements of Operations related to senior secured term loans on non-accrual status as of September 30, 2025 and December 31, 2024 (in thousands):</w:t>
      </w:r>
    </w:p>
    <w:tbl>
      <w:tblPr>
        <w:tblW w:w="10205" w:type="dxa"/>
        <w:jc w:val="left"/>
        <w:tblInd w:w="0" w:type="dxa"/>
        <w:tblLayout w:type="fixed"/>
        <w:tblCellMar>
          <w:top w:w="28" w:type="dxa"/>
          <w:left w:w="28" w:type="dxa"/>
          <w:bottom w:w="28" w:type="dxa"/>
          <w:right w:w="28" w:type="dxa"/>
        </w:tblCellMar>
      </w:tblPr>
      <w:tblGrid>
        <w:gridCol w:w="1383"/>
        <w:gridCol w:w="346"/>
        <w:gridCol w:w="1043"/>
        <w:gridCol w:w="146"/>
        <w:gridCol w:w="259"/>
        <w:gridCol w:w="147"/>
        <w:gridCol w:w="517"/>
        <w:gridCol w:w="146"/>
        <w:gridCol w:w="146"/>
        <w:gridCol w:w="273"/>
        <w:gridCol w:w="156"/>
        <w:gridCol w:w="404"/>
        <w:gridCol w:w="146"/>
        <w:gridCol w:w="146"/>
        <w:gridCol w:w="258"/>
        <w:gridCol w:w="147"/>
        <w:gridCol w:w="516"/>
        <w:gridCol w:w="146"/>
        <w:gridCol w:w="146"/>
        <w:gridCol w:w="256"/>
        <w:gridCol w:w="146"/>
        <w:gridCol w:w="511"/>
        <w:gridCol w:w="146"/>
        <w:gridCol w:w="146"/>
        <w:gridCol w:w="256"/>
        <w:gridCol w:w="146"/>
        <w:gridCol w:w="511"/>
        <w:gridCol w:w="146"/>
        <w:gridCol w:w="146"/>
        <w:gridCol w:w="148"/>
        <w:gridCol w:w="427"/>
        <w:gridCol w:w="148"/>
        <w:gridCol w:w="601"/>
      </w:tblGrid>
      <w:tr>
        <w:trPr/>
        <w:tc>
          <w:tcPr>
            <w:tcW w:w="13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Non-Accrual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Forgone Accretion of OID and ETP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Forgone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as a % of Total Portfolio</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September 30,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Investment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JobGet Holdings, Inc. (fka Snagajob.com, Inc.)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w:t>
            </w:r>
          </w:p>
        </w:tc>
      </w:tr>
      <w:tr>
        <w:trPr/>
        <w:tc>
          <w:tcPr>
            <w:tcW w:w="1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Mingle Healthcare Solutions, Inc.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0.20</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1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0.52</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An important measure of our financial performance is "Net increase (decrease) in net assets resulting from operations" on the Consolidated Statements of Operations, which includes "Net investment income," "Net realized gain (loss)" and "Net change in unrealized gain (loss)." "Net investment income" is the difference between our income from interest, dividends, fees and other income and our operating expenses, including interest on borrowed funds. "Net realized gain (loss)" is the difference between the proceeds received from dispositions and the amortized cost of portfolio investments and U.S. Treasury Bills, as well as any realized gain (loss) on forward contracts and foreign currency transactions. "Net change in unrealized gain (loss)" is the net change in the fair value of our investment portfolio and the effect of fluctuations in foreign currency exchange rates on forward contracts and foreign cash held.</w:t>
      </w:r>
    </w:p>
    <w:p>
      <w:pPr>
        <w:pStyle w:val="TextBody"/>
        <w:bidi w:val="0"/>
        <w:spacing w:before="160" w:after="240"/>
        <w:jc w:val="left"/>
        <w:rPr>
          <w:rFonts w:ascii="Times New Roman" w:hAnsi="Times New Roman"/>
          <w:b/>
          <w:i/>
          <w:color w:val="000000"/>
          <w:sz w:val="20"/>
        </w:rPr>
      </w:pPr>
      <w:r>
        <w:rPr>
          <w:rFonts w:ascii="Times New Roman" w:hAnsi="Times New Roman"/>
          <w:b/>
          <w:i/>
          <w:color w:val="000000"/>
          <w:sz w:val="20"/>
        </w:rPr>
        <w:t>Comparison of the Three and Nine Months Ended September 30, 2025 and 2024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compares the results of our operations for the three and nine months ended September 30, 2025 and 2024 (in thousands):</w:t>
      </w:r>
    </w:p>
    <w:tbl>
      <w:tblPr>
        <w:tblW w:w="11467" w:type="dxa"/>
        <w:jc w:val="left"/>
        <w:tblInd w:w="0" w:type="dxa"/>
        <w:tblLayout w:type="fixed"/>
        <w:tblCellMar>
          <w:top w:w="28" w:type="dxa"/>
          <w:left w:w="28" w:type="dxa"/>
          <w:bottom w:w="28" w:type="dxa"/>
          <w:right w:w="28" w:type="dxa"/>
        </w:tblCellMar>
      </w:tblPr>
      <w:tblGrid>
        <w:gridCol w:w="1256"/>
        <w:gridCol w:w="246"/>
        <w:gridCol w:w="246"/>
        <w:gridCol w:w="146"/>
        <w:gridCol w:w="601"/>
        <w:gridCol w:w="166"/>
        <w:gridCol w:w="146"/>
        <w:gridCol w:w="196"/>
        <w:gridCol w:w="146"/>
        <w:gridCol w:w="481"/>
        <w:gridCol w:w="166"/>
        <w:gridCol w:w="146"/>
        <w:gridCol w:w="196"/>
        <w:gridCol w:w="146"/>
        <w:gridCol w:w="601"/>
        <w:gridCol w:w="146"/>
        <w:gridCol w:w="146"/>
        <w:gridCol w:w="196"/>
        <w:gridCol w:w="146"/>
        <w:gridCol w:w="421"/>
        <w:gridCol w:w="146"/>
        <w:gridCol w:w="146"/>
        <w:gridCol w:w="246"/>
        <w:gridCol w:w="246"/>
        <w:gridCol w:w="146"/>
        <w:gridCol w:w="691"/>
        <w:gridCol w:w="166"/>
        <w:gridCol w:w="146"/>
        <w:gridCol w:w="196"/>
        <w:gridCol w:w="146"/>
        <w:gridCol w:w="481"/>
        <w:gridCol w:w="166"/>
        <w:gridCol w:w="146"/>
        <w:gridCol w:w="196"/>
        <w:gridCol w:w="146"/>
        <w:gridCol w:w="691"/>
        <w:gridCol w:w="166"/>
        <w:gridCol w:w="146"/>
        <w:gridCol w:w="196"/>
        <w:gridCol w:w="146"/>
        <w:gridCol w:w="481"/>
        <w:gridCol w:w="291"/>
      </w:tblGrid>
      <w:tr>
        <w:trPr/>
        <w:tc>
          <w:tcPr>
            <w:tcW w:w="12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9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Per Share</w:t>
            </w:r>
            <w:r>
              <w:rPr>
                <w:rFonts w:ascii="Times New Roman" w:hAnsi="Times New Roman"/>
                <w:b/>
                <w:color w:val="000000"/>
                <w:sz w:val="11"/>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fee and dividend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gain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change in unrealized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40"/>
        <w:jc w:val="both"/>
        <w:rPr>
          <w:rFonts w:ascii="Times New Roman" w:hAnsi="Times New Roman"/>
          <w:color w:val="000000"/>
          <w:sz w:val="16"/>
        </w:rPr>
      </w:pPr>
      <w:r>
        <w:rPr>
          <w:rFonts w:ascii="Times New Roman" w:hAnsi="Times New Roman"/>
          <w:color w:val="000000"/>
          <w:sz w:val="16"/>
        </w:rPr>
        <w:t>The basic per share figures noted above are based on weighted averages of 36,225,742 and 38,390,854 shares outstanding for the three months ended September 30, 2025 and 2024, respectively, and 36,887,968 and 39,317,890 shares outstanding for the nine months ended September 30, 2025 and 2024,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jc w:val="both"/>
        <w:rPr>
          <w:rFonts w:ascii="Times New Roman" w:hAnsi="Times New Roman"/>
          <w:color w:val="000000"/>
          <w:sz w:val="20"/>
        </w:rPr>
      </w:pPr>
      <w:r>
        <w:rPr>
          <w:rFonts w:ascii="Times New Roman" w:hAnsi="Times New Roman"/>
          <w:color w:val="000000"/>
          <w:sz w:val="20"/>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from between $30-$150 million, with our allocation being in the range of $20-$45 million.</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 income remained relatively unchanged for the three months ended September 30, 2025 and 2024, at $36.7 million and $36.7 million, respectively, and includes non-recurring income of $4.9 million and $2.0 million, respectively. Non-recurring income includes, but is not limited to, acceleration of unaccreted OID and ETP, prepayment fees, and amendment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 income for the nine months ended September 30, 2025 and 2024 was $107.3 million and $110.9 million, respectively, and includes non-recurring income of $8.1 million and $6.2 million, respectively. Non-recurring income includes, but is not limited to, acceleration of unaccreted OID and ETP, prepayment fees, and amendment fees. The decrease in investment income for the nine months ended September 30, 2025 compared to the nine months ended September 30, 2024 was primarily due to decreased interest income from falling interest rates.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related to public and private offerings, sales and repurchases of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payable on debt incurred to finance our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and purchases of our common stock and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management fees and incentive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administration fees payable under the Administration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costs of registration and listing our securities on any securities exchange;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preparing and filing reports or other documents required by the SEC, the Financial Industry Regulatory Authority or other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costs;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allocable portion of any fidelity bond, directors’ and officers’ errors and omissions liability insurance, and any other insurance premiums;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pStyle w:val="TextBody"/>
        <w:bidi w:val="0"/>
        <w:spacing w:before="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Operating expenses for the three months ended September 30, 2025 and 2024 were $21.0 million and $20.8 million, respectively. Operating expenses increased for the three months ended September 30, 2025 from the three months ended September 30, 2024 primarily due to an increase in administration agreement expenses and excise tax expenses, offset by a decrease in interest and other debt financing expenses. Operating expenses per share for the three months ended September 30, 2025 and 2024 were $0.58 and $0.54,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Operating expenses for the nine months ended September 30, 2025 and 2024 were $62.0 million and $61.7 million, respectively. Operating expenses increased for the nine months ended September 30, 2025 from the nine months ended September 30, 2024 primarily due to an increase in administration agreement expenses, excise tax expenses, and professional fees, offset by a decrease in incentive fees and interest and other debt financing expenses. Operating expenses per share for the nine months ended September 30, 2025 and 2024 were $1.67 and $1.57,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Management fees remained relatively unchanged for the three months ended September 30, 2025 and 2024 at $4.0 million and $3.9 million, respectively. Management fees per share for the three months ended September 30, 2025 and 2024 were $0.11 and $0.10 per share,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Management fees remained relatively unchanged for the nine months ended September 30, 2025 and 2024 at $11.9 million and $11.8 million, respectively. Management fees per share for the nine months ended September 30, 2025 and 2024 were $0.32 and $0.30 per share,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Incentive fees remained relatively unchanged for the three months ended September 30, 2025 and 2024 at $4.1 million and $4.0 million, respectively. For the three months ended September 30, 2025, $4.8 million of the incentive fees were payable in cash and a net ($0.7) million were deferred and accrued. For the three months ended September 30, 2024, $3.1 million of the incentive fees were payable in cash and $0.9 million were deferred and accrued. Incentive fees per share for the three months ended September 30, 2025 and 2024 were $0.11 and $0.10,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Incentive fees for the nine months ended September 30, 2025 and 2024 were $11.5 million and $12.3 million, respectively. Incentive fees decreased for the nine months ended September 30, 2025 from the nine months ended September 30, 2024 due to a decrease in net investment income. For the nine months ended September 30, 2025, $10.1 million of the incentive fees were payable in cash and $1.4 million were deferred and accrued. For the nine months ended September 30, 2024, $9.6 million of the incentive fees were payable in cash and $2.6 million were deferred and accrued. Incentive fees per share for the nine months ended September 30, 2025 and 2024 were $0.31 and $0.31, respectively.</w:t>
      </w:r>
    </w:p>
    <w:p>
      <w:pPr>
        <w:pStyle w:val="TextBody"/>
        <w:bidi w:val="0"/>
        <w:spacing w:before="40" w:after="240"/>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three months ended September 30, 2025 and 2024 was $15.7 million and $15.9 million, respectively. Net investment income decreased for the three months ended September 30, 2025 from the three months ended September 30, 2024 primarily due to an increase in total operating expenses, offset by an increase in investment income. Net investment income per share for the three months ended September 30, 2025 and 2024 was $0.43 and $0.41, respectively.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investment income for the nine months ended September 30, 2025 and 2024 was $45.3 million and $49.1 million, respectively. Net investment income decreased for the nine months ended September 30, 2025 from the nine months ended September 30, 2024 primarily due to a decrease in investment income. Net investment income per share for the nine months ended September 30, 2025 and 2024 was $1.23 and $1.25, respectively.</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net realized loss on investments of $1.3 million for the three months ended September 30, 2025 was attributable to a realized losses on our investments in zSpace, Inc. common stock, Madison Reed, Inc. success fee, and Interactions Corporation warrant. There were no net realized gains or losses on investments for the three months ended September 30, 2024.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net realized gain on investments of $3.2 million for the nine months ended September 30, 2025 was attributable to a realized gain on our investment in Gynesonics, Inc. partially offset by realized losses on our investments in Quantum Corporation common stock, JobGet Holdings, Inc. (fka Snagajob.com, Inc.), and zSpace, Inc. common stock. There were no net realized gains or losses on investments for the nine months ended September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Net Change in Unrealized Gain (Loss) on Investments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Net change in unrealized loss on investments of $6.4 million for the three months ended September 30, 2025 was primarily due to a decrease in fair value on our investments in Blueshift Labs, Inc., Kin Insurance, Inc., and JobGet Holdings, Inc. (fka Snagajob.com, Inc.), partially offset by an increase in the fair value of our investments in Piano Software, Inc. In addition, we had releases of prior unrealized gains and losses on our investments in zSpace,Inc., Nalu Medical Inc., Interactions Corporation, and FiscalNote, Inc. Net change in unrealized gain on investments of $9.2 million for the three months ended September 30, 2024 was primarily due to an increase in the fair value of our senior secured loans to Gynesonics, Inc. and Snagajob.com, Inc., our preferred stock investments in Gynesonics, Inc., and CareCloud, Inc., offset by decreases in fair value of our senior secured loans to Vesta Payment Solutions, Inc., VTX Intermediate Holdings, Inc., 3PL Central LLC, and Blueshift Labs, Inc., as well as a release of prior unrealized gain on the senior secured loan to CloudPay, Inc.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Net change in unrealized loss on investments of $21.8 million for the nine months ended September 30, 2025 was primarily due to a release of prior unrealized gain on our investment in Gynesonics, Inc. and a decrease in the fair value of our investments in JobGet Holdings, Inc. (fka Snagajob.com, Inc.), Marley Spoon SE, 3PL Central, LLC., and Blueshift Labs, Inc. The decrease in fair value was partially offset by an increase in fair value of our investments in Hurricane Cleanco Limited and Brivo, Inc and a release of prior unrealized loss on our investments in Quantum Corporation and FiscalNote Inc. The net change in unrealized loss on investments of $3.7 million for the nine months ended September 30, 2024 was primarily due to a decrease in the fair value of our senior secured loans to Snagajob.com, Inc.,Vesta Payment Solutions, Inc., VTX Intermediate Holdings, Inc., Blueshift Labs, Inc., FiscalNote, Inc., 3PL Central LLC, and our common stock investment and warrants in Coginiti Corp. The decrease in fair value was partially offset by an increase in fair value of our senior secured loans to Gynesonics, Inc. and our preferred stock investments in Gynesonics, Inc. and CareCloud, Inc.</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Net Increase (Decrease) in Net Assets Resulting from Operations</w:t>
      </w:r>
    </w:p>
    <w:p>
      <w:pPr>
        <w:pStyle w:val="TextBody"/>
        <w:bidi w:val="0"/>
        <w:jc w:val="left"/>
        <w:rPr>
          <w:rFonts w:ascii="Times New Roman" w:hAnsi="Times New Roman"/>
          <w:color w:val="000000"/>
          <w:sz w:val="20"/>
        </w:rPr>
      </w:pPr>
      <w:r>
        <w:rPr>
          <w:rFonts w:ascii="Times New Roman" w:hAnsi="Times New Roman"/>
          <w:color w:val="000000"/>
          <w:sz w:val="20"/>
        </w:rPr>
        <w:t>We had a net increase in net assets resulting from operations of $8.0 million for the three months ended September 30, 2025 when compared to a net increase in net assets resulting from operations of $25.0 million for the three months ended September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had a net decrease in net assets resulting from operations of $26.7 million for the nine months ended September 30, 2025 when compared to a net increase in net assets resulting from operations of $45.4 million for the nine months ended September 30, 2024.</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Financial Condition, Liquidity, Capital Resources and Obligations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During the three and nine months ended September 30, 2025 and 2024, we primarily funded our operations from (i) cash receipts from interest, dividend, and fee income from our investment portfolio, (ii) cash proceeds from the realization of portfolio investments through the repayments of debt investments and the sale of debt and equity investments, and (iii) borrowings under our Credit Facility.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During the nine months ended September 30, 2025, our operating activities provided $165.7 million of cash and cash equivalents, compared to $55.9 million in cash and cash equivalents provided by operating activities during the nine months ended September 30, 2024. The $109.8 million increase in cash and cash equivalents provided by operating activities was primarily due to a decrease in purchases of investments and an increase in sales and repayments of investments.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During the nine months ended September 30, 2025, our financing activities used $163.5 million of cash and cash equivalents, compared to $55.2 million of cash and cash equivalents used in financing activities during the nine months ended September 30, 2024. The $108.3 million increase in cash and cash equivalents used in financing activities was primarily due to decreased net borrowing activity of $138.0 million offset by an increase in share repurchases and a decrease in dividends paid to stockholders.</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2025, our net assets totaled $489.5 million, with a net asset value per share of $13.55. We intend to continue to operate in order to generate cash flows from operations, including income earned from investments in our portfolio companies. Our primary use of funds will be investments in portfolio companies and cash distributions to holders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Available 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As of September 30, 2025, we had $371.9 million in available liquidity, including $7.9 million in cash and cash equivalents, and $364.0 million available under our Credit Facility, subject to borrowing base capacity. As of September 30, 2025, we had $186.0 million of secured debt outstanding under our Credit Facility, which is a floating interest rate obligation and $264.3 million of unsecured debt outstanding under the 2026, 2027, and 2028 Notes, which are all fixed interest rate debt obligations. Refer to "Note 7 – Borrowings" to our consolidated financial statements in Part I, Item 1 of this Form 10-Q for additional discussion of our debt obligations.</w:t>
      </w:r>
    </w:p>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As of September 30, 2025 and December 31, 2024, our asset coverage ratio was 209% and 192%, respectively.</w:t>
      </w:r>
    </w:p>
    <w:p>
      <w:pPr>
        <w:pStyle w:val="TextBody"/>
        <w:bidi w:val="0"/>
        <w:jc w:val="both"/>
        <w:rPr>
          <w:rFonts w:ascii="Times New Roman" w:hAnsi="Times New Roman"/>
          <w:color w:val="000000"/>
          <w:sz w:val="20"/>
        </w:rPr>
      </w:pPr>
      <w:r>
        <w:rPr>
          <w:rFonts w:ascii="Times New Roman" w:hAnsi="Times New Roman"/>
          <w:color w:val="000000"/>
          <w:sz w:val="20"/>
        </w:rPr>
        <w:t>As detailed above, our diverse and well-structured balance sheet is designed to provide a long-term focused and sustainable investment platform. Currently, we believe we have sufficient liquidity to support our near-term capital requirements.</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Commitments and Obligations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significant contractual payment obligations relate to our borrowings and deferred incentive fees. As of September 30, 2025, we had $450.3 million in debt outstanding, $25.0 million of which was due within the next year, $239.3 million within 1 to 3 years, and $186.0 million beyond 3 years. As of September 30, 2025, we had $11.5 million of deferred incentive fees, $4.1 million of which was due within the next year, $4.4 million within 1 to 3 years, and $3.1 million beyond 3 years.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Our unfunded commitments may be significant from time to time. As of September 30, 2025, we had a total of $143.7 million in unfunded commitments which was comprised of $120.9 million to provide debt financing to our portfolio companies and $22.7 million in unfunded commitments to provide equity financing to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September 30, 2025, we had $30.3 million of available unfunded commitments to portfolio companies that are eligible to be drawn based on achieved milestones and $22.7 million in unfunded capital commitments to Runway-Cadma I LLC. Refer to "Note 8 – Commitments and Contingencies" to our consolidated financial statements in Part I, Item 1 of this Form 10-Q for a summary of unfunded commitments by portfolio company as of September 30, 2025.</w:t>
      </w:r>
    </w:p>
    <w:p>
      <w:pPr>
        <w:pStyle w:val="TextBody"/>
        <w:bidi w:val="0"/>
        <w:spacing w:before="0" w:after="240"/>
        <w:jc w:val="both"/>
        <w:rPr>
          <w:rFonts w:ascii="Times New Roman" w:hAnsi="Times New Roman"/>
          <w:sz w:val="20"/>
        </w:rPr>
      </w:pPr>
      <w:r>
        <w:rPr>
          <w:rFonts w:ascii="Times New Roman" w:hAnsi="Times New Roman"/>
          <w:color w:val="000000"/>
          <w:sz w:val="20"/>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hAnsi="Times New Roman"/>
          <w:i/>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Repurchase Program</w:t>
      </w:r>
    </w:p>
    <w:p>
      <w:pPr>
        <w:pStyle w:val="TextBody"/>
        <w:bidi w:val="0"/>
        <w:jc w:val="both"/>
        <w:rPr>
          <w:rFonts w:ascii="Times New Roman" w:hAnsi="Times New Roman"/>
          <w:color w:val="000000"/>
          <w:sz w:val="20"/>
        </w:rPr>
      </w:pPr>
      <w:r>
        <w:rPr>
          <w:rFonts w:ascii="Times New Roman" w:hAnsi="Times New Roman"/>
          <w:color w:val="000000"/>
          <w:sz w:val="20"/>
        </w:rPr>
        <w:t>On February 24, 2022, our Board of Directors approved a share repurchase program (the "First Repurchase Program") under which we were authorized to repurchase up to $25.0 million of our outstanding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July 30, 2024, our Board of Directors approved a share repurchase program (the "Third Repurchase Program"), under which we were authorized to repurchase up to $15.0 million of our outstanding shares of common stock, at management's discretion from time to time in open-market transactions and in accordance with all applicable securities laws and regulations. We repurchased 1,199,867 shares in connection with the Third Repurchase Program for an aggregate purchase price of $12.5 million, exhausting the full approved amount of repurchases under the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7, 2025, our Board of Directors approved a share repurchase program (the "Fourth Repurchase Program"), under which we may repurchase up to $25.0 million of our outstanding shares of common stock, at management's discretion from time to time in open-market transactions and in accordance with all applicable securities laws and regulations. If not renewed, the Fourth Repurchase Program will terminate upon the earlier of (i) May 7, 2026 or (ii) the repurchase of $25.0 million of our shares of common stock. From the inception of the Fourth Repurchase Program through September 30, 2025, we repurchased 1,213,391 shares for an aggregate purchase price of $12.5 million.</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Distributions and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During the three and nine months ended September 30, 2025, we declared dividends and paid in the amount of $13.0 million and $39.5 million, respectively, of which $12.8 million and $38.7 million, respectively, were distributed in cash with the remainder distributed in the form of 20,887 and 81,603 shares, respectively, of our common stock purchased by us in the open market and distributed to stockholders pursuant to our Dividend Reinvestment Plan. During the three and nine months ended September 30, 2024, we declared and paid dividends in the amount of $17.3 million and $54.9 million, respectively, of which $17.1 million and $54.1 million, respectively, were distributed in cash with the remainder distributed in the form of 26,565 and 71,162 shares, respectively, of our common stock purchased by us in the open market and distributed to stockholders pursuant to our Dividend Reinvestment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Critical Accounting Estimates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 Summary of Significant Accounting Policies" to our consolidated financial statements in Part I, Item 1 of this Form 10-Q. We consider the most significant accounting policies to be those related to our Fair Value Measurements and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evaluated events subsequent to September 30, 2025 through November 6, 2025. There have been no subsequent events that occurred during such period that would require recognition or disclosure, except as disclosed below.</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Distributions</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5, 2025, our Board of Directors declared a quarterly distribution of $0.33 per share for our stockholders of record as of November 17, 2025, payable on or before December 3, 2025. </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Recent Portfolio Activity</w:t>
      </w:r>
    </w:p>
    <w:p>
      <w:pPr>
        <w:pStyle w:val="TextBody"/>
        <w:bidi w:val="0"/>
        <w:jc w:val="both"/>
        <w:rPr>
          <w:rFonts w:ascii="Times New Roman" w:hAnsi="Times New Roman"/>
          <w:color w:val="000000"/>
          <w:sz w:val="20"/>
        </w:rPr>
      </w:pPr>
      <w:r>
        <w:rPr>
          <w:rFonts w:ascii="Times New Roman" w:hAnsi="Times New Roman"/>
          <w:color w:val="000000"/>
          <w:sz w:val="20"/>
        </w:rPr>
        <w:t>From October 1, 2025 through November 6, 2025,we completed $12.0 million of additional debt commitments. In addition, we funded $1.2 million in unfunded commitments on existing investments. We also received $0.9 million in debt prepayments.</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SWK Agreement and Plan of Merger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October 9, 2025, we entered into an Agreement and Plan of Merger (the “Merger Agreement”) with RWAY Portfolio Holding Corp., a Delaware corporation and our direct wholly-owned subsidiary (“Intermediary Sub”), RWAY Portfolio Corp., a Delaware corporation and a direct wholly-owned subsidiary of Intermediary Sub (“Acquisition Sub”), RGC, a Delaware limited liability company and SWK Holdings Corporation, a Delaware corporation (“SWK”). The Merger Agreement provides that, subject to the conditions set forth in the Merger Agreement, Acquisition Sub will merge with and into SWK, with SWK continuing as the surviving company and as a wholly-owned subsidiary of Intermediary Sub, or, in the alternative, SWK will merge with and into Acquisition Sub, with Acquisition Sub continuing as the surviving company and as a wholly-owned subsidiary of Intermediary Sub (in either case, the “First Merger”). Immediately after the effectiveness of the First Merger, SWK or Acquisition Sub, as applicable, will merge with and into Intermediary Sub (the “Second Merger”), with Intermediary Sub continuing as the surviving company and as our wholly-owned subsidiary. Immediately after the effectiveness of the Second Merger, Intermediary Sub will merge with and into us (the “Third Merger” and together with the First Merger and the Second Merger, the “Mergers”), and we will continue as the surviving corporation. The Board of Directors and the board of directors of SWK have approved, among other things, the Merger Agreement and the transactions contemplated thereby (the “Transactions”).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terms and conditions of the Merger Agreement, at the time a certificate of merger with respect to the First Merger is executed and filed with the Secretary of State of the State of Delaware as provided under the Delaware General Corporation Law (the “Effective Time”), each share of common stock, par value $0.001 per share, of SWK (“SWK Common Stock”) issued and outstanding immediately prior to the Effective Time (other than shares of SWK Common Stock held by a subsidiary of SWK or held, directly or indirectly, by us or any of our consolidated subsidiaries, including Intermediary Sub and Acquisition Sub and all treasury shares (the “Cancelled Shares”)) will be converted, at the election of the respective SWK stockholder, into the right to receive newly issued shares of our common stock ("Common Stock"), par value $0.01 per share, equal to the Exchange Ratio (as defined below) (the “Per Share Stock Consideration”) or an amount of cash equal to the SWK Per Share NAV (as defined below) (the “Per Share Cash Consideration” and, together with the Per Share Stock Consideration, the “Total Per Share Merger Consideration”) and, in either case, an amount of cash, to be provided by RGC, equal to the quotient of (i) $9.0 million divided by (ii) the number of shares of SWK Common Stock issued and outstanding as of the Determination Date (as defined below) (excluding any Cancelled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Two (2) days (excluding Sundays and holidays) prior to the Effective Time (such date, the “Determination Date”), us and SWK will deliver to the other a calculation of its net asset value as of such date (such calculation with respect to SWK, the “Closing SWK NAV” and such calculation with respect to us, the “Closing RWAY NAV”), in each case calculated in good faith and determined in accordance with the accounting and reporting guidance set forth in the Financial Accounting Standards Board’s Accounting Standards Codification Topic 946, </w:t>
      </w:r>
      <w:r>
        <w:rPr>
          <w:rFonts w:ascii="Times New Roman" w:hAnsi="Times New Roman"/>
          <w:i/>
          <w:color w:val="000000"/>
          <w:sz w:val="20"/>
        </w:rPr>
        <w:t>Financial Services - Investment Companies</w:t>
      </w:r>
      <w:r>
        <w:rPr>
          <w:rFonts w:ascii="Times New Roman" w:hAnsi="Times New Roman"/>
          <w:color w:val="000000"/>
          <w:sz w:val="20"/>
        </w:rPr>
        <w:t>, as modified pursuant to the terms of the Merger Agreement. Based on such calculations, the parties will calculate: (1) the “SWK Per Share NAV,” which will be equal to (i) the Closing SWK NAV divided by (ii) the number of shares of SWK Common Stock issued and outstanding as of the Determination Date (excluding the Cancelled Shares) and (2) the “RWAY Per Share NAV,” which will be equal to (i) the Closing RWAY NAV divided by (ii) the number of shares of our Common Stock issued and outstanding as of the Determination Date. The “Exchange Ratio” will be equal to the quotient (rounded to four decimal places) of (i) the SWK Per Share NAV divided by (ii) the RWAY Per Share NAV.</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and SWK will update and redeliver the Closing RWAY NAV or the Closing SWK NAV, as applicable, in the event that the closing of the Mergers is subsequently materially delayed or there is a material change to either such calculation between the Determination Date and the closing of the Mergers and as needed to ensure that the calculation is determined within two (2) days (excluding Sundays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and holidays) prior to the Effective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Merger Agreement contains customary pre-closing covenants, including covenants requiring us and/or SWK, as applicable, to (i) use reasonable best efforts to cause the consummation of the Transactions, (ii) conduct our business in the ordinary course, (iii) cooperate with the other party in the preparation and filing of a registration statement on Form N-14 (the “Registration Statement”), (iv) duly call, give notice of, convene and hold a special meeting of stockholders of SWK, (v) obtain certain regulatory and third party consents and (vi) refrain from taking, or causing their respective subsidiaries to take, certain actions prior to the consummation of the Mergers without, with respect to us, SWK’s consent and, with respect to SWK, our consent (which consent in each case is not to be unreasonably withheld, delayed or conditioned).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consummation of the Mergers is subject to the satisfaction or (to the extent permitted by law) waiver of certain customary closing conditions, including effectiveness of the Registration Statement, approval by SWK’s stockholders, absence of a material adverse effect and certain other closing conditions set forth in the Merger Agreement. The obligation of each party to consummate the Mergers is also conditioned upon the other party’s representations and warranties being true and correct (subject to certain materiality exceptions) and the other party having performed in all material respects its obligations under the Merger Agreement. Further, the Merger Agreement provides that SWK will not be obligated to consummate the Mergers should the amount by which a third-party valuation firm values the portfolio assets of SWK as of the Determination Date (as adjusted pursuant to the terms of the Merger Agreement) be more than $5.0 million less than SWK’s good faith determination of the carrying value of the underlying portfolio assets of SWK as of 5:00 p.m. New York City time on the Determination Date (as reflected in the books and records of SWK, determined in accordance with GAAP and in a manner consistent with SWK’s historical calculation of the carrying value of such assets).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Key Stockholder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Concurrently with us entering into the Merger Agreement, we also entered into a key stockholder agreement (the “Key Stockholder Agreement”) with Double Black Diamond Offshore Ltd., a Cayman Islands exempted company (the “Key Stockholder”), and, solely for the purposes of Section 4 thereof, Black Diamond Offshore Ltd., a Cayman Islands exempted company. The Key Stockholder owns 8,493,088 shares of SWK Common Stock, representing in the aggregate approximately 69.9% of the outstanding shares of SWK Common Stock as of October 9, 2025. Pursuant to the Key Stockholder Agreement, the Key Stockholder has agreed to vote such shares of SWK Common Stock in favor of the approval and adoption of the Merger Agreement. Additionally, pursuant to the Key Stockholder Agreement, the Key Stockholder has agreed to refrain from, directly or indirectly, absent our prior written consent: (A)(i) engaging in or becoming a participant in any “solicitation” (as such term is used in the proxy rules of the SEC, but without regard to the exclusion set forth in Rule 14a-1(l)(2)(iv) of the Exchange Act), with respect to us, our Common Stock or any of our other voting securities, of proxies or consents; or conducting any non-binding referendum with respect to any matter or proposal to be voted on by holders of our Common Stock or other voting securities, or (ii) making any public statement in support of any third-party solicitation or referendum with respect to us, our Common Stock or any of our other voting securities; (B) seeking or proposing, alone or in concert with others, to have RGC terminated or replaced, to prevent the adoption of the Advisory Agreement, or to have the Advisory Agreement terminated, amended, modified or otherwise replaced or canceled; (C)(i) seeking or proposing, alone or in concert with others, election or appointment to, or representation on, the Board of Directors; or nominating or proposing the nomination of, or recommending the nomination of, any candidate to the Board of Directors, or (ii) seeking or proposing, alone or in concert with others, the removal of any member of the Board of Directors; (D)(i) seeking or proposing, alone or in concert with others, to call a meeting of our stockholders, or (ii) making or being the proponent of any stockholder proposal (pursuant to Rule 14a-8 under the Exchange Act or otherwise) for consideration by our stockholders; or (E) publicly disclosing any intention, plan or arrangement to take any action inconsistent with the provisions of sections (A) through (D) above.</w:t>
      </w:r>
    </w:p>
    <w:p>
      <w:pPr>
        <w:pStyle w:val="Heading1"/>
        <w:bidi w:val="0"/>
        <w:spacing w:before="120" w:after="240"/>
        <w:jc w:val="left"/>
        <w:rPr>
          <w:rFonts w:ascii="Times New Roman" w:hAnsi="Times New Roman"/>
          <w:color w:val="000000"/>
          <w:sz w:val="20"/>
        </w:rPr>
      </w:pPr>
      <w:bookmarkStart w:id="13" w:name="item3quantitativeandqualitativedisclosur"/>
      <w:bookmarkEnd w:id="13"/>
      <w:r>
        <w:rPr>
          <w:rFonts w:ascii="Times New Roman" w:hAnsi="Times New Roman"/>
          <w:color w:val="000000"/>
          <w:sz w:val="20"/>
        </w:rPr>
        <w:t>Item 3. Quantitative and Qualitative Disclosures about Market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as well as uncertainty with respect to trade policies, restrictions and tariffs, has introduced significant volatility in the financial markets, and the effects of this volatility could materially impact our market risks. For additional information concerning the market risks we face and their potential impact on our business and our operating results, see Part II, Item 1A. Risk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2"/>
        <w:bidi w:val="0"/>
        <w:spacing w:before="360" w:after="240"/>
        <w:jc w:val="left"/>
        <w:rPr>
          <w:rFonts w:ascii="Times New Roman" w:hAnsi="Times New Roman"/>
          <w:i/>
          <w:color w:val="000000"/>
          <w:sz w:val="20"/>
        </w:rPr>
      </w:pPr>
      <w:r>
        <w:rPr>
          <w:rFonts w:ascii="Times New Roman" w:hAnsi="Times New Roman"/>
          <w:i/>
          <w:color w:val="000000"/>
          <w:sz w:val="20"/>
        </w:rPr>
        <w:t>Valuation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pStyle w:val="Heading2"/>
        <w:bidi w:val="0"/>
        <w:spacing w:before="120" w:after="160"/>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are subject to financial market risks, including changes in interest rates. 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As of September 30, 2025, 96.3% of our performing debt portfolio investments bore interest at variable rates, of which 80.0% were based on SOFR and 20.0% were based on Prime.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$15.5 million and decrease our investment income by a maximum of $8.8 million, due to certain floors, on an annual basis.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refer to "Note 7 – Borrowings" to our consolidated financial statements in Part I, Item 1 of this Form 10-Q.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SWAP contracts and foreign currency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As of September 30, 2025, we did not have any hedging instruments.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14" w:name="item4controlsandprocedures_691536"/>
      <w:bookmarkEnd w:id="14"/>
      <w:r>
        <w:rPr>
          <w:rFonts w:ascii="Times New Roman" w:hAnsi="Times New Roman"/>
          <w:color w:val="000000"/>
          <w:sz w:val="20"/>
        </w:rPr>
        <w:t>Item 4. Controls and Procedures</w:t>
      </w:r>
    </w:p>
    <w:p>
      <w:pPr>
        <w:pStyle w:val="Heading2"/>
        <w:bidi w:val="0"/>
        <w:spacing w:before="0" w:after="16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noBreakHyphen/>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that occurred during our most recently completed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bookmarkStart w:id="15" w:name="partiiotherinformation_686450"/>
      <w:bookmarkEnd w:id="15"/>
      <w:r>
        <w:rPr>
          <w:rFonts w:ascii="Times New Roman" w:hAnsi="Times New Roman"/>
          <w:b/>
          <w:color w:val="000000"/>
          <w:sz w:val="20"/>
        </w:rPr>
        <w:t>PART II. OTHER INFORMATION</w:t>
      </w:r>
    </w:p>
    <w:p>
      <w:pPr>
        <w:pStyle w:val="Heading1"/>
        <w:bidi w:val="0"/>
        <w:spacing w:before="120" w:after="240"/>
        <w:jc w:val="left"/>
        <w:rPr>
          <w:rFonts w:ascii="Times New Roman" w:hAnsi="Times New Roman"/>
          <w:color w:val="000000"/>
          <w:sz w:val="20"/>
        </w:rPr>
      </w:pPr>
      <w:bookmarkStart w:id="16" w:name="item1legalproceedings_844818"/>
      <w:bookmarkEnd w:id="16"/>
      <w:r>
        <w:rPr>
          <w:rFonts w:ascii="Times New Roman" w:hAnsi="Times New Roman"/>
          <w:color w:val="000000"/>
          <w:sz w:val="20"/>
        </w:rPr>
        <w:t>Item 1. Legal Proceedings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pStyle w:val="Heading1"/>
        <w:bidi w:val="0"/>
        <w:spacing w:before="160" w:after="240"/>
        <w:jc w:val="left"/>
        <w:rPr>
          <w:rFonts w:ascii="Times New Roman" w:hAnsi="Times New Roman"/>
          <w:color w:val="000000"/>
          <w:sz w:val="20"/>
        </w:rPr>
      </w:pPr>
      <w:bookmarkStart w:id="17" w:name="item1ariskfactors_996118"/>
      <w:bookmarkEnd w:id="17"/>
      <w:r>
        <w:rPr>
          <w:rFonts w:ascii="Times New Roman" w:hAnsi="Times New Roman"/>
          <w:color w:val="000000"/>
          <w:sz w:val="20"/>
        </w:rPr>
        <w:t>Item 1A. Risk Factors.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You should carefully consider the risks contained in this quarterly report on Form 10-Q, including our interim consolidated financial statements and the related notes thereto, before making a decision to purchase our securities.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"Risk Factors" in Part I, Item 1A of our annual report on Form 10-K, as modified by the Company's annual report on Form 10-K/A, for the fiscal year ended December 31, 2024, filed with the SEC on March 20, 2025 and March 27, 2025,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risks and uncertainties described in this report and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this report and our annual report on Form 10-K actually occur, our business, financial condition or results of operations could be materially adversely affected. If that happens, you may lose all or part of your investment.</w:t>
      </w:r>
    </w:p>
    <w:p>
      <w:pPr>
        <w:pStyle w:val="TextBody"/>
        <w:bidi w:val="0"/>
        <w:spacing w:before="160" w:after="240"/>
        <w:jc w:val="both"/>
        <w:rPr>
          <w:rFonts w:ascii="Times New Roman" w:hAnsi="Times New Roman"/>
          <w:b/>
          <w:i/>
          <w:color w:val="000000"/>
          <w:sz w:val="20"/>
        </w:rPr>
      </w:pPr>
      <w:r>
        <w:rPr>
          <w:rFonts w:ascii="Times New Roman" w:hAnsi="Times New Roman"/>
          <w:b/>
          <w:i/>
          <w:color w:val="000000"/>
          <w:sz w:val="20"/>
        </w:rPr>
        <w:t>Risks Relating to the Mergers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Sales of shares of our common stock after the completion of the Mergers may cause the market price of our common stock to decline.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At the effective time of the Mergers, each share of SWK common stock issued and outstanding immediately prior to such time (other than shares owned by us or any of our consolidated subsidiaries), will be converted into the right to receive a number of shares of our common stock equal to the Exchange Ratio, plus any cash (without interest) in lieu of fractional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Former SWK stockholders may decide not to hold the shares of our common stock that they will receive pursuant to the Merger Agreement. In addition, our stockholders may decide not to hold their shares of our common stock after completion of the Mergers. In each case, such sales of our common stock could have the effect of depressing the market price for our common stock and may take place soon after the completion of the Mergers.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Our stockholders will experience a reduction in percentage ownership and voting power in the combined company as a result of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stockholders will experience a reduction in their respective percentage ownership interests and effective voting power in respect of the combined company relative to their respective percentage ownership interests in us prior to the Mergers. Consequently, our stockholders should generally expect to exercise less influence over the management and policies of the combined company following the Mergers than they currently exercise over our management and policies.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to completion of the Mergers, subject to certain restrictions in the Merger Agreement, and certain restrictions under the 1940 Act for issuances at prices below the then current NAV per share of our common stock and SWK’s common stock, we and SWK may issue additional shares of our common stock and SWK common stock, respectively, which would further reduce the percentage ownership of the combined company to be held by our current stockholders or to be held by SWK stockholders, as applicable.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We may be unable to realize the benefits anticipated by the Mergers, including estimated cost savings, or it may take longer than anticipated to achieve such benefits.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realization of certain benefits anticipated as a result of the Mergers will depend in part on the integration of SWK’s investment portfolio with our investment portfolio and the integration of SWK’s business with our business. There can be no assurance that SWK’s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investment portfolio or business can be operated profitably or integrated successfully into our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that there will not be other material adverse effects as a result of these integration efforts. Such effects, including incurring unexpected costs or delays in connection with such integration and failure of SWK’s investment portfolio to perform as expected, could have a material adverse effect on the financial results of the combined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expect to achieve certain cost savings from the Mergers when the two companies have fully integrated their portfolios. It is possible that the estimates of the potential cost savings could ultimately be incorrect. The cost savings estimates also assume we will be able to combine our operations and SWK’s operations in a manner that permits those cost savings to be fully realized. If the estimates turn out to be incorrect or if we are not able to combine SWK’s investment portfolio or business with our operations, the anticipated cost savings may not be fully realized or realized at all or may take longer to realize than expected.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The Mergers may trigger certain “change of control” provisions and other restrictions in our or SWK’s contracts or contracts of our respective affiliates, and the failure to obtain any required consents or waivers could adversely impact the combined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of our or SWK’s agreements or contracts of our respective affiliates, which may include agreements governing our indebtedness or the indebtedness of SWK, may require the consent or waiver of one or more counterparties in connection with the Mergers. The failure to obtain any such consent or waiver may permit such counterparties to terminate, or otherwise increase their rights or our and SWK’s obligations under, any such agreement because the Mergers or other transactions contemplated by the Merger Agreement may violate an anti-assignment, change of control or other similar provision relating to any of such transactions. If this occurs, we may have to seek to replace that agreement with a new agreement or seek an amendment to such agreement. We cannot assure you that we will be able to replace or amend any such agreement on comparable terms or at all.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such agreement is material, the failure to obtain consents, amendments or waivers under, or to replace on similar terms or at all, any of these agreements could adversely affect the financial performance or results of operations of the combined company following the Mergers, including preventing us from operating a material part of SWK’s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consummation of the Mergers may violate, conflict with, result in a breach of provisions of, or the loss of any benefit under, constitute a default (or an event that, with or without notice or lapse of time or both, would constitute a default) under, or result in the termination, cancellation, acceleration or other change of any right or obligation (including any payment obligation) under, certain agreements of us and SWK. Any such violation, conflict, breach, loss, default or other effect could, either individually or in the aggregate, have a material adverse effect on the financial condition, results of operations, assets or business of the combined company following completion of the Mergers.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The announcement and pendency of the Mergers could adversely affect both our and SWK’s business, financial results and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announcement and pendency of the Mergers could cause disruptions in and create uncertainty surrounding both our and SWK’s business, including affecting relationships with existing and future borrowers, which could have a significant negative impact on future revenues and results of operations, regardless of whether the Mergers are completed. In addition, we and SWK have diverted, and will continue to divert, management resources towards the completion of the Mergers, which could have a negative impact on each of our and SWK’s future revenues and results of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and SWK are also subject to restrictions on the conduct of each of our and SWK’s businesses prior to the completion of the Mergers as provided in the Merger Agreement, generally requiring SWK and us to conduct business only in the ordinary course and subject to specific limitations, including, among other things, certain restrictions on each of our and SWK’s respective ability to make certain investments and acquisitions, sell, transfer or dispose of our and SWK’s respective assets, amend each of our and SWK’s respective organizational documents and enter into or modify certain material contracts. These restrictions could prevent SWK or us from pursuing otherwise attractive business opportunities, industry developments and future opportunities and may otherwise have a significant negative impact on the respective future investment income and results of operations of each of us and/or the combined company following the Mergers.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If the Mergers do not close, we will not benefit from the expenses incurred in pursuit of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Mergers may not be completed. If the Mergers are not completed, we will have incurred substantial expenses for which no ultimate benefit will have been received. We have incurred out-of-pocket expenses in connection with the Mergers for investment banking, legal and accounting fees and financial printing and other related charges, much of which will be incurred even if the Mergers are not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i/>
          <w:color w:val="000000"/>
          <w:sz w:val="20"/>
        </w:rPr>
      </w:pPr>
      <w:r>
        <w:rPr>
          <w:rFonts w:ascii="Times New Roman" w:hAnsi="Times New Roman"/>
          <w:i/>
          <w:color w:val="000000"/>
          <w:sz w:val="20"/>
        </w:rPr>
        <w:t>The termination of the Merger Agreement could negatively impact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Merger Agreement is terminated, there may be various consequences,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business may have been adversely impacted by the failure to pursue other beneficial opportunities due to the focus of management on the Mergers, without realizing any of the anticipated benefits of completing the Mergers;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 price of our common stock might decline to the extent that the market price prior to termination reflects a market assumption that the Mergers will be completed;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payment of any termination fee, if required under the circumstances, could adversely affect our financial condition and liquidity.</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The Merger Agreement limits our ability to pursue alternatives to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Merger Agreement contains provisions that limit our ability to discuss, facilitate or commit to competing third party proposals to acquire all or a significant part of us. These provisions, which are typical for transactions of this type, include a termination fee of $8.225 million payable by third parties to SWK under certain circumstances. Such provisions might discourage a potential competing acquirer that might have an interest in acquiring all or a significant part of us from considering or proposing that acquisition even if it were prepared to pay consideration with a higher per share market price than that proposed in the Mergers or might result in a potential competing acquirer proposing to pay a lower per share price to acquire us than it might otherwise have proposed to pay.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The Mergers are subject to closing conditions, including stockholder approvals, that, if not satisfied or (to the extent legally allowed) waived, will result in the Mergers not being completed, which may result in material adverse consequences to our business and operations.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Mergers are subject to closing conditions, including certain approvals of our and SWK’s respective stockholders that, if not satisfied, will prevent the Mergers from being completed. The closing condition that SWK’s stockholders adopt the Merger Agreement and approve the Mergers may not be waived under applicable law and must be satisfied for the Mergers to be completed. If SWK stockholders do not adopt the Merger Agreement and approve the Mergers and the Mergers are not completed, the resulting failure of the Mergers could have a material adverse impact on our business and operations. In addition, the closing condition that our stockholders approve the issuance of shares of our common stock pursuant to the Merger Agreement may not be waived and must be satisfied for the Mergers to be completed. If our stockholders do not approve the issuance of shares of our common stock pursuant to the Merger Agreement and the Mergers are not completed, the resulting failure of the Mergers could have a material adverse impact on our business and operations. In addition to the required approvals of our and SWK’s stockholders, the Mergers are subject to a number of other conditions beyond our control that may prevent, delay or otherwise materially adversely affect completion of the Mergers. We cannot predict whether and when these other conditions will be satisfied.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We will be subject to operational uncertainties and contractual restrictions while the Mergers are pending.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Uncertainty about the effect of the Mergers may have an adverse effect on us and, consequently, on the combined company following completion of the Mergers.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uncertainties may cause those that deal with us to seek to change their existing business relationships with us. In addition, the Merger Agreement restricts us from taking actions that we might otherwise consider to be in our best interests. These restrictions may prevent us from pursuing certain business opportunities that may arise prior to the completion of the Mergers.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Litigation filed against us and SWK in connection with the Mergers could result in substantial costs and could delay or prevent the Mergers from being completed.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time to time, we and SWK may be subject to legal actions, including securities class action lawsuits and derivative lawsuits, as well as various regulatory, governmental and law enforcement inquiries, investigations and subpoenas in connection with the Mergers. These or any similar securities class action lawsuits and derivative lawsuits, regardless of their merits, may result in substantial costs and divert management time and resources. An adverse judgment in such cases could have a negative impact on the liquidity and financial condition of us and/or the combined company following the Mergers or could prevent the Mergers from being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Times New Roman" w:hAnsi="Times New Roman"/>
          <w:sz w:val="20"/>
        </w:rPr>
      </w:pPr>
      <w:r>
        <w:rPr>
          <w:rFonts w:ascii="Times New Roman" w:hAnsi="Times New Roman"/>
          <w:i/>
          <w:color w:val="000000"/>
          <w:sz w:val="20"/>
        </w:rPr>
        <w:t>We and SWK may, to the extent legally allowed, waive one or more conditions to the Mergers without resoliciting stockholder approval.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conditions to our and SWK’s obligations to complete the Mergers may be waived, in whole or in part, to the extent legally allowed, either unilaterally or by agreement of us and SWK. In the event that any such waiver does not require resolicitation of stockholders, the parties to the Merger Agreement will have the discretion to complete the Mergers without seeking further stockholder approval. The conditions in the Merger Agreement requiring the approval of our stockholders and SWK stockholders, however, cannot be waived.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The market price of our common stock after the Mergers may be affected by factors different from those affecting our common stock currently.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business and SWK’s business differ in some respects and, accordingly, the results of operations of the combined company and the market price of our common stock after the Mergers may be affected by factors different from those currently affecting the independent results of operations of each of us and SWK and the market prices of our common stock. These factors include a larger stockholder base and a different capital structure. Accordingly, our historical trading prices and financial results may not be indicative of these matters for the combined company following the Mergers.</w:t>
      </w:r>
    </w:p>
    <w:p>
      <w:pPr>
        <w:pStyle w:val="Heading1"/>
        <w:bidi w:val="0"/>
        <w:spacing w:before="120" w:after="240"/>
        <w:jc w:val="left"/>
        <w:rPr>
          <w:rFonts w:ascii="Times New Roman" w:hAnsi="Times New Roman"/>
          <w:color w:val="000000"/>
          <w:sz w:val="20"/>
        </w:rPr>
      </w:pPr>
      <w:bookmarkStart w:id="18" w:name="item2unregisteredsalesofequitysecurities"/>
      <w:bookmarkEnd w:id="18"/>
      <w:r>
        <w:rPr>
          <w:rFonts w:ascii="Times New Roman" w:hAnsi="Times New Roman"/>
          <w:color w:val="000000"/>
          <w:sz w:val="20"/>
        </w:rPr>
        <w:t>Item 2. Unregistered Sales of Equity Securities and Use of Proceeds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than pursuant to our Dividend Reinvestment Plan, and except as previously reported by us on our current reports on Form 8</w:t>
        <w:noBreakHyphen/>
        <w:t>K, we did not sell any securities during the period covered by this quarterly report on Form 10</w:t>
        <w:noBreakHyphen/>
        <w:t>Q that were not registered under the Securities Act.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part of our Fourth Repurchase Program, we have maintained repurchase plans in accordance with Rule 10b5-1 (the "Rule 10b5-1 Plan") promulgated under the Securities Exchange Act of 1934, as amended (the "Exchange Act"). During the three and nine months ended September 30, 2025, we repurchased 1,213,391 shares under the Fourth Repurchase Program. Future repurchases may be made as open market or privately negotiated transactions as described above. We have no obligation to repurchase stock under the Fourth Repurchase Program and may suspend or terminate the Fourth Repurchase Program at any time. As of September 30, 2025, the approximate dollar value of shares that may yet be repurchased under the Fourth Repurchase Program was $12.5 million.</w:t>
      </w:r>
    </w:p>
    <w:p>
      <w:pPr>
        <w:pStyle w:val="Heading1"/>
        <w:bidi w:val="0"/>
        <w:spacing w:before="160" w:after="240"/>
        <w:jc w:val="left"/>
        <w:rPr>
          <w:rFonts w:ascii="Times New Roman" w:hAnsi="Times New Roman"/>
          <w:color w:val="000000"/>
          <w:sz w:val="20"/>
        </w:rPr>
      </w:pPr>
      <w:bookmarkStart w:id="19" w:name="item3defaultsuponseniorsecurities_59067"/>
      <w:bookmarkEnd w:id="19"/>
      <w:r>
        <w:rPr>
          <w:rFonts w:ascii="Times New Roman" w:hAnsi="Times New Roman"/>
          <w:color w:val="000000"/>
          <w:sz w:val="20"/>
        </w:rPr>
        <w:t>Item 3. Defaults Upon Senior Securities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None.</w:t>
      </w:r>
    </w:p>
    <w:p>
      <w:pPr>
        <w:pStyle w:val="Heading1"/>
        <w:bidi w:val="0"/>
        <w:spacing w:before="160" w:after="240"/>
        <w:jc w:val="left"/>
        <w:rPr>
          <w:rFonts w:ascii="Times New Roman" w:hAnsi="Times New Roman"/>
          <w:color w:val="000000"/>
          <w:sz w:val="20"/>
        </w:rPr>
      </w:pPr>
      <w:bookmarkStart w:id="20" w:name="item4minesafetydisclosures_325402"/>
      <w:bookmarkEnd w:id="20"/>
      <w:r>
        <w:rPr>
          <w:rFonts w:ascii="Times New Roman" w:hAnsi="Times New Roman"/>
          <w:color w:val="000000"/>
          <w:sz w:val="20"/>
        </w:rPr>
        <w:t>Item 4. Mine Safety Disclosures</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Heading1"/>
        <w:bidi w:val="0"/>
        <w:spacing w:before="360" w:after="240"/>
        <w:jc w:val="left"/>
        <w:rPr>
          <w:rFonts w:ascii="Times New Roman" w:hAnsi="Times New Roman"/>
          <w:color w:val="000000"/>
          <w:sz w:val="20"/>
        </w:rPr>
      </w:pPr>
      <w:bookmarkStart w:id="21" w:name="item5otherinformation_981141"/>
      <w:bookmarkEnd w:id="21"/>
      <w:r>
        <w:rPr>
          <w:rFonts w:ascii="Times New Roman" w:hAnsi="Times New Roman"/>
          <w:color w:val="000000"/>
          <w:sz w:val="20"/>
        </w:rPr>
        <w:t>Item 5. Other Information</w:t>
      </w:r>
    </w:p>
    <w:p>
      <w:pPr>
        <w:pStyle w:val="Heading1"/>
        <w:bidi w:val="0"/>
        <w:spacing w:before="0" w:after="200"/>
        <w:jc w:val="left"/>
        <w:rPr>
          <w:rFonts w:ascii="Times New Roman" w:hAnsi="Times New Roman"/>
          <w:i/>
          <w:color w:val="000000"/>
          <w:sz w:val="20"/>
        </w:rPr>
      </w:pPr>
      <w:r>
        <w:rPr>
          <w:rFonts w:ascii="Times New Roman" w:hAnsi="Times New Roman"/>
          <w:i/>
          <w:color w:val="000000"/>
          <w:sz w:val="20"/>
        </w:rPr>
        <w:t>(a) None.</w:t>
      </w:r>
    </w:p>
    <w:p>
      <w:pPr>
        <w:pStyle w:val="Heading1"/>
        <w:bidi w:val="0"/>
        <w:spacing w:before="0" w:after="200"/>
        <w:jc w:val="left"/>
        <w:rPr>
          <w:rFonts w:ascii="Times New Roman" w:hAnsi="Times New Roman"/>
          <w:i/>
          <w:color w:val="000000"/>
          <w:sz w:val="20"/>
        </w:rPr>
      </w:pPr>
      <w:r>
        <w:rPr>
          <w:rFonts w:ascii="Times New Roman" w:hAnsi="Times New Roman"/>
          <w:i/>
          <w:color w:val="000000"/>
          <w:sz w:val="20"/>
        </w:rPr>
        <w:t>(b) None.</w:t>
      </w:r>
    </w:p>
    <w:p>
      <w:pPr>
        <w:pStyle w:val="Heading1"/>
        <w:bidi w:val="0"/>
        <w:spacing w:before="0" w:after="200"/>
        <w:jc w:val="left"/>
        <w:rPr>
          <w:rFonts w:ascii="Times New Roman" w:hAnsi="Times New Roman"/>
          <w:i/>
          <w:color w:val="000000"/>
          <w:sz w:val="20"/>
        </w:rPr>
      </w:pPr>
      <w:r>
        <w:rPr>
          <w:rFonts w:ascii="Times New Roman" w:hAnsi="Times New Roman"/>
          <w:i/>
          <w:color w:val="000000"/>
          <w:sz w:val="20"/>
        </w:rPr>
        <w:t>(c) Rule 10b5-1 Disclosure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Heading1"/>
        <w:bidi w:val="0"/>
        <w:spacing w:before="360" w:after="240"/>
        <w:jc w:val="left"/>
        <w:rPr>
          <w:rFonts w:ascii="Times New Roman" w:hAnsi="Times New Roman"/>
          <w:color w:val="000000"/>
          <w:sz w:val="20"/>
        </w:rPr>
      </w:pPr>
      <w:bookmarkStart w:id="22" w:name="item6exhibits_524452"/>
      <w:bookmarkEnd w:id="22"/>
      <w:r>
        <w:rPr>
          <w:rFonts w:ascii="Times New Roman" w:hAnsi="Times New Roman"/>
          <w:color w:val="000000"/>
          <w:sz w:val="20"/>
        </w:rPr>
        <w:t>Item 6. Exhibits</w:t>
      </w:r>
    </w:p>
    <w:p>
      <w:pPr>
        <w:pStyle w:val="TextBody"/>
        <w:bidi w:val="0"/>
        <w:spacing w:before="0" w:after="240"/>
        <w:jc w:val="both"/>
        <w:rPr>
          <w:rFonts w:ascii="Times New Roman" w:hAnsi="Times New Roman"/>
          <w:color w:val="000000"/>
          <w:sz w:val="19"/>
        </w:rPr>
      </w:pPr>
      <w:r>
        <w:rPr>
          <w:rFonts w:ascii="Times New Roman" w:hAnsi="Times New Roman"/>
          <w:color w:val="000000"/>
          <w:sz w:val="19"/>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612"/>
        <w:gridCol w:w="9593"/>
      </w:tblGrid>
      <w:tr>
        <w:trPr/>
        <w:tc>
          <w:tcPr>
            <w:tcW w:w="612" w:type="dxa"/>
            <w:tcBorders/>
            <w:vAlign w:val="center"/>
          </w:tcPr>
          <w:p>
            <w:pPr>
              <w:pStyle w:val="TableContents"/>
              <w:bidi w:val="0"/>
              <w:spacing w:before="0" w:after="283"/>
              <w:jc w:val="left"/>
              <w:rPr>
                <w:sz w:val="4"/>
                <w:szCs w:val="4"/>
              </w:rPr>
            </w:pPr>
            <w:r>
              <w:rPr>
                <w:sz w:val="4"/>
                <w:szCs w:val="4"/>
              </w:rPr>
            </w:r>
          </w:p>
        </w:tc>
        <w:tc>
          <w:tcPr>
            <w:tcW w:w="9593" w:type="dxa"/>
            <w:tcBorders/>
            <w:vAlign w:val="center"/>
          </w:tcPr>
          <w:p>
            <w:pPr>
              <w:pStyle w:val="TableContents"/>
              <w:bidi w:val="0"/>
              <w:spacing w:before="0" w:after="283"/>
              <w:jc w:val="left"/>
              <w:rPr>
                <w:sz w:val="4"/>
                <w:szCs w:val="4"/>
              </w:rPr>
            </w:pPr>
            <w:r>
              <w:rPr>
                <w:sz w:val="4"/>
                <w:szCs w:val="4"/>
              </w:rPr>
            </w:r>
          </w:p>
        </w:tc>
      </w:tr>
      <w:tr>
        <w:trPr/>
        <w:tc>
          <w:tcPr>
            <w:tcW w:w="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2.1</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80"/>
                  <w:sz w:val="16"/>
                  <w:u w:val="single"/>
                </w:rPr>
                <w:t>Agreement and Plan of Merger by and among Runway Growth Finance Corp., RWAY Portfolio Holding Corp., RWAY Portfolio Corp., Runway Growth Capital LLC and SWK Holdings Corporation, dated as of October 9, 2025</w:t>
              </w:r>
            </w:hyperlink>
            <w:hyperlink r:id="rId3">
              <w:r>
                <w:rPr>
                  <w:rStyle w:val="InternetLink"/>
                  <w:rFonts w:ascii="Times New Roman" w:hAnsi="Times New Roman"/>
                  <w:color w:val="000080"/>
                  <w:sz w:val="16"/>
                  <w:u w:val="single"/>
                </w:rPr>
                <w:t xml:space="preserve"> </w:t>
              </w:r>
            </w:hyperlink>
            <w:hyperlink r:id="rId4">
              <w:r>
                <w:rPr>
                  <w:rStyle w:val="InternetLink"/>
                  <w:rFonts w:ascii="Times New Roman" w:hAnsi="Times New Roman"/>
                  <w:color w:val="0000FF"/>
                  <w:sz w:val="11"/>
                  <w:u w:val="single"/>
                </w:rPr>
                <w:t>(3)</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16"/>
                  <w:u w:val="single"/>
                </w:rPr>
                <w:t>Key Stockholder Agreement by and among Runway Growth Finance Corp., Black Diamond Offshore Ltd. and Double Black Diamond Offshore Ltd., dated as of October 9, 2025</w:t>
              </w:r>
            </w:hyperlink>
            <w:r>
              <w:rPr>
                <w:rFonts w:ascii="Times New Roman" w:hAnsi="Times New Roman"/>
                <w:color w:val="000000"/>
                <w:sz w:val="16"/>
              </w:rPr>
              <w:t xml:space="preserve"> </w:t>
            </w:r>
            <w:hyperlink r:id="rId6">
              <w:r>
                <w:rPr>
                  <w:rStyle w:val="InternetLink"/>
                  <w:rFonts w:ascii="Times New Roman" w:hAnsi="Times New Roman"/>
                  <w:color w:val="0000FF"/>
                  <w:sz w:val="11"/>
                  <w:u w:val="single"/>
                </w:rPr>
                <w:t>(3)</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16"/>
                  <w:u w:val="single"/>
                </w:rPr>
                <w:t xml:space="preserve">Articles of Amendment and Restatement </w:t>
              </w:r>
            </w:hyperlink>
            <w:hyperlink r:id="rId8">
              <w:r>
                <w:rPr>
                  <w:rStyle w:val="InternetLink"/>
                  <w:rFonts w:ascii="Times New Roman" w:hAnsi="Times New Roman"/>
                  <w:color w:val="0000FF"/>
                  <w:sz w:val="11"/>
                  <w:u w:val="single"/>
                </w:rPr>
                <w:t>(1)</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16"/>
                  <w:u w:val="single"/>
                </w:rPr>
                <w:t xml:space="preserve">Articles of Amendment </w:t>
              </w:r>
            </w:hyperlink>
            <w:hyperlink r:id="rId10">
              <w:r>
                <w:rPr>
                  <w:rStyle w:val="InternetLink"/>
                  <w:rFonts w:ascii="Times New Roman" w:hAnsi="Times New Roman"/>
                  <w:color w:val="0000FF"/>
                  <w:sz w:val="11"/>
                  <w:u w:val="single"/>
                </w:rPr>
                <w:t>(2)</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3.3</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16"/>
                  <w:u w:val="single"/>
                </w:rPr>
                <w:t xml:space="preserve">Second Amended and Restated Bylaws </w:t>
              </w:r>
            </w:hyperlink>
            <w:hyperlink r:id="rId12">
              <w:r>
                <w:rPr>
                  <w:rStyle w:val="InternetLink"/>
                  <w:rFonts w:ascii="Times New Roman" w:hAnsi="Times New Roman"/>
                  <w:color w:val="0000FF"/>
                  <w:sz w:val="11"/>
                  <w:u w:val="single"/>
                </w:rPr>
                <w:t>(2)</w:t>
              </w:r>
            </w:hyperlink>
          </w:p>
        </w:tc>
      </w:tr>
      <w:tr>
        <w:trPr/>
        <w:tc>
          <w:tcPr>
            <w:tcW w:w="612" w:type="dxa"/>
            <w:tcBorders/>
            <w:tcMar>
              <w:top w:w="0" w:type="dxa"/>
              <w:left w:w="0" w:type="dxa"/>
              <w:bottom w:w="0" w:type="dxa"/>
              <w:right w:w="0" w:type="dxa"/>
            </w:tcMar>
            <w:vAlign w:val="center"/>
          </w:tcPr>
          <w:p>
            <w:pPr>
              <w:pStyle w:val="TableContents"/>
              <w:bidi w:val="0"/>
              <w:spacing w:before="0" w:after="283"/>
              <w:jc w:val="both"/>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w:anchor="rway-ex31_1.htm">
              <w:r>
                <w:rPr>
                  <w:rStyle w:val="InternetLink"/>
                  <w:rFonts w:ascii="Times New Roman" w:hAnsi="Times New Roman"/>
                  <w:color w:val="0000FF"/>
                  <w:sz w:val="16"/>
                  <w:u w:val="single"/>
                </w:rPr>
                <w:t>Certification of Chief Executive Officer pursuant to Rule 13a</w:t>
                <w:noBreakHyphen/>
                <w:t>14 of the Securities Exchange Act of 1934, as amended*</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31.2</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w:anchor="rway-ex31_2.htm">
              <w:r>
                <w:rPr>
                  <w:rStyle w:val="InternetLink"/>
                  <w:rFonts w:ascii="Times New Roman" w:hAnsi="Times New Roman"/>
                  <w:color w:val="0000FF"/>
                  <w:sz w:val="16"/>
                  <w:u w:val="single"/>
                </w:rPr>
                <w:t>Certification of Chief Financial Officer pursuant to Rule 13a</w:t>
                <w:noBreakHyphen/>
                <w:t>14 of the Securities Exchange Act of 1934, as amended*</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32.1</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w:anchor="rway-ex32_1.htm">
              <w:r>
                <w:rPr>
                  <w:rStyle w:val="InternetLink"/>
                  <w:rFonts w:ascii="Times New Roman" w:hAnsi="Times New Roman"/>
                  <w:color w:val="0000FF"/>
                  <w:sz w:val="16"/>
                  <w:u w:val="single"/>
                </w:rPr>
                <w:t>Certification of Chief Executive Officer pursuant to Section 906 of the Sarbanes-Oxley Act of 2002*</w:t>
              </w:r>
            </w:hyperlink>
          </w:p>
        </w:tc>
      </w:tr>
      <w:tr>
        <w:trPr/>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32.2</w:t>
            </w:r>
          </w:p>
        </w:tc>
        <w:tc>
          <w:tcPr>
            <w:tcW w:w="9593" w:type="dxa"/>
            <w:tcBorders/>
            <w:tcMar>
              <w:top w:w="0" w:type="dxa"/>
              <w:left w:w="0" w:type="dxa"/>
              <w:bottom w:w="0" w:type="dxa"/>
              <w:right w:w="0" w:type="dxa"/>
            </w:tcMar>
            <w:vAlign w:val="center"/>
          </w:tcPr>
          <w:p>
            <w:pPr>
              <w:pStyle w:val="TableContents"/>
              <w:bidi w:val="0"/>
              <w:spacing w:before="0" w:after="283"/>
              <w:jc w:val="both"/>
              <w:rPr/>
            </w:pPr>
            <w:hyperlink w:anchor="rway-ex32_2.htm">
              <w:r>
                <w:rPr>
                  <w:rStyle w:val="InternetLink"/>
                  <w:rFonts w:ascii="Times New Roman" w:hAnsi="Times New Roman"/>
                  <w:color w:val="0000FF"/>
                  <w:sz w:val="16"/>
                  <w:u w:val="single"/>
                </w:rPr>
                <w:t>Certification of Chief Financial Officer pursuant to Section 906 of the Sarbanes-Oxley Act of 2002*</w:t>
              </w:r>
            </w:hyperlink>
          </w:p>
        </w:tc>
      </w:tr>
      <w:tr>
        <w:trPr/>
        <w:tc>
          <w:tcPr>
            <w:tcW w:w="612" w:type="dxa"/>
            <w:tcBorders/>
            <w:tcMar>
              <w:top w:w="0" w:type="dxa"/>
              <w:left w:w="0" w:type="dxa"/>
              <w:bottom w:w="0" w:type="dxa"/>
              <w:right w:w="0" w:type="dxa"/>
            </w:tcMar>
            <w:vAlign w:val="center"/>
          </w:tcPr>
          <w:p>
            <w:pPr>
              <w:pStyle w:val="TableContents"/>
              <w:bidi w:val="0"/>
              <w:spacing w:before="0" w:after="283"/>
              <w:jc w:val="both"/>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101.INS</w:t>
            </w:r>
          </w:p>
        </w:tc>
        <w:tc>
          <w:tcPr>
            <w:tcW w:w="95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Instance Document – the instance document does not appear in the Interactive Data File because XBRL tags are embedded within the Inline XBRL document.*</w:t>
            </w:r>
          </w:p>
        </w:tc>
      </w:tr>
      <w:tr>
        <w:trPr/>
        <w:tc>
          <w:tcPr>
            <w:tcW w:w="612" w:type="dxa"/>
            <w:tcBorders/>
            <w:tcMar>
              <w:top w:w="0" w:type="dxa"/>
              <w:left w:w="0" w:type="dxa"/>
              <w:bottom w:w="0" w:type="dxa"/>
              <w:right w:w="0" w:type="dxa"/>
            </w:tcMar>
            <w:vAlign w:val="center"/>
          </w:tcPr>
          <w:p>
            <w:pPr>
              <w:pStyle w:val="TableContents"/>
              <w:bidi w:val="0"/>
              <w:spacing w:before="0" w:after="283"/>
              <w:jc w:val="both"/>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101.SCH</w:t>
            </w:r>
          </w:p>
        </w:tc>
        <w:tc>
          <w:tcPr>
            <w:tcW w:w="95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w:t>
            </w:r>
          </w:p>
        </w:tc>
      </w:tr>
      <w:tr>
        <w:trPr/>
        <w:tc>
          <w:tcPr>
            <w:tcW w:w="612" w:type="dxa"/>
            <w:tcBorders/>
            <w:tcMar>
              <w:top w:w="0" w:type="dxa"/>
              <w:left w:w="0" w:type="dxa"/>
              <w:bottom w:w="0" w:type="dxa"/>
              <w:right w:w="0" w:type="dxa"/>
            </w:tcMar>
            <w:vAlign w:val="center"/>
          </w:tcPr>
          <w:p>
            <w:pPr>
              <w:pStyle w:val="TableContents"/>
              <w:bidi w:val="0"/>
              <w:spacing w:before="0" w:after="283"/>
              <w:jc w:val="both"/>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104</w:t>
            </w:r>
          </w:p>
        </w:tc>
        <w:tc>
          <w:tcPr>
            <w:tcW w:w="95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cover page from the Company's Quarterly Report on Form 10-Q for the quarter ended September 30, 2025 has been formatted in Inline XBRL.*</w:t>
            </w:r>
          </w:p>
        </w:tc>
      </w:tr>
      <w:tr>
        <w:trPr/>
        <w:tc>
          <w:tcPr>
            <w:tcW w:w="612" w:type="dxa"/>
            <w:tcBorders/>
            <w:tcMar>
              <w:top w:w="0" w:type="dxa"/>
              <w:left w:w="0" w:type="dxa"/>
              <w:bottom w:w="0" w:type="dxa"/>
              <w:right w:w="0" w:type="dxa"/>
            </w:tcMar>
            <w:vAlign w:val="center"/>
          </w:tcPr>
          <w:p>
            <w:pPr>
              <w:pStyle w:val="TableContents"/>
              <w:bidi w:val="0"/>
              <w:spacing w:before="0" w:after="283"/>
              <w:jc w:val="both"/>
              <w:rPr/>
            </w:pPr>
            <w:r>
              <w:rPr/>
              <w:t> </w:t>
            </w:r>
          </w:p>
        </w:tc>
        <w:tc>
          <w:tcPr>
            <w:tcW w:w="9593"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6"/>
        </w:rPr>
        <w:t>Filed herewith.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December 19, 2016.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August 19, 2021.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Previously filed as an exhibit to the Registrant’s Current Report on Form 8</w:t>
        <w:noBreakHyphen/>
        <w:t>K filed with the SEC on October 10, 2025.</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Times New Roman" w:hAnsi="Times New Roman"/>
          <w:b/>
          <w:color w:val="000000"/>
          <w:sz w:val="20"/>
        </w:rPr>
      </w:pPr>
      <w:bookmarkStart w:id="23" w:name="signatures_230440"/>
      <w:bookmarkEnd w:id="23"/>
      <w:r>
        <w:rPr>
          <w:rFonts w:ascii="Times New Roman" w:hAnsi="Times New Roman"/>
          <w:b/>
          <w:color w:val="000000"/>
          <w:sz w:val="20"/>
        </w:rPr>
        <w:t>SIGNATURES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6498" w:type="dxa"/>
        <w:jc w:val="left"/>
        <w:tblInd w:w="0" w:type="dxa"/>
        <w:tblLayout w:type="fixed"/>
        <w:tblCellMar>
          <w:top w:w="28" w:type="dxa"/>
          <w:left w:w="28" w:type="dxa"/>
          <w:bottom w:w="28" w:type="dxa"/>
          <w:right w:w="28" w:type="dxa"/>
        </w:tblCellMar>
      </w:tblPr>
      <w:tblGrid>
        <w:gridCol w:w="2101"/>
        <w:gridCol w:w="406"/>
        <w:gridCol w:w="399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RUNWAY GROWTH FINANCE CORP.</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David Spreng</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David Spreng</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B. Raterman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B. Raterman</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Treasurer and Secretary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way-ex31_1.htm"/>
      <w:bookmarkStart w:id="25" w:name="ksrwayex31_1"/>
      <w:bookmarkEnd w:id="24"/>
      <w:bookmarkEnd w:id="25"/>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David Spreng, as Chief Executive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way-ex31_2.htm"/>
      <w:bookmarkStart w:id="27" w:name="ksrwayex31_2"/>
      <w:bookmarkEnd w:id="26"/>
      <w:bookmarkEnd w:id="27"/>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B. Raterman, as Chief Financial Officer,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Runway Growth Finance Corp.;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rway-ex32_1.htm"/>
      <w:bookmarkStart w:id="29" w:name="ksrwayex32_1"/>
      <w:bookmarkEnd w:id="28"/>
      <w:bookmarkEnd w:id="29"/>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2101"/>
        <w:gridCol w:w="109"/>
        <w:gridCol w:w="406"/>
        <w:gridCol w:w="213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David Spreng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David Spreng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rway-ex32_2.htm"/>
      <w:bookmarkStart w:id="31" w:name="ksrwayex32_2"/>
      <w:bookmarkEnd w:id="30"/>
      <w:bookmarkEnd w:id="31"/>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Runway Growth Finance Corp. (the “Company”) on Form 10-Q for the period ended September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B. Raterman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53384/000119312525236260/rway-ex2_1.htm" TargetMode="External"/><Relationship Id="rId3" Type="http://schemas.openxmlformats.org/officeDocument/2006/relationships/hyperlink" Target="https://www.sec.gov/Archives/edgar/data/1653384/000114420416140270/v454968_ex3-1.htm" TargetMode="External"/><Relationship Id="rId4" Type="http://schemas.openxmlformats.org/officeDocument/2006/relationships/hyperlink" Target="https://www.sec.gov/Archives/edgar/data/1653384/000114420416140270/v454968_ex3-1.htm" TargetMode="External"/><Relationship Id="rId5" Type="http://schemas.openxmlformats.org/officeDocument/2006/relationships/hyperlink" Target="https://www.sec.gov/Archives/edgar/data/1653384/000119312525236260/rway-ex2_2.htm" TargetMode="External"/><Relationship Id="rId6" Type="http://schemas.openxmlformats.org/officeDocument/2006/relationships/hyperlink" Target="https://www.sec.gov/Archives/edgar/data/1653384/000114420416140270/v454968_ex3-1.htm" TargetMode="External"/><Relationship Id="rId7" Type="http://schemas.openxmlformats.org/officeDocument/2006/relationships/hyperlink" Target="https://www.sec.gov/Archives/edgar/data/1653384/000114420416140270/v454968_ex3-1.htm" TargetMode="External"/><Relationship Id="rId8" Type="http://schemas.openxmlformats.org/officeDocument/2006/relationships/hyperlink" Target="https://www.sec.gov/Archives/edgar/data/1653384/000114420416140270/v454968_ex3-1.htm" TargetMode="External"/><Relationship Id="rId9" Type="http://schemas.openxmlformats.org/officeDocument/2006/relationships/hyperlink" Target="https://www.sec.gov/Archives/edgar/data/0001653384/000165338421000016/rgc-20210819ex31cb84ffa.htm" TargetMode="External"/><Relationship Id="rId10" Type="http://schemas.openxmlformats.org/officeDocument/2006/relationships/hyperlink" Target="https://www.sec.gov/Archives/edgar/data/0001653384/000165338421000016/rgc-20210819ex31cb84ffa.htm" TargetMode="External"/><Relationship Id="rId11" Type="http://schemas.openxmlformats.org/officeDocument/2006/relationships/hyperlink" Target="https://www.sec.gov/Archives/edgar/data/0001653384/000165338421000016/rgc-20210819ex32804659c.htm" TargetMode="External"/><Relationship Id="rId12" Type="http://schemas.openxmlformats.org/officeDocument/2006/relationships/hyperlink" Target="https://www.sec.gov/Archives/edgar/data/0001653384/000165338421000016/rgc-20210819ex32804659c.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47339</Words>
  <Characters>256068</Characters>
  <CharactersWithSpaces>315603</CharactersWithSpaces>
  <Paragraphs>26438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