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way-20260630.htm"/>
        <w:bookmarkStart w:id="1" w:name="ksrway20260630"/>
        <w:bookmarkEnd w:id="0"/>
        <w:bookmarkEnd w:id="1"/>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pBdr>
          <w:top w:val="single" w:sz="24" w:space="1" w:color="000000"/>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9142"/>
      </w:tblGrid>
      <w:tr>
        <w:trPr/>
        <w:tc>
          <w:tcPr>
            <w:tcW w:w="1063" w:type="dxa"/>
            <w:tcBorders/>
            <w:vAlign w:val="center"/>
          </w:tcPr>
          <w:p>
            <w:pPr>
              <w:pStyle w:val="TableContents"/>
              <w:bidi w:val="0"/>
              <w:spacing w:before="0" w:after="283"/>
              <w:jc w:val="left"/>
              <w:rPr>
                <w:sz w:val="4"/>
                <w:szCs w:val="4"/>
              </w:rPr>
            </w:pPr>
            <w:r>
              <w:rPr>
                <w:sz w:val="4"/>
                <w:szCs w:val="4"/>
              </w:rPr>
            </w:r>
          </w:p>
        </w:tc>
        <w:tc>
          <w:tcPr>
            <w:tcW w:w="9142" w:type="dxa"/>
            <w:tcBorders/>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One)</w:t>
            </w:r>
          </w:p>
        </w:tc>
        <w:tc>
          <w:tcPr>
            <w:tcW w:w="9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814-01180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2011"/>
        <w:gridCol w:w="3031"/>
      </w:tblGrid>
      <w:tr>
        <w:trPr/>
        <w:tc>
          <w:tcPr>
            <w:tcW w:w="201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of incorporation)</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301"/>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 N. Michigan Ave., Suite 4200</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(312) 698-6902</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3496"/>
        <w:gridCol w:w="169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Common Stock, par value $0.01 per share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6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RWAY</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3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Nasdaq Global Select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w:t>
        <w:noBreakHyphen/>
        <w:t>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The issuer had 41,909,904 shares of common stock, $0.01 par value per share, outstanding as of August 3, 2026.</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sz w:val="20"/>
        </w:rPr>
      </w:pPr>
      <w:r>
        <w:rPr>
          <w:rFonts w:ascii="Times New Roman" w:hAnsi="Times New Roman"/>
          <w:b/>
          <w:color w:val="000000"/>
          <w:sz w:val="20"/>
        </w:rPr>
        <w:t>RUNWAY GROWTH FINANCE CORP.</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10</w:t>
        <w:noBreakHyphen/>
        <w:t>Q FOR THE QUARTER ENDED JUNE 30, 2026</w:t>
      </w:r>
    </w:p>
    <w:p>
      <w:pPr>
        <w:pStyle w:val="TextBody"/>
        <w:bidi w:val="0"/>
        <w:spacing w:before="0" w:after="24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42"/>
        <w:gridCol w:w="146"/>
        <w:gridCol w:w="8454"/>
        <w:gridCol w:w="146"/>
        <w:gridCol w:w="617"/>
      </w:tblGrid>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br/>
            </w:r>
            <w:r>
              <w:rPr>
                <w:rFonts w:ascii="Times New Roman" w:hAnsi="Times New Roman"/>
                <w:b/>
                <w:color w:val="000000"/>
                <w:sz w:val="16"/>
              </w:rPr>
              <w:t>NO.</w:t>
            </w:r>
          </w:p>
        </w:tc>
      </w:tr>
      <w:tr>
        <w:trPr/>
        <w:tc>
          <w:tcPr>
            <w:tcW w:w="8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PART I.</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FINANCIAL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financialstatements_531063">
              <w:r>
                <w:rPr>
                  <w:rStyle w:val="InternetLink"/>
                  <w:rFonts w:ascii="Times New Roman" w:hAnsi="Times New Roman"/>
                  <w:color w:val="000000"/>
                  <w:sz w:val="20"/>
                </w:rPr>
                <w:t>Item 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financialstatements_531063">
              <w:r>
                <w:rPr>
                  <w:rStyle w:val="InternetLink"/>
                  <w:rFonts w:ascii="Times New Roman" w:hAnsi="Times New Roman"/>
                  <w:color w:val="0000FF"/>
                  <w:sz w:val="20"/>
                  <w:u w:val="single"/>
                </w:rPr>
                <w:t>Consolidated Financial Statements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 Statements of Assets and Liabilities as of June 30, 2026 (unaudited) and December 31,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operations">
              <w:r>
                <w:rPr>
                  <w:rStyle w:val="InternetLink"/>
                  <w:rFonts w:ascii="Times New Roman" w:hAnsi="Times New Roman"/>
                  <w:color w:val="0000FF"/>
                  <w:sz w:val="20"/>
                  <w:u w:val="single"/>
                </w:rPr>
                <w:t>Statements of Operations for the three and six months ended June 30, 2026 and 2025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hangesinnetassets_914180">
              <w:r>
                <w:rPr>
                  <w:rStyle w:val="InternetLink"/>
                  <w:rFonts w:ascii="Times New Roman" w:hAnsi="Times New Roman"/>
                  <w:color w:val="0000FF"/>
                  <w:sz w:val="20"/>
                  <w:u w:val="single"/>
                </w:rPr>
                <w:t>Statements of Changes in Net Assets for the three and six months ended June 30, 2026 and 2025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ashflows">
              <w:r>
                <w:rPr>
                  <w:rStyle w:val="InternetLink"/>
                  <w:rFonts w:ascii="Times New Roman" w:hAnsi="Times New Roman"/>
                  <w:color w:val="0000FF"/>
                  <w:sz w:val="20"/>
                  <w:u w:val="single"/>
                </w:rPr>
                <w:t>Statements of Cash Flows for the six months ended June 30, 2026 and 2025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460338">
              <w:r>
                <w:rPr>
                  <w:rStyle w:val="InternetLink"/>
                  <w:rFonts w:ascii="Times New Roman" w:hAnsi="Times New Roman"/>
                  <w:color w:val="0000FF"/>
                  <w:sz w:val="20"/>
                  <w:u w:val="single"/>
                </w:rPr>
                <w:t>Schedule of Investments as of June 30, 2026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pp">
              <w:r>
                <w:rPr>
                  <w:rStyle w:val="InternetLink"/>
                  <w:rFonts w:ascii="Times New Roman" w:hAnsi="Times New Roman"/>
                  <w:color w:val="0000FF"/>
                  <w:sz w:val="20"/>
                  <w:u w:val="single"/>
                </w:rPr>
                <w:t>Schedule of Investments as of December 31,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tofinancialstatements_777521">
              <w:r>
                <w:rPr>
                  <w:rStyle w:val="InternetLink"/>
                  <w:rFonts w:ascii="Times New Roman" w:hAnsi="Times New Roman"/>
                  <w:color w:val="0000FF"/>
                  <w:sz w:val="20"/>
                  <w:u w:val="single"/>
                </w:rPr>
                <w:t>Notes to Consolidated Financial Statements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2managementsdiscussionandanalysisoff">
              <w:r>
                <w:rPr>
                  <w:rStyle w:val="InternetLink"/>
                  <w:rFonts w:ascii="Times New Roman" w:hAnsi="Times New Roman"/>
                  <w:color w:val="000000"/>
                  <w:sz w:val="20"/>
                </w:rPr>
                <w:t>Item 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3quantitativeandqualitativedisclosur">
              <w:r>
                <w:rPr>
                  <w:rStyle w:val="InternetLink"/>
                  <w:rFonts w:ascii="Times New Roman" w:hAnsi="Times New Roman"/>
                  <w:color w:val="000000"/>
                  <w:sz w:val="20"/>
                </w:rPr>
                <w:t>Item 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FF"/>
                  <w:sz w:val="20"/>
                  <w:u w:val="single"/>
                </w:rPr>
                <w:t>Quantitative and Qualitative Disclosures About Market Risk</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4controlsandprocedures_691536">
              <w:r>
                <w:rPr>
                  <w:rStyle w:val="InternetLink"/>
                  <w:rFonts w:ascii="Times New Roman" w:hAnsi="Times New Roman"/>
                  <w:color w:val="000000"/>
                  <w:sz w:val="20"/>
                </w:rPr>
                <w:t>Item 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4controlsandprocedures_691536">
              <w:r>
                <w:rPr>
                  <w:rStyle w:val="InternetLink"/>
                  <w:rFonts w:ascii="Times New Roman" w:hAnsi="Times New Roman"/>
                  <w:color w:val="0000FF"/>
                  <w:sz w:val="20"/>
                  <w:u w:val="single"/>
                </w:rPr>
                <w:t>Controls and Procedures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PART II.</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OTHER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legalproceedings_844818">
              <w:r>
                <w:rPr>
                  <w:rStyle w:val="InternetLink"/>
                  <w:rFonts w:ascii="Times New Roman" w:hAnsi="Times New Roman"/>
                  <w:color w:val="000000"/>
                  <w:sz w:val="20"/>
                </w:rPr>
                <w:t>Item 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legalproceedings_844818">
              <w:r>
                <w:rPr>
                  <w:rStyle w:val="InternetLink"/>
                  <w:rFonts w:ascii="Times New Roman" w:hAnsi="Times New Roman"/>
                  <w:color w:val="0000FF"/>
                  <w:sz w:val="20"/>
                  <w:u w:val="single"/>
                </w:rPr>
                <w:t>Legal Proceedings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ariskfactors_996118">
              <w:r>
                <w:rPr>
                  <w:rStyle w:val="InternetLink"/>
                  <w:rFonts w:ascii="Times New Roman" w:hAnsi="Times New Roman"/>
                  <w:color w:val="000000"/>
                  <w:sz w:val="20"/>
                </w:rPr>
                <w:t>Item 1A.</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ariskfactors_996118">
              <w:r>
                <w:rPr>
                  <w:rStyle w:val="InternetLink"/>
                  <w:rFonts w:ascii="Times New Roman" w:hAnsi="Times New Roman"/>
                  <w:color w:val="0000FF"/>
                  <w:sz w:val="20"/>
                  <w:u w:val="single"/>
                </w:rPr>
                <w:t>Risk Factors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2unregisteredsalesofequitysecurities">
              <w:r>
                <w:rPr>
                  <w:rStyle w:val="InternetLink"/>
                  <w:rFonts w:ascii="Times New Roman" w:hAnsi="Times New Roman"/>
                  <w:color w:val="000000"/>
                  <w:sz w:val="20"/>
                </w:rPr>
                <w:t>Item 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Times New Roman" w:hAnsi="Times New Roman"/>
                  <w:color w:val="0000FF"/>
                  <w:sz w:val="20"/>
                  <w:u w:val="single"/>
                </w:rPr>
                <w:t>Unregistered Sales of Equity Securities and Use of Proceeds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3defaultsuponseniorsecurities_59067">
              <w:r>
                <w:rPr>
                  <w:rStyle w:val="InternetLink"/>
                  <w:rFonts w:ascii="Times New Roman" w:hAnsi="Times New Roman"/>
                  <w:color w:val="000000"/>
                  <w:sz w:val="20"/>
                </w:rPr>
                <w:t>Item 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3defaultsuponseniorsecurities_59067">
              <w:r>
                <w:rPr>
                  <w:rStyle w:val="InternetLink"/>
                  <w:rFonts w:ascii="Times New Roman" w:hAnsi="Times New Roman"/>
                  <w:color w:val="0000FF"/>
                  <w:sz w:val="20"/>
                  <w:u w:val="single"/>
                </w:rPr>
                <w:t>Defaults Upon Senior Securities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4minesafetydisclosures_325402">
              <w:r>
                <w:rPr>
                  <w:rStyle w:val="InternetLink"/>
                  <w:rFonts w:ascii="Times New Roman" w:hAnsi="Times New Roman"/>
                  <w:color w:val="000000"/>
                  <w:sz w:val="20"/>
                </w:rPr>
                <w:t>Item 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4minesafetydisclosures_325402">
              <w:r>
                <w:rPr>
                  <w:rStyle w:val="InternetLink"/>
                  <w:rFonts w:ascii="Times New Roman" w:hAnsi="Times New Roman"/>
                  <w:color w:val="0000FF"/>
                  <w:sz w:val="20"/>
                  <w:u w:val="single"/>
                </w:rPr>
                <w:t>Mine Safety Disclosures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5otherinformation_981141">
              <w:r>
                <w:rPr>
                  <w:rStyle w:val="InternetLink"/>
                  <w:rFonts w:ascii="Times New Roman" w:hAnsi="Times New Roman"/>
                  <w:color w:val="000000"/>
                  <w:sz w:val="20"/>
                </w:rPr>
                <w:t>Item 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5otherinformation_981141">
              <w:r>
                <w:rPr>
                  <w:rStyle w:val="InternetLink"/>
                  <w:rFonts w:ascii="Times New Roman" w:hAnsi="Times New Roman"/>
                  <w:color w:val="0000FF"/>
                  <w:sz w:val="20"/>
                  <w:u w:val="single"/>
                </w:rPr>
                <w:t>Other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4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2"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6exhibits_524452">
              <w:r>
                <w:rPr>
                  <w:rStyle w:val="InternetLink"/>
                  <w:rFonts w:ascii="Times New Roman" w:hAnsi="Times New Roman"/>
                  <w:color w:val="000000"/>
                  <w:sz w:val="20"/>
                </w:rPr>
                <w:t>Item 6.</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6exhibits_524452">
              <w:r>
                <w:rPr>
                  <w:rStyle w:val="InternetLink"/>
                  <w:rFonts w:ascii="Times New Roman" w:hAnsi="Times New Roman"/>
                  <w:color w:val="0000FF"/>
                  <w:sz w:val="20"/>
                  <w:u w:val="single"/>
                </w:rPr>
                <w:t>Exhibits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s_230440">
              <w:r>
                <w:rPr>
                  <w:rStyle w:val="InternetLink"/>
                  <w:rFonts w:ascii="Times New Roman" w:hAnsi="Times New Roman"/>
                  <w:b/>
                  <w:color w:val="000000"/>
                  <w:sz w:val="20"/>
                </w:rPr>
                <w:t>SIGNATURES</w:t>
              </w:r>
            </w:hyperlink>
            <w:hyperlink w:anchor="signatures_230440">
              <w:r>
                <w:rPr>
                  <w:rStyle w:val="InternetLink"/>
                  <w:rFonts w:ascii="Times New Roman" w:hAnsi="Times New Roman"/>
                  <w:color w:val="000000"/>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0" w:after="240"/>
        <w:jc w:val="center"/>
        <w:rPr>
          <w:rFonts w:ascii="Times New Roman" w:hAnsi="Times New Roman"/>
          <w:color w:val="000000"/>
          <w:sz w:val="20"/>
        </w:rPr>
      </w:pPr>
      <w:bookmarkStart w:id="3" w:name="partifinancialinformation_110173"/>
      <w:bookmarkEnd w:id="3"/>
      <w:r>
        <w:rPr>
          <w:rFonts w:ascii="Times New Roman" w:hAnsi="Times New Roman"/>
          <w:color w:val="000000"/>
          <w:sz w:val="20"/>
        </w:rPr>
        <w:t>PART I. FINANCIAL INFORMATION</w:t>
      </w:r>
    </w:p>
    <w:p>
      <w:pPr>
        <w:pStyle w:val="Heading1"/>
        <w:bidi w:val="0"/>
        <w:spacing w:before="0" w:after="240"/>
        <w:jc w:val="left"/>
        <w:rPr>
          <w:rFonts w:ascii="Times New Roman" w:hAnsi="Times New Roman"/>
          <w:color w:val="000000"/>
          <w:sz w:val="20"/>
        </w:rPr>
      </w:pPr>
      <w:bookmarkStart w:id="4" w:name="item1financialstatements_531063"/>
      <w:bookmarkEnd w:id="4"/>
      <w:r>
        <w:rPr>
          <w:rFonts w:ascii="Times New Roman" w:hAnsi="Times New Roman"/>
          <w:color w:val="000000"/>
          <w:sz w:val="20"/>
        </w:rPr>
        <w:t>Item 1.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spacing w:before="0" w:after="240"/>
        <w:jc w:val="center"/>
        <w:rPr>
          <w:rFonts w:ascii="Times New Roman" w:hAnsi="Times New Roman"/>
          <w:b/>
          <w:color w:val="000000"/>
          <w:sz w:val="20"/>
        </w:rPr>
      </w:pPr>
      <w:bookmarkStart w:id="5" w:name="statementsofassetsandliabilities_107261"/>
      <w:bookmarkEnd w:id="5"/>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601"/>
        <w:gridCol w:w="146"/>
        <w:gridCol w:w="196"/>
        <w:gridCol w:w="146"/>
        <w:gridCol w:w="916"/>
        <w:gridCol w:w="166"/>
        <w:gridCol w:w="146"/>
        <w:gridCol w:w="229"/>
        <w:gridCol w:w="171"/>
        <w:gridCol w:w="1075"/>
        <w:gridCol w:w="413"/>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Non-control/non-affiliate investments at fair value (cost of $1,220,537</w:t>
            </w:r>
            <w:r>
              <w:rPr>
                <w:rFonts w:ascii="Times New Roman" w:hAnsi="Times New Roman"/>
                <w:color w:val="000000"/>
                <w:sz w:val="20"/>
              </w:rPr>
              <w:t> </w:t>
            </w:r>
            <w:r>
              <w:rPr>
                <w:rFonts w:ascii="Times New Roman" w:hAnsi="Times New Roman"/>
                <w:color w:val="000000"/>
                <w:sz w:val="16"/>
              </w:rPr>
              <w:t>and $961,646,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912,656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Affiliate investments at fair value (cost of $4,551</w:t>
            </w:r>
            <w:r>
              <w:rPr>
                <w:rFonts w:ascii="Times New Roman" w:hAnsi="Times New Roman"/>
                <w:color w:val="000000"/>
                <w:sz w:val="20"/>
              </w:rPr>
              <w:t> </w:t>
            </w:r>
            <w:r>
              <w:rPr>
                <w:rFonts w:ascii="Times New Roman" w:hAnsi="Times New Roman"/>
                <w:color w:val="000000"/>
                <w:sz w:val="16"/>
              </w:rPr>
              <w:t>and $4,551,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Control investments at fair value (cost of $12,180</w:t>
            </w:r>
            <w:r>
              <w:rPr>
                <w:rFonts w:ascii="Times New Roman" w:hAnsi="Times New Roman"/>
                <w:color w:val="000000"/>
                <w:sz w:val="20"/>
              </w:rPr>
              <w:t> </w:t>
            </w:r>
            <w:r>
              <w:rPr>
                <w:rFonts w:ascii="Times New Roman" w:hAnsi="Times New Roman"/>
                <w:color w:val="000000"/>
                <w:sz w:val="16"/>
              </w:rPr>
              <w:t>and $13,233,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Total investments at fair value (cost of $1,237,268</w:t>
            </w:r>
            <w:r>
              <w:rPr>
                <w:rFonts w:ascii="Times New Roman" w:hAnsi="Times New Roman"/>
                <w:color w:val="000000"/>
                <w:sz w:val="20"/>
              </w:rPr>
              <w:t> </w:t>
            </w:r>
            <w:r>
              <w:rPr>
                <w:rFonts w:ascii="Times New Roman" w:hAnsi="Times New Roman"/>
                <w:color w:val="000000"/>
                <w:sz w:val="16"/>
              </w:rPr>
              <w:t>and $979,430,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4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960,114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435,337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475,145</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Contingencies, and Off-Balance Sheet Arrangements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534,508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undistributed (overdistributed)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of common stock outstanding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42,215,377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6" w:name="statementsofoperations"/>
      <w:bookmarkEnd w:id="6"/>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580"/>
        <w:gridCol w:w="146"/>
        <w:gridCol w:w="196"/>
        <w:gridCol w:w="146"/>
        <w:gridCol w:w="916"/>
        <w:gridCol w:w="166"/>
        <w:gridCol w:w="146"/>
        <w:gridCol w:w="196"/>
        <w:gridCol w:w="146"/>
        <w:gridCol w:w="916"/>
        <w:gridCol w:w="166"/>
        <w:gridCol w:w="146"/>
        <w:gridCol w:w="196"/>
        <w:gridCol w:w="146"/>
        <w:gridCol w:w="916"/>
        <w:gridCol w:w="166"/>
        <w:gridCol w:w="146"/>
        <w:gridCol w:w="196"/>
        <w:gridCol w:w="146"/>
        <w:gridCol w:w="916"/>
        <w:gridCol w:w="511"/>
      </w:tblGrid>
      <w:tr>
        <w:trPr/>
        <w:tc>
          <w:tcPr>
            <w:tcW w:w="3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70,545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37,103,061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39,120,815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37,224,569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7" w:name="statementsofchangesinnetassets_914180"/>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301"/>
        <w:gridCol w:w="899"/>
        <w:gridCol w:w="346"/>
        <w:gridCol w:w="186"/>
        <w:gridCol w:w="1172"/>
        <w:gridCol w:w="166"/>
        <w:gridCol w:w="146"/>
        <w:gridCol w:w="211"/>
        <w:gridCol w:w="157"/>
        <w:gridCol w:w="405"/>
        <w:gridCol w:w="166"/>
        <w:gridCol w:w="146"/>
        <w:gridCol w:w="211"/>
        <w:gridCol w:w="157"/>
        <w:gridCol w:w="747"/>
        <w:gridCol w:w="166"/>
        <w:gridCol w:w="146"/>
        <w:gridCol w:w="407"/>
        <w:gridCol w:w="274"/>
        <w:gridCol w:w="1023"/>
        <w:gridCol w:w="166"/>
        <w:gridCol w:w="146"/>
        <w:gridCol w:w="217"/>
        <w:gridCol w:w="161"/>
        <w:gridCol w:w="765"/>
        <w:gridCol w:w="318"/>
      </w:tblGrid>
      <w:tr>
        <w:trPr/>
        <w:tc>
          <w:tcPr>
            <w:tcW w:w="130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For the Three Months Ended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⁽¹⁾</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0"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Balances at 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438,228</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18,191</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(45,257</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2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54,259</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Issuance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6,330,509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43,617</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Deemed contributions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Repurchase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2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(14,014</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20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Tax reclassification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16"/>
              </w:rPr>
              <w:t>Balances at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42,215,377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502,578</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71"/>
        <w:gridCol w:w="884"/>
        <w:gridCol w:w="346"/>
        <w:gridCol w:w="189"/>
        <w:gridCol w:w="1186"/>
        <w:gridCol w:w="166"/>
        <w:gridCol w:w="146"/>
        <w:gridCol w:w="211"/>
        <w:gridCol w:w="158"/>
        <w:gridCol w:w="406"/>
        <w:gridCol w:w="166"/>
        <w:gridCol w:w="146"/>
        <w:gridCol w:w="212"/>
        <w:gridCol w:w="158"/>
        <w:gridCol w:w="749"/>
        <w:gridCol w:w="166"/>
        <w:gridCol w:w="146"/>
        <w:gridCol w:w="407"/>
        <w:gridCol w:w="275"/>
        <w:gridCol w:w="1038"/>
        <w:gridCol w:w="166"/>
        <w:gridCol w:w="146"/>
        <w:gridCol w:w="218"/>
        <w:gridCol w:w="162"/>
        <w:gridCol w:w="769"/>
        <w:gridCol w:w="318"/>
      </w:tblGrid>
      <w:tr>
        <w:trPr/>
        <w:tc>
          <w:tcPr>
            <w:tcW w:w="127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For the Six Months Ended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⁽¹⁾</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5"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Balances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28,815</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(44,005</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5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7,566</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Issuance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6,330,509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43,617</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Deemed contributions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Repurchase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5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5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Tax reclassification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16"/>
              </w:rPr>
              <w:t>Balances at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42,215,377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502,578</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1239"/>
        <w:gridCol w:w="924"/>
        <w:gridCol w:w="346"/>
        <w:gridCol w:w="188"/>
        <w:gridCol w:w="1183"/>
        <w:gridCol w:w="166"/>
        <w:gridCol w:w="146"/>
        <w:gridCol w:w="211"/>
        <w:gridCol w:w="157"/>
        <w:gridCol w:w="406"/>
        <w:gridCol w:w="166"/>
        <w:gridCol w:w="146"/>
        <w:gridCol w:w="212"/>
        <w:gridCol w:w="157"/>
        <w:gridCol w:w="749"/>
        <w:gridCol w:w="166"/>
        <w:gridCol w:w="146"/>
        <w:gridCol w:w="407"/>
        <w:gridCol w:w="275"/>
        <w:gridCol w:w="1035"/>
        <w:gridCol w:w="166"/>
        <w:gridCol w:w="146"/>
        <w:gridCol w:w="218"/>
        <w:gridCol w:w="162"/>
        <w:gridCol w:w="768"/>
        <w:gridCol w:w="320"/>
      </w:tblGrid>
      <w:tr>
        <w:trPr/>
        <w:tc>
          <w:tcPr>
            <w:tcW w:w="123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For the Three Months Ended 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⁽¹⁾</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3"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Balances at 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503,290</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13,948</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6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Repurchase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(8,141</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6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6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16"/>
              </w:rPr>
              <w:t>Balances at June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36,532,020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549,859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498,874</w:t>
            </w:r>
          </w:p>
        </w:tc>
        <w:tc>
          <w:tcPr>
            <w:tcW w:w="3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11"/>
        <w:gridCol w:w="907"/>
        <w:gridCol w:w="346"/>
        <w:gridCol w:w="190"/>
        <w:gridCol w:w="1197"/>
        <w:gridCol w:w="166"/>
        <w:gridCol w:w="146"/>
        <w:gridCol w:w="212"/>
        <w:gridCol w:w="158"/>
        <w:gridCol w:w="408"/>
        <w:gridCol w:w="166"/>
        <w:gridCol w:w="146"/>
        <w:gridCol w:w="213"/>
        <w:gridCol w:w="158"/>
        <w:gridCol w:w="752"/>
        <w:gridCol w:w="166"/>
        <w:gridCol w:w="146"/>
        <w:gridCol w:w="407"/>
        <w:gridCol w:w="276"/>
        <w:gridCol w:w="1051"/>
        <w:gridCol w:w="166"/>
        <w:gridCol w:w="146"/>
        <w:gridCol w:w="219"/>
        <w:gridCol w:w="163"/>
        <w:gridCol w:w="772"/>
        <w:gridCol w:w="317"/>
      </w:tblGrid>
      <w:tr>
        <w:trPr/>
        <w:tc>
          <w:tcPr>
            <w:tcW w:w="12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For the Six Months Ended 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⁽¹⁾</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Balances at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29,547</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(15,429</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1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Repurchase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(8,141</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11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(26,517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1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16"/>
              </w:rPr>
              <w:t>Balances at June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36,532,020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549,859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498,874</w:t>
            </w:r>
          </w:p>
        </w:tc>
        <w:tc>
          <w:tcPr>
            <w:tcW w:w="3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pPr>
      <w:r>
        <w:rPr>
          <w:rFonts w:ascii="Times New Roman" w:hAnsi="Times New Roman"/>
          <w:color w:val="000000"/>
          <w:sz w:val="16"/>
        </w:rPr>
        <w:t>Number of shares is shown net of cumulative share repurchases of 5,495,710</w:t>
      </w:r>
      <w:r>
        <w:rPr>
          <w:color w:val="000000"/>
        </w:rPr>
        <w:t xml:space="preserve"> </w:t>
      </w:r>
      <w:r>
        <w:rPr>
          <w:rFonts w:ascii="Times New Roman" w:hAnsi="Times New Roman"/>
          <w:color w:val="000000"/>
          <w:sz w:val="16"/>
        </w:rPr>
        <w:t>and 4,848,558</w:t>
      </w:r>
      <w:r>
        <w:rPr>
          <w:color w:val="000000"/>
        </w:rPr>
        <w:t xml:space="preserve"> </w:t>
      </w:r>
      <w:r>
        <w:rPr>
          <w:rFonts w:ascii="Times New Roman" w:hAnsi="Times New Roman"/>
          <w:color w:val="000000"/>
          <w:sz w:val="16"/>
        </w:rPr>
        <w:t>shares as of June 30, 2026 and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8" w:name="statementsofcash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155"/>
        <w:gridCol w:w="146"/>
        <w:gridCol w:w="181"/>
        <w:gridCol w:w="146"/>
        <w:gridCol w:w="631"/>
        <w:gridCol w:w="151"/>
        <w:gridCol w:w="146"/>
        <w:gridCol w:w="181"/>
        <w:gridCol w:w="146"/>
        <w:gridCol w:w="631"/>
        <w:gridCol w:w="691"/>
      </w:tblGrid>
      <w:tr>
        <w:trPr/>
        <w:tc>
          <w:tcPr>
            <w:tcW w:w="7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For the Six Months Ended June 30,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18,663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Adjustments to reconcile net increase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(54,039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3"/>
              </w:rPr>
            </w:pPr>
            <w:r>
              <w:rPr>
                <w:rFonts w:ascii="Times New Roman" w:hAnsi="Times New Roman"/>
                <w:color w:val="000000"/>
                <w:sz w:val="13"/>
              </w:rPr>
              <w:t xml:space="preserve">Cash consideration for acquisition of SWK and transaction expenses, net of cash received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(143,408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Payment-in-kind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(7,353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Sales or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55,860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107,873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Payments for derivative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Proceeds from derivative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(4,556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Net 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14,070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Net change in unrealized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1,359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Net change in unrealized (gain) loss on 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Amortization of fixed income premiums or accretion of discounts and end-of-term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(4,106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Amortization of discount on 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2,016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(Increase) decrease in interest and fees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(Increase) decrease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Increase (decrease) in 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Increase (decrease) in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Increase (decrease) in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3"/>
              </w:rPr>
            </w:pPr>
            <w:r>
              <w:rPr>
                <w:rFonts w:ascii="Times New Roman" w:hAnsi="Times New Roman"/>
                <w:b/>
                <w:color w:val="000000"/>
                <w:sz w:val="13"/>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(188,414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73,265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Payments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(3,400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Borrowings under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388,000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103,000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Repayments under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(155,000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Proceeds from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107,000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Proceeds from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49,430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Proceeds from 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Repayments of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(70,000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Repayments of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(20,000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(8,141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Dividends paid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(26,517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3"/>
              </w:rPr>
            </w:pPr>
            <w:r>
              <w:rPr>
                <w:rFonts w:ascii="Times New Roman" w:hAnsi="Times New Roman"/>
                <w:b/>
                <w:color w:val="000000"/>
                <w:sz w:val="13"/>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181,084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(73,058</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Effect of foreign currency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18,175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5,751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3"/>
              </w:rPr>
            </w:pPr>
            <w:r>
              <w:rPr>
                <w:rFonts w:ascii="Times New Roman" w:hAnsi="Times New Roman"/>
                <w:b/>
                <w:color w:val="000000"/>
                <w:sz w:val="13"/>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10,831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5,960</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Supplemental and non-cash financing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3"/>
              </w:rPr>
            </w:pPr>
            <w:r>
              <w:rPr>
                <w:rFonts w:ascii="Times New Roman" w:hAnsi="Times New Roman"/>
                <w:color w:val="000000"/>
                <w:sz w:val="13"/>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17,159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18,495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3"/>
              </w:rPr>
            </w:pPr>
            <w:r>
              <w:rPr>
                <w:rFonts w:ascii="Times New Roman" w:hAnsi="Times New Roman"/>
                <w:color w:val="000000"/>
                <w:sz w:val="13"/>
              </w:rPr>
              <w:t>SWK Acquisition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Non-cash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Investments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225,230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3"/>
              </w:rPr>
            </w:pPr>
            <w:r>
              <w:rPr>
                <w:rFonts w:ascii="Times New Roman" w:hAnsi="Times New Roman"/>
                <w:color w:val="000000"/>
                <w:sz w:val="13"/>
              </w:rPr>
              <w:t>Total non-cash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229,605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Non-cash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SWK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3"/>
              </w:rPr>
            </w:pPr>
            <w:r>
              <w:rPr>
                <w:rFonts w:ascii="Times New Roman" w:hAnsi="Times New Roman"/>
                <w:color w:val="000000"/>
                <w:sz w:val="13"/>
              </w:rPr>
              <w:t>Total non-cash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33,580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3"/>
              </w:rPr>
            </w:pPr>
            <w:r>
              <w:rPr>
                <w:rFonts w:ascii="Times New Roman" w:hAnsi="Times New Roman"/>
                <w:color w:val="000000"/>
                <w:sz w:val="13"/>
              </w:rPr>
              <w:t>Net assets acquired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196,025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Consideration for SWK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Cash consideration for SWK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173,543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Cash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Non-cash issuance of shares in connection with the SWK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Non-cash deemed contributions received in connection with the SWK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3"/>
              </w:rPr>
            </w:pPr>
            <w:r>
              <w:rPr>
                <w:rFonts w:ascii="Times New Roman" w:hAnsi="Times New Roman"/>
                <w:color w:val="000000"/>
                <w:sz w:val="13"/>
              </w:rPr>
              <w:t>Total consideration for SWK Acquisition, net of cash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196,025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6, 2026, the Company completed the acquisition of SWK Holdings Corporation. For more information, refer to "Note 13 – Acquisition of SWK Holdings Corporation" for additional information on the acquisition and the relevant accounting for the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9" w:name="scheduleofinvestments_460338"/>
      <w:bookmarkEnd w:id="9"/>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082"/>
        <w:gridCol w:w="146"/>
        <w:gridCol w:w="1071"/>
        <w:gridCol w:w="146"/>
        <w:gridCol w:w="1123"/>
        <w:gridCol w:w="146"/>
        <w:gridCol w:w="920"/>
        <w:gridCol w:w="146"/>
        <w:gridCol w:w="703"/>
        <w:gridCol w:w="146"/>
        <w:gridCol w:w="158"/>
        <w:gridCol w:w="572"/>
        <w:gridCol w:w="146"/>
        <w:gridCol w:w="146"/>
        <w:gridCol w:w="146"/>
        <w:gridCol w:w="146"/>
        <w:gridCol w:w="601"/>
        <w:gridCol w:w="151"/>
        <w:gridCol w:w="146"/>
        <w:gridCol w:w="146"/>
        <w:gridCol w:w="146"/>
        <w:gridCol w:w="601"/>
        <w:gridCol w:w="146"/>
        <w:gridCol w:w="146"/>
        <w:gridCol w:w="87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87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51,646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BlueConic Holding, Inc. (fka 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0.00% until 06/17/2028; thereafter, 20.00%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6/17/2026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11.75% floor, 3.10%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VTX Intermediate Holdings, Inc. (dba VertexOne)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8.00% floor, 4.00%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FIXED 12.50% PIK, 33.50%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 (19)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SOFR+6.50%, 7.50%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209,657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SOFR+4.25%, 6.75% floor, 3.25% PIK, 1.11%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12.78% floor, 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8.25%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Shepherd Intermediate, LLC (dba FHAS)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8.25%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10.80% floor, 6.25%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SOFR+6.65%, 10.45%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Commercial &amp; Professional Services - 17.04%*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Buzz Finco, LLC (dba Bumble)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SOFR+6.75%, 9.25%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FINN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SOFR+8.75%, 10.75%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(10)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Services - 6.73%*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SOFR+8.00% PIK, 10.50% floor, 14.00% ceiling,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(10) (11) (12) (15) (22)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Subordinated Debt - Senior Tranche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SOFR+8.00% PIK, 10.50% floor, 14.00% ceiling, 0.42%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(10) (11) (12) (15) (18)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Subordinated Debt - Junior Tranche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SOFR+8.00% PIK, 10.50% floor, 14.00% ceiling,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(10) (11) (12) (15) (22)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Staples Distribution &amp; Retail - 8.58%*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274"/>
        <w:gridCol w:w="146"/>
        <w:gridCol w:w="857"/>
        <w:gridCol w:w="146"/>
        <w:gridCol w:w="1110"/>
        <w:gridCol w:w="146"/>
        <w:gridCol w:w="952"/>
        <w:gridCol w:w="146"/>
        <w:gridCol w:w="716"/>
        <w:gridCol w:w="146"/>
        <w:gridCol w:w="161"/>
        <w:gridCol w:w="581"/>
        <w:gridCol w:w="146"/>
        <w:gridCol w:w="146"/>
        <w:gridCol w:w="146"/>
        <w:gridCol w:w="146"/>
        <w:gridCol w:w="601"/>
        <w:gridCol w:w="146"/>
        <w:gridCol w:w="146"/>
        <w:gridCol w:w="146"/>
        <w:gridCol w:w="146"/>
        <w:gridCol w:w="601"/>
        <w:gridCol w:w="146"/>
        <w:gridCol w:w="146"/>
        <w:gridCol w:w="85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8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9"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11.77% floor, 3.75%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Hurricane Cleanco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FIXED 6.25%, 6.25%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(11)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Under Technologies, Inc. (dba Rho)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SOFR+7.75%, 11.39% floor,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Vesta Payment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9.00% floor, 6.00%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Financial Services - 21.73%*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 Care Equipment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Biotricity,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SOFR+10.50%, 11.50% floor, 10.29%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HR Pharmaceuticals,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SOFR+6.00%, 8.00% floor, 5.36%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HR Pharmaceuticals,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SOFR+6.00%, 8.00%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ImpediMed,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SOFR+9.50%, 13.75% floor, 9.00%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(9) (10) (12)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MedMinder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PRIME+4.35%, 9.10% floor, 6.00%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SOFR+6.50%, 10.75% floor, 2.50%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(8) (10) (12) (13)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9.00% floor, 3.95%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Triple Ring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12.00% floor, 7.75%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Health Care Equipment &amp; Services - 31.89%*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13Scents Inc. (dba Dossier)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SOFR+6.75%, 7.75%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13Scents Inc. (dba Dossier)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SOFR+6.75%, 7.75%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PRIME+5.00%, 12.50%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Household &amp; Personal Products - 13.12%*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PRIME+5.00%, 12.00%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PRIME+5.00%, 12.00%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(23)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Insurance - 8.90%*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80"/>
        <w:gridCol w:w="146"/>
        <w:gridCol w:w="837"/>
        <w:gridCol w:w="146"/>
        <w:gridCol w:w="1090"/>
        <w:gridCol w:w="146"/>
        <w:gridCol w:w="911"/>
        <w:gridCol w:w="146"/>
        <w:gridCol w:w="699"/>
        <w:gridCol w:w="146"/>
        <w:gridCol w:w="157"/>
        <w:gridCol w:w="569"/>
        <w:gridCol w:w="146"/>
        <w:gridCol w:w="146"/>
        <w:gridCol w:w="146"/>
        <w:gridCol w:w="146"/>
        <w:gridCol w:w="721"/>
        <w:gridCol w:w="151"/>
        <w:gridCol w:w="146"/>
        <w:gridCol w:w="146"/>
        <w:gridCol w:w="146"/>
        <w:gridCol w:w="721"/>
        <w:gridCol w:w="146"/>
        <w:gridCol w:w="146"/>
        <w:gridCol w:w="81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706"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5"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SOFR+6.75%, 10.96%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12.10% floor, 3.83%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Media &amp; Entertainment - 5.37%*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SPB-C 2024,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FIXED 15.00% PIK, 1.57%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Multi-Sector Holdings - 2.14%*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 Biotechnology &amp; Life 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4Web,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SOFR+9.25%, 12.75% floor, 34.43%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Advanced Oxygen Therapy,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SOFR+7.75%, 10.90% floor, 5.60%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Eton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SOFR+6.55%, 9.30% floor, 5.45%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(12) (13)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Goodwin Biotechnology,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SOFR+5.03%, 9.28% floor, 3.98% PIK, 5.44%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Journey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SOFR+7.75%, 12.75% floor, 5.00%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NeoLight,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SOFR+6.50%, 13.50% floor, 50% Cash/50% PIK, 9.66%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Nicoya Lifesciences,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SOFR+9.00%, 12.75% floor, 10.00%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4/14/2027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(7) (10) (12)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SOFR+8.75%, 12.25% floor,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(12) (13)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Shield Therapeutics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SOFR+8.75%, 12.25% floor, 6.56%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(12) (13)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Sincerus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SOFR+6.75%, 10.50% floor, 8.85%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Sincerus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SOFR+6.75%, 10.50% floor, 7.50%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8/31/2030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Pharmaceutical, Biotechnology &amp; Life Sciences - 32.15%*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153,732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Systems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3PL Central LLC (dba Extensiv)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9.00% floor, 5.10%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SOFR+11.00%, 14.69% floor, 10.56%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SOFR+5.75%, 6.50%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Digicert,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SOFR+5.75%, 6.50%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Systems Software - 19.31%*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105,248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10.66% floor, 2.53%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PRIME+3.25%, 11.75% floor, 2.25%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Technology Hardware &amp; Equipment - 14.31%*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5"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 - 223.31%*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1,126,195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347" w:type="dxa"/>
        <w:jc w:val="left"/>
        <w:tblInd w:w="0" w:type="dxa"/>
        <w:tblLayout w:type="fixed"/>
        <w:tblCellMar>
          <w:top w:w="28" w:type="dxa"/>
          <w:left w:w="28" w:type="dxa"/>
          <w:bottom w:w="28" w:type="dxa"/>
          <w:right w:w="28" w:type="dxa"/>
        </w:tblCellMar>
      </w:tblPr>
      <w:tblGrid>
        <w:gridCol w:w="161"/>
        <w:gridCol w:w="146"/>
        <w:gridCol w:w="1261"/>
        <w:gridCol w:w="146"/>
        <w:gridCol w:w="901"/>
        <w:gridCol w:w="146"/>
        <w:gridCol w:w="961"/>
        <w:gridCol w:w="146"/>
        <w:gridCol w:w="916"/>
        <w:gridCol w:w="146"/>
        <w:gridCol w:w="766"/>
        <w:gridCol w:w="146"/>
        <w:gridCol w:w="146"/>
        <w:gridCol w:w="826"/>
        <w:gridCol w:w="146"/>
        <w:gridCol w:w="146"/>
        <w:gridCol w:w="146"/>
        <w:gridCol w:w="146"/>
        <w:gridCol w:w="601"/>
        <w:gridCol w:w="146"/>
        <w:gridCol w:w="146"/>
        <w:gridCol w:w="146"/>
        <w:gridCol w:w="146"/>
        <w:gridCol w:w="60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2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 (15)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 (25)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(10) (14) (15) (16)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Staples Distribution &amp; Retail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8.75% Series A Cumulative Redeemable Perpetual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Epica International,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 (25)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MolecuLight,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(10) (14)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(10)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(10)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 Biotechnology &amp; Life 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Advanced Oxygen Therapy,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 (15)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Sincerus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Pharmaceutical, Biotechnology &amp; Life Sciences - 0.16%*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372"/>
        <w:gridCol w:w="146"/>
        <w:gridCol w:w="878"/>
        <w:gridCol w:w="146"/>
        <w:gridCol w:w="1019"/>
        <w:gridCol w:w="146"/>
        <w:gridCol w:w="996"/>
        <w:gridCol w:w="146"/>
        <w:gridCol w:w="735"/>
        <w:gridCol w:w="146"/>
        <w:gridCol w:w="150"/>
        <w:gridCol w:w="741"/>
        <w:gridCol w:w="146"/>
        <w:gridCol w:w="146"/>
        <w:gridCol w:w="146"/>
        <w:gridCol w:w="146"/>
        <w:gridCol w:w="451"/>
        <w:gridCol w:w="146"/>
        <w:gridCol w:w="146"/>
        <w:gridCol w:w="149"/>
        <w:gridCol w:w="149"/>
        <w:gridCol w:w="463"/>
        <w:gridCol w:w="146"/>
        <w:gridCol w:w="146"/>
        <w:gridCol w:w="897"/>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868"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7"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CarNow,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Exeevo,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Gross Margin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(17) (25)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INRIX,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7/26/2019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JWP Holdco LLC (fka Longtail Ad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Piano Software,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Predactiv, Inc. (fka Sharethis,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3"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AllClear ID,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8/31/2017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8/31/2027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CloudPay,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8/17/2021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CloudPay,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7/17/2034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JobGet Holdings, Inc. (fka Snagajob,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Commercial &amp; Professional Services - 0.42%*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FINN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(10) (14) (18) (24)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Services - 0.29%*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(10) (14) (15)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Staples Distribution &amp; Retail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Autobooks,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Credit Sesame,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1/7/2020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Under Technologies, Inc. (dba Rho)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5/8/2036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Financial Services - 0.22%*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81"/>
        <w:gridCol w:w="146"/>
        <w:gridCol w:w="884"/>
        <w:gridCol w:w="146"/>
        <w:gridCol w:w="1036"/>
        <w:gridCol w:w="146"/>
        <w:gridCol w:w="1009"/>
        <w:gridCol w:w="146"/>
        <w:gridCol w:w="740"/>
        <w:gridCol w:w="146"/>
        <w:gridCol w:w="147"/>
        <w:gridCol w:w="806"/>
        <w:gridCol w:w="146"/>
        <w:gridCol w:w="146"/>
        <w:gridCol w:w="146"/>
        <w:gridCol w:w="146"/>
        <w:gridCol w:w="526"/>
        <w:gridCol w:w="146"/>
        <w:gridCol w:w="146"/>
        <w:gridCol w:w="150"/>
        <w:gridCol w:w="150"/>
        <w:gridCol w:w="464"/>
        <w:gridCol w:w="146"/>
        <w:gridCol w:w="146"/>
        <w:gridCol w:w="907"/>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70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9"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Best ABT,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Settlement Payment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11/12/2018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11/12/2028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Biotricity,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Biotricity,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Biotricity,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Biotricity,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DxTerity Diagnostics,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4/6/2015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2,019,231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Elutia,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Epica International,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7/24/2018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Flowonix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Royalty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Ideal Implant,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2/1/2039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ImpediMed,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18,737,805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(9) (10) (14) (15)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MedMinder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MolecuLight,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(7) (10) (14) (18)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Moximed,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(8) (10) (14) (15)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Health Care Equipment &amp; Services - 1.94%*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413"/>
        <w:gridCol w:w="146"/>
        <w:gridCol w:w="873"/>
        <w:gridCol w:w="146"/>
        <w:gridCol w:w="1009"/>
        <w:gridCol w:w="146"/>
        <w:gridCol w:w="986"/>
        <w:gridCol w:w="146"/>
        <w:gridCol w:w="731"/>
        <w:gridCol w:w="146"/>
        <w:gridCol w:w="149"/>
        <w:gridCol w:w="740"/>
        <w:gridCol w:w="146"/>
        <w:gridCol w:w="146"/>
        <w:gridCol w:w="146"/>
        <w:gridCol w:w="146"/>
        <w:gridCol w:w="451"/>
        <w:gridCol w:w="146"/>
        <w:gridCol w:w="146"/>
        <w:gridCol w:w="149"/>
        <w:gridCol w:w="149"/>
        <w:gridCol w:w="462"/>
        <w:gridCol w:w="146"/>
        <w:gridCol w:w="146"/>
        <w:gridCol w:w="88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894"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Household &amp; Personal Products - 0.09%*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Insurance - 0.18%*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Skillshare,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Media &amp; Entertainment - 0.06%*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4Web,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780,387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Goodwin Biotechnology,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9/13/2030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Insite Vision,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Mustang 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NeoLight,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Nicoya Lifesciences,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10/13/2030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(7) (10) (14)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Nicoya Lifesciences,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5/27/2032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(7) (10) (14)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Shield Therapeutics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(14) (15)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8,910,540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(14) (15)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Shield Therapeutics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(10) (14) (15)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Zevra Therapeutics, Inc. (fka Acer 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Contingent Value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(15)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Pharmaceutical, Biotechnology &amp; Life Sciences - 0.91%*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36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951"/>
        <w:gridCol w:w="146"/>
        <w:gridCol w:w="872"/>
        <w:gridCol w:w="146"/>
        <w:gridCol w:w="1006"/>
        <w:gridCol w:w="146"/>
        <w:gridCol w:w="983"/>
        <w:gridCol w:w="146"/>
        <w:gridCol w:w="730"/>
        <w:gridCol w:w="146"/>
        <w:gridCol w:w="149"/>
        <w:gridCol w:w="739"/>
        <w:gridCol w:w="146"/>
        <w:gridCol w:w="146"/>
        <w:gridCol w:w="146"/>
        <w:gridCol w:w="146"/>
        <w:gridCol w:w="721"/>
        <w:gridCol w:w="146"/>
        <w:gridCol w:w="146"/>
        <w:gridCol w:w="146"/>
        <w:gridCol w:w="146"/>
        <w:gridCol w:w="721"/>
        <w:gridCol w:w="146"/>
        <w:gridCol w:w="146"/>
        <w:gridCol w:w="8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428"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7"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Synack,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Systems Software - 0.07%*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5/31/2019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(7) (10) (14)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Technology Hardware &amp; Equipment - 0.19%*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7"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Warrants &amp; Other Contractual Rights - 5.32%*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8"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Non-Control/Non-Affiliate Investments - 234.65%*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1,179,315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36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12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239"/>
        <w:gridCol w:w="146"/>
        <w:gridCol w:w="830"/>
        <w:gridCol w:w="146"/>
        <w:gridCol w:w="897"/>
        <w:gridCol w:w="146"/>
        <w:gridCol w:w="895"/>
        <w:gridCol w:w="146"/>
        <w:gridCol w:w="692"/>
        <w:gridCol w:w="146"/>
        <w:gridCol w:w="147"/>
        <w:gridCol w:w="726"/>
        <w:gridCol w:w="146"/>
        <w:gridCol w:w="146"/>
        <w:gridCol w:w="181"/>
        <w:gridCol w:w="146"/>
        <w:gridCol w:w="721"/>
        <w:gridCol w:w="146"/>
        <w:gridCol w:w="146"/>
        <w:gridCol w:w="181"/>
        <w:gridCol w:w="146"/>
        <w:gridCol w:w="721"/>
        <w:gridCol w:w="146"/>
        <w:gridCol w:w="146"/>
        <w:gridCol w:w="77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56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Coginiti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4"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4"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Warrants &amp; Other Contractual Rights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Affiliate Investments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4"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Multi-Sector Holdings - 2.59%*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 - 2.59%*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Control Investments - 2.59%*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Investments - 237.24%*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1,237,268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1,192,350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Cash and Cash Equivalents and 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Goldman Sachs Financial Square Government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FGTXX/38141W273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Cash and Cash Equivalents and Short Term Investments - 2.16%*</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Investments, Cash and Cash Equivalents, and Short Term Investments - 239.40%*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1,248,099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June 30, 2026, the U.S. PRIME Rate was 6.75%, the 1-Month SOFR was 3.65%, and the 3-Month SOFR was 3.73%.</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Contingencies, and Off-Balance Sheet Arrangements"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11.43%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12.66%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1.75%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3.51%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Australia. Fair value of Australian domiciled investments represents 2.27%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18.41% of total assets as of June 30, 2026.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a publicly traded company whose securities are listed on a national securities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over time,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on non-accrual status as of June 30, 2026 and is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sold a participating interest representing $15.0</w:t>
            </w:r>
            <w:r>
              <w:rPr>
                <w:rFonts w:ascii="Times New Roman" w:hAnsi="Times New Roman"/>
                <w:color w:val="000000"/>
                <w:sz w:val="20"/>
              </w:rPr>
              <w:t> </w:t>
            </w:r>
            <w:r>
              <w:rPr>
                <w:rFonts w:ascii="Times New Roman" w:hAnsi="Times New Roman"/>
                <w:color w:val="000000"/>
                <w:sz w:val="16"/>
              </w:rPr>
              <w:t>million of the aggregate outstanding principal balance of the portfolio company's senior secured loan. As the transaction did not qualify for sale accounting under applicable guidance, the Company recorded a corresponding secured borrowing, measured at fair value and included in "Secured borrowings" on the Company's Consolidated Statements of Assets and Liabilities. See "Note 2 – Summary of Significant Accounting Policies, Secured Borrowings"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has confirmed the fully diluted share count as of June 30, 2026. Based on the current share count and the contractual warrant entitlement per the warrant agreement, the Company would own 581</w:t>
            </w:r>
            <w:r>
              <w:rPr>
                <w:rFonts w:ascii="Times New Roman" w:hAnsi="Times New Roman"/>
                <w:color w:val="000000"/>
                <w:sz w:val="20"/>
              </w:rPr>
              <w:t> </w:t>
            </w:r>
            <w:r>
              <w:rPr>
                <w:rFonts w:ascii="Times New Roman" w:hAnsi="Times New Roman"/>
                <w:color w:val="000000"/>
                <w:sz w:val="16"/>
              </w:rPr>
              <w:t>shares if converted as of June 30, 2026.</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are subject to contractual restrictions contained in the issuer’s governing documents and other applicable agreements, including rights of first refusal and other limitations on transfer.</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 borrowings were outstanding under the revolving loan commitment as of June 30, 2026. The negative cost represents unamortized original issue discount and other fees received in connection with the commitment.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0" w:name="scheduleofinvestments_pp"/>
      <w:bookmarkEnd w:id="10"/>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91"/>
        <w:gridCol w:w="146"/>
        <w:gridCol w:w="858"/>
        <w:gridCol w:w="146"/>
        <w:gridCol w:w="1187"/>
        <w:gridCol w:w="146"/>
        <w:gridCol w:w="955"/>
        <w:gridCol w:w="146"/>
        <w:gridCol w:w="718"/>
        <w:gridCol w:w="146"/>
        <w:gridCol w:w="161"/>
        <w:gridCol w:w="582"/>
        <w:gridCol w:w="146"/>
        <w:gridCol w:w="146"/>
        <w:gridCol w:w="146"/>
        <w:gridCol w:w="146"/>
        <w:gridCol w:w="601"/>
        <w:gridCol w:w="151"/>
        <w:gridCol w:w="146"/>
        <w:gridCol w:w="146"/>
        <w:gridCol w:w="146"/>
        <w:gridCol w:w="601"/>
        <w:gridCol w:w="146"/>
        <w:gridCol w:w="146"/>
        <w:gridCol w:w="84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83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SOFR+8.25% PIK, 13.25%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SOFR+8.25% PIK, 13.25%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SOFR+8.25% PIK, 13.25%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11.75% floor, 1.60%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VTX Intermediate Holdings, Inc. (dba VertexOne)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8.00% floor, 1.00%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FIXED 12.50% PIK, 31.05%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SOFR+6.00%, 7.50%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- 45.55%*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222,434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SOFR+4.75%, 6.75% floor, 3.25% PIK, 1.10%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12.78% floor, 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8.25%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Shepherd Intermediate, LLC (dba FHAS)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8.25%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10.80%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SOFR+6.65%, 10.45%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Commercial &amp; Professional Services - 17.55%*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FINN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SOFR+8.75%, 10.75%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Services - 3.95%*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(11)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Staples Distribution &amp; Retail - 9.86%*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080"/>
        <w:gridCol w:w="146"/>
        <w:gridCol w:w="876"/>
        <w:gridCol w:w="146"/>
        <w:gridCol w:w="1194"/>
        <w:gridCol w:w="146"/>
        <w:gridCol w:w="991"/>
        <w:gridCol w:w="146"/>
        <w:gridCol w:w="733"/>
        <w:gridCol w:w="146"/>
        <w:gridCol w:w="164"/>
        <w:gridCol w:w="593"/>
        <w:gridCol w:w="146"/>
        <w:gridCol w:w="146"/>
        <w:gridCol w:w="146"/>
        <w:gridCol w:w="146"/>
        <w:gridCol w:w="601"/>
        <w:gridCol w:w="146"/>
        <w:gridCol w:w="146"/>
        <w:gridCol w:w="146"/>
        <w:gridCol w:w="146"/>
        <w:gridCol w:w="601"/>
        <w:gridCol w:w="146"/>
        <w:gridCol w:w="146"/>
        <w:gridCol w:w="87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749"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8"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11.77% floor, 2.75%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Hurricane Cleanco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FIXED 6.25%, 6.25%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(10)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Vesta Payment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9.00% floor, 6.00%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Financial Services - 17.03%*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PRIME+5.25%, 8.75%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SOFR+6.50%, 10.75% floor, 2.50%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(8) (9) (11) (12)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9.00% floor, 3.95%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Health Care Equipment &amp; Services - 22.90%*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PRIME+5.00%, 12.50%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Household &amp; Personal Products - 8.11%*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PRIME+5.00%, 12.00%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PRIME+5.00%, 12.00%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Insurance - 9.05%*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Skillshare,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SOFR+6.75%, 10.96%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12.10% floor, 3.83%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Media &amp; Entertainment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Multi-Sector 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SPB C-2024,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FIXED 15.00% PIK, 1.57%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(9) (10) (11)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Multi-Sector Holdings - 2.06%*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SOFR+9.25%, 14.25% floor,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Pharmaceuticals, Biotechnology &amp; Life Sciences - 0.40%*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70"/>
        <w:gridCol w:w="146"/>
        <w:gridCol w:w="842"/>
        <w:gridCol w:w="146"/>
        <w:gridCol w:w="1143"/>
        <w:gridCol w:w="146"/>
        <w:gridCol w:w="921"/>
        <w:gridCol w:w="146"/>
        <w:gridCol w:w="703"/>
        <w:gridCol w:w="146"/>
        <w:gridCol w:w="147"/>
        <w:gridCol w:w="730"/>
        <w:gridCol w:w="146"/>
        <w:gridCol w:w="146"/>
        <w:gridCol w:w="146"/>
        <w:gridCol w:w="146"/>
        <w:gridCol w:w="601"/>
        <w:gridCol w:w="151"/>
        <w:gridCol w:w="146"/>
        <w:gridCol w:w="146"/>
        <w:gridCol w:w="146"/>
        <w:gridCol w:w="601"/>
        <w:gridCol w:w="146"/>
        <w:gridCol w:w="146"/>
        <w:gridCol w:w="84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754"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9.00% floor, 5.10%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SOFR+5.75%, 6.50%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Digicert,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SOFR+5.75%, 6.50%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SOFR+9.50%, 12.26% floor, 7.50%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Systems Software - 20.04%*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11.29% floor, 2.53%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PRIME+3.25%, 11.75% floor, 2.25%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Technology Hardware &amp; Equipment - 14.82%*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69,965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3"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 - 177.40%*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884,105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3"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Aria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G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VTX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476,564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(23)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JobGet Holdings, Inc. (fka 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Commercial &amp; Professional Services - 5.39%*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(13) (14) (15)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Staples Distribution &amp; Retail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CareCloud,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8.75% Series A Cumulative Redeemable Perpetual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Health Care Equipment &amp; Services - 1.99%*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Media &amp; Entertainment - 0.04%*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 - 7.49%*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52,784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399"/>
        <w:gridCol w:w="146"/>
        <w:gridCol w:w="877"/>
        <w:gridCol w:w="146"/>
        <w:gridCol w:w="1016"/>
        <w:gridCol w:w="146"/>
        <w:gridCol w:w="993"/>
        <w:gridCol w:w="146"/>
        <w:gridCol w:w="734"/>
        <w:gridCol w:w="146"/>
        <w:gridCol w:w="150"/>
        <w:gridCol w:w="741"/>
        <w:gridCol w:w="146"/>
        <w:gridCol w:w="146"/>
        <w:gridCol w:w="146"/>
        <w:gridCol w:w="146"/>
        <w:gridCol w:w="451"/>
        <w:gridCol w:w="146"/>
        <w:gridCol w:w="146"/>
        <w:gridCol w:w="149"/>
        <w:gridCol w:w="149"/>
        <w:gridCol w:w="462"/>
        <w:gridCol w:w="146"/>
        <w:gridCol w:w="146"/>
        <w:gridCol w:w="87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89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INRIX,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7/26/2019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JWP Holdco LLC (fka Longtail Ad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Predactiv, Inc. (fka Sharethis,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3"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AllClear ID,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8/31/2017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CloudPay,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Commercial &amp; Professional Services - 0.52%*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FINN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(13) (17)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Services - 0.14%*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Credit Sesame,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1/7/2020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Financial Services - 0.28%*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223"/>
        <w:gridCol w:w="146"/>
        <w:gridCol w:w="897"/>
        <w:gridCol w:w="146"/>
        <w:gridCol w:w="1062"/>
        <w:gridCol w:w="146"/>
        <w:gridCol w:w="1036"/>
        <w:gridCol w:w="146"/>
        <w:gridCol w:w="752"/>
        <w:gridCol w:w="146"/>
        <w:gridCol w:w="151"/>
        <w:gridCol w:w="747"/>
        <w:gridCol w:w="146"/>
        <w:gridCol w:w="146"/>
        <w:gridCol w:w="146"/>
        <w:gridCol w:w="146"/>
        <w:gridCol w:w="451"/>
        <w:gridCol w:w="146"/>
        <w:gridCol w:w="146"/>
        <w:gridCol w:w="151"/>
        <w:gridCol w:w="151"/>
        <w:gridCol w:w="466"/>
        <w:gridCol w:w="146"/>
        <w:gridCol w:w="146"/>
        <w:gridCol w:w="91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7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Nalu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10/12/2032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(8) (9) (13)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Health Care Equipment &amp; Services - 0.47%*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Household &amp; Personal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Madison Reed,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Household &amp; Personal Products - 0.09%*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Insurance - 0.20%*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9/30/2034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Media &amp; Entertainment - 0.13%*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 Biotechnology &amp; Life 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Mustang 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 (9) (13)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Pharmaceuticals, Biotechnology &amp; Life Sciences - 0.01%*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000"/>
        <w:gridCol w:w="146"/>
        <w:gridCol w:w="899"/>
        <w:gridCol w:w="146"/>
        <w:gridCol w:w="1066"/>
        <w:gridCol w:w="146"/>
        <w:gridCol w:w="1040"/>
        <w:gridCol w:w="146"/>
        <w:gridCol w:w="754"/>
        <w:gridCol w:w="146"/>
        <w:gridCol w:w="151"/>
        <w:gridCol w:w="748"/>
        <w:gridCol w:w="146"/>
        <w:gridCol w:w="146"/>
        <w:gridCol w:w="146"/>
        <w:gridCol w:w="146"/>
        <w:gridCol w:w="601"/>
        <w:gridCol w:w="146"/>
        <w:gridCol w:w="146"/>
        <w:gridCol w:w="146"/>
        <w:gridCol w:w="146"/>
        <w:gridCol w:w="601"/>
        <w:gridCol w:w="146"/>
        <w:gridCol w:w="146"/>
        <w:gridCol w:w="84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564"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Synack,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Systems Software - 0.13%*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5/31/2019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(7) (9) (13)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Contractual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3"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Technology Hardware &amp; Equipment - 0.21%*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Warrants &amp; Other Contractual Rights - 3.30%*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4"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Non-Control/Non-Affiliate Investments - 188.19%*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912,656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387"/>
        <w:gridCol w:w="146"/>
        <w:gridCol w:w="846"/>
        <w:gridCol w:w="146"/>
        <w:gridCol w:w="919"/>
        <w:gridCol w:w="146"/>
        <w:gridCol w:w="929"/>
        <w:gridCol w:w="146"/>
        <w:gridCol w:w="707"/>
        <w:gridCol w:w="146"/>
        <w:gridCol w:w="148"/>
        <w:gridCol w:w="731"/>
        <w:gridCol w:w="146"/>
        <w:gridCol w:w="146"/>
        <w:gridCol w:w="181"/>
        <w:gridCol w:w="146"/>
        <w:gridCol w:w="601"/>
        <w:gridCol w:w="146"/>
        <w:gridCol w:w="146"/>
        <w:gridCol w:w="181"/>
        <w:gridCol w:w="146"/>
        <w:gridCol w:w="601"/>
        <w:gridCol w:w="146"/>
        <w:gridCol w:w="146"/>
        <w:gridCol w:w="76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75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Coginiti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Warrants &amp; Other Contractual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Warrants &amp; Other Contractual Rights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Affiliate Investments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Commercial &amp; Professional Services - 0.31%*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Multi-Sector Holdings - 2.73%*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 - 3.04%*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Control Investments - 3.04%*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Investments - 191.23%*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979,430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927,402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Cash and Cash Equivalents and 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Goldman Sachs Financial Square Government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FGTXX/38141W273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Cash and Cash Equivalents and Short Term Investments - 3.75%*</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Total Investments, Cash and Cash Equivalents, and Short Term Investments - 194.98%*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945,577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Foreign Currency Forward Contracts</w:t>
      </w:r>
    </w:p>
    <w:tbl>
      <w:tblPr>
        <w:tblW w:w="10205" w:type="dxa"/>
        <w:jc w:val="left"/>
        <w:tblInd w:w="0" w:type="dxa"/>
        <w:tblLayout w:type="fixed"/>
        <w:tblCellMar>
          <w:top w:w="28" w:type="dxa"/>
          <w:left w:w="28" w:type="dxa"/>
          <w:bottom w:w="28" w:type="dxa"/>
          <w:right w:w="28" w:type="dxa"/>
        </w:tblCellMar>
      </w:tblPr>
      <w:tblGrid>
        <w:gridCol w:w="1522"/>
        <w:gridCol w:w="146"/>
        <w:gridCol w:w="1926"/>
        <w:gridCol w:w="146"/>
        <w:gridCol w:w="893"/>
        <w:gridCol w:w="146"/>
        <w:gridCol w:w="357"/>
        <w:gridCol w:w="1286"/>
        <w:gridCol w:w="146"/>
        <w:gridCol w:w="146"/>
        <w:gridCol w:w="417"/>
        <w:gridCol w:w="1511"/>
        <w:gridCol w:w="146"/>
        <w:gridCol w:w="146"/>
        <w:gridCol w:w="274"/>
        <w:gridCol w:w="222"/>
        <w:gridCol w:w="575"/>
        <w:gridCol w:w="200"/>
      </w:tblGrid>
      <w:tr>
        <w:trPr/>
        <w:tc>
          <w:tcPr>
            <w:tcW w:w="1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Unrealized Gain </w:t>
              <w:br/>
              <w:t>(Loss)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British Pound Sterling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 (continued)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2025, the U.S. PRIME Rate was 6.75%, the 1-Month SOFR was 3.69%, and the 3-Month SOFR was 3.65%.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Contingencies, and Off-Balance Sheet Arrangements"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7.10%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13.95%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0.03%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3.61%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14.89% of total assets as of December 31, 2025.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a publicly traded company whose securities are listed on a national securities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over time,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Pivot3, Inc. were contributed to P3 Holdco LLC by the Company, a wholly owned subsidiary of the Company. For more information, refer to "Note 2 – Summary of Significant Accounting Policies, Principles of Consolidation."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on non-accrual status as of December 31, 2025 and is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 has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sold a participating interest representing $15.0</w:t>
            </w:r>
            <w:r>
              <w:rPr>
                <w:rFonts w:ascii="Times New Roman" w:hAnsi="Times New Roman"/>
                <w:color w:val="000000"/>
                <w:sz w:val="20"/>
              </w:rPr>
              <w:t> </w:t>
            </w:r>
            <w:r>
              <w:rPr>
                <w:rFonts w:ascii="Times New Roman" w:hAnsi="Times New Roman"/>
                <w:color w:val="000000"/>
                <w:sz w:val="16"/>
              </w:rPr>
              <w:t>million of the aggregate outstanding principal balance of the portfolio company's senior secured loan. As the transaction did not qualify for sale accounting under applicable guidance, the Company recorded a corresponding secured borrowing, measured at fair value and included in "Secured borrowings" on the Company's Consolidated Statements of Assets and Liabilities. See "Note 2 – Summary of Significant Accounting Policies, Secured Borrowings"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has confirmed the fully diluted share count as of December 31, 2025. Based on the current share count and the contractual warrant entitlement per the warrant agreement, the Company would own 333</w:t>
            </w:r>
            <w:r>
              <w:rPr>
                <w:rFonts w:ascii="Times New Roman" w:hAnsi="Times New Roman"/>
                <w:color w:val="000000"/>
                <w:sz w:val="20"/>
              </w:rPr>
              <w:t xml:space="preserve"> </w:t>
            </w:r>
            <w:r>
              <w:rPr>
                <w:rFonts w:ascii="Times New Roman" w:hAnsi="Times New Roman"/>
                <w:color w:val="000000"/>
                <w:sz w:val="16"/>
              </w:rPr>
              <w:t>shares if converted as of December 31, 2025.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reclassified certain industry groupings of its portfolio companies presented in the consolidated financial statements as of December 31, 2025, to align with Global Industry Classification Standards (“GICS”), where applicable.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1" w:name="notestofinancialstatements_777521"/>
      <w:bookmarkEnd w:id="11"/>
      <w:r>
        <w:rPr>
          <w:rFonts w:ascii="Times New Roman" w:hAnsi="Times New Roman"/>
          <w:b/>
          <w:color w:val="000000"/>
          <w:sz w:val="20"/>
        </w:rPr>
        <w:t>Notes to Consolidated Financial Statements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Heading1"/>
        <w:bidi w:val="0"/>
        <w:spacing w:before="240" w:after="240"/>
        <w:jc w:val="both"/>
        <w:rPr>
          <w:rFonts w:ascii="Times New Roman" w:hAnsi="Times New Roman"/>
          <w:color w:val="000000"/>
          <w:sz w:val="20"/>
        </w:rPr>
      </w:pPr>
      <w:r>
        <w:rPr>
          <w:rFonts w:ascii="Times New Roman" w:hAnsi="Times New Roman"/>
          <w:color w:val="000000"/>
          <w:sz w:val="20"/>
        </w:rPr>
        <w:t>Note 1 – Organization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was formed primarily to lend to, and selectively invest in, high growth-potential companies in technology, healthcare, business services, financial services, and select consumer services and products in other high-growth industries. The Company’s investment objective is to maximize its total return to its stockholders primarily through current income on its loan portfolio, and secondarily through capital gains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 On January 30, 2025, a private investment fund advised by BC Partners Advisors L.P. ("BC Partners") acquired the majority equity interest of RGC, and Mount Logan Capital Inc., an affiliate of BC Partners, acquired the remaining minority equity interest, together acquiring the entirety of the outstanding equity interest of RGC (the "BCP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6, 2026, the Company completed its acquisition of SWK Holdings Corporation ("SWK"), a Delaware corporation and a life science focused specialty finance company that provided minimally dilutive financing to small- and mid-sized commercial-stage healthcare companies. As a result of the transaction, the Company's investment portfolio expanded to include SWK's healthcare and life sciences investments. For additional information, refer to "Note 13 – Acquisition of SWK Holdings Corporation."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2 – Summary of Significant Accounting Policies</w:t>
      </w:r>
    </w:p>
    <w:p>
      <w:pPr>
        <w:pStyle w:val="Heading2"/>
        <w:bidi w:val="0"/>
        <w:spacing w:before="120" w:after="240"/>
        <w:jc w:val="left"/>
        <w:rPr>
          <w:rFonts w:ascii="Times New Roman" w:hAnsi="Times New Roman"/>
          <w:sz w:val="20"/>
        </w:rPr>
      </w:pPr>
      <w:r>
        <w:rPr>
          <w:rFonts w:ascii="Times New Roman" w:hAnsi="Times New Roman"/>
          <w:i/>
          <w:color w:val="000000"/>
          <w:sz w:val="20"/>
        </w:rPr>
        <w:t>Basis of</w:t>
      </w:r>
      <w:r>
        <w:rPr>
          <w:rFonts w:ascii="Times New Roman" w:hAnsi="Times New Roman"/>
          <w:color w:val="000000"/>
          <w:sz w:val="20"/>
        </w:rPr>
        <w:t xml:space="preserve"> </w:t>
      </w:r>
      <w:r>
        <w:rPr>
          <w:rFonts w:ascii="Times New Roman" w:hAnsi="Times New Roman"/>
          <w:i/>
          <w:color w:val="000000"/>
          <w:sz w:val="20"/>
        </w:rPr>
        <w:t>Presentation</w:t>
      </w:r>
    </w:p>
    <w:p>
      <w:pPr>
        <w:pStyle w:val="TextBody"/>
        <w:bidi w:val="0"/>
        <w:spacing w:before="0" w:after="200"/>
        <w:jc w:val="both"/>
        <w:rPr>
          <w:rFonts w:ascii="Times New Roman" w:hAnsi="Times New Roman"/>
          <w:sz w:val="20"/>
        </w:rPr>
      </w:pPr>
      <w:r>
        <w:rPr>
          <w:rFonts w:ascii="Times New Roman" w:hAnsi="Times New Roman"/>
          <w:color w:val="000000"/>
          <w:sz w:val="20"/>
        </w:rPr>
        <w:t>The accompanying interim unaudited consolidated financial statements of the Company are prepared on the accrual basis of accounting in conformity with U.S. Generally Accepted Accounting Principles ("U.S. GAAP") and pursuant to the requirements for reporting on Form 10</w:t>
        <w:noBreakHyphen/>
        <w:t xml:space="preserve">Q and in compliance with Regulation S-X under the Securities Exchange Act of 1934, as amended. The Company is an investment company following the specialized accounting and reporting guidance specified in the Financial Accounting Standards Board’s ("FASB") Accounting Standards Codification ("ASC") Topic 946, </w:t>
      </w:r>
      <w:r>
        <w:rPr>
          <w:rFonts w:ascii="Times New Roman" w:hAnsi="Times New Roman"/>
          <w:i/>
          <w:color w:val="000000"/>
          <w:sz w:val="20"/>
        </w:rPr>
        <w:t xml:space="preserve">Financial Services </w:t>
      </w:r>
      <w:r>
        <w:rPr>
          <w:rFonts w:ascii="Times New Roman" w:hAnsi="Times New Roman"/>
          <w:color w:val="000000"/>
          <w:sz w:val="20"/>
        </w:rPr>
        <w:t xml:space="preserve">– </w:t>
      </w:r>
      <w:r>
        <w:rPr>
          <w:rFonts w:ascii="Times New Roman" w:hAnsi="Times New Roman"/>
          <w:i/>
          <w:color w:val="000000"/>
          <w:sz w:val="20"/>
        </w:rPr>
        <w:t>Investment Companies</w:t>
      </w:r>
      <w:r>
        <w:rPr>
          <w:rFonts w:ascii="Times New Roman" w:hAnsi="Times New Roman"/>
          <w:color w:val="000000"/>
          <w:sz w:val="20"/>
        </w:rPr>
        <w:t xml:space="preserve"> ("ASC 946").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management’s opinion, all adjustments necessary for the fair presentation of the interim financial statements have been included. These adjustments are of a normal recurring nature. The results of operations for the current interim period are not necessarily indicative of results that ultimately may be achieved for any other interim period or for the year ending December 31, 2026. The interim unaudited consolidated financial statements and notes hereto should be read in conjunction with the audited consolidated financial statements and notes thereto contained in the Company’s annual report on Form 10-K for the year ended December 31, 2025, filed with the Securities and Exchange Commission (the "SEC") on March 12, 2026.</w:t>
      </w:r>
    </w:p>
    <w:p>
      <w:pPr>
        <w:pStyle w:val="TextBody"/>
        <w:bidi w:val="0"/>
        <w:jc w:val="left"/>
        <w:rPr>
          <w:rFonts w:ascii="Times New Roman" w:hAnsi="Times New Roman"/>
          <w:b/>
          <w:i/>
          <w:color w:val="000000"/>
          <w:sz w:val="20"/>
        </w:rPr>
      </w:pPr>
      <w:r>
        <w:rPr>
          <w:rFonts w:ascii="Times New Roman" w:hAnsi="Times New Roman"/>
          <w:b/>
          <w:i/>
          <w:color w:val="000000"/>
          <w:sz w:val="20"/>
        </w:rPr>
        <w:t>SWK Acquisition Accounting</w:t>
      </w:r>
    </w:p>
    <w:p>
      <w:pPr>
        <w:pStyle w:val="TextBody"/>
        <w:bidi w:val="0"/>
        <w:spacing w:before="240" w:after="200"/>
        <w:jc w:val="both"/>
        <w:rPr>
          <w:rFonts w:ascii="Times New Roman" w:hAnsi="Times New Roman"/>
          <w:sz w:val="20"/>
        </w:rPr>
      </w:pPr>
      <w:r>
        <w:rPr>
          <w:rFonts w:ascii="Times New Roman" w:hAnsi="Times New Roman"/>
          <w:color w:val="000000"/>
          <w:sz w:val="20"/>
        </w:rPr>
        <w:t xml:space="preserve">The Company accounted for its acquisition of SWK as an asset acquisition in accordance with ASC Topic 805-50, </w:t>
      </w:r>
      <w:r>
        <w:rPr>
          <w:rFonts w:ascii="Times New Roman" w:hAnsi="Times New Roman"/>
          <w:i/>
          <w:color w:val="000000"/>
          <w:sz w:val="20"/>
        </w:rPr>
        <w:t xml:space="preserve">Business Combinations - Related Issues </w:t>
      </w:r>
      <w:r>
        <w:rPr>
          <w:rFonts w:ascii="Times New Roman" w:hAnsi="Times New Roman"/>
          <w:color w:val="000000"/>
          <w:sz w:val="20"/>
        </w:rPr>
        <w:t>("ASC 805"), because substantially all of the fair value of the gross assets acquired was concentrated in a group of similar identifiable assets consisting primarily of investments.</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The results of operations associated with the acquired assets and assumed liabilities are included in the Company’s consolidated financial statements beginning on April 6, 2026. See "Note 13 – Acquisition of SWK Holdings Corporation" for additional information regarding the acquisition.</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Under ASC 946, the Company is precluded from consolidating portfolio company investments, including those in which it has a controlling interest, unless the portfolio company is another investment company that is substantially wholly owned by it.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consolidated operations include the activities of its wholly owned subsidiary, P3 Holdco LLC (“P3 Holdco”), which was formed to facilitate the Company’s former investment in Pivot3, Inc. (“Pivot3”). Accordingly, the Company consolidates P3 Holdco in its consolidated financial statements in accordance with ASC 946. On March 12, 2026, substantially all of Pivot3’s assets were sold in exchange for upfront consideration and the right to receive a contingent deferred payment. The Company assigned no value to the contingent deferred payment as of June 30, 2026. P3 Holdco will remain in existence to facilitate the receipt and distribution of any future contingent payment. Refer to the Consolidated Schedule of Investments for the Company’s equity interests in Pivot3 as of December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determined that the JV (as defined below) is an investment company under ASC Topic 946. However, in accordance with such guidance, the Company will generally not consolidate its investment in a company other than a substantially wholly owned investment company subsidiary, which is an extension of the operations of the Company, or a controlled operating company whose business consists of providing services to the Company. The Company does not consolidate its interest in the JV as it is not a substantially wholly owned investment company subsidiary of the Company. In addition, the JV is not an operating company and the Company does not control the JV, as voting rights are allocated equally among the two JV members. As a result, the JV is accounted for as a portfolio investment of the Company held at fair value and not included as a consolidated subsidiary in the Company's consolidated financial statements. Refer to the Consolidated Schedule of Investments for the Company’s equity interests in the JV as of June 30, 2026 and December 31, 2025.</w:t>
      </w:r>
    </w:p>
    <w:p>
      <w:pPr>
        <w:pStyle w:val="TextBody"/>
        <w:bidi w:val="0"/>
        <w:jc w:val="both"/>
        <w:rPr>
          <w:rFonts w:ascii="Times New Roman" w:hAnsi="Times New Roman"/>
          <w:color w:val="000000"/>
          <w:sz w:val="20"/>
        </w:rPr>
      </w:pPr>
      <w:r>
        <w:rPr>
          <w:rFonts w:ascii="Times New Roman" w:hAnsi="Times New Roman"/>
          <w:color w:val="000000"/>
          <w:sz w:val="20"/>
        </w:rPr>
        <w:t xml:space="preserve">In accordance with Rule 3-09 of Regulation S-X, as amended, the Company must determine which of its unconsolidated controlled subsidiaries, if any, are considered "significant subsidiaries." In evaluating these unconsolidated controlled subsidiaries, there are two significance tests utilized per Rule 1-02(w) of Regulation S-X to determine if any of the Company’s investments or unconsolidated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controlled subsidiaries are considered significant: the investment test and the income test. As of June 30, 2026, and December 31, 2025, none of the Company’s investments or unconsolidated controlled subsidiaries met either of these two significance tests.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Secured Borrowings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Company follows the guidance in ASC Topic 860, </w:t>
      </w:r>
      <w:r>
        <w:rPr>
          <w:rFonts w:ascii="Times New Roman" w:hAnsi="Times New Roman"/>
          <w:i/>
          <w:color w:val="000000"/>
          <w:sz w:val="20"/>
        </w:rPr>
        <w:t>Transfers and Servicing</w:t>
      </w:r>
      <w:r>
        <w:rPr>
          <w:rFonts w:ascii="Times New Roman" w:hAnsi="Times New Roman"/>
          <w:color w:val="000000"/>
          <w:sz w:val="20"/>
        </w:rPr>
        <w:t xml:space="preserve"> ("ASC 860"), when accounting for participations or other partial loan sales. Under ASC 860, a transfer of a financial asset may be accounted for as a sale only if the transferred interest meets the definition of a "participating interest," as defined in the guidance, and all of the following conditions are met: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w:t>
      </w:r>
      <w:r>
        <w:rPr>
          <w:rFonts w:ascii="Times New Roman" w:hAnsi="Times New Roman"/>
          <w:i/>
          <w:color w:val="000000"/>
          <w:sz w:val="20"/>
        </w:rPr>
        <w:t>not</w:t>
      </w:r>
      <w:r>
        <w:rPr>
          <w:rFonts w:ascii="Times New Roman" w:hAnsi="Times New Roman"/>
          <w:color w:val="000000"/>
          <w:sz w:val="20"/>
        </w:rPr>
        <w:t xml:space="preserve">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Participations or other partial loan sales that do not meet the definition of a participating interest or the above conditions, should remain on the Company's Consolidated Statements of Assets and Liabilities and the proceeds are recorded as a secured borrowing until the definition is met. Secured borrowings are carried at fair value.</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Runway-Cadma I LLC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entered into a joint venture agreement, effective as of March 6, 2024,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with respect to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Party Agreements and Transactions." Quarterly distributions received from the JV are recognized as Interest income from control investments on the Company’s Consolidated Statements of Operations.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pStyle w:val="Heading2"/>
        <w:bidi w:val="0"/>
        <w:spacing w:before="160" w:after="240"/>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Cash consists solely of funds deposited with financial institutions, while cash equivalents consist of short-term liquid investments in money market funds. Cash and cash equivalents are carried at cost, which approximates fair value. As of June 30, 2026 and December 31, 2025, the Company had $8.6 million and $2.8 million invested in money market funds, respectively. Dividends earned from money market funds are recorded in "Other income" on the Consolidated Statements of Operations. The Company may hold foreign cash from time to time as a result of transactions related to investments denominated in foreign currencies. Foreign cash includes the value of foreign currencies held and translated to U.S. dollars using the prevailing foreign exchange rates as of June 30, 2026. Temporary fluctuations in any foreign currency held on the balance sheet date are recorded in "Net change in unrealized gain (loss) on forward contracts and foreign currency transactions" on the Consolidated Statements of Operations. Any realized gains or losses recognized upon foreign currency translated into local currency are recorded in "Net realized gain (loss) on forward contracts and foreign currency transactions" on the Consolidated Statements of Operations.</w:t>
      </w:r>
    </w:p>
    <w:p>
      <w:pPr>
        <w:pStyle w:val="TextBody"/>
        <w:bidi w:val="0"/>
        <w:spacing w:before="160" w:after="240"/>
        <w:jc w:val="both"/>
        <w:rPr>
          <w:rFonts w:ascii="Times New Roman" w:hAnsi="Times New Roman"/>
          <w:b/>
          <w:i/>
          <w:color w:val="000000"/>
          <w:sz w:val="20"/>
        </w:rPr>
      </w:pPr>
      <w:r>
        <w:rPr>
          <w:rFonts w:ascii="Times New Roman" w:hAnsi="Times New Roman"/>
          <w:b/>
          <w:i/>
          <w:color w:val="000000"/>
          <w:sz w:val="20"/>
        </w:rPr>
        <w:t>Investments Denominated in Foreign Currency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At each balance sheet date, portfolio company investments denominated in foreign currencies and any related receivables are translated into U.S. dollars using the spot exchange rate on the last business day of the period. Purchases and sales of foreign portfolio company investments, and any income from such investments, are translated into U.S. dollars using the rates of exchange prevailing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respective dates of such transactions. As of June 30, 2026, the Company held five investments denominated in British pounds sterling, five investments denominated in Canadian dollars, five investments denominated in euros, and one investment denominated in Australian dollars. As of December 31, 2025, the Company held two investments denominated in British pounds sterling, one investment in Canadian dollars, and five investments denominated in euros. Refer to the Consolidated Schedule of Investments and respective footnotes to the Consolidated Schedule of Investments for more details on the portfolio company investments held in foreign currencies as of June 30, 2026 and December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non-control/non-affiliate investments" on the Consolidated Statements of Operations. Any realized gains or losses upon settlement of investments and related receivables denominated in foreign currency are recorded in "Net realized gain (loss) on forward contracts and foreign currency transactions" on the Consolidated Statements of Operations.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Company may also enter into foreign currency forward contracts to mitigate its exposure to foreign currency fluctuations associated with certain investments denominated in foreign currencies. These contracts are recognized as derivative instruments and measured at fair value in accordance with ASC Topic 815, </w:t>
      </w:r>
      <w:r>
        <w:rPr>
          <w:rFonts w:ascii="Times New Roman" w:hAnsi="Times New Roman"/>
          <w:i/>
          <w:color w:val="000000"/>
          <w:sz w:val="20"/>
        </w:rPr>
        <w:t xml:space="preserve">Derivatives and Hedging </w:t>
      </w:r>
      <w:r>
        <w:rPr>
          <w:rFonts w:ascii="Times New Roman" w:hAnsi="Times New Roman"/>
          <w:color w:val="000000"/>
          <w:sz w:val="20"/>
        </w:rPr>
        <w:t>("ASC 815"), and are recorded as "Foreign currency forward contracts" on the Consolidated Statements of Assets and Liabilities. Changes in fair value are recorded in "Net change in unrealized gain (loss) on forward contracts and foreign currency transactions" on the Consolidated Statements of Operations. The payments and proceeds from derivative contracts are included in "Payments for derivative contracts" and "Proceeds from derivative contracts", respectively, on the Consolidated Statements of Cash Flows. The net cash flows realized on settlement of derivatives are included in "Net realized (gain) loss on forward contracts and foreign currency transactions" on the Consolidated Statements of Operations and Consolidated Statements of Cash Flows. Refer to "Note 4 – Investments" for more information regarding the foreign currency forward contracts.</w:t>
      </w:r>
    </w:p>
    <w:p>
      <w:pPr>
        <w:pStyle w:val="Heading2"/>
        <w:bidi w:val="0"/>
        <w:spacing w:before="160" w:after="240"/>
        <w:jc w:val="left"/>
        <w:rPr>
          <w:rFonts w:ascii="Times New Roman" w:hAnsi="Times New Roman"/>
          <w:i/>
          <w:color w:val="000000"/>
          <w:sz w:val="20"/>
        </w:rPr>
      </w:pPr>
      <w:r>
        <w:rPr>
          <w:rFonts w:ascii="Times New Roman" w:hAnsi="Times New Roman"/>
          <w:i/>
          <w:color w:val="000000"/>
          <w:sz w:val="20"/>
        </w:rPr>
        <w:t>Investment Transactions and Related Investment Income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end-of-term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 Fee income may also include income from bridge loans.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For the three and six months ended June 30, 2026, 4.2% and 9.3%, respectively, of the Company’s total investment income was attributable to non-cash PIK interest. For the three and six months ended June 30, 2025, 11.3% and 10.8%, respectively, of the Company’s total investment income was attributable to non-cash PIK interest.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OID and ETP, is recorded on an accrual basis to the extent that the Company expects to collect such amounts.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Security transactions, if any, are recorded on a trade-date basis. Realized gains or losses from the repayment or sale of investments are measured using the specific identification method. The Company reports changes in fair value of investments from the prior period as a component of "Net change in unrealized gain (loss) on investments"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Debt and Related Deferred Financing Costs, Discounts and Premiums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debt of the Company is carried at amortized cost on the Consolidated Statements of Assets and Liabilities, which is comprised of the principal amount borrowed, net of unamortized deferred financing costs and discounts, and adjusted for any unamortized premiums. Deferred financing costs ("DFC") are fees and other direct incremental costs incurred by the Company in connection with debt financing arrangements, while discounts and premiums represent differences between the face amount and initial carrying amount of the related debt instrument. DFC, discounts and premiums are amortized over the life of the related debt instrument or the life of such cost's respective service, if shorter, using the straight-line method, which closely approximates the effective yield method. Amortization of such DFC, discounts, and premiums, along with interest expense on the outstanding principal balance are recorded in "Interest and other debt financing expenses" on the Consolidated Statements of Operations. Unamortized DFC, discounts, and premiums related to any borrowings that are not a revolving credit facility are recorded as a reduction or addition to the carrying value of the Company's debt, titled "Deferred financing costs, net" on the Consolidated Statements of Assets and Liabilities. DFC related to a revolving credit facility are presented as an asset on the Consolidated Statements of Assets and Liabilities, titled "Deferred financing costs," regardless of whether borrowings are outstanding. Accrued but unpaid interest is included within "Interest payable" on the Consolidated Statements of Assets and Liabilities. For more information, refer to "Note 7 – Borrowings."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Non-Accrual Investments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Debt investments are placed on non-accrual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non-accrual loans are first applied to principal prior to recovery of any foregone interest or ETP.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ETP.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cost, fair value, and types of income not recorded in "Interest income" on the Consolidated Statements of Operations related to senior secured term loans on non-accrual status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144"/>
        <w:gridCol w:w="246"/>
        <w:gridCol w:w="1068"/>
        <w:gridCol w:w="146"/>
        <w:gridCol w:w="271"/>
        <w:gridCol w:w="154"/>
        <w:gridCol w:w="541"/>
        <w:gridCol w:w="146"/>
        <w:gridCol w:w="146"/>
        <w:gridCol w:w="339"/>
        <w:gridCol w:w="194"/>
        <w:gridCol w:w="381"/>
        <w:gridCol w:w="146"/>
        <w:gridCol w:w="146"/>
        <w:gridCol w:w="268"/>
        <w:gridCol w:w="153"/>
        <w:gridCol w:w="536"/>
        <w:gridCol w:w="146"/>
        <w:gridCol w:w="146"/>
        <w:gridCol w:w="256"/>
        <w:gridCol w:w="146"/>
        <w:gridCol w:w="601"/>
        <w:gridCol w:w="146"/>
        <w:gridCol w:w="146"/>
        <w:gridCol w:w="256"/>
        <w:gridCol w:w="146"/>
        <w:gridCol w:w="601"/>
        <w:gridCol w:w="146"/>
        <w:gridCol w:w="146"/>
        <w:gridCol w:w="156"/>
        <w:gridCol w:w="452"/>
        <w:gridCol w:w="156"/>
        <w:gridCol w:w="534"/>
      </w:tblGrid>
      <w:tr>
        <w:trPr/>
        <w:tc>
          <w:tcPr>
            <w:tcW w:w="11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Marley Spoon 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measures the value of its financial instruments at fair value in accordance with ASC Topic 820, </w:t>
      </w:r>
      <w:r>
        <w:rPr>
          <w:rFonts w:ascii="Times New Roman" w:hAnsi="Times New Roman"/>
          <w:i/>
          <w:color w:val="000000"/>
          <w:sz w:val="20"/>
        </w:rPr>
        <w:t>Fair Value Measurement</w:t>
      </w:r>
      <w:r>
        <w:rPr>
          <w:rFonts w:ascii="Times New Roman" w:hAnsi="Times New Roman"/>
          <w:color w:val="000000"/>
          <w:sz w:val="20"/>
        </w:rPr>
        <w:t xml:space="preserve"> ("ASC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1 - Valuations are based on quoted prices in active markets for identical assets or liabilities that are accessible at the measurement 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2 - 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 techniques. The valuation of Level 3 assets and liabilities generally requires significant management judgment due to the inability to observe inputs to valuation.</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Rule 2a-5 under the 1940 Act established additional requirements for determining the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pStyle w:val="Heading2"/>
        <w:bidi w:val="0"/>
        <w:spacing w:before="80" w:after="200"/>
        <w:jc w:val="left"/>
        <w:rPr>
          <w:rFonts w:ascii="Times New Roman" w:hAnsi="Times New Roman"/>
          <w:b w:val="false"/>
          <w:i/>
          <w:color w:val="000000"/>
          <w:sz w:val="20"/>
        </w:rPr>
      </w:pPr>
      <w:r>
        <w:rPr>
          <w:rFonts w:ascii="Times New Roman" w:hAnsi="Times New Roman"/>
          <w:b w:val="false"/>
          <w:i/>
          <w:color w:val="000000"/>
          <w:sz w:val="20"/>
        </w:rPr>
        <w:t>Investment Valuation Techniques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Company undertakes a multi-step valuation process each quarter, as described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quarterly valuation process begins with each portfolio company investment being initially valued by RGC’s investment professionals that are responsible for the portfolio investment;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Preliminary valuation conclusions are then documented and discussed with RGC’s valuation committee;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Audit Committee of the Board of Directors (the "Audit Committee") then reviews these preliminary valuations from RGC and the independent valuation firm, if any, and makes a recommendation to the Board of Directors regarding such valuations;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Board of Directors reviews the recommended preliminary valuations and determines the fair value of each investment in the Company’s portfolio, in good faith, based on the input of RGC, the independent valuation firm(s) and the Audit Committee.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Company’s investments are primarily loans made to and equity and warrants of small companies with potential for fast growth focused in technology, healthcare, business services, and other high-growth industries. These investments are generally considered Level 3 assets under ASC 820 because there is typically no known or accessible market or market indices for these types of debt and equity instruments and, thus, the Board of Directors must determine the fair value of these investment securities based on models utilizing unobservable inputs.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The Audit Committee assists the Board of Directors in reviewing the fair value of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valuation committee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valuation committee considers relevant.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Board of Directors makes this fair value determination on a quarterly basis and any other time when a decision regarding the fair value of the portfolio investments is required. There is no single standard for determining the fair value of investments that do not have an active public market. A determination of fair value of investments, particularly those of privately held companies, involves subjective judgments and estimates and depends on the facts and circumstances.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80" w:after="240"/>
        <w:jc w:val="both"/>
        <w:rPr>
          <w:rFonts w:ascii="Times New Roman" w:hAnsi="Times New Roman"/>
          <w:color w:val="000000"/>
          <w:sz w:val="20"/>
          <w:u w:val="single"/>
        </w:rPr>
      </w:pPr>
      <w:r>
        <w:rPr>
          <w:rFonts w:ascii="Times New Roman" w:hAnsi="Times New Roman"/>
          <w:color w:val="000000"/>
          <w:sz w:val="20"/>
          <w:u w:val="single"/>
        </w:rPr>
        <w:t>Debt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reasonable effective market interest rates for its investments. The range of interest rate spreads utilized is based on borrowers with similar credit profiles. All remaining expected cash flows of the investment are discounted using the calculated interest rate to determine a fair value for the debt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valuation process includes, among other factors, evaluating the underlying investment performance, the portfolio company’s financial condition, enterprise value and existing capital structure, as well as the ability to raise additional capital, and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the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estimates of proceeds that would be received in a liquidation scenario, or active market quotes for institutionally traded debt.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Warrants &amp; Other Contractual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Fair value of warrants is primarily determined using a Black Scholes option-pricing model. Privately held warrants and equity-related securities are valued based on an analysis of various factors including, but not limited to,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stock/units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("OPM"), including back-solve techniques, Probability Weighted Expected Return Models ("PWERM"), and other techniques as determined to be appropriate.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Volatility, or the amount of uncertainty or risk about the size of the changes in the warrant price, is based on comparable publicly traded companies within indices similar in nature to the underlying company issuing the warrant. Significant increases or decreases in this unobservable input could result in a significantly higher or lower fair value, but a significantly higher or lower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fair value measurement of any of the Company’s portfolio investments may occur regardless of whether there is a significant increase or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Earnouts are considered contingent considerations. If a contingent consideration will result in cash proceeds, a scenario-based method is utilized. The value of the contingent consideration is determined based on the probability weighted value of the contingent consideration being achieved. If the contingent consideration is shares in a public company and based on the public stock price, the contingent consideration is valued using the barrier option pricing methodology, which utilizes the public company stock price and applicable discounts being considered in the valuation.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Royalties are valued utilizing either a discounted cash flow approach or a scenario analysis, as applicable. Under the discounted cash flow approach, fair value is determined based on the present value of the remaining expected royalty cash flows, discounted using an appropriate required rate of return. When future royalty proceeds are dependent on uncertain outcomes, a scenario-based method is utilized whereby potential future cash flows are estimated under various scenarios, probability weighted and discounted to present value to arrive at fair value.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certain cases, the Company may apply alternative valuation methods to more accurately estimate the fair value of warrants. These may include the Current Value Method or other approaches deemed appropriate under the circumstances. Such methods may be used when a warrant is expected to settle in the near term, includes a put feature, or when there is a recent arm’s-length transaction or binding offer that provides relevant pricing information. Other approaches, such as a waterfall analysis or a model based on a warrant’s redemption value, may also be considered. The Current Value Method determines the warrant’s value based on its current redemption or liquidation value, considering the enterprise value and the rights and preferences of all debt and equity securities in the company’s capital structure.</w:t>
      </w:r>
    </w:p>
    <w:p>
      <w:pPr>
        <w:pStyle w:val="TextBody"/>
        <w:bidi w:val="0"/>
        <w:spacing w:before="80" w:after="240"/>
        <w:jc w:val="both"/>
        <w:rPr>
          <w:rFonts w:ascii="Times New Roman" w:hAnsi="Times New Roman"/>
          <w:color w:val="000000"/>
          <w:sz w:val="20"/>
          <w:u w:val="single"/>
        </w:rPr>
      </w:pPr>
      <w:r>
        <w:rPr>
          <w:rFonts w:ascii="Times New Roman" w:hAnsi="Times New Roman"/>
          <w:color w:val="000000"/>
          <w:sz w:val="20"/>
          <w:u w:val="single"/>
        </w:rPr>
        <w:t>Foreign Currency Forward Contracts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accordance with ASC 820, the Company measures these derivatives at fair value on a recurring basis using a market approach. The valuation technique relies on observable market inputs, including spot and forward exchange rates. The fair values are obtained through model-based pricing using inputs that are corroborated by market data and are classified as Level 2 within the fair value hierarchy.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u w:val="single"/>
        </w:rPr>
      </w:pPr>
      <w:r>
        <w:rPr>
          <w:rFonts w:ascii="Times New Roman" w:hAnsi="Times New Roman"/>
          <w:color w:val="000000"/>
          <w:sz w:val="20"/>
          <w:u w:val="single"/>
        </w:rPr>
        <w:t>Equity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fair value of an equity investment in a privately held company is initially equal to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equity investments that better reflect the security’s fair value, such as the Current Value Method and other techniques as determined to be appropriate. This may include an expected settlement of a security in the near term, a model that incorporates a put feature associated with the security, the price paid or realized in a recently completed transaction or binding offer received in an arms-length transaction, a waterfall approach, or a model based on the redemption value of a security. The Current Value Method concludes the value of the security based on the current redemption value or the current liquidation value, taking into account the concluded enterprise value and the rights and preferences of all the debt and equity securities that make up a company’s capitalization.</w:t>
      </w:r>
    </w:p>
    <w:p>
      <w:pPr>
        <w:pStyle w:val="Heading2"/>
        <w:bidi w:val="0"/>
        <w:spacing w:before="80" w:after="240"/>
        <w:jc w:val="left"/>
        <w:rPr>
          <w:rFonts w:ascii="Times New Roman" w:hAnsi="Times New Roman"/>
          <w:i/>
          <w:color w:val="000000"/>
          <w:sz w:val="20"/>
        </w:rPr>
      </w:pPr>
      <w:r>
        <w:rPr>
          <w:rFonts w:ascii="Times New Roman" w:hAnsi="Times New Roman"/>
          <w:i/>
          <w:color w:val="000000"/>
          <w:sz w:val="20"/>
        </w:rPr>
        <w:t>Investment Classification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investments by level of affiliation and control. As defined in the 1940 Act, investee companies are generally deemed as affiliated investments when a company or individual owns 5.0% or more of the outstanding voting securities of an investee company. Under the 1940 Act, control investments are generally those where the investor has the ability or power to exercise a controlling influence over the management or policies of an investee company. Control is generally deemed to exist when a company or individual owns beneficially more than 25.0% of the outstanding voting securities of an investee company, or maintains greater than 50%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taxable year and it does not anticipate paying any material U.S.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Depending on the level of taxable income earned in a tax year, the Company may choose to carry forward such taxable income in excess of current year dividend distributions from such current year taxable income into the next tax year and pay a 4% nondeductible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ASC 946, permanent tax differences are reclassified from accumulated undistributed earnings to paid-in-capital at the end of each year and have no impact on total net assets. For more information, refer to "Note 10 – Income Taxes."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Per Share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Basic and diluted earnings (loss) per common share is calculated using the weighted-average number of common shares outstanding for the period presented. For the three and six months ended June 30, 2026 and 2025, basic and diluted earnings (loss) per share of common stock were the same because there were no potentially dilutive securities outstanding. Per share data is based on the weighted-average shares outstanding.</w:t>
      </w:r>
    </w:p>
    <w:p>
      <w:pPr>
        <w:pStyle w:val="Heading2"/>
        <w:bidi w:val="0"/>
        <w:spacing w:before="120" w:after="240"/>
        <w:jc w:val="left"/>
        <w:rPr>
          <w:rFonts w:ascii="Times New Roman" w:hAnsi="Times New Roman"/>
          <w:sz w:val="20"/>
        </w:rPr>
      </w:pPr>
      <w:r>
        <w:rPr>
          <w:rFonts w:ascii="Times New Roman" w:hAnsi="Times New Roman"/>
          <w:i/>
          <w:color w:val="000000"/>
          <w:sz w:val="20"/>
        </w:rPr>
        <w:t>Comprehensive Income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reports all changes in comprehensive income in the Consolidated Statements of Operations. The Company did not have any other comprehensive income during the three and six months ended June 30, 2026 and 2025. The Company’s comprehensive income is equal to its "Net increase (decrease) in net assets resulting from operations" on the Consolidated Statements of Operations.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On December 8,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which amends the guidance in Topic 270 to clarify and enhance certain interim reporting requirements, including improvements intended to increase consistency in the application of interim disclosure and recognition guidance. The amendments are designed to simplify the preparation of interim consolidated financial statements and improve the transparency of interim reporting. The guidance in ASU 2025-11 is effective for fiscal years beginning after December 15, 2027, and interim periods within those fiscal years, with early adoption permitted. The Company plans to adopt the pronouncement for its fiscal year beginning January 1, 2028 and is currently evaluating the potential effect that the standard will have on the Company's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3 – Related Party Agreements and Transactions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Advisory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27, 2021, the Company entered into the Second Amended and Restated Investment Advisory Agreement with RGC. On January 30, 2025, in connection with the closing of the BCP Transaction, the Company entered into the Third Amended and Restated Investment Advisory Agreement (the "Advisory Agreement") with RGC. Although the ownership of RGC changed in connection with the completion of the BCP Transaction, the management of RGC did not change, nor did the terms of the Advisory Agreement compared to the Second Amended and Restated Advisory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terms of the Advisory Agreement, RGC: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composition of the Company’s portfolio, the nature and timing of the changes to the portfolio and the manner of implementing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identifies, evaluates and negotiates the structure of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executes, closes and monitors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securities and other assets that the Company will purchase, retain or sell;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provides the Company with such other investment advisory, research and related services as the Company may, from time to time, reasonably require for the investment of its funds.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Base Management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management fee is payable on the first day of each calendar quarter and is calculated on the Company's gross assets, which, for purposes of the Advisory Agreement, is defined as the Company’s average daily gross assets, including assets purchased with borrowed funds or other forms of leverage,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six months ended June 30, 2026, RGC earned base management fees at a rate of 1.50% per annum, amounting to $3.5 million and $7.1 million, respectively. For the quarters ended December 31, 2025 and March 31, 2026, the Company’s ending gross assets temporarily declined below $1.0 billion, which resulted in an increase to the quarterly base management fee rate from 0.375% to 0.40% for the quarters ended March 31, 2026 and June 30, 2026. With the approval of RGC’s Board of Managers, RGC voluntarily waived the incremental base management fee otherwise payable for that period. The waiver was not subject to recoupment and did not amend the terms of the Advisory Agreement. The total base management fees waived for the three and six months ended June 30, 2026 were approximately $231.9 thousand and $472.7 thousand, respectively. For the three and six months ended June 30, 2025, RGC earned base management fees at a rate of 1.50% per annum, amounting to $3.9 million and $8.0 million, respectively. There were no management fees waived for the three and six months ended June 30, 2025. As the Company pays management fees at the beginning of each respective quarter, there were no management fees payable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Incentive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stock/units, but excluding the incentive fee).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months ended June 30, 2026, RGC earned incentive fees of $3.6 million and reversed $3.8 million of incentive fees that were accrued and generated from deferred interest in prior periods, resulting in net incentive fees of ($0.2) million for the period. These reversals were triggered by realized losses on our loan investments in Marley Spoon SE and Blueshift Labs, Inc. that exceeded original cost, such that recovery of the related deferred interest income is no longer expected. Of the $3.6 million earned, $2.5 million was earned and payable in cash and $1.1 million was accrued and generated from deferred interest. With the current deferred incentive fees of $1.1 million and the reversal of the $3.8 million from prior periods, the net change in deferred incentive fees for the period was a decrease of $2.7 million. For the three months ended June 30, 2025, RGC earned incentive fees of $3.5 million, of which $2.3 million was payable in cash and $1.2 million was accrued and generated from deferred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six months ended June 30, 2026, RGC earned incentive fees of $6.2 million and reversed $3.8 million of incentive fees that were accrued and generated from deferred interest in prior periods, resulting in net incentive fees of $2.4 million for the period. These reversals were triggered by realized losses on our loan investments in Marley Spoon SE and Blueshift Labs, Inc. that exceeded original cost, such that recovery of the related deferred interest income is no longer expected. Of the $6.2 million earned, $3.9 million was earned and payable in cash and $2.3 million was accrued and generated from deferred interest. With the current deferred incentive fees of $2.3 million and the reversal of the $3.8 million from prior periods, the net change in deferred incentive fees for the period was a decrease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 million. For the six months ended June 30, 2026, RGC earned incentive fees of $7.5 million, of which $5.4 million was payable in cash and $2.1 million was accrued and generated from deferred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for the three and six months ended June 30, 2026 and 2025 are net of such recategorizations during the respective period.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June 30, 2026, $2.5 million of incentive fees was payable in cash, and $10.8 million was deferred incentive fees payable, both of which are included in "Incentive fees payable" on the Statements of Assets and Liabilities. As of December 31, 2025, $2.2 million of incentive fees payable was payable in cash, and $12.2 million was deferred incentive fees payable, both of which are included in "Incentive fees payable" on the Consolidated Statements of Assets and Liabilities.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gains incentive fee consists of fees related to realized gains and losses and unrealized capital losses. As of June 30, 2026 and December 31, 2025, there were no capital gains incentive fees accrued, earned or payable to RGC under the Advisory Agreement.</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Administration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months ended June 30, 2026, the Company incurred $0.6 million of Administration Agreement expenses, of which $0.1 million was a third-party administrator expense and $0.5 million was overhead allocation expense. For the three months ended June 30, 2025, the Company incurred $0.7 million of Administration Agreement expenses, of which $0.2 million was a third-party administrator expense and $0.5 million was overhead allocation expense. All Administration Agreement expenses are recorded as "Administration agreement expenses" on the Consolidated Statements of Operations.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six months ended June 30, 2026, the Company incurred $1.3 million of Administration Agreement expenses, of which $0.3 million was a third-party administrator expense and $1.0 million was overhead allocation expense. For the six months ended June 30, 2025, the Company incurred $1.3 million of Administration Agreement expenses, of which $0.4 million was a third-party administrator expense and $0.9 million was overhead allocation expense. All Administration Agreement expenses are recorded as "Administration agreement expenses" on the Consolidated Statements of Operations.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2026, the Company had accrued a payable to the Administrator of $0.8 million and no payable to the third-party administrator. As of December 31, 2025, the Company had accrued a payable to the Administrator of $0.6 million and a payable to the third-party administrator of $0.3 million. All payables related to the Administration Agreement are recorded within "Accrued expenses and other liabilities" on the Consolidated Statements of Assets and Liabilities.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Runway-Cadma I LLC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March 2024, the Company entered into a joint venture agreement with Cadma to create and co-manage Runway-Cadma I LLC, also referred to as the JV. The JV entered into a senior secured revolving credit facility with Apollo Capital Management, L.P. ("Apollo Credit Facility"), which provided the JV with a $40.0 million commitment, subject to borrowing base requirements. The Apollo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Facility is non-recourse to the Company and bears interest at three-month SOFR plus 4.15%. As of June 30, 2026, the JV has not drawn on the available commitment in the Apollo Credit Facility.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and six months ended June 30, 2026 and 2025, the Company's capital activity to and from the JV were as follows:</w:t>
      </w:r>
    </w:p>
    <w:tbl>
      <w:tblPr>
        <w:tblW w:w="10205" w:type="dxa"/>
        <w:jc w:val="left"/>
        <w:tblInd w:w="0" w:type="dxa"/>
        <w:tblLayout w:type="fixed"/>
        <w:tblCellMar>
          <w:top w:w="28" w:type="dxa"/>
          <w:left w:w="28" w:type="dxa"/>
          <w:bottom w:w="28" w:type="dxa"/>
          <w:right w:w="28" w:type="dxa"/>
        </w:tblCellMar>
      </w:tblPr>
      <w:tblGrid>
        <w:gridCol w:w="1350"/>
        <w:gridCol w:w="665"/>
        <w:gridCol w:w="495"/>
        <w:gridCol w:w="1275"/>
        <w:gridCol w:w="146"/>
        <w:gridCol w:w="146"/>
        <w:gridCol w:w="935"/>
        <w:gridCol w:w="694"/>
        <w:gridCol w:w="796"/>
        <w:gridCol w:w="146"/>
        <w:gridCol w:w="146"/>
        <w:gridCol w:w="372"/>
        <w:gridCol w:w="278"/>
        <w:gridCol w:w="715"/>
        <w:gridCol w:w="146"/>
        <w:gridCol w:w="246"/>
        <w:gridCol w:w="523"/>
        <w:gridCol w:w="388"/>
        <w:gridCol w:w="445"/>
        <w:gridCol w:w="298"/>
      </w:tblGrid>
      <w:tr>
        <w:trPr/>
        <w:tc>
          <w:tcPr>
            <w:tcW w:w="13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3"/>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5" w:type="dxa"/>
            <w:gridSpan w:val="3"/>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3"/>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2026</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gridSpan w:val="3"/>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2025</w:t>
            </w:r>
          </w:p>
        </w:tc>
        <w:tc>
          <w:tcPr>
            <w:tcW w:w="298"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3"/>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5" w:type="dxa"/>
            <w:gridSpan w:val="3"/>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3"/>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6" w:type="dxa"/>
            <w:gridSpan w:val="3"/>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9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Contributions</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Return of capital</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Distributions</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There were no receivables or payables between the Company and the JV as of June 30, 2026 and December 31, 2025. As of June 30, 2026 and December 31, 2025, the JV had the following net asset value, contributed capital, and unfunded commitments from its members (in thousands):</w:t>
      </w:r>
    </w:p>
    <w:tbl>
      <w:tblPr>
        <w:tblW w:w="6166" w:type="dxa"/>
        <w:jc w:val="left"/>
        <w:tblInd w:w="0" w:type="dxa"/>
        <w:tblLayout w:type="fixed"/>
        <w:tblCellMar>
          <w:top w:w="28" w:type="dxa"/>
          <w:left w:w="28" w:type="dxa"/>
          <w:bottom w:w="28" w:type="dxa"/>
          <w:right w:w="28" w:type="dxa"/>
        </w:tblCellMar>
      </w:tblPr>
      <w:tblGrid>
        <w:gridCol w:w="2001"/>
        <w:gridCol w:w="287"/>
        <w:gridCol w:w="163"/>
        <w:gridCol w:w="674"/>
        <w:gridCol w:w="166"/>
        <w:gridCol w:w="146"/>
        <w:gridCol w:w="256"/>
        <w:gridCol w:w="146"/>
        <w:gridCol w:w="601"/>
        <w:gridCol w:w="166"/>
        <w:gridCol w:w="146"/>
        <w:gridCol w:w="256"/>
        <w:gridCol w:w="146"/>
        <w:gridCol w:w="601"/>
        <w:gridCol w:w="411"/>
      </w:tblGrid>
      <w:tr>
        <w:trPr/>
        <w:tc>
          <w:tcPr>
            <w:tcW w:w="20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Cadma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JV</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 value</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Commitments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Contributed capital</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Return of capital</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Unfunded commitments</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45,640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 value</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Commitments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Contributed capital</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Return of capital</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Unfunded commitments</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JV had two debt investments with an aggregate fair value of $24.1 million and two warrant investments with an aggregate fair value of $0.2 million. As of December 31, 2025, the JV had two debt investments with an aggregate fair value of $23.8 million and two warrant investments with an aggregate fair value of $0.2 million.</w:t>
      </w:r>
    </w:p>
    <w:p>
      <w:pPr>
        <w:pStyle w:val="Heading2"/>
        <w:bidi w:val="0"/>
        <w:spacing w:before="360" w:after="240"/>
        <w:jc w:val="both"/>
        <w:rPr>
          <w:rFonts w:ascii="Times New Roman" w:hAnsi="Times New Roman"/>
          <w:i/>
          <w:color w:val="000000"/>
          <w:sz w:val="20"/>
        </w:rPr>
      </w:pPr>
      <w:r>
        <w:rPr>
          <w:rFonts w:ascii="Times New Roman" w:hAnsi="Times New Roman"/>
          <w:i/>
          <w:color w:val="000000"/>
          <w:sz w:val="20"/>
        </w:rPr>
        <w:t>Relationship with Oaktree Capital Management, L.P. and OCM Growth Holdings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As of June 30, 2026, OCM Growth owned 7,029,668 shares of the Company's common stock, or 16.6% of the Company's outstanding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or 2,763,810 shares. Catherine Frey serves on the Company's Board of Directors as OCM Growth’s director nominee and is considered an independent director.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w:t>
      </w:r>
    </w:p>
    <w:p>
      <w:pPr>
        <w:pStyle w:val="Heading2"/>
        <w:bidi w:val="0"/>
        <w:spacing w:before="120" w:after="240"/>
        <w:jc w:val="both"/>
        <w:rPr>
          <w:rFonts w:ascii="Times New Roman" w:hAnsi="Times New Roman"/>
          <w:i/>
          <w:color w:val="000000"/>
          <w:sz w:val="20"/>
        </w:rPr>
      </w:pPr>
      <w:r>
        <w:rPr>
          <w:rFonts w:ascii="Times New Roman" w:hAnsi="Times New Roman"/>
          <w:i/>
          <w:color w:val="000000"/>
          <w:sz w:val="20"/>
        </w:rPr>
        <w:t>Key Stockholder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See “Note 13 – Acquisition of SWK Holdings Corporation” for a discussion of the Key Stockholder Agreement (as defined therein).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4 – Investments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Control and Affiliate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 portfolio by level of affiliation and control in accordance with the requirements of the 1940 Act. As defined in the 1940 Act, investee companies are generally deemed as affiliated investments when a company or individual owns 5.0% or more of the outstanding voting securities of an investee company. Under the 1940 Act, control investments are generally those where the investor has the ability or power to exercise a controlling influence over the management or policies of an investee company. Control is generally deemed to exist when a company or individual owns beneficially more than 25.0% of the outstanding voting securities of an investee company, or maintains greater than 50.0%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affiliate and control investments as of June 30, 2026, along with the transactions during the six months ended June 30, 2026, are as follows (in thousands):</w:t>
      </w:r>
    </w:p>
    <w:tbl>
      <w:tblPr>
        <w:tblW w:w="10998" w:type="dxa"/>
        <w:jc w:val="left"/>
        <w:tblInd w:w="0" w:type="dxa"/>
        <w:tblLayout w:type="fixed"/>
        <w:tblCellMar>
          <w:top w:w="28" w:type="dxa"/>
          <w:left w:w="28" w:type="dxa"/>
          <w:bottom w:w="28" w:type="dxa"/>
          <w:right w:w="28" w:type="dxa"/>
        </w:tblCellMar>
      </w:tblPr>
      <w:tblGrid>
        <w:gridCol w:w="293"/>
        <w:gridCol w:w="724"/>
        <w:gridCol w:w="492"/>
        <w:gridCol w:w="146"/>
        <w:gridCol w:w="931"/>
        <w:gridCol w:w="146"/>
        <w:gridCol w:w="245"/>
        <w:gridCol w:w="183"/>
        <w:gridCol w:w="473"/>
        <w:gridCol w:w="146"/>
        <w:gridCol w:w="146"/>
        <w:gridCol w:w="196"/>
        <w:gridCol w:w="146"/>
        <w:gridCol w:w="601"/>
        <w:gridCol w:w="146"/>
        <w:gridCol w:w="146"/>
        <w:gridCol w:w="318"/>
        <w:gridCol w:w="237"/>
        <w:gridCol w:w="271"/>
        <w:gridCol w:w="146"/>
        <w:gridCol w:w="146"/>
        <w:gridCol w:w="199"/>
        <w:gridCol w:w="148"/>
        <w:gridCol w:w="584"/>
        <w:gridCol w:w="166"/>
        <w:gridCol w:w="146"/>
        <w:gridCol w:w="196"/>
        <w:gridCol w:w="146"/>
        <w:gridCol w:w="511"/>
        <w:gridCol w:w="146"/>
        <w:gridCol w:w="146"/>
        <w:gridCol w:w="223"/>
        <w:gridCol w:w="166"/>
        <w:gridCol w:w="497"/>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5"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June 30, 2026</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pPr>
      <w:r>
        <w:rPr>
          <w:rFonts w:ascii="Times New Roman" w:hAnsi="Times New Roman"/>
          <w:color w:val="000000"/>
          <w:sz w:val="16"/>
        </w:rPr>
        <w:t>All affiliate and control investments, which as of June 30, 2026, represented 2.59%</w:t>
      </w:r>
      <w:r>
        <w:rPr>
          <w:color w:val="00000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affiliate and control investments as of December 31, 2025, along with the transactions during the year ended December 31, 2025, are as follows (in thousands):</w:t>
      </w:r>
    </w:p>
    <w:tbl>
      <w:tblPr>
        <w:tblW w:w="11144" w:type="dxa"/>
        <w:jc w:val="left"/>
        <w:tblInd w:w="0" w:type="dxa"/>
        <w:tblLayout w:type="fixed"/>
        <w:tblCellMar>
          <w:top w:w="28" w:type="dxa"/>
          <w:left w:w="28" w:type="dxa"/>
          <w:bottom w:w="28" w:type="dxa"/>
          <w:right w:w="28" w:type="dxa"/>
        </w:tblCellMar>
      </w:tblPr>
      <w:tblGrid>
        <w:gridCol w:w="293"/>
        <w:gridCol w:w="682"/>
        <w:gridCol w:w="534"/>
        <w:gridCol w:w="146"/>
        <w:gridCol w:w="931"/>
        <w:gridCol w:w="146"/>
        <w:gridCol w:w="245"/>
        <w:gridCol w:w="183"/>
        <w:gridCol w:w="473"/>
        <w:gridCol w:w="146"/>
        <w:gridCol w:w="146"/>
        <w:gridCol w:w="196"/>
        <w:gridCol w:w="146"/>
        <w:gridCol w:w="601"/>
        <w:gridCol w:w="146"/>
        <w:gridCol w:w="146"/>
        <w:gridCol w:w="196"/>
        <w:gridCol w:w="146"/>
        <w:gridCol w:w="511"/>
        <w:gridCol w:w="146"/>
        <w:gridCol w:w="146"/>
        <w:gridCol w:w="196"/>
        <w:gridCol w:w="146"/>
        <w:gridCol w:w="661"/>
        <w:gridCol w:w="166"/>
        <w:gridCol w:w="146"/>
        <w:gridCol w:w="196"/>
        <w:gridCol w:w="146"/>
        <w:gridCol w:w="511"/>
        <w:gridCol w:w="16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1"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2025</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w:t>
              <w:b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All affiliate and control investments, which as of December 31, 2025, represented 3.04%</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Portfolio Composition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fair value of the Company's portfolio of investments by geographic region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996"/>
        <w:gridCol w:w="146"/>
        <w:gridCol w:w="311"/>
        <w:gridCol w:w="232"/>
        <w:gridCol w:w="1315"/>
        <w:gridCol w:w="146"/>
        <w:gridCol w:w="146"/>
        <w:gridCol w:w="218"/>
        <w:gridCol w:w="899"/>
        <w:gridCol w:w="218"/>
        <w:gridCol w:w="450"/>
        <w:gridCol w:w="146"/>
        <w:gridCol w:w="348"/>
        <w:gridCol w:w="259"/>
        <w:gridCol w:w="1231"/>
        <w:gridCol w:w="146"/>
        <w:gridCol w:w="146"/>
        <w:gridCol w:w="201"/>
        <w:gridCol w:w="828"/>
        <w:gridCol w:w="201"/>
        <w:gridCol w:w="622"/>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Northwestern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 Central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Runway-Cadma I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237.24</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Runway-Cadma I LLC is a joint venture between the Company and Cadma. This entity invests in secured loans to growth-stage companies in different geographic regions that have been originated by the Company. See "Note 2 – Summary of Significant Accounting Policies" for further discussion.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following table shows the fair value of the Company's portfolio of investments by industry using the Global Industry Classification Standard as of June 30, 2026 and </w:t>
      </w:r>
      <w:r>
        <w:rPr>
          <w:rFonts w:ascii="Times New Roman" w:hAnsi="Times New Roman"/>
          <w:color w:val="000000"/>
          <w:sz w:val="19"/>
        </w:rPr>
        <w:t xml:space="preserve">December 31, 2025 </w:t>
      </w:r>
      <w:r>
        <w:rPr>
          <w:rFonts w:ascii="Times New Roman" w:hAnsi="Times New Roman"/>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70"/>
        <w:gridCol w:w="146"/>
        <w:gridCol w:w="284"/>
        <w:gridCol w:w="211"/>
        <w:gridCol w:w="1199"/>
        <w:gridCol w:w="146"/>
        <w:gridCol w:w="146"/>
        <w:gridCol w:w="209"/>
        <w:gridCol w:w="861"/>
        <w:gridCol w:w="209"/>
        <w:gridCol w:w="344"/>
        <w:gridCol w:w="146"/>
        <w:gridCol w:w="312"/>
        <w:gridCol w:w="232"/>
        <w:gridCol w:w="1103"/>
        <w:gridCol w:w="146"/>
        <w:gridCol w:w="146"/>
        <w:gridCol w:w="199"/>
        <w:gridCol w:w="820"/>
        <w:gridCol w:w="199"/>
        <w:gridCol w:w="477"/>
      </w:tblGrid>
      <w:tr>
        <w:trPr/>
        <w:tc>
          <w:tcPr>
            <w:tcW w:w="2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Pharmaceutical, Biotechnology &amp; Life 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Multi-Sector Holdings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237.24</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normal course of business, the Company may utilize derivative contracts in connection with its investment activities. Investments in derivative contracts are subject to additional risks that can result in a loss of all or part of an investment. The Company's derivative activities and exposure to derivative contracts primarily involve equity price risks. In addition to the primary underlying risk, additional counterparty risk exists due to the potential inability of counterparties to meet the terms of their contracts.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may also hold warrants and other contractual rights, including royalty interests, earnouts, success fees, contingent payment rights and similar securities, in connection with its investment activities. 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the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contractual rights generally represent contractual arrangements that provide the Company with the right to receive cash, equity or other consideration upon the occurrence of specified future events or based on specified contractual terms. The value of these instruments may be impacted by, among other factors, the operating performance of the related portfolio company, the achievement of milestones or other contractual conditions, changes in expected future cash flows, and the ability of counterparties to perform under the relevant agreements. As a result, there is the potential for all or part of the value of an investment in other contractual rights to be lost.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volume of warrant and other contractual rights investment activity is closely correlated to its primary senior secured loans to portfolio companies. Counterparty risk exists from the potential failure of an issuer or counterparty to settle or otherwise perform under the relevant agreements. The maximum risk of loss from counterparty risk is the fair value of the securities and the purchase price of the warrants and other contractual rights. The Board of Directors considers the effects of counterparty risk when determining the fair value of its investments in warrants and other contractual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six months ended June 30, 2026, the Company had a net realized gain of $3.3 million and $3.5 million, respectively, and a net change in unrealized loss of $1.8 million and $3.2 million, respectively, from its investments in warrants and other contractual rights. For the three months ended June 30, 2025, the Company had no realized gains or losses from its investments in warrants and other contractual rights. For the six months ended June 30, 2025, the Company had a net realized loss of $1.3 million from its investments in warrants and other contractual rights. For the three and six months ended June 30, 2025, the Company had a net change in unrealized gains of $0.1 million and $0.9 million, respectively, from its investments in warrants and other contractual rights. Realized gains and losses from warrants and other contractual rights are included in the respective control, affiliate, or non-control/non-affiliate "Net realized gain (loss)" on the Consolidated Statements of Operations. Unrealized gains and losses from investments in warrants and other contractual rights are included in the respective control, affiliate, or non-control/non-affiliate "Net change in unrealized gain (loss)"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June 30, 2026, the Company’s foreign currency forward contract to sell £22.0 million and purchase $28.9 million matured and was settled on May 14, 2026. The Company recognized a realized loss of $0.9 million upon settlement. As of June 30, 2026, the Company had no foreign currency forward contracts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Company's outstanding foreign currency forward contracts as of December 31, 2025 (in thousands):</w:t>
      </w:r>
    </w:p>
    <w:tbl>
      <w:tblPr>
        <w:tblW w:w="10205" w:type="dxa"/>
        <w:jc w:val="left"/>
        <w:tblInd w:w="0" w:type="dxa"/>
        <w:tblLayout w:type="fixed"/>
        <w:tblCellMar>
          <w:top w:w="28" w:type="dxa"/>
          <w:left w:w="28" w:type="dxa"/>
          <w:bottom w:w="28" w:type="dxa"/>
          <w:right w:w="28" w:type="dxa"/>
        </w:tblCellMar>
      </w:tblPr>
      <w:tblGrid>
        <w:gridCol w:w="1485"/>
        <w:gridCol w:w="146"/>
        <w:gridCol w:w="1961"/>
        <w:gridCol w:w="146"/>
        <w:gridCol w:w="965"/>
        <w:gridCol w:w="146"/>
        <w:gridCol w:w="309"/>
        <w:gridCol w:w="1274"/>
        <w:gridCol w:w="146"/>
        <w:gridCol w:w="146"/>
        <w:gridCol w:w="362"/>
        <w:gridCol w:w="1496"/>
        <w:gridCol w:w="146"/>
        <w:gridCol w:w="146"/>
        <w:gridCol w:w="280"/>
        <w:gridCol w:w="208"/>
        <w:gridCol w:w="625"/>
        <w:gridCol w:w="218"/>
      </w:tblGrid>
      <w:tr>
        <w:trPr/>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 Sterling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Offsetting of Derivative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derivative instruments that are subject to master netting agreements. These agreements include provisions to offset positions with the same counterparty in the event of default by either party. The Company’s unrealized loss on derivative instruments is reported as "Foreign currency forward contracts" on the Consolidated Statements of Assets and Liabilities. As of June 30, 2026, the Company had no derivative assets or liabilities subject to a master netting arrangement.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presents the Company’s liabilities related to derivatives by counterparty, net of amounts available for offset under a master netting arrangement and net of any collateral received or pledged by the Company for such assets and liabilities as of December 31, 2025 (in thousands):</w:t>
      </w:r>
    </w:p>
    <w:tbl>
      <w:tblPr>
        <w:tblW w:w="10205" w:type="dxa"/>
        <w:jc w:val="left"/>
        <w:tblInd w:w="0" w:type="dxa"/>
        <w:tblLayout w:type="fixed"/>
        <w:tblCellMar>
          <w:top w:w="28" w:type="dxa"/>
          <w:left w:w="28" w:type="dxa"/>
          <w:bottom w:w="28" w:type="dxa"/>
          <w:right w:w="28" w:type="dxa"/>
        </w:tblCellMar>
      </w:tblPr>
      <w:tblGrid>
        <w:gridCol w:w="1663"/>
        <w:gridCol w:w="146"/>
        <w:gridCol w:w="507"/>
        <w:gridCol w:w="379"/>
        <w:gridCol w:w="1137"/>
        <w:gridCol w:w="166"/>
        <w:gridCol w:w="146"/>
        <w:gridCol w:w="455"/>
        <w:gridCol w:w="339"/>
        <w:gridCol w:w="387"/>
        <w:gridCol w:w="146"/>
        <w:gridCol w:w="146"/>
        <w:gridCol w:w="400"/>
        <w:gridCol w:w="297"/>
        <w:gridCol w:w="340"/>
        <w:gridCol w:w="146"/>
        <w:gridCol w:w="146"/>
        <w:gridCol w:w="450"/>
        <w:gridCol w:w="335"/>
        <w:gridCol w:w="383"/>
        <w:gridCol w:w="146"/>
        <w:gridCol w:w="146"/>
        <w:gridCol w:w="397"/>
        <w:gridCol w:w="295"/>
        <w:gridCol w:w="887"/>
        <w:gridCol w:w="220"/>
      </w:tblGrid>
      <w:tr>
        <w:trPr/>
        <w:tc>
          <w:tcPr>
            <w:tcW w:w="1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Liabilities Subject to Master Netting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Derivatives Available </w:t>
              <w:br/>
              <w:t>for Offset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Non-cash </w:t>
              <w:br/>
              <w:t>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Amount of Derivative Liabilities</w:t>
            </w:r>
            <w:r>
              <w:rPr>
                <w:rFonts w:ascii="Times New Roman" w:hAnsi="Times New Roman"/>
                <w:color w:val="000000"/>
                <w:sz w:val="16"/>
              </w:rPr>
              <w:t> </w:t>
            </w:r>
            <w:r>
              <w:rPr>
                <w:rFonts w:ascii="Times New Roman" w:hAnsi="Times New Roman"/>
                <w:b/>
                <w:color w:val="000000"/>
                <w:sz w:val="11"/>
              </w:rPr>
              <w:t>(1)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40"/>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40"/>
        <w:jc w:val="both"/>
        <w:rPr>
          <w:rFonts w:ascii="Times New Roman" w:hAnsi="Times New Roman"/>
          <w:color w:val="000000"/>
          <w:sz w:val="16"/>
        </w:rPr>
      </w:pPr>
      <w:r>
        <w:rPr>
          <w:rFonts w:ascii="Times New Roman" w:hAnsi="Times New Roman"/>
          <w:color w:val="000000"/>
          <w:sz w:val="16"/>
        </w:rPr>
        <w:t>Net amount of derivative liabilities represents the net amount due from the Company to the counterparty.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Note 5 – Fair Value of Financial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assets recorded at fair value have been categorized based upon a fair value hierarchy in accordance with ASC 820. Refer to "Note 2 – Summary of Significant Accounting Policies" for a discussion of the Company’s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measured at fair value on a recurring basis are categorized in the tables below based upon the lowest level of significant input to the valuations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2339"/>
        <w:gridCol w:w="146"/>
        <w:gridCol w:w="196"/>
        <w:gridCol w:w="146"/>
        <w:gridCol w:w="511"/>
        <w:gridCol w:w="146"/>
        <w:gridCol w:w="146"/>
        <w:gridCol w:w="256"/>
        <w:gridCol w:w="146"/>
        <w:gridCol w:w="436"/>
        <w:gridCol w:w="166"/>
        <w:gridCol w:w="146"/>
        <w:gridCol w:w="256"/>
        <w:gridCol w:w="146"/>
        <w:gridCol w:w="826"/>
        <w:gridCol w:w="146"/>
        <w:gridCol w:w="146"/>
        <w:gridCol w:w="478"/>
        <w:gridCol w:w="272"/>
        <w:gridCol w:w="1123"/>
        <w:gridCol w:w="146"/>
        <w:gridCol w:w="146"/>
        <w:gridCol w:w="256"/>
        <w:gridCol w:w="146"/>
        <w:gridCol w:w="826"/>
        <w:gridCol w:w="512"/>
      </w:tblGrid>
      <w:tr>
        <w:trPr/>
        <w:tc>
          <w:tcPr>
            <w:tcW w:w="2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1,074,494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22,281</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29,297</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 &amp; Other Contractual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26,722</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8,643</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1,178,635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1,200,993</w:t>
            </w:r>
          </w:p>
        </w:tc>
        <w:tc>
          <w:tcPr>
            <w:tcW w:w="512"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 &amp; Other Contractual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16,005</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Forward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929,540</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In accordance with ASC 820, the Company's equity investment in Runway-Cadma I LLC is measured using the net asset value as a practical expedient for fair value, and thus has not been classified in the fair value hierarchy.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transfers investments in and out of Levels 1, 2 and 3 as of the beginning balance sheet date, based on changes in the use of observable and unobservable inputs utilized to perform the valuation for the period. During the three and six months ended June 30, 2026, the Company did not have any transfers of investments between levels. During the six months ended June 30, 2025, the Company's preferred stock investment in CareCloud, Inc., valued at $9.2 million at the beginning of the reporting period, was reclassified from Level 2 to Level 3 due to delisting from the NASDAQ stock exchange.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June 30, 2026 (in thousands):</w:t>
      </w:r>
    </w:p>
    <w:tbl>
      <w:tblPr>
        <w:tblW w:w="12476" w:type="dxa"/>
        <w:jc w:val="left"/>
        <w:tblInd w:w="0" w:type="dxa"/>
        <w:tblLayout w:type="fixed"/>
        <w:tblCellMar>
          <w:top w:w="28" w:type="dxa"/>
          <w:left w:w="28" w:type="dxa"/>
          <w:bottom w:w="28" w:type="dxa"/>
          <w:right w:w="28" w:type="dxa"/>
        </w:tblCellMar>
      </w:tblPr>
      <w:tblGrid>
        <w:gridCol w:w="1036"/>
        <w:gridCol w:w="196"/>
        <w:gridCol w:w="146"/>
        <w:gridCol w:w="826"/>
        <w:gridCol w:w="166"/>
        <w:gridCol w:w="146"/>
        <w:gridCol w:w="256"/>
        <w:gridCol w:w="146"/>
        <w:gridCol w:w="601"/>
        <w:gridCol w:w="166"/>
        <w:gridCol w:w="146"/>
        <w:gridCol w:w="256"/>
        <w:gridCol w:w="211"/>
        <w:gridCol w:w="870"/>
        <w:gridCol w:w="166"/>
        <w:gridCol w:w="146"/>
        <w:gridCol w:w="256"/>
        <w:gridCol w:w="158"/>
        <w:gridCol w:w="653"/>
        <w:gridCol w:w="166"/>
        <w:gridCol w:w="146"/>
        <w:gridCol w:w="256"/>
        <w:gridCol w:w="214"/>
        <w:gridCol w:w="552"/>
        <w:gridCol w:w="166"/>
        <w:gridCol w:w="146"/>
        <w:gridCol w:w="256"/>
        <w:gridCol w:w="146"/>
        <w:gridCol w:w="571"/>
        <w:gridCol w:w="166"/>
        <w:gridCol w:w="146"/>
        <w:gridCol w:w="256"/>
        <w:gridCol w:w="179"/>
        <w:gridCol w:w="812"/>
        <w:gridCol w:w="166"/>
        <w:gridCol w:w="146"/>
        <w:gridCol w:w="256"/>
        <w:gridCol w:w="146"/>
        <w:gridCol w:w="826"/>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&amp; Other Contractual Rights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Sales or prepayments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principal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June 30, 2026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1,178,635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June 30, 2026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June 30, 2025 (in thousands):</w:t>
      </w:r>
    </w:p>
    <w:tbl>
      <w:tblPr>
        <w:tblW w:w="12105" w:type="dxa"/>
        <w:jc w:val="left"/>
        <w:tblInd w:w="0" w:type="dxa"/>
        <w:tblLayout w:type="fixed"/>
        <w:tblCellMar>
          <w:top w:w="28" w:type="dxa"/>
          <w:left w:w="28" w:type="dxa"/>
          <w:bottom w:w="28" w:type="dxa"/>
          <w:right w:w="28" w:type="dxa"/>
        </w:tblCellMar>
      </w:tblPr>
      <w:tblGrid>
        <w:gridCol w:w="1036"/>
        <w:gridCol w:w="196"/>
        <w:gridCol w:w="146"/>
        <w:gridCol w:w="691"/>
        <w:gridCol w:w="166"/>
        <w:gridCol w:w="146"/>
        <w:gridCol w:w="256"/>
        <w:gridCol w:w="146"/>
        <w:gridCol w:w="601"/>
        <w:gridCol w:w="146"/>
        <w:gridCol w:w="146"/>
        <w:gridCol w:w="256"/>
        <w:gridCol w:w="213"/>
        <w:gridCol w:w="748"/>
        <w:gridCol w:w="146"/>
        <w:gridCol w:w="146"/>
        <w:gridCol w:w="256"/>
        <w:gridCol w:w="146"/>
        <w:gridCol w:w="665"/>
        <w:gridCol w:w="166"/>
        <w:gridCol w:w="146"/>
        <w:gridCol w:w="256"/>
        <w:gridCol w:w="258"/>
        <w:gridCol w:w="508"/>
        <w:gridCol w:w="146"/>
        <w:gridCol w:w="146"/>
        <w:gridCol w:w="256"/>
        <w:gridCol w:w="146"/>
        <w:gridCol w:w="515"/>
        <w:gridCol w:w="166"/>
        <w:gridCol w:w="146"/>
        <w:gridCol w:w="256"/>
        <w:gridCol w:w="193"/>
        <w:gridCol w:w="798"/>
        <w:gridCol w:w="166"/>
        <w:gridCol w:w="146"/>
        <w:gridCol w:w="256"/>
        <w:gridCol w:w="146"/>
        <w:gridCol w:w="826"/>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&amp; Other Contractual Rights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or prepayments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June 30,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1,018,182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June 30, 2025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June 30, 2026 (in thousands):</w:t>
      </w:r>
    </w:p>
    <w:tbl>
      <w:tblPr>
        <w:tblW w:w="10205" w:type="dxa"/>
        <w:jc w:val="left"/>
        <w:tblInd w:w="0" w:type="dxa"/>
        <w:tblLayout w:type="fixed"/>
        <w:tblCellMar>
          <w:top w:w="28" w:type="dxa"/>
          <w:left w:w="28" w:type="dxa"/>
          <w:bottom w:w="28" w:type="dxa"/>
          <w:right w:w="28" w:type="dxa"/>
        </w:tblCellMar>
      </w:tblPr>
      <w:tblGrid>
        <w:gridCol w:w="2468"/>
        <w:gridCol w:w="146"/>
        <w:gridCol w:w="196"/>
        <w:gridCol w:w="146"/>
        <w:gridCol w:w="826"/>
        <w:gridCol w:w="146"/>
        <w:gridCol w:w="146"/>
        <w:gridCol w:w="2022"/>
        <w:gridCol w:w="146"/>
        <w:gridCol w:w="1804"/>
        <w:gridCol w:w="146"/>
        <w:gridCol w:w="2013"/>
      </w:tblGrid>
      <w:tr>
        <w:trPr/>
        <w:tc>
          <w:tcPr>
            <w:tcW w:w="2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2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restart"/>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 - 37.7% (14.9%)</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 - 37.8% (14.7%)</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0.92x - 6.99x (3.02x)</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 - 46.1% (27.4%)</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12.5% - 40.0% (15.9%)</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0.23x - 3.06x (2.08x)</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restart"/>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14.9% - 22.2% (17.1%)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14.5% - 18.4% (15.7%)</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2.25x - 2.52x (2.33x)</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20.5% - 20.5% (20.5%)</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 - 12.7% (12.7%)</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0.23x - 0.23x (0.23x)</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Current Value Method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55.0% - 80.0% (64.1%)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(2.6</w:t>
            </w:r>
            <w:r>
              <w:rPr>
                <w:rFonts w:ascii="Times New Roman" w:hAnsi="Times New Roman"/>
                <w:color w:val="000000"/>
                <w:sz w:val="20"/>
              </w:rPr>
              <w:t> </w:t>
            </w:r>
            <w:r>
              <w:rPr>
                <w:rFonts w:ascii="Times New Roman" w:hAnsi="Times New Roman"/>
                <w:color w:val="000000"/>
                <w:sz w:val="16"/>
              </w:rPr>
              <w:t>years)</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 - 4.1% (4.0%)</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37.5% - 80.0% (50.1%)</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- 3.2</w:t>
            </w:r>
            <w:r>
              <w:rPr>
                <w:rFonts w:ascii="Times New Roman" w:hAnsi="Times New Roman"/>
                <w:color w:val="000000"/>
                <w:sz w:val="20"/>
              </w:rPr>
              <w:t> </w:t>
            </w:r>
            <w:r>
              <w:rPr>
                <w:rFonts w:ascii="Times New Roman" w:hAnsi="Times New Roman"/>
                <w:color w:val="000000"/>
                <w:sz w:val="16"/>
              </w:rPr>
              <w:t>(2.3 years)</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2.39x - 2.57x (2.56x)</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 - 45.0% (45.0%)</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4.6</w:t>
            </w:r>
            <w:r>
              <w:rPr>
                <w:rFonts w:ascii="Times New Roman" w:hAnsi="Times New Roman"/>
                <w:color w:val="000000"/>
                <w:sz w:val="20"/>
              </w:rPr>
              <w:t> </w:t>
            </w:r>
            <w:r>
              <w:rPr>
                <w:rFonts w:ascii="Times New Roman" w:hAnsi="Times New Roman"/>
                <w:color w:val="000000"/>
                <w:sz w:val="16"/>
              </w:rPr>
              <w:t>- 4.6</w:t>
            </w:r>
            <w:r>
              <w:rPr>
                <w:rFonts w:ascii="Times New Roman" w:hAnsi="Times New Roman"/>
                <w:color w:val="000000"/>
                <w:sz w:val="20"/>
              </w:rPr>
              <w:t> </w:t>
            </w:r>
            <w:r>
              <w:rPr>
                <w:rFonts w:ascii="Times New Roman" w:hAnsi="Times New Roman"/>
                <w:color w:val="000000"/>
                <w:sz w:val="16"/>
              </w:rPr>
              <w:t>(4.6</w:t>
            </w:r>
            <w:r>
              <w:rPr>
                <w:rFonts w:ascii="Times New Roman" w:hAnsi="Times New Roman"/>
                <w:color w:val="000000"/>
                <w:sz w:val="20"/>
              </w:rPr>
              <w:t> </w:t>
            </w:r>
            <w:r>
              <w:rPr>
                <w:rFonts w:ascii="Times New Roman" w:hAnsi="Times New Roman"/>
                <w:color w:val="000000"/>
                <w:sz w:val="16"/>
              </w:rPr>
              <w:t>years)</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1.79x - 1.79x (1.79x)</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- 4.2% (4.1%)</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 - 62.5% (37.2%)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2.78x - 3.48x (2.94x)</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 &amp; Other Contractual Rights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 - 4.2% (4.1%)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27.5% - 85.0% (53.2%)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(3.1</w:t>
            </w:r>
            <w:r>
              <w:rPr>
                <w:rFonts w:ascii="Times New Roman" w:hAnsi="Times New Roman"/>
                <w:color w:val="000000"/>
                <w:sz w:val="20"/>
              </w:rPr>
              <w:t> </w:t>
            </w:r>
            <w:r>
              <w:rPr>
                <w:rFonts w:ascii="Times New Roman" w:hAnsi="Times New Roman"/>
                <w:color w:val="000000"/>
                <w:sz w:val="16"/>
              </w:rPr>
              <w:t>years)</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1.42x - 54.18x (3.64x)</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Discounted Cash Flows</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 - 28.1% (19.0%)</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 - 28.1% (19.0%)</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 Value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30.0% - 30.0% (30.0%)</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3.0 - 3.0 (3.0 years)</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2.8</w:t>
            </w:r>
            <w:r>
              <w:rPr>
                <w:rFonts w:ascii="Times New Roman" w:hAnsi="Times New Roman"/>
                <w:color w:val="000000"/>
                <w:sz w:val="20"/>
              </w:rPr>
              <w:t> </w:t>
            </w:r>
            <w:r>
              <w:rPr>
                <w:rFonts w:ascii="Times New Roman" w:hAnsi="Times New Roman"/>
                <w:color w:val="000000"/>
                <w:sz w:val="16"/>
              </w:rPr>
              <w:t>- 2.8</w:t>
            </w:r>
            <w:r>
              <w:rPr>
                <w:rFonts w:ascii="Times New Roman" w:hAnsi="Times New Roman"/>
                <w:color w:val="000000"/>
                <w:sz w:val="20"/>
              </w:rPr>
              <w:t> </w:t>
            </w:r>
            <w:r>
              <w:rPr>
                <w:rFonts w:ascii="Times New Roman" w:hAnsi="Times New Roman"/>
                <w:color w:val="000000"/>
                <w:sz w:val="16"/>
              </w:rPr>
              <w:t>(2.8</w:t>
            </w:r>
            <w:r>
              <w:rPr>
                <w:rFonts w:ascii="Times New Roman" w:hAnsi="Times New Roman"/>
                <w:color w:val="000000"/>
                <w:sz w:val="20"/>
              </w:rPr>
              <w:t> </w:t>
            </w:r>
            <w:r>
              <w:rPr>
                <w:rFonts w:ascii="Times New Roman" w:hAnsi="Times New Roman"/>
                <w:color w:val="000000"/>
                <w:sz w:val="16"/>
              </w:rPr>
              <w:t>years)</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1,178,635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June 30, 2026. PWERM and other techniques were used as determined appropriate.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Investments valued using the Current Value Method, which may include a Waterfall valuation technique or be based on the redemption value of preferred shares. In the case of the JobGet Holdings, Inc. valuation, the inputs applied are based on an option pricing model that was utilized to value the shares that JobGet Holdings, Inc. owns in JobGet, Inc. In the case of a redemption value technique, inputs may be utilized in order to calculate a DLOM.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Contractual right investments valued using the Discounted Cash Flows methodology include royalty interests and other contractual payment rights. Fair value is determined based on projected or contractual cash flows and an estimated discount rate reflecting the timing and risk associated with those cash flows.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Contractual right investments using a PWERM valuation technique contain success fees, in which case the inputs are not applicable because the nature of a success fee is a fixed payout dependent on certain liquidation events.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2025 (in thousands):</w:t>
      </w:r>
    </w:p>
    <w:tbl>
      <w:tblPr>
        <w:tblW w:w="10205" w:type="dxa"/>
        <w:jc w:val="left"/>
        <w:tblInd w:w="0" w:type="dxa"/>
        <w:tblLayout w:type="fixed"/>
        <w:tblCellMar>
          <w:top w:w="28" w:type="dxa"/>
          <w:left w:w="28" w:type="dxa"/>
          <w:bottom w:w="28" w:type="dxa"/>
          <w:right w:w="28" w:type="dxa"/>
        </w:tblCellMar>
      </w:tblPr>
      <w:tblGrid>
        <w:gridCol w:w="2511"/>
        <w:gridCol w:w="146"/>
        <w:gridCol w:w="196"/>
        <w:gridCol w:w="146"/>
        <w:gridCol w:w="691"/>
        <w:gridCol w:w="146"/>
        <w:gridCol w:w="146"/>
        <w:gridCol w:w="2066"/>
        <w:gridCol w:w="146"/>
        <w:gridCol w:w="1832"/>
        <w:gridCol w:w="146"/>
        <w:gridCol w:w="2033"/>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vMerge w:val="restart"/>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 - 26.0% (14.6%)</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 - 19.1% (13.7%)</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0.77x - 8.27x (3.58x)</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13.6% - 46.2% (25.4%)</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 - 29.9% (15.8%)</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0.28x - 121.39x (15.20x)</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20.5% - 20.5% (20.5%)</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18.4% - 18.4% (18.4%)</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2.88x - 2.88x (2.88x)</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Current Value Method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- 3.5% (3.5%)</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 - 80.0% (58.1%)</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(2.7</w:t>
            </w:r>
            <w:r>
              <w:rPr>
                <w:rFonts w:ascii="Times New Roman" w:hAnsi="Times New Roman"/>
                <w:color w:val="000000"/>
                <w:sz w:val="20"/>
              </w:rPr>
              <w:t> </w:t>
            </w:r>
            <w:r>
              <w:rPr>
                <w:rFonts w:ascii="Times New Roman" w:hAnsi="Times New Roman"/>
                <w:color w:val="000000"/>
                <w:sz w:val="16"/>
              </w:rPr>
              <w:t>years)</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- 3.6% (3.5%)</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 - 55.0% (46.2%)</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- 3.7</w:t>
            </w:r>
            <w:r>
              <w:rPr>
                <w:rFonts w:ascii="Times New Roman" w:hAnsi="Times New Roman"/>
                <w:color w:val="000000"/>
                <w:sz w:val="20"/>
              </w:rPr>
              <w:t> </w:t>
            </w:r>
            <w:r>
              <w:rPr>
                <w:rFonts w:ascii="Times New Roman" w:hAnsi="Times New Roman"/>
                <w:color w:val="000000"/>
                <w:sz w:val="16"/>
              </w:rPr>
              <w:t>(2.7 years)</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2.73x - 2.88x (2.73x)</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- 3.5% (3.5%)</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55.0% - 55.0% (55.0%)</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 &amp; Other Contractual Rights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- 3.6% (3.5%)</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- 90.0% (51.0%)</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0.5</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(2.9</w:t>
            </w:r>
            <w:r>
              <w:rPr>
                <w:rFonts w:ascii="Times New Roman" w:hAnsi="Times New Roman"/>
                <w:color w:val="000000"/>
                <w:sz w:val="20"/>
              </w:rPr>
              <w:t> </w:t>
            </w:r>
            <w:r>
              <w:rPr>
                <w:rFonts w:ascii="Times New Roman" w:hAnsi="Times New Roman"/>
                <w:color w:val="000000"/>
                <w:sz w:val="16"/>
              </w:rPr>
              <w:t>years)</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2.08x - 121.39x (3.82x)</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2025. PWERM and other techniques were used as determined appropriate.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Contractual right investments using a PWERM valuation technique contain success fees, in which case the inputs are not applicable because the nature of a success fee is a fixed payout dependent on certain liquidation events.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valued using a PWERM valuation technique and includes inputs that are based on scenario analysis specific to the asset recovery of such investment.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valued using a Waterfall valuation technique. The inputs utilized in the valuation are based on an option pricing model that was utilized to value the shares that JobGet Holdings, Inc. owns in JobGet,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Fair Value of Financial Instruments Reported at Cost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records its debt at amortized cost on the Consolidated Statements of Assets and Liabilities. The fair values of the Company’s Credit Facility, April 2028 Notes and December 2029 Notes (each defined in "Note 7 – Borrowings") are estimated using Level 3 inputs, which involves discounting the remaining payments based on comparable market rates for similar instruments as of the measurement date. The SWK 2027 Notes, July 2027 Notes, and February 2031 Notes are publicly traded on NASDAQ and are valued using Level 1 inputs, reflecting the most recent market prices of $25.24, $25.30 and $24.35 per share as of June 30, 2026, respectively. As of December 31, 2025, the market prices of the July 2027 Notes and December 2027 Notes were $25.24 and $25.24 per share, respectively. On March 5, 2026, the Company fully redeemed $51.75 million of its December 2027 Notes and partially redeemed $40.25 million of its July 2027 Notes.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provides additional information about the approximate fair value and level in the fair value hierarchy of the Company’s outstanding borrowings as of June 30, 2026 and December 31, 2025 (in thousands):</w:t>
      </w:r>
    </w:p>
    <w:tbl>
      <w:tblPr>
        <w:tblW w:w="7130" w:type="dxa"/>
        <w:jc w:val="left"/>
        <w:tblInd w:w="0" w:type="dxa"/>
        <w:tblLayout w:type="fixed"/>
        <w:tblCellMar>
          <w:top w:w="28" w:type="dxa"/>
          <w:left w:w="28" w:type="dxa"/>
          <w:bottom w:w="28" w:type="dxa"/>
          <w:right w:w="28" w:type="dxa"/>
        </w:tblCellMar>
      </w:tblPr>
      <w:tblGrid>
        <w:gridCol w:w="1466"/>
        <w:gridCol w:w="299"/>
        <w:gridCol w:w="275"/>
        <w:gridCol w:w="970"/>
        <w:gridCol w:w="146"/>
        <w:gridCol w:w="196"/>
        <w:gridCol w:w="691"/>
        <w:gridCol w:w="146"/>
        <w:gridCol w:w="340"/>
        <w:gridCol w:w="290"/>
        <w:gridCol w:w="146"/>
        <w:gridCol w:w="196"/>
        <w:gridCol w:w="691"/>
        <w:gridCol w:w="146"/>
        <w:gridCol w:w="196"/>
        <w:gridCol w:w="936"/>
      </w:tblGrid>
      <w:tr>
        <w:trPr/>
        <w:tc>
          <w:tcPr>
            <w:tcW w:w="14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7130" w:type="dxa"/>
            <w:gridSpan w:val="16"/>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As of June 30, 2026</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360,011</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SWK 2027 Notes</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33,279</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40,733</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110,614</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2029 Notes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51,053</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February 2031 Notes</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100,566</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696,256</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0" w:type="dxa"/>
            <w:gridSpan w:val="16"/>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As of December 31, 2025</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179,962</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25,528</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81,272</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52,247</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93,848</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432,857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6 – Concentration of Credit Risk</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Contingencies, and Off-Balance Sheet Arrangements" for a summary of the aggregate balance of unfunded commitments as of June 30, 2026. The Company predominantly collateralizes its investments by obtaining a first priority security interest in a portfolio company’s assets, which may include its intellectual property.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June 30, 2026 and December 31, 2025, the Company’s five largest debt investments in portfolio companies represented 22.5% and 29.7%, respectively, of the total fair value of the Company’s debt investments in portfolio companies. As of June 30, 2026 and December 31, 2025, the Company had debt investments in 19 and 17 portfolio companies, respectively, that represented 5% or more of the Company’s net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7 – Borrowings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Company's borrowings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674"/>
        <w:gridCol w:w="146"/>
        <w:gridCol w:w="337"/>
        <w:gridCol w:w="192"/>
        <w:gridCol w:w="911"/>
        <w:gridCol w:w="146"/>
        <w:gridCol w:w="146"/>
        <w:gridCol w:w="256"/>
        <w:gridCol w:w="146"/>
        <w:gridCol w:w="691"/>
        <w:gridCol w:w="146"/>
        <w:gridCol w:w="146"/>
        <w:gridCol w:w="875"/>
        <w:gridCol w:w="498"/>
        <w:gridCol w:w="1961"/>
        <w:gridCol w:w="166"/>
        <w:gridCol w:w="146"/>
        <w:gridCol w:w="287"/>
        <w:gridCol w:w="163"/>
        <w:gridCol w:w="776"/>
        <w:gridCol w:w="396"/>
      </w:tblGrid>
      <w:tr>
        <w:trPr/>
        <w:tc>
          <w:tcPr>
            <w:tcW w:w="1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DFC, Discounts and Premiums,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09" w:type="dxa"/>
            <w:gridSpan w:val="2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346,433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SWK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33,326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106,750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48,729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February 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100,175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675,378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9"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168,783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106,696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431,120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three months ended June 30, 2026 and 2025, the components of interest expense, net amortization of DFC, discounts and premiums, and unused fees on the Credit Facility (as defined below), and any other costs associated with the Company's borrowings were as follows (in thousands):</w:t>
      </w:r>
    </w:p>
    <w:tbl>
      <w:tblPr>
        <w:tblW w:w="10205" w:type="dxa"/>
        <w:jc w:val="left"/>
        <w:tblInd w:w="0" w:type="dxa"/>
        <w:tblLayout w:type="fixed"/>
        <w:tblCellMar>
          <w:top w:w="28" w:type="dxa"/>
          <w:left w:w="28" w:type="dxa"/>
          <w:bottom w:w="28" w:type="dxa"/>
          <w:right w:w="28" w:type="dxa"/>
        </w:tblCellMar>
      </w:tblPr>
      <w:tblGrid>
        <w:gridCol w:w="1584"/>
        <w:gridCol w:w="146"/>
        <w:gridCol w:w="225"/>
        <w:gridCol w:w="167"/>
        <w:gridCol w:w="691"/>
        <w:gridCol w:w="146"/>
        <w:gridCol w:w="146"/>
        <w:gridCol w:w="392"/>
        <w:gridCol w:w="292"/>
        <w:gridCol w:w="1025"/>
        <w:gridCol w:w="166"/>
        <w:gridCol w:w="146"/>
        <w:gridCol w:w="293"/>
        <w:gridCol w:w="218"/>
        <w:gridCol w:w="562"/>
        <w:gridCol w:w="146"/>
        <w:gridCol w:w="146"/>
        <w:gridCol w:w="432"/>
        <w:gridCol w:w="322"/>
        <w:gridCol w:w="1326"/>
        <w:gridCol w:w="146"/>
        <w:gridCol w:w="146"/>
        <w:gridCol w:w="163"/>
        <w:gridCol w:w="572"/>
        <w:gridCol w:w="163"/>
        <w:gridCol w:w="444"/>
      </w:tblGrid>
      <w:tr>
        <w:trPr/>
        <w:tc>
          <w:tcPr>
            <w:tcW w:w="1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DFC, Discounts and Premiums,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Unused Facility and </w:t>
              <w:br/>
              <w:t>Other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SWK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20"/>
        <w:jc w:val="both"/>
        <w:rPr/>
      </w:pPr>
      <w:r>
        <w:rPr/>
        <w:t> </w:t>
      </w:r>
    </w:p>
    <w:tbl>
      <w:tblPr>
        <w:tblW w:w="10205" w:type="dxa"/>
        <w:jc w:val="left"/>
        <w:tblInd w:w="0" w:type="dxa"/>
        <w:tblLayout w:type="fixed"/>
        <w:tblCellMar>
          <w:top w:w="28" w:type="dxa"/>
          <w:left w:w="28" w:type="dxa"/>
          <w:bottom w:w="28" w:type="dxa"/>
          <w:right w:w="28" w:type="dxa"/>
        </w:tblCellMar>
      </w:tblPr>
      <w:tblGrid>
        <w:gridCol w:w="1490"/>
        <w:gridCol w:w="146"/>
        <w:gridCol w:w="224"/>
        <w:gridCol w:w="167"/>
        <w:gridCol w:w="689"/>
        <w:gridCol w:w="146"/>
        <w:gridCol w:w="146"/>
        <w:gridCol w:w="404"/>
        <w:gridCol w:w="301"/>
        <w:gridCol w:w="1056"/>
        <w:gridCol w:w="166"/>
        <w:gridCol w:w="146"/>
        <w:gridCol w:w="263"/>
        <w:gridCol w:w="196"/>
        <w:gridCol w:w="687"/>
        <w:gridCol w:w="146"/>
        <w:gridCol w:w="146"/>
        <w:gridCol w:w="427"/>
        <w:gridCol w:w="318"/>
        <w:gridCol w:w="1310"/>
        <w:gridCol w:w="146"/>
        <w:gridCol w:w="146"/>
        <w:gridCol w:w="163"/>
        <w:gridCol w:w="570"/>
        <w:gridCol w:w="163"/>
        <w:gridCol w:w="443"/>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Amortization of </w:t>
              <w:br/>
              <w:t xml:space="preserve">DFC, Discounts and Premiums, net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Unused Facility and </w:t>
              <w:br/>
              <w:t>Other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SWK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12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pPr>
      <w:r>
        <w:rPr>
          <w:rFonts w:ascii="Times New Roman" w:hAnsi="Times New Roman"/>
          <w:color w:val="000000"/>
          <w:sz w:val="16"/>
        </w:rPr>
        <w:t>Amortization of DFC includes non-recurring acceleration of deferred debt financing costs related to prepayments, resulting in a higher expenses and weighted average cost of debt for the six months ended June 30, 2026 when compared to the six months ended June 30, 2025. Accelerated DFC totaled $38.4</w:t>
      </w:r>
      <w:r>
        <w:rPr>
          <w:color w:val="000000"/>
        </w:rPr>
        <w:t xml:space="preserve"> </w:t>
      </w:r>
      <w:r>
        <w:rPr>
          <w:rFonts w:ascii="Times New Roman" w:hAnsi="Times New Roman"/>
          <w:color w:val="000000"/>
          <w:sz w:val="16"/>
        </w:rPr>
        <w:t>thousand</w:t>
      </w:r>
      <w:r>
        <w:rPr>
          <w:color w:val="000000"/>
        </w:rPr>
        <w:t xml:space="preserve"> </w:t>
      </w:r>
      <w:r>
        <w:rPr>
          <w:rFonts w:ascii="Times New Roman" w:hAnsi="Times New Roman"/>
          <w:color w:val="000000"/>
          <w:sz w:val="16"/>
        </w:rPr>
        <w:t>for the April 2026 Notes repaid on January 21, 2026, and $0.4</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and $0.7</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for the July 2027 and December 2027 Notes, respectively, repaid on March 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20, 2022, the Company entered into an amended and restated credit agreement with KeyBank National Association, acting as administrative agent, CIBC Bank USA and MUFG Union Bank, N.A. as co-documentation agents, the guarantors party thereto and syndication agent and the other lenders party thereto, which initially provided the Company with a $225.0 million commitment, subject to borrowing base requirements (as amended, supplemented or otherwise modified from time to time, the "Credit Facility"). On March 18, 2025, the Company entered into a Sixth Amendment to the Credit Facility, which, among other factors, (i) extended the maturity date and revolving period; (ii) permits future financing subsidiaries, and (iii) amended certain other terms of the Credit Facility, including without limitation loan eligibility criteria, the borrowing base calculation, and excess concentration measures.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2026,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March 18, 2028 and is followed by a one-year amortization period. The stated maturity date under the Credit Facility is March 18, 2029, unless extended. Please refer to "Note 14 - Subsequent Events" for additional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Borrowings under the Credit Facility bear interest on a per annum rate equal to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For all periods presented, the Company was in compliance with all such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six months ended June 30, 2026, the weighted average outstanding principal balance was $383.5 million and $264.6 million, respectively, and the weighted average effective interest rate was 6.89% and 6.87%, respectively. For the three and six months ended June 30, 2025, the weighted average outstanding principal balance was $267.6 million and $261.4 million, respectively, and the weighted average effective interest rate was 7.50% and 7.51%, respectively.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April 2026 Notes were repaid in full by the Company on April 7, 2025 and January 21, 2026, respectively, and are no longer outstanding.</w:t>
      </w:r>
    </w:p>
    <w:p>
      <w:pPr>
        <w:pStyle w:val="TextBody"/>
        <w:bidi w:val="0"/>
        <w:spacing w:before="0" w:after="240"/>
        <w:jc w:val="both"/>
        <w:rPr>
          <w:rFonts w:ascii="Times New Roman" w:hAnsi="Times New Roman"/>
          <w:sz w:val="20"/>
        </w:rPr>
      </w:pPr>
      <w:r>
        <w:rPr>
          <w:rFonts w:ascii="Times New Roman" w:hAnsi="Times New Roman"/>
          <w:color w:val="000000"/>
          <w:sz w:val="20"/>
        </w:rPr>
        <w:t>Aggregate costs in connection with the April 2026 Notes issuance were $0.4 million, and were capitalized as DFC. As of the repayment date, remaining DFC were $38.4 thousand, which were fully expensed upon repayment of the notes. Accordingly, as of June 30, 2026</w:t>
      </w:r>
      <w:r>
        <w:rPr>
          <w:rFonts w:ascii="Times New Roman" w:hAnsi="Times New Roman"/>
          <w:color w:val="000000"/>
          <w:sz w:val="16"/>
        </w:rPr>
        <w:t>,</w:t>
      </w:r>
      <w:r>
        <w:rPr>
          <w:rFonts w:ascii="Times New Roman" w:hAnsi="Times New Roman"/>
          <w:color w:val="000000"/>
          <w:sz w:val="20"/>
        </w:rPr>
        <w:t xml:space="preserve"> no DFC related to the April 2026 Notes remained.</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2027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SWK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6, 2026, the Company entered into a third supplemental indenture (the "Third Supplemental Indenture") by and between the Company and Wilmington Trust, National Association (the "Trustee"), effective as of the closing of the Mergers (as defined in "Note 13 – Acquisition of SWK Holdings Corporation"). The Third Supplemental Indenture relates to the Company's assumption of $33.0 million in aggregate principal amount of SWK's 9.00% Senior Notes due January 31, 2027 (the "SWK 2027 Notes").</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Third Supplemental Indenture, the Company expressly assumed the obligations of SWK for the due and punctual payment of the principal and interest on all the SWK 2027 Notes, and the due and punctual performance and observance of all of the covenants and conditions of the indenture, dated October 3, 2023 (the "Base Indenture"), by and between SWK and the Trustee, as amended by the First Supplemental Indenture, dated as of October 3, 2023, and the Second Supplemental Indenture, dated as of April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6, 2026. In accordance with ASC 805, the liability was assumed at fair value and therefore a premium of $0.5 million was recorded in "Deferred financing costs, net" on the Statements of Assets and Liabilities. The amortization of such premium is recorded as a reduction to "Interest and other debt financing expenses" on the Statements of Operations. As of June 30, 2026, the remaining unamortized premium related to the SWK 2027 Notes was $0.4 million.</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SWK 2027 Notes is due quarterly in arrears on March 31, June 30, September 30 and December 31 of each year. The SWK 2027 Notes may be redeemed in whole or in part at any time or from time to time at the Company's option at a redemption price of (i) $25.50 per SWK Note if redeemed prior to September 30, 2026, or (ii) $25.00 per SWK Note if redeemed on or after September 30, 2026, in each case plus accrued and unpaid interest payments otherwise payable for the then-current quarterly interest period accrued to the date fixed for redemption. The SWK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July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July 28, 2022, the Company issued and sold $80.5 million in aggregate principal amount of 7.50% interest-bearing unsecured Notes due July 28,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2027 Notes is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On March 5, 2026, the Company redeemed $40.25 million of the $80.5 million in aggregate principal of the July 2027 Notes in accordance with the terms of the indenture governing the July 2027 Notes. As a result of the partial redemption, $0.4 million of DFC were expensed upon prepayment of the notes.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July 2027 Notes issuance, including the underwriter’s discount and commissions, were $2.8 million, and were capitalized as DFC. As of June 30, 2026 and December 31, 2025, DFC related to the July 2027 Notes were $0.3 million and $0.9 million, respectively. </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August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31, 2022, the Company completed a private debt offering of $20.0 million in aggregate principal amount of 7.00% interest-bearing unsecured Series 2022A Senior Notes due 2027 (the "August 2027 Notes") to an institutional accredited investor (as defined in Regulation D under the Securities Act). The August 2027 Notes were due on August 31, 2027, unless redeemed, purchased or prepaid prior to such date by the Company or its affiliates in accordance with their terms. The August 2027 Notes were repaid in full by the Company on April 7, 2025 and are no longer outstanding.</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December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December 7, 2022, the Company issued and sold $51.75 million in aggregate principal amount of 8.00% interest-bearing unsecured Notes due December 28,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pStyle w:val="TextBody"/>
        <w:bidi w:val="0"/>
        <w:spacing w:before="0" w:after="240"/>
        <w:jc w:val="both"/>
        <w:rPr>
          <w:rFonts w:ascii="Times New Roman" w:hAnsi="Times New Roman"/>
          <w:sz w:val="20"/>
        </w:rPr>
      </w:pPr>
      <w:r>
        <w:rPr>
          <w:rFonts w:ascii="Times New Roman" w:hAnsi="Times New Roman"/>
          <w:color w:val="000000"/>
          <w:sz w:val="20"/>
        </w:rPr>
        <w:t>On March 5, 2026, the Company redeemed in full the $51.75 million in aggregate principal of the December 2027 Notes in accordance with the terms of the indenture governing the December 2027 Notes. Aggregate costs in connection with the December 2027 Notes issuance, including the underwriter's discount and commissions, were $1.9 million, and were capitalized as DFC. As of the repayment date, unamortized DFC related to the December 2027 Notes were $0.7 million, which were fully expensed upon repayment of the notes. Accordingly, as of June 30, 2026</w:t>
      </w:r>
      <w:r>
        <w:rPr>
          <w:rFonts w:ascii="Times New Roman" w:hAnsi="Times New Roman"/>
          <w:color w:val="000000"/>
          <w:sz w:val="16"/>
        </w:rPr>
        <w:t>,</w:t>
      </w:r>
      <w:r>
        <w:rPr>
          <w:rFonts w:ascii="Times New Roman" w:hAnsi="Times New Roman"/>
          <w:color w:val="000000"/>
          <w:sz w:val="20"/>
        </w:rPr>
        <w:t xml:space="preserve"> no DFC related to the December 2027 Notes remained.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2028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April 2028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7, 2025, the Company completed a private debt offering of $107.0 million in aggregate principal amount of 7.51% interest-bearing unsecured Series 2025A Senior Notes due 2028 (the "April 2028 Notes") to institutional accredited investors (as defined in Regulation D under the Securities Act). The April 2028 Notes are due on April 7, 2028, unless redeemed, purchased or prepaid prior to such date by the Company or its affiliates in accordance with their terms. Aggregate costs in connection with the April 2028 Notes issuance were $0.4 million and have been capitalized as DFC. As of June 30, 2026, unamortized DFC related to the April 2028 Notes were $0.3 million.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April 2028 Notes is due semiannually in arrears on April 7 and October 7 of each year. The April 2028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all outstanding and future unsecured unsubordinated indebtedness issued by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2029 Notes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December 2029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29, 2026, the Company issued and sold $50.0 million in aggregate principal amount of 7.00% interest-bearing unsecured Notes due December 1, 2029 (the "December 2029 Notes") under its shelf Registration Statement on Form N-2. The December 2029 Notes were issued pursuant to the Base Indenture and Fourth Supplemental Indenture, dated May 29, 2026, between the Company and the Trustee, U.S. Bank Trust Company, National Association. Aggregate costs in connection with the December 2029 Notes issuance, including the underwriter's discount and commissions, were $0.7 million, and have been capitalized as DFC. The December 2029 Notes were also issued with an original issue discount of $0.6 million. As of June 30, 2026, unamortized DFC and original issue discount related to the December 2029 Notes were $0.7 million and $0.6 million, respectively.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December 2029 Notes is due semi-annually on June 1 and December 1 of each year, commencing December 1, 2026. The December 2029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The December 2029 Notes may be redeemed in whole or in part at any time or from time to time at the Company’s option prior to June 1, 2029 (the “</w:t>
      </w:r>
      <w:r>
        <w:rPr>
          <w:rFonts w:ascii="Times New Roman" w:hAnsi="Times New Roman"/>
          <w:i/>
          <w:color w:val="000000"/>
          <w:sz w:val="20"/>
        </w:rPr>
        <w:t>Par Call Date</w:t>
      </w:r>
      <w:r>
        <w:rPr>
          <w:rFonts w:ascii="Times New Roman" w:hAnsi="Times New Roman"/>
          <w:color w:val="000000"/>
          <w:sz w:val="20"/>
        </w:rPr>
        <w:t>”) at a redemption price (expressed as a percentage of the principal amount and rounded to three decimal places)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December 2029 Notes to be redeemed, plus, in either case, accrued and unpaid interest thereon to, but not including, the redemption date. On or after the Par Call Date, the Company may redeem the December 2029 Notes, in whole or in part, at any time and from time to time, at a redemption price equal to 100% of the principal amount of the December 2029 Notes being redeemed plus accrued and unpaid interest.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2031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February 2031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February 3, 2026, the Company issued and sold $103.25 million in aggregate principal amount of 7.25% interest-bearing unsecured Notes due February 3, 2031 (the "February 2031 Notes") under its shelf Registration Statement on Form N-2. The February 2031 Notes were issued pursuant to the Base Indenture and Third Supplemental Indenture, dated February 3, 2026, between the Company and the Trustee, U.S. Bank Trust Company, National Association. Aggregate costs in connection with the February 2031 Notes issuance, including the underwriter's discount and commissions, were $3.4 million, and have been capitalized as DFC. As of June 30, 2026, unamortized DFC related to the February 2031 Notes were $3.1 million.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February 2031 Notes is due quarterly in arrears on March 1, June 1, September 1, and December 1 of each year. The February 2031 Notes may be redeemed in whole or in part at any time or from time to time at the Company's option on or after February 3, 2028, at a redemption price of $25 per February 2031 Note plus accrued and unpaid interest payments otherwise payable for the then-current quarterly interest period accrued to the date fixed for redemption. The February 2031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8 – Commitments, Contingencies, and Off-Balance Sheet Arrangements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the Company’s contractual obligations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2502"/>
        <w:gridCol w:w="146"/>
        <w:gridCol w:w="322"/>
        <w:gridCol w:w="183"/>
        <w:gridCol w:w="757"/>
        <w:gridCol w:w="166"/>
        <w:gridCol w:w="146"/>
        <w:gridCol w:w="256"/>
        <w:gridCol w:w="146"/>
        <w:gridCol w:w="691"/>
        <w:gridCol w:w="146"/>
        <w:gridCol w:w="146"/>
        <w:gridCol w:w="256"/>
        <w:gridCol w:w="146"/>
        <w:gridCol w:w="691"/>
        <w:gridCol w:w="146"/>
        <w:gridCol w:w="146"/>
        <w:gridCol w:w="496"/>
        <w:gridCol w:w="283"/>
        <w:gridCol w:w="554"/>
        <w:gridCol w:w="146"/>
        <w:gridCol w:w="146"/>
        <w:gridCol w:w="256"/>
        <w:gridCol w:w="146"/>
        <w:gridCol w:w="691"/>
        <w:gridCol w:w="495"/>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2"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Payments Due by Period </w:t>
            </w:r>
            <w:r>
              <w:rPr>
                <w:rFonts w:ascii="Times New Roman" w:hAnsi="Times New Roman"/>
                <w:b/>
                <w:color w:val="000000"/>
                <w:sz w:val="11"/>
              </w:rPr>
              <w:t>(1)</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73,219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683,469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10,751</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500,492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155,960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694,220</w:t>
            </w:r>
          </w:p>
        </w:tc>
        <w:tc>
          <w:tcPr>
            <w:tcW w:w="4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448,788</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the Consolidated Statements of Assets and Liabilities. With the exception of the JV, the availability of such unfunded commitments is subject to the specific terms and conditions of each contract, which may include, among other factors, portfolio company performance requirements and time-based cancellation provisions. As a result, only a portion of unfunded commitments is currently eligible to be drawn.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unfunded commitments to provide debt and equity financing to its portfolio companies and Runway-Cadma I LLC amounted to $146.7 million and $145.5 million as of June 30, 2026 and December 31, 2025, respectively, shown in the table below (in thousands):</w:t>
      </w:r>
    </w:p>
    <w:tbl>
      <w:tblPr>
        <w:tblW w:w="10205" w:type="dxa"/>
        <w:jc w:val="left"/>
        <w:tblInd w:w="0" w:type="dxa"/>
        <w:tblLayout w:type="fixed"/>
        <w:tblCellMar>
          <w:top w:w="28" w:type="dxa"/>
          <w:left w:w="28" w:type="dxa"/>
          <w:bottom w:w="28" w:type="dxa"/>
          <w:right w:w="28" w:type="dxa"/>
        </w:tblCellMar>
      </w:tblPr>
      <w:tblGrid>
        <w:gridCol w:w="3491"/>
        <w:gridCol w:w="146"/>
        <w:gridCol w:w="3337"/>
        <w:gridCol w:w="146"/>
        <w:gridCol w:w="212"/>
        <w:gridCol w:w="158"/>
        <w:gridCol w:w="750"/>
        <w:gridCol w:w="146"/>
        <w:gridCol w:w="146"/>
        <w:gridCol w:w="346"/>
        <w:gridCol w:w="197"/>
        <w:gridCol w:w="935"/>
        <w:gridCol w:w="195"/>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13Scents Inc. (dba Dossier)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BlueConic Holding, Inc. (fka 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Subordinated Debt - Senior Tranche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Shield Therapeutics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Under Technologies, Inc. (dba Rho)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unused commitments to extend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may also enter into foreign currency forward contracts to mitigate its exposure to foreign currency fluctuations associated with certain investments denominated in foreign currencies. While these contracts are recognized on the Consolidated Statements of Assets and Liabilities at fair value in accordance with ASC 815, they are also considered off-balance sheet arrangements because they may result in future cash payments or receipts that are not fully reflected in the financial statements as of June 30, 2026. As of June 30, 2026, the Company had no foreign currency forward contracts outstanding. As of December 31, 2025, the Company had outstanding forward currency contracts with a total notional amount of $28.9 million to purchase foreign currencies. For more information on the contracts and related maturities, refer to "Note 4 –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9 – Net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for an aggregate purchase price of $25 thousand.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Private Common Stock Offerings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SWK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6, 2026, in connection with the completion of the Mergers (as defined in “Note 13 – Acquisition of SWK Holdings Corporation”), the Company issued approximately 6,330,509 shares of its common stock, par value $0.01 per share, to former stockholders of SWK. No fractional shares were issued, and former SWK stockholders otherwise entitled to receive fractional shares received cash in lieu thereof. The shares were valued at the Company’s closing net asset value per share of approximately $11.93, representing aggregate equity consideration of approximately $75.5 million. For accounting purposes, the shares were measured at their acquisition-date fair value of approximately $43.6 million, based on the Company’s closing market price on April 2, 2026 of $6.89 per share. In addition, the $9.0 million payment made by the Adviser was recorded as a deemed capital contribution. For additional information regarding the Mergers and the related accounting, refer to “Note 2 – Summary of Significant Accounting Policies” and “Note 13 – Acquisition of SWK Holdings Corporation.”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February 24, 2022, the Board of Directors approved a share repurchase program (the "First Repurchase Program"), under which the Company was authorized to repurchase up to $25.0 million of its outstanding shares of common stock, at management’s discretion from time to time in open-market transactions and in accordance with all applicable securities laws and regulations. The Company repurchased 871,345 shares in connection with the First Repurchase Program for an aggregate purchase price of $10.8 million. The First Repurchase Program expired on February 24, 2023.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November 2, 2023, the Board of Directors approved a share repurchase program (the "Second Repurchase Program"), under which the Company was authorized to repurchase up to $25.0 million of its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30, 2024, the Board of Directors approved a share repurchase program (the "Third Repurchase Program"), under which the Company was authorized to repurchase up to $15.0 million of its outstanding shares of common stock, at management's discretion from time to time in open-market transactions and in accordance with all applicable securities laws and regulations. The Company repurchased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1,199,867 shares in connection with the Third Repurchase Program for an aggregate purchase price of $12.5 million. The Third Repurchase Program expired on July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7, 2025, the Board of Directors approved a share repurchase program (the "Fourth Repurchase Program"), under which the Company was authorized to repurchase up to $25.0 million of its outstanding shares of common stock, at management's discretion from time to time in open-market transactions and in accordance with all applicable securities laws and regulations. The Company repurchased 1,213,391 shares in connection with the Fourth Repurchase Program for an aggregate purchase price of $12.5 million. The Fourth Repurchase Program expired on May 7, 2026.</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May 5, 2026, the Board of Directors approved a share repurchase program (the "Fifth Repurchase Program"), under which the Company may repurchase up to $15.0 million of its outstanding shares of common stock, at management's discretion from time to time in open-market transactions and in accordance with all applicable securities laws and regulations. If not renewed, the Fifth Repurchase Program will terminate upon the earlier of (i) May 7, 2027 or (ii) the repurchase of $15.0 million of the Company's outstanding shares of common stock. From the inception of the Fifth Repurchase Program through June 30, 2026, the Company repurchased 249,169 shares for an aggregate purchase price of $1.4 million.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Cumulative repurchases under all repurchase programs totaled 5,495,710 shares at an aggregate purchase price of $60.7 million.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Distributions and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maintains a dividend reinvestment plan for common stockholders (the "Dividend Reinvestment Plan"). The Dividend Reinvestment Plan is administered by its transfer agent on behalf of the Company's record holders and participating brokerage firms. Brokerage firms and other financial intermediaries may decide not to participate in the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six months ended June 30, 2026, the Company declared and paid dividends in the amount of $14.0 million and $25.9 million, respectively, of which $13.8 million and $25.5 million, respectively, were distributed in cash, with the remainder distributed in the form of 33,072 and 64,314 shares, respectively, of the Company's common stock purchased by the Company in the open market and distributed to stockholders pursuant to the Dividend Reinvestment Plan. For the three and six months ended June 30, 2025, the Company declared dividends in the amount of $13.1 million and $26.5 million, respectively, of which $12.8 million and $26.0 million, respectively, were distributed in cash, with the remainder distributed in the form of 60,716 and 60,716 shares, respectively, of the Company's common stock purchased by the Company in the open market and distributed to stockholders pursuant to the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distributions declared and paid for the year ended December 31, 2025 and the six months ended June 30, 2026:</w:t>
      </w:r>
    </w:p>
    <w:tbl>
      <w:tblPr>
        <w:tblW w:w="7775" w:type="dxa"/>
        <w:jc w:val="left"/>
        <w:tblInd w:w="0" w:type="dxa"/>
        <w:tblLayout w:type="fixed"/>
        <w:tblCellMar>
          <w:top w:w="28" w:type="dxa"/>
          <w:left w:w="28" w:type="dxa"/>
          <w:bottom w:w="28" w:type="dxa"/>
          <w:right w:w="28" w:type="dxa"/>
        </w:tblCellMar>
      </w:tblPr>
      <w:tblGrid>
        <w:gridCol w:w="1066"/>
        <w:gridCol w:w="1464"/>
        <w:gridCol w:w="149"/>
        <w:gridCol w:w="149"/>
        <w:gridCol w:w="1557"/>
        <w:gridCol w:w="149"/>
        <w:gridCol w:w="1464"/>
        <w:gridCol w:w="146"/>
        <w:gridCol w:w="370"/>
        <w:gridCol w:w="275"/>
        <w:gridCol w:w="795"/>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Declaration Date</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5, 2025</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17, 2025</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distribution declared during the 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25, 2026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10, 2026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5, 2026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18, 2026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932" w:type="dxa"/>
            <w:gridSpan w:val="6"/>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distribution declared during the year ended June 30, 2026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240" w:after="240"/>
        <w:jc w:val="left"/>
        <w:rPr>
          <w:rFonts w:ascii="Times New Roman" w:hAnsi="Times New Roman"/>
          <w:color w:val="000000"/>
          <w:sz w:val="20"/>
        </w:rPr>
      </w:pPr>
      <w:r>
        <w:rPr>
          <w:rFonts w:ascii="Times New Roman" w:hAnsi="Times New Roman"/>
          <w:color w:val="000000"/>
          <w:sz w:val="20"/>
        </w:rPr>
        <w:t>Note 10 – 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gain (loss) on investments for federal income tax purposes as of and for the period ended June 30, 2026 and the year ended December 31, 2025 (in thousands):</w:t>
      </w:r>
    </w:p>
    <w:tbl>
      <w:tblPr>
        <w:tblW w:w="6248" w:type="dxa"/>
        <w:jc w:val="left"/>
        <w:tblInd w:w="0" w:type="dxa"/>
        <w:tblLayout w:type="fixed"/>
        <w:tblCellMar>
          <w:top w:w="28" w:type="dxa"/>
          <w:left w:w="28" w:type="dxa"/>
          <w:bottom w:w="28" w:type="dxa"/>
          <w:right w:w="28" w:type="dxa"/>
        </w:tblCellMar>
      </w:tblPr>
      <w:tblGrid>
        <w:gridCol w:w="2911"/>
        <w:gridCol w:w="146"/>
        <w:gridCol w:w="196"/>
        <w:gridCol w:w="146"/>
        <w:gridCol w:w="826"/>
        <w:gridCol w:w="166"/>
        <w:gridCol w:w="146"/>
        <w:gridCol w:w="284"/>
        <w:gridCol w:w="212"/>
        <w:gridCol w:w="1004"/>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cost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978,163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loss on a tax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rFonts w:ascii="Times New Roman" w:hAnsi="Times New Roman"/>
          <w:sz w:val="20"/>
        </w:rPr>
      </w:pPr>
      <w:r>
        <w:rPr>
          <w:rFonts w:ascii="Times New Roman" w:hAnsi="Times New Roman"/>
          <w:color w:val="000000"/>
          <w:sz w:val="20"/>
        </w:rPr>
        <w:t xml:space="preserve">The Company accounts for income taxes in conformity with ASC Topic 740, </w:t>
      </w:r>
      <w:r>
        <w:rPr>
          <w:rFonts w:ascii="Times New Roman" w:hAnsi="Times New Roman"/>
          <w:i/>
          <w:color w:val="000000"/>
          <w:sz w:val="20"/>
        </w:rPr>
        <w:t>Income Taxes</w:t>
      </w:r>
      <w:r>
        <w:rPr>
          <w:rFonts w:ascii="Times New Roman" w:hAnsi="Times New Roman"/>
          <w:color w:val="000000"/>
          <w:sz w:val="20"/>
        </w:rPr>
        <w:t xml:space="preserve">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"Tax expense" on the Consolidated Statements of Operations. There were no material uncertain income tax positions at June 30, 2026 or December 31, 2025. Although the Company files federal and state tax returns, the Company's major tax jurisdiction is federal. The previous three tax year-ends and the interim tax period since then remain subject to examination by the Internal Revenue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on which the Company paid no U.S. federal income tax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the regular corporate rate.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11 – Segment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operates through a single operating and reporting segment with an investment objective to generate returns to stockholders primarily through current income on loans, and secondarily through capital gains on warrants and other equity positions. The Company's Chief Executive Officer is the Company’s Chief Operating Decision Maker ("CODM"). While the Company lends to and separately evaluates the performance of each of its portfolio companies across various industries, including technology, healthcare, business services, financial services, select consumer services and products, the CODM evaluates and monitors performance of the Company's business on an aggregated basis. Further, each investment is evaluated and managed using similar processes and shared operational support functions, such as deal origination, underwriting, monitoring, and compliance, in addition to administrative functions, such as human resources, legal, finance and information technology.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CODM uses the Company's "Net investment income" and "Net increase (decrease) in net assets resulting from operations" as reported in the Consolidated Statements of Operations to assess the Company’s performance and when allocating resources. "Net investment income" is comprised of consolidated total investment income (segment revenues) and consolidated total operating expenses (significant segment expenses), which are considered the key segment measures of profit or loss reviewed by the CODM. The information and operating expense categories included in the Company’s Consolidated Statements of Operations are fully reflective of the significant expense categories and amounts that are regularly provided to the CODM. All applicable segment disclosures are included in or can be derived from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240" w:after="240"/>
        <w:jc w:val="left"/>
        <w:rPr>
          <w:rFonts w:ascii="Times New Roman" w:hAnsi="Times New Roman"/>
          <w:color w:val="000000"/>
          <w:sz w:val="20"/>
        </w:rPr>
      </w:pPr>
      <w:r>
        <w:rPr>
          <w:rFonts w:ascii="Times New Roman" w:hAnsi="Times New Roman"/>
          <w:color w:val="000000"/>
          <w:sz w:val="20"/>
        </w:rPr>
        <w:t>Note 12 – Financial Highlights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financial highlights for the six months ended June 30, 2026 and 2025 (in thousands, except for per share data and ratios):</w:t>
      </w:r>
    </w:p>
    <w:tbl>
      <w:tblPr>
        <w:tblW w:w="9312" w:type="dxa"/>
        <w:jc w:val="left"/>
        <w:tblInd w:w="0" w:type="dxa"/>
        <w:tblLayout w:type="fixed"/>
        <w:tblCellMar>
          <w:top w:w="28" w:type="dxa"/>
          <w:left w:w="28" w:type="dxa"/>
          <w:bottom w:w="28" w:type="dxa"/>
          <w:right w:w="28" w:type="dxa"/>
        </w:tblCellMar>
      </w:tblPr>
      <w:tblGrid>
        <w:gridCol w:w="6011"/>
        <w:gridCol w:w="146"/>
        <w:gridCol w:w="196"/>
        <w:gridCol w:w="146"/>
        <w:gridCol w:w="691"/>
        <w:gridCol w:w="166"/>
        <w:gridCol w:w="146"/>
        <w:gridCol w:w="146"/>
        <w:gridCol w:w="196"/>
        <w:gridCol w:w="159"/>
        <w:gridCol w:w="757"/>
        <w:gridCol w:w="166"/>
        <w:gridCol w:w="386"/>
      </w:tblGrid>
      <w:tr>
        <w:trPr/>
        <w:tc>
          <w:tcPr>
            <w:tcW w:w="6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60" w:type="dxa"/>
            <w:gridSpan w:val="11"/>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Per Share Data</w:t>
            </w:r>
            <w:r>
              <w:rPr>
                <w:rFonts w:ascii="Times New Roman" w:hAnsi="Times New Roman"/>
                <w:b/>
                <w:color w:val="000000"/>
                <w:sz w:val="11"/>
              </w:rPr>
              <w:t>(1)</w:t>
            </w:r>
            <w:r>
              <w:rPr>
                <w:rFonts w:ascii="Times New Roman" w:hAnsi="Times New Roman"/>
                <w:b/>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Net change in unrealized gain (loss)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from investment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Share issuance and deemed contribution in connection with the SWK Acquisition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Accretion from 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0" w:type="dxa"/>
            <w:gridSpan w:val="11"/>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Total return based on net asset value</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Total return based on market value</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net investment income to average net assets</w:t>
            </w:r>
            <w:r>
              <w:rPr>
                <w:rFonts w:ascii="Times New Roman" w:hAnsi="Times New Roman"/>
                <w:color w:val="000000"/>
                <w:sz w:val="11"/>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total operating expenses to average net assets</w:t>
            </w:r>
            <w:r>
              <w:rPr>
                <w:rFonts w:ascii="Times New Roman" w:hAnsi="Times New Roman"/>
                <w:color w:val="000000"/>
                <w:sz w:val="11"/>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total operating expenses, excluding incentive fees, to average net assets</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 share market value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 share market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Weighted average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Weighted average shares outstanding for the period,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39,120,815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37,224,569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 per share activity, excluding dividends, is calculated based on the weighted-average shares outstanding for the relevant period.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sz w:val="20"/>
        </w:rPr>
      </w:pPr>
      <w:r>
        <w:rPr>
          <w:rFonts w:ascii="Times New Roman" w:hAnsi="Times New Roman"/>
          <w:color w:val="000000"/>
          <w:sz w:val="16"/>
        </w:rPr>
        <w:t>Shares issued as consideration in connection with the acquisition of SWK were measured at the April 2, 2026 closing share price in accordance with ASC 805, rather than at the contractual NAV per share. The resulting purchase discount increased "Net change in unrealized gain (loss)" on the Consolidated Statement of Operations by approximately $0.37</w:t>
      </w:r>
      <w:r>
        <w:rPr>
          <w:rFonts w:ascii="Times New Roman" w:hAnsi="Times New Roman"/>
          <w:color w:val="000000"/>
          <w:sz w:val="20"/>
        </w:rPr>
        <w:t xml:space="preserve"> </w:t>
      </w:r>
      <w:r>
        <w:rPr>
          <w:rFonts w:ascii="Times New Roman" w:hAnsi="Times New Roman"/>
          <w:color w:val="000000"/>
          <w:sz w:val="16"/>
        </w:rPr>
        <w:t>per share, which is included within "Net change in unrealized gain (loss) per share" for the six months ended June 30, 2026, above. The net effect of the $(0.70) reflected within "Share issuance and deemed contribution in connection with the Mergers" and the $0.37</w:t>
      </w:r>
      <w:r>
        <w:rPr>
          <w:rFonts w:ascii="Times New Roman" w:hAnsi="Times New Roman"/>
          <w:color w:val="000000"/>
          <w:sz w:val="20"/>
        </w:rPr>
        <w:t xml:space="preserve"> </w:t>
      </w:r>
      <w:r>
        <w:rPr>
          <w:rFonts w:ascii="Times New Roman" w:hAnsi="Times New Roman"/>
          <w:color w:val="000000"/>
          <w:sz w:val="16"/>
        </w:rPr>
        <w:t>included in unrealized gain is a net decrease in NAV per share of $0.33. For more information, refer to "Note 13 – Acquisition of SWK Holdings Corporation" for additional information on the acquisition and the relevant accounting for the transaction.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Total return based on net asset value is calculated as the change in net asset value per share during the period, plus dividends per share, divided by the beginning net asset value per share. The total returns are not annualized.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return based on market value is calculated as the change in market value per share during the period, plus dividends per share, divided by the beginning market value per share. The total returns are not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ratios are calculated based on weighted average net assets for the relevant period and are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 includes annualized incentive fees and as incentive fees are performance driven, the amount expensed in future periods may vary significantly and is dependent on overall investment performance, early terminations, scheduled prepayments and other liquidity events.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sz w:val="20"/>
        </w:rPr>
      </w:pPr>
      <w:r>
        <w:rPr>
          <w:rFonts w:ascii="Times New Roman" w:hAnsi="Times New Roman"/>
          <w:color w:val="000000"/>
          <w:sz w:val="16"/>
        </w:rPr>
        <w:t>The portfolio turnover rate for the period is calculated by taking the lesser of investment portfolio purchases or sales during the period, divided by the average investment portfolio value during the period. As such, portfolio turnover is not annualized.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13 - Acquisition of SWK Holdings Corporation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SWK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6, 2026, the Company completed its acquisition of SWK, pursuant to the Agreement and Plan of Merger, dated as of October 9, 2025 (the "Merger Agreement"), by and among the Company, SWK, RWAY Portfolio Holding Corp., a Delaware corporation and a direct wholly-owned subsidiary of the Company ("Intermediary Sub"), RWAY Portfolio Corp., a Delaware corporation and a wholly-owned subsidiary of Intermediary Sub ("Acquisition Sub") and RGC.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Merger Agreement, SWK first merged with and into Acquisition Sub, with Acquisition Sub as the surviving company (the "First Merger"). Following the effectiveness of the First Merger, Acquisition Sub merged with and into Intermediary Sub, with Intermediary Sub as the surviving company (the "Second Merger"). Following the effectiveness of the Second Merger, Intermediary Sub merged with and into the Company, with the Company as the surviving company (the "Third Merger" and, collectively with the First Merger and the Second Merger,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the effective time of the First Merger, each outstanding share of SWK common stock, par value $0.001 per share ("SWK Common Stock"), was converted into the right to receive: (i) either (a) 1.7264 shares of the Company's common stock, par value $0.01 per share ("Company Common Stock"), or (b) $20.59 in cash, based on the election of the applicable SWK stockholder, and subject to the proration provisions of the Merger Agreement, and (ii) $0.74 in cash, representing the holder's pro-rata portion of the guaranteed cash payment funded by RGC. In connection with the Mergers, the Company issued approximately 6,330,509 shares of Company Common Stock to former SWK stockholders. No fractional shares were issued, and former SWK stockholders otherwise entitled to receive fractional shares received cash in lieu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total merger consideration funded by the Company was approximately $249.0 million, consisting of approximately $173.5 million in cash and approximately $75.5 million in shares of Company Common Stock (representing approximately 6,330,509 shares valued at the Company's closing net asset value per share of approximately $11.93). For accounting purposes, the shares were measured at their acquisition-date fair value of approximately $43.6 million, based on the Company’s closing market price on April 2, 2026 of approximately $6.89 per share. In addition, RGC funded $9.0 million of cash consideration, resulting in total consideration of $258.0 million paid to former SWK stockholders. For accounting purposes, the $9.0 million funded by RGC was recognized by the Company as a deemed capital contribution from RGC and as additional consideration transferred in connection with the acquisition.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Mergers were accounted for as an asset acquisition in accordance with ASC 805-50, </w:t>
      </w:r>
      <w:r>
        <w:rPr>
          <w:rFonts w:ascii="Times New Roman" w:hAnsi="Times New Roman"/>
          <w:i/>
          <w:color w:val="000000"/>
          <w:sz w:val="20"/>
        </w:rPr>
        <w:t xml:space="preserve">Business Combinations </w:t>
      </w:r>
      <w:r>
        <w:rPr>
          <w:rFonts w:ascii="Times New Roman" w:hAnsi="Times New Roman"/>
          <w:color w:val="000000"/>
          <w:sz w:val="20"/>
        </w:rPr>
        <w:t xml:space="preserve">– </w:t>
      </w:r>
      <w:r>
        <w:rPr>
          <w:rFonts w:ascii="Times New Roman" w:hAnsi="Times New Roman"/>
          <w:i/>
          <w:color w:val="000000"/>
          <w:sz w:val="20"/>
        </w:rPr>
        <w:t>Related Issues</w:t>
      </w:r>
      <w:r>
        <w:rPr>
          <w:rFonts w:ascii="Times New Roman" w:hAnsi="Times New Roman"/>
          <w:color w:val="000000"/>
          <w:sz w:val="20"/>
        </w:rPr>
        <w:t>. Under the asset acquisition method, the cost of the acquired group, including consideration funded by the Company, the $9.0 million contribution funded by RGC on behalf of the Company, and qualifying transaction costs, was allocated to the individual assets acquired and liabilities assumed based on their relative fair values as of the acquisition date. Assets and liabilities for which U.S. GAAP provides other specific initial measurement guidance, including certain financial assets and financial liabilities, were recognized and measured in accordance with the applicable guidance. Cash and other assets not subject to relative fair value allocation were recognized at their respective carrying amounts. The acquisition did not result in the recognition of goodwill.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investments acquired in the Mergers were initially recognized at fair value and are subsequently measured in accordance with the Company’s existing investment accounting policies. Any difference between the acquisition-date fair value of an acquired debt investment and the contractual amount expected to be collected that represents an adjustment to yield is accreted or amortized into interest income over the remaining contractual term of the investment using the effective interest method. Because the acquired debt investments are subsequently measured at fair value, the related accretion or amortization is accompanied by a corresponding change in unrealized appreciation or depreciation, absent other changes in fair value.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Amounts allocated to acquired equity investments and other contractual rights are not accreted or amortized into income. Subsequent changes in the fair value of all acquired investments are recognized in “Net change in unrealized gain (loss) on investments” on the Consolidated Statements of Operations. Upon the disposition of an acquired investment, the Company recognizes the resulting realized gain or loss and reverses the cumulative unrealized appreciation or depreciation previously recognized on that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connection with the Mergers, the Company also assumed the SWK 2027 Notes, due January 2027. For additional information, refer to "Note 7 – Borrowings."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summary, the assets and liabilities assumed in connection with the Mergers, as of acquisition date fair values, are as follows (in thousands):</w:t>
      </w:r>
    </w:p>
    <w:tbl>
      <w:tblPr>
        <w:tblW w:w="4254" w:type="dxa"/>
        <w:jc w:val="left"/>
        <w:tblInd w:w="0" w:type="dxa"/>
        <w:tblLayout w:type="fixed"/>
        <w:tblCellMar>
          <w:top w:w="28" w:type="dxa"/>
          <w:left w:w="28" w:type="dxa"/>
          <w:bottom w:w="28" w:type="dxa"/>
          <w:right w:w="28" w:type="dxa"/>
        </w:tblCellMar>
      </w:tblPr>
      <w:tblGrid>
        <w:gridCol w:w="2682"/>
        <w:gridCol w:w="148"/>
        <w:gridCol w:w="196"/>
        <w:gridCol w:w="146"/>
        <w:gridCol w:w="691"/>
        <w:gridCol w:w="391"/>
      </w:tblGrid>
      <w:tr>
        <w:trPr/>
        <w:tc>
          <w:tcPr>
            <w:tcW w:w="26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Statement Line Item</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Investments at fair value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fees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debt,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 and other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assets acquired at fair value</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40"/>
        <w:jc w:val="both"/>
        <w:rPr>
          <w:rFonts w:ascii="Times New Roman" w:hAnsi="Times New Roman"/>
          <w:color w:val="000000"/>
          <w:sz w:val="20"/>
        </w:rPr>
      </w:pPr>
      <w:r>
        <w:rPr>
          <w:rFonts w:ascii="Times New Roman" w:hAnsi="Times New Roman"/>
          <w:color w:val="000000"/>
          <w:sz w:val="20"/>
        </w:rPr>
        <w:t>The table above presents the acquisition-date fair values of the assets acquired and liabilities assumed. The Company’s acquisition cost, including transaction costs and net of cash acquired, was allocated to the acquired investments in accordance with ASC 805, resulting in an aggregate investment purchase discount of approximately $14.4 million.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Key Stockholder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Concurrently with the execution of the Merger Agreement, on October 9, 2025, the Company entered into a key stockholder agreement (the "Key Stockholder Agreement") with Double Black Diamond Offshore Ltd., a Cayman Islands exempted company (the "Key Stockholder"), and, solely for the purposes of Section 4 thereof, Black Diamond Offshore Ltd., a Cayman Islands exempted company. As of June 30, 2026, the Key Stockholder owned 3,885,000 shares of the Company's common stock, or 9.2% of the Company's outstanding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Key Stockholder Agreement, the Key Stockholder agreed to vote its covered shares of SWK Common Stock in favor of the adoption of the Merger Agreement. In addition, the Key Stockholder agreed to certain standstill restrictions with respect to the Company until the date on which it beneficially owns less than 3% of the Company’s common stock and less than 3% of each other class of voting securities of the Company then outstanding, if any (the “Fall-Away Date”): (i) soliciting proxies or consents with respect to the Company or its voting securities, or making any public statement in support of any third-party solicitation with respect to the Company or its voting securities; (ii) seeking or proposing to have RGC terminated or replaced, or the Advisory Agreement terminated, amended, modified, replaced or cancelled; (iii) seeking election or appointment to, or removal of any member of, the Company’s Board of Directors; (iv) making or being the proponent of any stockholder proposal (pursuant to Rule 14a-8 under the Exchange Act or otherwise) for consideration by the Company's stockholders; and (v) publicly disclosing any intention to take any action inconsistent with clauses (i) through (iv) above. Pursuant to the Key Stockholder Agreement, the Key Stockholder also agreed to not knowingly and intentionally transfer the shares of the Company's common stock acquired in connection with the Mergers to any third party that beneficially owns more than 10% of the Company's common stock; provided that, subject to compliance with the foregoing, the Key Stockholder may sell shares of the Company's common stock in the open market on a national securities exchange, or via any other means as determined by the Key Stockholder.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14 – Subsequent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evaluated events subsequent to June 30, 2026 through August 6, 2026. There have been no subsequent events that occurred during such period that would require recognition or disclosure, except as disclosed below.</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5, 2026, the Board of Directors declared a quarterly distribution of $0.33 per share for stockholders of record as of August 17, 2026, payable on or before August 31, 2026.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13, 2026, the Company entered into the Eighth Amendment to its amended and restated credit agreement (the “Credit Facility Amendment”). The Credit Facility Amendment, (i) reduced the total commitments under the Credit Facility from $550.0 million to $425.0 million; (ii) permitted the future prepayment and termination of a certain lender’s commitments on a non-pro-rata basis; (iii) amended certain financial covenants; (iv) updated certain key-person trigger events; and (v) amended certain loan eligibility criteria and borrowing-base concentration limitations.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Recent Portfolio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July 1, 2026 through August 6, 2026, the Company funded $1.9 million in unfunded commitments on existing investments. The Company also received $17.1 million in debt prepayments.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Appointment of Co-Chief Executive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5, 2026, the Board of Directors elected Michael Rovner, age 56, as the Company’s Co-Chief Executive Officer, effective as of the close of business on August 6, 2026 (the “Effective Time”), to serve alongside R. David Spreng, whose title will change from Chief Executive Officer and President to Co-Chief Executive Officer and President of the Company, as of the Effective Time. In addition, Mr. Rovner will serve as the Co-Chief Executive Officer, the Co-Chief Investment Officer and as a member of the investment committee of RGC, effective as of the Effective Time.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Mr. Rovner has more than 30 years of industry experience spanning early and growth stage technology companies, private equity, private credit, and growth-debt lending. Prior to joining the Company, Mr. Rovner served as a managing director at BC Partners and its affiliate Mount Logan Management since 2023. Before that, from 2012 to 2023, he served as the chief executive officer and head of the investment committee of Ovation Partners, a provider of asset backed lending solutions and growth capital for established companies, which he co-founded. From 2009 to 2011, Mr. Rovner served on the Board of Directors of Vida Capital, a vertically integrated manager of insurance-related and longevity contingent assets, which he co-founded in 2009. From 2000 to 2011, he served as a partner and head of the financial services practice of Austin Ventures, a venture capital and growth equity firm focused on early-stage and growth equity investments in the financial services, technology, digital media, and technology-enabled services markets. Mr. Rovner received a B.A. in English from UCLA.</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Investment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the close of business on August 6, 2026, RGC’s Investment Committee will consist of R. David Spreng, Michael Rovner, Thomas B. Raterman and Patrick Schafer.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refer to "Part II, Item 5. Other Information"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12" w:name="item2managementsdiscussionandanalysisoff"/>
      <w:bookmarkEnd w:id="12"/>
      <w:r>
        <w:rPr>
          <w:rFonts w:ascii="Times New Roman" w:hAnsi="Times New Roman"/>
          <w:color w:val="000000"/>
          <w:sz w:val="20"/>
        </w:rPr>
        <w:t>Item 2. Management’s Discussion and Analysis of Financial Condition and Results of Operations.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quarterly report on Form 10</w:t>
        <w:noBreakHyphen/>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political, economic or industry conditions, trade policies, restrictions and tariffs, the interest rate environment or conditions affecting the financial and capital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an economic downturn could disproportionately impact the companies that we intend to target for investment, potentially causing us to experience a decrease in investment opportunities and diminished demand for capital from these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contraction of available credit and/or an inability to access the equity markets that could impair our lending and investment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rate volatility that could adversely affect our results, particularly to the extent that we use leverage as part of our investment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changes in interest and inflation rates on 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 other entities and our affiliates for investment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speculative and illiquid nature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use of borrowed money to finance a portion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adequacy of our financing sources and working capital;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of key personnel and members of our management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cash flows, if any, from the operations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external investment adviser, Runway Growth Capital LLC, to locate suitable investments for us and to monitor and administer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Runway Growth Capital LLC to attract and retain highly talented professionals;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qualify and maintain our qualification as a RIC under subchapter M of the Code, and as a BDC;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third-party that has access to our data or networks, a natural catastrophe, an industrial accident, failure of our disaster-recovery systems, or consequential employee error;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effect of legal, tax, and regulatory changes;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realize the anticipated benefits of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effects of disruption on our business from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combined company’s plans, expectations, objectives and intentions as a result of the Mergers;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 that stockholder litigation in connection with the Mergers may result in significant costs of defense and liability;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other risks, uncertainties and other factors we identify under "Risk Factors" in Part I, Item 1A of our annual report on Form 10-K, filed with the Securities and Exchange Commission (the "SEC") on March 12, 2026, and in this quarterly report on Form 10-Q.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Part I, Item 1A of our annual report on Form 10-K, filed with the SEC on March 12,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based the forward-looking statements included in this quarterly report on Form 10</w:t>
        <w:noBreakHyphen/>
        <w:t>Q on information available to us on the date of this quarterly report on Form 10</w:t>
        <w:noBreakHyphen/>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noBreakHyphen/>
        <w:t>K, quarterly reports on Form 10</w:t>
        <w:noBreakHyphen/>
        <w:t>Q and current reports on Form 8</w:t>
        <w:noBreakHyphen/>
        <w:t>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analysis of our financial condition and results of operations should be read in conjunction with our consolidated financial statements and the related notes thereto contained elsewhere in this quarterly report on Form 10</w:t>
        <w:noBreakHyphen/>
        <w:t>Q.</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("we," "us," or "our"),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Certain of the loans in which we may invest or obtain exposure to through our investments in structured securities may be deemed "Covenant-Lite Loans," which means the loans contain fewer or no maintenance covenants compared to other loans and do not include terms which allow the lender to declare a default if certain covenants are breached. We are managed by Runway Growth Capital, an experienced provider of growth financing for dynamic, late and growth-stage companies. As of June 30, 2026, we had an investment portfolio of $1.2 billion at fair value, and a net asset value of $502.6 million. Our offices are in Chicago, Illinois; Menlo Park, California; and New York, New York.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the regular corporate rate on any net taxable income for such taxable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We expect to remain an emerging growth company until December 31, 2026,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During the time that we are an emerging growth company under the JOBS Act, we will be subject to reduced public company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requirements. When we are no longer an emerging growth company, we will be subject to additional public company reporting requirements, including auditor attestation requirements of Section 404(b) of the Sarbanes-Oxley Act, and we will no longer be able to take advantage of the extended transition periods available to emerging growth companies for complying with new or revised accounting standards.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externally managed by Runway Growth Capital LLC ("RGC"), an investment adviser that has registered with the SEC under the Investment Advisers Act of 1940, as amended. Runway Administrator Services LLC (the "Administrator"), a wholly-owned subsidiary of RGC, provides all the administrative services necessary for us to operate.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RGC, and certain other funds and accounts sponsored or managed by RGC and/or its affiliates, including BC Partners Advisors L.P. (collectively our "Affiliates"), rely on an order (the "Order") granted by the SEC that permits us greater flexibility than the 1940 Act permits to negotiate the terms of co-investments if our Board of Directors determines that it would be advantageous for us to co-invest with other accounts sponsored or managed by RGC and/or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 On September 12, 2025, we, RGC and certain Affiliates applied for a new co-investment exemptive order from the SEC. There can be no assurances that the SEC will grant such relief.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April 6, 2026, we completed our acquisition of SWK Holdings Corporation ("SWK"), a Delaware corporation and a life science focused specialty finance company that provided minimally dilutive financing to small- and mid-sized commercial-stage healthcare companies. As a result of the transaction, our investment portfolio expanded to include SWK's healthcare and life sciences investments. For additional information regarding the transaction, please refer to "Note 13 – Acquisition of SWK Holdings Corporation" of our consolidated financial statements in Part I, Item 1 of this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Portfolio Composition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June 30, 2026, we had investments in 79 companies, representing 33 companies in which we held a combination of debt and equity investments, 13 companies in which we held debt investments only, 32 companies in which we held equity investments only, and one company in which we held equity interests only. At December 31, 2025, we had investments in 56 companies, representing 23 companies in which we held a combination of debt and equity investments, eight companies in which we held debt investments only, 23 companies in which we held equity investments only, and two companies in which we held equity interests only.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shows the fair value of our investments, by asset class, as of June 30, 2026 and December 31, 2025 (in thousands): </w:t>
      </w:r>
    </w:p>
    <w:tbl>
      <w:tblPr>
        <w:tblW w:w="7438" w:type="dxa"/>
        <w:jc w:val="left"/>
        <w:tblInd w:w="0" w:type="dxa"/>
        <w:tblLayout w:type="fixed"/>
        <w:tblCellMar>
          <w:top w:w="28" w:type="dxa"/>
          <w:left w:w="28" w:type="dxa"/>
          <w:bottom w:w="28" w:type="dxa"/>
          <w:right w:w="28" w:type="dxa"/>
        </w:tblCellMar>
      </w:tblPr>
      <w:tblGrid>
        <w:gridCol w:w="1503"/>
        <w:gridCol w:w="1367"/>
        <w:gridCol w:w="196"/>
        <w:gridCol w:w="146"/>
        <w:gridCol w:w="826"/>
        <w:gridCol w:w="146"/>
        <w:gridCol w:w="146"/>
        <w:gridCol w:w="196"/>
        <w:gridCol w:w="146"/>
        <w:gridCol w:w="826"/>
        <w:gridCol w:w="146"/>
        <w:gridCol w:w="146"/>
        <w:gridCol w:w="157"/>
        <w:gridCol w:w="157"/>
        <w:gridCol w:w="648"/>
        <w:gridCol w:w="157"/>
        <w:gridCol w:w="529"/>
      </w:tblGrid>
      <w:tr>
        <w:trPr/>
        <w:tc>
          <w:tcPr>
            <w:tcW w:w="150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Subordinated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 &amp; Other Contractual Rights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 &amp; Other Contractual Rights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our debt investment portfolio had a dollar-weighted annualized yield of 14.2% and 13.9%, respectively. For the three and six months ended June 30, 2025, our debt investment portfolio had a dollar-weighted annualized yield of 15.4% and 15.1%,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June 30, 2026, our debt investments had a dollar-weighted average term of 49 months at origination and a dollar-weighted average remaining term of 31 months, or approximately 2.6 years. As of June 30, 2026, substantially all of our debt investments had a committed principal amount of between $5.5 million and $81.4 million and pay cash interest at annual interest rates of between 6.3% and 14.7%.</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our dollar-weighted annualized yield by investment type for the three and six months ended June 30, 2026 and 2025:</w:t>
      </w:r>
    </w:p>
    <w:tbl>
      <w:tblPr>
        <w:tblW w:w="10842" w:type="dxa"/>
        <w:jc w:val="left"/>
        <w:tblInd w:w="0" w:type="dxa"/>
        <w:tblLayout w:type="fixed"/>
        <w:tblCellMar>
          <w:top w:w="28" w:type="dxa"/>
          <w:left w:w="28" w:type="dxa"/>
          <w:bottom w:w="28" w:type="dxa"/>
          <w:right w:w="28" w:type="dxa"/>
        </w:tblCellMar>
      </w:tblPr>
      <w:tblGrid>
        <w:gridCol w:w="1031"/>
        <w:gridCol w:w="146"/>
        <w:gridCol w:w="146"/>
        <w:gridCol w:w="511"/>
        <w:gridCol w:w="146"/>
        <w:gridCol w:w="241"/>
        <w:gridCol w:w="146"/>
        <w:gridCol w:w="146"/>
        <w:gridCol w:w="511"/>
        <w:gridCol w:w="146"/>
        <w:gridCol w:w="241"/>
        <w:gridCol w:w="146"/>
        <w:gridCol w:w="146"/>
        <w:gridCol w:w="511"/>
        <w:gridCol w:w="146"/>
        <w:gridCol w:w="241"/>
        <w:gridCol w:w="146"/>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386"/>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0"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9"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Investment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six months ended June 30, 2026, we funded $310.8 million in 24 new portfolio companies and $32.1 million in five existing companies, net of upfront loan origination fees and refinances. We also received $12.4 million in scheduled principal repayments from nine portfolio companies, as well as $43.5 million in sales and prepayments, which is comprised of (i) $30.9 million in loan proceeds from two portfolio companies and (ii) $12.6 million in proceeds from the sale of equity investments. During the six months ended June 30, 2025, we funded $34.4 million in two new portfolio companies and $19.6 million in four existing portfolio companies, net of upfront loan origination fees and refinances. We also received $7.9 million in scheduled principal repayments from three portfolio companies, as well as $100.0 million in sales and prepayments, which is comprised of (i) $61.9 million in loan proceeds from three portfolio companies and (ii) $38.1 million in proceeds from the sale of equity investments during the six months ended June 30, 2025.</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Portfolio Reconciliation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reconciliation of our investment portfolio for the six months ended June 30, 2026 and 2025 (in thousands):</w:t>
      </w:r>
    </w:p>
    <w:tbl>
      <w:tblPr>
        <w:tblW w:w="7539" w:type="dxa"/>
        <w:jc w:val="left"/>
        <w:tblInd w:w="0" w:type="dxa"/>
        <w:tblLayout w:type="fixed"/>
        <w:tblCellMar>
          <w:top w:w="28" w:type="dxa"/>
          <w:left w:w="28" w:type="dxa"/>
          <w:bottom w:w="28" w:type="dxa"/>
          <w:right w:w="28" w:type="dxa"/>
        </w:tblCellMar>
      </w:tblPr>
      <w:tblGrid>
        <w:gridCol w:w="2452"/>
        <w:gridCol w:w="2228"/>
        <w:gridCol w:w="196"/>
        <w:gridCol w:w="146"/>
        <w:gridCol w:w="826"/>
        <w:gridCol w:w="166"/>
        <w:gridCol w:w="146"/>
        <w:gridCol w:w="196"/>
        <w:gridCol w:w="146"/>
        <w:gridCol w:w="826"/>
        <w:gridCol w:w="211"/>
      </w:tblGrid>
      <w:tr>
        <w:trPr/>
        <w:tc>
          <w:tcPr>
            <w:tcW w:w="245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investment portfolio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prepayments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investment portfolio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pPr>
      <w:r>
        <w:rPr>
          <w:rFonts w:ascii="Times New Roman" w:hAnsi="Times New Roman"/>
          <w:color w:val="000000"/>
          <w:sz w:val="16"/>
        </w:rPr>
        <w:t>Includes approximately $225.2 million, which represents the cost basis of the investments acquired in connection with the acquisition of SWK. For additional information, refer to "Note</w:t>
      </w:r>
      <w:r>
        <w:rPr>
          <w:color w:val="000000"/>
        </w:rPr>
        <w:t xml:space="preserve"> </w:t>
      </w:r>
      <w:r>
        <w:rPr>
          <w:rFonts w:ascii="Times New Roman" w:hAnsi="Times New Roman"/>
          <w:color w:val="000000"/>
          <w:sz w:val="16"/>
        </w:rPr>
        <w:t xml:space="preserve">13 </w:t>
      </w:r>
      <w:r>
        <w:rPr>
          <w:color w:val="000000"/>
        </w:rPr>
        <w:t xml:space="preserve">– </w:t>
      </w:r>
      <w:r>
        <w:rPr>
          <w:rFonts w:ascii="Times New Roman" w:hAnsi="Times New Roman"/>
          <w:color w:val="000000"/>
          <w:sz w:val="16"/>
        </w:rPr>
        <w:t>Acquisition of SWK Holdings Corporation."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Asset Quality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various risk management and monitoring tools, RGC uses an investment rating system to characterize and monitor the quality of our debt investment portfolio. Only debt investments are graded under the investment rating system; equity investments, warrants, and other contractual rights are not graded. This debt investment rating system uses a five-level numeric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916"/>
        <w:gridCol w:w="109"/>
        <w:gridCol w:w="9180"/>
      </w:tblGrid>
      <w:tr>
        <w:trPr/>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w:t>
            </w:r>
            <w:r>
              <w:rPr>
                <w:rFonts w:ascii="Times New Roman" w:hAnsi="Times New Roman"/>
                <w:color w:val="000000"/>
                <w:sz w:val="16"/>
              </w:rPr>
              <w:br/>
            </w:r>
            <w:r>
              <w:rPr>
                <w:rFonts w:ascii="Times New Roman" w:hAnsi="Times New Roman"/>
                <w:b/>
                <w:color w:val="000000"/>
                <w:sz w:val="16"/>
              </w:rPr>
              <w:t>Rating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 Definition</w:t>
            </w:r>
          </w:p>
        </w:tc>
      </w:tr>
      <w:tr>
        <w:trPr/>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above plan and/or strong enterprise profile, value, financial performance/coverage. Maintaining full covenant and payment compliance as agreed.</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at or reasonably close to plan. Acceptable business prospects, enterprise value, and financial coverage. Maintaining key covenant and payment compliance as agreed. Generally, all new loans are initially graded Category 2.</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below plan of record. Potential elements of concern over performance, trends and business outlook. Loan-to-value remains adequate. Potential key covenant non-compliance. Full payment compliance.</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investment ratings of our debt investments at fair value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205"/>
        <w:gridCol w:w="196"/>
        <w:gridCol w:w="826"/>
        <w:gridCol w:w="146"/>
        <w:gridCol w:w="146"/>
        <w:gridCol w:w="825"/>
        <w:gridCol w:w="390"/>
        <w:gridCol w:w="146"/>
        <w:gridCol w:w="1722"/>
        <w:gridCol w:w="146"/>
        <w:gridCol w:w="146"/>
        <w:gridCol w:w="196"/>
        <w:gridCol w:w="691"/>
        <w:gridCol w:w="146"/>
        <w:gridCol w:w="146"/>
        <w:gridCol w:w="825"/>
        <w:gridCol w:w="390"/>
        <w:gridCol w:w="146"/>
        <w:gridCol w:w="1771"/>
      </w:tblGrid>
      <w:tr>
        <w:trPr/>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Rating</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r>
      <w:tr>
        <w:trPr/>
        <w:tc>
          <w:tcPr>
            <w:tcW w:w="12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0.71</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2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r>
      <w:tr>
        <w:trPr/>
        <w:tc>
          <w:tcPr>
            <w:tcW w:w="12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12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r>
      <w:tr>
        <w:trPr/>
        <w:tc>
          <w:tcPr>
            <w:tcW w:w="12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94.13</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92.76</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Non-Accrual Status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a restructuring has occurred such that the interest income is deemed collectible.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cost, fair value, and types of income not recorded in "Interest income" or "Payment-in-kind interest income" on the Consolidated Statements of Operations related to loans on non-accrual status from their respective date of non-accrual through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144"/>
        <w:gridCol w:w="246"/>
        <w:gridCol w:w="1068"/>
        <w:gridCol w:w="146"/>
        <w:gridCol w:w="271"/>
        <w:gridCol w:w="154"/>
        <w:gridCol w:w="541"/>
        <w:gridCol w:w="146"/>
        <w:gridCol w:w="146"/>
        <w:gridCol w:w="339"/>
        <w:gridCol w:w="194"/>
        <w:gridCol w:w="381"/>
        <w:gridCol w:w="146"/>
        <w:gridCol w:w="146"/>
        <w:gridCol w:w="268"/>
        <w:gridCol w:w="153"/>
        <w:gridCol w:w="536"/>
        <w:gridCol w:w="146"/>
        <w:gridCol w:w="146"/>
        <w:gridCol w:w="256"/>
        <w:gridCol w:w="146"/>
        <w:gridCol w:w="601"/>
        <w:gridCol w:w="146"/>
        <w:gridCol w:w="146"/>
        <w:gridCol w:w="256"/>
        <w:gridCol w:w="146"/>
        <w:gridCol w:w="601"/>
        <w:gridCol w:w="146"/>
        <w:gridCol w:w="146"/>
        <w:gridCol w:w="156"/>
        <w:gridCol w:w="452"/>
        <w:gridCol w:w="156"/>
        <w:gridCol w:w="534"/>
      </w:tblGrid>
      <w:tr>
        <w:trPr/>
        <w:tc>
          <w:tcPr>
            <w:tcW w:w="11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Marley Spoon 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important measure of our financial performance is "Net increase (decrease) in net assets resulting from operations" on the Consolidated Statements of Operations, which includes "Net investment income," "Net realized gain (loss)" and "Net change in unrealized gain (loss)." "Net investment income" is the difference between our income from interest, dividends, fees and other income and our operating expenses, including interest on borrowed funds. "Net realized gain (loss)" is the difference between the proceeds received from dispositions and the amortized cost of portfolio investments, as well as any realized gain (loss) on forward contracts and foreign currency transactions. "Net change in unrealized gain (loss)" is the net change in the fair value of our investment portfolio and the effect of fluctuations in foreign currency exchange rates on forward contracts and foreign cash held.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compares the results of our operations for the three and six months ended June 30, 2026 and 2025 (in thousands):</w:t>
      </w:r>
    </w:p>
    <w:tbl>
      <w:tblPr>
        <w:tblW w:w="11567" w:type="dxa"/>
        <w:jc w:val="left"/>
        <w:tblInd w:w="0" w:type="dxa"/>
        <w:tblLayout w:type="fixed"/>
        <w:tblCellMar>
          <w:top w:w="28" w:type="dxa"/>
          <w:left w:w="28" w:type="dxa"/>
          <w:bottom w:w="28" w:type="dxa"/>
          <w:right w:w="28" w:type="dxa"/>
        </w:tblCellMar>
      </w:tblPr>
      <w:tblGrid>
        <w:gridCol w:w="1256"/>
        <w:gridCol w:w="246"/>
        <w:gridCol w:w="246"/>
        <w:gridCol w:w="146"/>
        <w:gridCol w:w="661"/>
        <w:gridCol w:w="166"/>
        <w:gridCol w:w="146"/>
        <w:gridCol w:w="196"/>
        <w:gridCol w:w="146"/>
        <w:gridCol w:w="481"/>
        <w:gridCol w:w="166"/>
        <w:gridCol w:w="146"/>
        <w:gridCol w:w="196"/>
        <w:gridCol w:w="146"/>
        <w:gridCol w:w="601"/>
        <w:gridCol w:w="166"/>
        <w:gridCol w:w="146"/>
        <w:gridCol w:w="196"/>
        <w:gridCol w:w="146"/>
        <w:gridCol w:w="481"/>
        <w:gridCol w:w="166"/>
        <w:gridCol w:w="146"/>
        <w:gridCol w:w="246"/>
        <w:gridCol w:w="246"/>
        <w:gridCol w:w="146"/>
        <w:gridCol w:w="661"/>
        <w:gridCol w:w="166"/>
        <w:gridCol w:w="146"/>
        <w:gridCol w:w="196"/>
        <w:gridCol w:w="146"/>
        <w:gridCol w:w="481"/>
        <w:gridCol w:w="166"/>
        <w:gridCol w:w="146"/>
        <w:gridCol w:w="196"/>
        <w:gridCol w:w="146"/>
        <w:gridCol w:w="661"/>
        <w:gridCol w:w="166"/>
        <w:gridCol w:w="146"/>
        <w:gridCol w:w="196"/>
        <w:gridCol w:w="146"/>
        <w:gridCol w:w="481"/>
        <w:gridCol w:w="29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fee and dividend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gain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unrealized gain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40"/>
        <w:jc w:val="both"/>
        <w:rPr>
          <w:rFonts w:ascii="Times New Roman" w:hAnsi="Times New Roman"/>
          <w:color w:val="000000"/>
          <w:sz w:val="16"/>
        </w:rPr>
      </w:pPr>
      <w:r>
        <w:rPr>
          <w:rFonts w:ascii="Times New Roman" w:hAnsi="Times New Roman"/>
          <w:color w:val="000000"/>
          <w:sz w:val="16"/>
        </w:rPr>
        <w:t>The basic per share figures noted above are based on weighted averages of 42,074,771 and 37,103,061 shares outstanding for the three months ended June 30, 2026 and 2025, respectively, and 39,120,815 and 37,224,569 shares outstanding for the six months ended June 30, 2026 and 2025,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jc w:val="both"/>
        <w:rPr>
          <w:rFonts w:ascii="Times New Roman" w:hAnsi="Times New Roman"/>
          <w:color w:val="000000"/>
          <w:sz w:val="20"/>
        </w:rPr>
      </w:pPr>
      <w:r>
        <w:rPr>
          <w:rFonts w:ascii="Times New Roman" w:hAnsi="Times New Roman"/>
          <w:color w:val="000000"/>
          <w:sz w:val="20"/>
        </w:rPr>
        <w:t>Our investment objective is to maximize our total return to our stockholders primarily through current income on our loan portfolio, and secondarily through capital gains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global loan originations will generally range between $10-$150 million, with our allocation being in the range of $20-$45 million.</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pStyle w:val="TextBody"/>
        <w:bidi w:val="0"/>
        <w:jc w:val="both"/>
        <w:rPr>
          <w:rFonts w:ascii="Times New Roman" w:hAnsi="Times New Roman"/>
          <w:color w:val="000000"/>
          <w:sz w:val="20"/>
        </w:rPr>
      </w:pPr>
      <w:r>
        <w:rPr>
          <w:rFonts w:ascii="Times New Roman" w:hAnsi="Times New Roman"/>
          <w:color w:val="000000"/>
          <w:sz w:val="20"/>
        </w:rPr>
        <w:t>Investment income for the three months ended June 30, 2026 and 2025, at $37.0 million and $35.1 million, respectively, and includes non-recurring income of $1.3 million and $1.3 million, respectively. Non-recurring income includes, but is not limited to, acceleration of unaccreted OID and ETP, prepayment fees, and amendment fees.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Investment income for the six months ended June 30, 2026 and 2025, at $66.5 million and $70.5 million respectively, and includes non-recurring income of $2.0 million and $3.2 million, respectively. Non-recurring income includes, but is not limited to, acceleration of unaccreted OID and ETP, prepayment fees, and amendment fees.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management fees and incentive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administration fees payable under the Administration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Operating expenses for the three months ended June 30, 2026 and 2025 were $18.8 million and $21.2 million, respectively. Operating expenses decreased for the three months ended June 30, 2026 from the three months ended June 30, 2025 primarily due to a decrease in incentive fees and management fees, partially offset by an increase in interest and other debt financing expenses and other expenses. Operating expenses per share for the three months ended June 30, 2026 and 2025 were $0.45 and $0.57,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Operating expenses for the six months ended June 30, 2026 and 2025 were $37.7 million and $41.0 million, respectively. Operating expenses decreased for the six months ended June 30, 2026 from the six months ended June 30, 2025 primarily due to a decrease in incentive fees and management fees, partially offset by an increase in interest and other debt financing expenses and other expenses. Operating expenses per share for the six months ended June 30, 2026 and 2025 were $0.96 and $1.11,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Management fees for the three months ended June 30, 2026 and 2025 were $3.5 million and $3.9 million, respectively. Management fees decreased for the three months ended June 30, 2026 from the three months ended June 30, 2025 due to decreased average daily gross assets. Management fees per share for the three months ended June 30, 2026 and 2025 were $0.08 and $0.11, respectively. For the quarter ended March 31, 2026, ending gross assets temporarily fell below $1.0 billion, increasing the quarterly rate from 0.375% to 0.40%. With Board approval, RGC voluntarily waived the incremental fee for that period. The waiver was not subject to recoupment and did not amend the Advisory Agreement, resulting in RGC earning a base management fee at an annual rate of 1.50%. The total base management fees waived for the three months ended June 30, 2026 were approximately $231.9 thousand. For the three months ended June 30, 2025, RGC earned base management fees at an annual rate of 1.50%. There were no management fees waived for the three months ended June 30,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Management fees for the six months ended June 30, 2026 and 2025 were $7.1 million and $8.0 million, respectively. Management fees decreased for the six months ended June 30, 2026 from the six months ended June 30, 2025 due to decreased average daily gross assets. Management fees per share for the six months ended June 30, 2026 and 2025 were $0.18 and $0.21, respectively. For the quarters ended March 31, 2026 and December 31, 2025, ending gross assets temporarily fell below $1.0 billion, increasing both quarterly rates from 0.375% to 0.40% for the quarters ended March 31, 2026 and June 30, 2026. With Board approval, RGC voluntarily waived the incremental fee for those periods, resulting in RGC earning a base management fee at an annual rate of 1.50%. The waiver was not subject to recoupment and did not amend the Advisory Agreement. The total base management fees waived for the six months ended June 30, 2026 were approximately $472.7 thousand. For the six months ended June 30, 2025, RGC earned base management fees at an annual rate of 1.50%. There were no management fees waived for the six months ended June 30,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Incentive fees for the three months ended June 30, 2026 and 2025 were ($0.2) million and $3.5 million, respectively. Incentive fees decreased for the three months ended June 30, 2026 from the three months ended June 30, 2025 primarily due to a permanent reversal of previously accrued deferred incentive fees in the amount of $3.8 million related to our loan investments in Blueshift Labs, Inc. and Marley Spoon SE. For the three months ended June 30, 2026, $2.5 million of the incentive fees were payable in cash. With current-period deferred incentive fee accruals of $1.1 million and the reversal of the $3.8 million in incentive fees from prior periods, the net change in deferred incentive fees for the period was a decrease of $2.7 million. For the three months ended June 30, 2025, $2.3 million of the incentive fees were payable in cash and $1.2 million was deferred and accrued. Incentive fees per share for the three months ended June 30, 2026 and 2025 were $0.00 and $0.09,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Incentive fees for the six months ended June 30, 2026 and 2025 were $2.4 million and $7.5 million, respectively. Incentive fees decreased for the six months ended June 30, 2026 from the six months ended June 30, 2025 due to a permanent reversal of previously accrued deferred incentive fees in the amount of $3.8 million related to our loan investments in Blueshift Labs, Inc. and Marley Spoon SE, in addition to a decrease in pre-incentive fee net investment income in the current period. For the six months ended June 30, 2026, $3.9 million of the incentive fees were payable in cash. With current-period deferred incentive fee accruals of $2.3 million and the reversal of the $3.8 million in incentive fees from prior periods, the net change in deferred incentive fees for the period was a decrease of $1.5 million. For the six months ended June 30, 2025, $5.4 million of the incentive fees were payable in cash and $2.1 million was deferred and accrued. Incentive fees per share for the six months ended June 30, 2026 and 2025 were $0.06 and $0.20,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three months ended June 30, 2026 and 2025 was $18.2 million and $13.9 million, respectively. Net investment income increased for the three months ended June 30, 2026 from the three months ended June 30, 2025 primarily due to an increase in investment income resulting from an increase in the average outstanding principal on interest-earning debt investments, accompanied by decreased performance-based incentive fees and management fees. Net investment income per share for the three months ended June 30, 2026 and 2025 was $0.43 and $0.38,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Net investment income for the six months ended June 30, 2026 and 2025 was $28.8 million and $29.5 million, respectively. Net investment income decreased for the six months ended June 30, 2026 from the six months ended June 30, 2025 primarily due to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decrease in investment income resulting from a decrease in the weighted average cash yields on interest-earning debt investments and a decrease in PIK income, partially offset by decreased performance-based incentive fees and management fees. Net investment income per share for the six months ended June 30, 2026 and 2025 was $0.74 and $0.79,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Realized Gain (Loss)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net realized loss of $45.3 million for the three months ended June 30, 2026 was primarily attributable to a realized loss on our loan investments in Blueshift Labs, Inc. and Marley Spoon SE upon restructuring. These losses were partially offset by a realized gain on the sale of our equity position in Eton Pharmaceuticals, Inc. The net realized loss of $1.5 million for the three months ended June 30, 2025 was attributable to a realized loss on our senior secured term loan investment in JobGet Holdings, Inc. (fka Snagajob.com, Inc.) upon conversion to equity.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net realized loss of $44.0 million for the six months ended June 30, 2026 was primarily attributable to a realized loss on our loan investments in Blueshift Labs, Inc. and Marley Spoon SE upon restructuring. These losses were partially offset by realized gains upon the sale of our investments in Eton Pharmaceuticals, Inc. and Pivot3, Inc. The net realized gain of $4.5 million for the six months ended June 30, 2025 was attributable to a realized gain on our investment in Gynesonics, Inc. partially offset by realized losses on our investments in Quantum Corporation and JobGet Holdings, Inc. (fka Snagajob.com, Inc.).</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Change in Unrealized Gain (Loss)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change in unrealized gain of $54.3 million for the three months ended June 30, 2026 was driven primarily by releases of prior-period unrealized losses in connection with restructurings of our loan investments in Marley Spoon SE and Blueshift Labs, Inc. These releases of prior unrealized losses were partially offset by unrealized losses on the post-restructuring Marley Spoon SE investments and were accompanied by increases in the fair value of our loan investments in 3PL Central LLC and Circadence Corporation and the impact of the purchase discount recorded on various investments acquired in connection with the Mergers. Net change in unrealized gain of $4.4 million for the three months ended June 30, 2025 was primarily due to an increase in fair value of our investments in Blueshift Labs, Inc., Hurricane Cleanco Limited, FiscalNote, Inc., and Kin Insurance, Inc. The increase in fair value was partially offset by a decrease in the fair value of our investments in 3PL Central LLC and Marley Spoon 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change in unrealized gain of $7.6 million for the six months ended June 30, 2026 was driven primarily by releases of prior-period unrealized losses in connection with restructurings of our loan investments in Marley Spoon SE and Blueshift Labs, Inc. These releases of prior unrealized losses were partially offset by unrealized losses on the post-restructuring Marley Spoon investments and our preferred stock investment in JobGet Holdings, Inc. (fka Snagajob.com, Inc.), and were accompanied by increases in the fair value of our loan investments in Circadence Corporation and the impact of the purchase discount recorded on various investments acquired in connection with the Mergers. Net change in unrealized loss of $15.4 million for the six months ended June 30, 2025 was primarily due to a release of prior unrealized gain on our investment in Gynesonics, Inc. and a decrease in the fair value of our investments in JobGet Holdings, Inc. (fka Snagajob.com, Inc.), Marley Spoon SE, and zSpace, Inc. The decrease in fair value was partially offset by a release of prior unrealized loss on our investment in Quantum Corporation, accompanied by an increase in fair value of our investments in Blueshift Labs, Inc., Hurricane Cleanco Limited, FiscalNote, Inc., and Kin Insurance, Inc.</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Increase (Decrease) in Net Assets Resulting from Operations</w:t>
      </w:r>
    </w:p>
    <w:p>
      <w:pPr>
        <w:pStyle w:val="TextBody"/>
        <w:bidi w:val="0"/>
        <w:jc w:val="both"/>
        <w:rPr>
          <w:rFonts w:ascii="Times New Roman" w:hAnsi="Times New Roman"/>
          <w:color w:val="000000"/>
          <w:sz w:val="20"/>
        </w:rPr>
      </w:pPr>
      <w:r>
        <w:rPr>
          <w:rFonts w:ascii="Times New Roman" w:hAnsi="Times New Roman"/>
          <w:color w:val="000000"/>
          <w:sz w:val="20"/>
        </w:rPr>
        <w:t>We had a net increase in net assets resulting from operations of $27.2 million for the three months ended June 30, 2026, as compared to a net increase in net assets resulting from operations of $16.8 million for the three months ended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had a net decrease in net assets resulting from operations of $7.6 million for the six months ended June 30, 2026, as compared to a net increase in net assets resulting from operations of $18.7 million for the six months ended June 30, 2025.</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Financial Condition, Liquidity, Capital Resources and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the six months ended June 30, 2026, we primarily funded our operations from (i) cash receipts from interest, dividend, and fee income from our investment portfolio, (ii) cash proceeds from the realization of portfolio investments through the repayments of debt investments and the sale of debt and equity investments, and (iii) net borrowings under our Credit Facility, and (iv) net proceeds from the issuance of our December 2029 Notes and our February 2031 Notes, which replaced our April 2026 Notes, December 2027 Notes, and a portion of our July 2027 Notes.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six months ended June 30, 2026, our operating activities used $188.4 million of cash and cash equivalents, compared to $73.3 million in cash and cash equivalents provided by operating activities during the six months ended June 30, 2025. The $261.7 million increase in cash used in operating activities was primarily attributable to $143.4 million of net cash consideration for the SWK Acquisition which includes acquisition-related transaction costs, as well as higher net portfolio investment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six months ended June 30, 2026, our financing activities provided $181.1 million of cash and cash equivalents, compared to $73.1 million of cash and cash equivalents used in financing activities during the six months ended June 30, 2025. The $254.1 million increase in cash and cash equivalents provided by financing activities was primarily due to increased net borrowing activity of $247.7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our net assets totaled $502.6 million, with a net asset value per share of $11.91. We intend to continue to operate in order to generate cash flows from operations, including income earned from investments in our portfolio companies. Our primary use of funds will be investments in portfolio companies and cash distributions to holders of our common stock.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Available Liquidity and Capital Resources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2026, we had $210.8 million in available liquidity, including $10.8 million in cash and cash equivalents, and $200.0 million available under our Credit Facility, subject to borrowing base capacity. As of June 30, 2026, we had $350.0 million of secured debt outstanding under our Credit Facility, which is a floating interest rate obligation and $333.5 million of unsecured debt outstanding under the July 2027 Notes, SWK 2027 Notes, April 2028 Notes, December 2029 Notes and February 2031 Notes, which are all fixed interest rate debt obligations. Refer to "Note 7 – Borrowings" of our consolidated financial statements in Part I, Item 1 of this Form 10-Q and "Recent Developments - Credit Facility" below for additional discussion of our debt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1940 Act, we are permitted to incur borrowings, issue debt securities, or issue preferred stock if, immediately after the borrowings or issuance, the ratio of total assets (less total liabilities other than indebtedness) to total indebtedness plus preferred stock is at least 150%. As of June 30, 2026 and December 31, 2025, our asset coverage ratio was 174% and 211%, respectively.</w:t>
      </w:r>
    </w:p>
    <w:p>
      <w:pPr>
        <w:pStyle w:val="TextBody"/>
        <w:bidi w:val="0"/>
        <w:jc w:val="both"/>
        <w:rPr>
          <w:rFonts w:ascii="Times New Roman" w:hAnsi="Times New Roman"/>
          <w:color w:val="000000"/>
          <w:sz w:val="20"/>
        </w:rPr>
      </w:pPr>
      <w:r>
        <w:rPr>
          <w:rFonts w:ascii="Times New Roman" w:hAnsi="Times New Roman"/>
          <w:color w:val="000000"/>
          <w:sz w:val="20"/>
        </w:rPr>
        <w:t>As detailed above, our diverse and well-structured balance sheet is designed to provide a long-term focused and sustainable investment platform. Currently, we believe we have sufficient liquidity to support our near-term capital requirements.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Commitments and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significant contractual payment obligations relate to our borrowings and deferred incentive fees. As of June 30, 2026, we had $683.5 million in debt outstanding, of which $33.0 million is due within the next year, $497.3 million is due within one to three years, and $153.3 million is due beyond three years. As of June 30, 2026, we had $10.8 million of deferred incentive fees, $4.7 million of which is due within the next year, $3.2 million is due within one to three years, and $2.8 million is due beyond three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unfunded commitments may be significant from time to time. As of June 30, 2026, we had a total of $146.7 million in unfunded commitments, which was comprised of $123.9 million to provide debt financing to our portfolio companies and $22.8 million in unfunded commitments to provide equity financing to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June 30, 2026, we had $6.3 million of available unfunded commitments to portfolio companies that are eligible to be drawn based on achieved milestones and $22.8 million in unfunded capital commitments to Runway-Cadma I LLC. Refer to "Note 8 – Commitments and Contingencies" of our consolidated financial statements in Part I, Item 1 of this Form 10-Q for a summary of unfunded commitments by portfolio company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hAnsi="Times New Roman"/>
          <w:i/>
          <w:color w:val="000000"/>
          <w:sz w:val="20"/>
        </w:rPr>
        <w:t>.</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Repurchase Program</w:t>
      </w:r>
    </w:p>
    <w:p>
      <w:pPr>
        <w:pStyle w:val="TextBody"/>
        <w:bidi w:val="0"/>
        <w:jc w:val="both"/>
        <w:rPr>
          <w:rFonts w:ascii="Times New Roman" w:hAnsi="Times New Roman"/>
          <w:color w:val="000000"/>
          <w:sz w:val="20"/>
        </w:rPr>
      </w:pPr>
      <w:r>
        <w:rPr>
          <w:rFonts w:ascii="Times New Roman" w:hAnsi="Times New Roman"/>
          <w:color w:val="000000"/>
          <w:sz w:val="20"/>
        </w:rPr>
        <w:t>On February 24, 2022, our Board of Directors approved a share repurchase program (the "First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871,345 shares in connection with the First Repurchase Program for an aggregate purchase price of $10.8 million. The First Repurchase Program expired on February 24,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2, 2023, our Board of Directors approved a share repurchase program (the "Second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30, 2024, our Board of Directors approved a share repurchase program (the "Third Repurchase Program"), under which we were authorized to repurchase up to $15.0 million of our outstanding shares of common stock, at management's discretion from time to time in open-market transactions and in accordance with all applicable securities laws and regulations. We repurchased 1,199,867 shares in connection with the Third Repurchase Program for an aggregate purchase price of $12.5 million. The Third Repurchase Program expired on July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7, 2025, our Board of Directors approved a share repurchase program (the "Fourth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1,213,391 shares for an aggregate purchase price of $12.5 million. The Fourth Repurchase Program expired on May 7, 2026.</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May 5, 2026, our Board of Directors approved a share repurchase program (the "Fifth Repurchase Program"), under which we may repurchase up to $15.0 million of our outstanding shares of common stock. Under the Fifth Repurchase Program, purchases may be made at management’s discretion from time to time in open-market transactions, in accordance with all applicable securities laws and regulations. If not renewed, the Fifth Repurchase Program will terminate upon the earlier of (i) May 7, 2027 or (ii) the repurchase of $15.0 million of our outstanding shares of common stock. From the inception of the Fifth Repurchase Program through June 30, 2026, we repurchased 249,169 shares for an aggregate purchase price of $1.4 million.</w:t>
      </w:r>
    </w:p>
    <w:p>
      <w:pPr>
        <w:pStyle w:val="TextBody"/>
        <w:bidi w:val="0"/>
        <w:jc w:val="both"/>
        <w:rPr>
          <w:rFonts w:ascii="Times New Roman" w:hAnsi="Times New Roman"/>
          <w:color w:val="000000"/>
          <w:sz w:val="20"/>
        </w:rPr>
      </w:pPr>
      <w:r>
        <w:rPr>
          <w:rFonts w:ascii="Times New Roman" w:hAnsi="Times New Roman"/>
          <w:color w:val="000000"/>
          <w:sz w:val="20"/>
        </w:rPr>
        <w:t>Cumulative repurchases under all repurchase programs totaled 5,495,710 shares at an aggregate purchase price of $60.7 million.</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Distributions and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and six months ended June 30, 2026, we declared and paid dividends in the amount of $14.0 million and $25.9 million, respectively, of which $13.8 million and $25.5 million, respectively, were distributed in cash, with the remainder distributed in the form of 33,072 and 64,314 shares, respectively, of our common stock purchased by us in the open market and distributed to stockholders pursuant to our dividend reinvestment plan (the "Dividend Reinvestment Plan"). During the three and six months ended June 30, 2025, we declared dividends in the amount of $13.1 million and $26.5 million, respectively, of which $12.8 million and $26.0 million, respectively, were distributed in cash, with the remainder distributed in the form of 60,716 and 60,716 shares, respectively, of our common stock purchased by us in the open market and distributed to stockholders pursuant to our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On an ongoing basis, our management evaluates its estimates and assumptions, which are based on historical experience and on various other assumptions that we believe to be reasonable under the circumstances. Actual results could materially differ from those estimates, including as a result of changes in the economic environment, financial markets, and any other parameters used in determining such estimates. Changes in our estimates and assumptions could materially impact our results of operations and financial condition. Our critical accounting estimates, including those relating to valuations of our investment portfolio, are described below. The critical accounting estimates should be read in conjunction with our risk factors as disclosed in "Risk Factors" in Part I, Item 1A of our annual report on Form 10-K, filed with the SEC on March 12, 2026. Refer to "Note 2 – Summary of Significant Accounting Policies" of our consolidated financial statements in Part I, Item 1 of this Form 10-Q for a discussion of our significant accounting policies. We consider the most significant critical accounting estimates and significant accounting policies to be those related to the valuation of our investment portfolio (Fair Value Measurements).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Investment Valuation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most significant estimate inherent in the preparation of our consolidated financial statements is the valuation of investments and the related amounts of unrealized appreciation and depreciation of investments recorded. We measure the value of its financial instruments at fair value in accordance with ASC Topic 820, </w:t>
      </w:r>
      <w:r>
        <w:rPr>
          <w:rFonts w:ascii="Times New Roman" w:hAnsi="Times New Roman"/>
          <w:i/>
          <w:color w:val="000000"/>
          <w:sz w:val="20"/>
        </w:rPr>
        <w:t>Fair Value Measurements and Disclosure</w:t>
      </w:r>
      <w:r>
        <w:rPr>
          <w:rFonts w:ascii="Times New Roman" w:hAnsi="Times New Roman"/>
          <w:color w:val="000000"/>
          <w:sz w:val="20"/>
        </w:rPr>
        <w:t xml:space="preserve"> ("ASC 820"), issued by the FASB. Fair value is the price that would be received to sell an asset or paid to transfer a liability in an orderly transaction between market participants at the measurement date. Our investment portfolio is reported at fair value on our consolidated statements of assets and liabilities. All assets and liabilities approximate fair value on our consolidated statements of assets and liabilities, with the exception of our borrowings, which are reported at amortized cost. For more information on financial instruments reported at cost, refer to "Note 5 – Fair Value of Financial Instruments" of our consolidated financial statements in Part I, Item 1 of this Form 10-Q.</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1 - Valuations are based on quoted prices in active markets for identical assets or liabilities that are accessible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 techniques. The valuation of Level 3 assets and liabilities generally requires significant management judgment due to the inability to observe inputs to valuation.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Rule 2a-5 under the 1940 Act established additional requirements for determining the fair value of our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1940 Act and the threshold for determining whether a fund must determine the fair value of a security. Rule 31a-4 under the 1940 Act established additional recordkeeping requirements related to fair value determinations. Although we adopted certain revisions to our valuation policies and procedures to comply with Rule 2a-5 and Rule 31a-4, the Board of Directors has not elected to designate a valuation designee. See "Note 2 – Summary of Significant Accounting Policies" for additional information on our valuation process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makes fair value determinations on a quarterly basis and any other time when a decision regarding the fair value of the portfolio investments is required. There is no single standard for determining the fair value of investments that do not have an active public market. As a result, determining fair value requires that judgment be applied to the specific facts and circumstances of each portfolio investment while employing a consistently applied valuation process for the types of investments we make. A determination of fair value of investments, particularly those of privately held companies, involves subjective judgments and estimates and depends on the facts and circumstances, including at discrete points in time.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investments may fluctuate from period to period and/or differ, significantly from the values that would have been used had a readily available market value existed for such investments, and the differences could be material. These estimates may be subjective in nature and involve uncertainties and matters of significant judgment and, therefore, cannot be determined with precision. Our investments and secured borrowings are measured at fair value. The carrying amounts of cash, receivables, payables and certain other short-term financial instruments approximate fair value because of their short-term maturities. Our remaining borrowings are carried at amortized cost.</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evaluated events subsequent to June 30, 2026 through August 6, 2026. There have been no subsequent events that occurred during such period that would require recognition or disclosure, except as disclosed below.</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August 5, 2026, our Board of Directors declared a quarterly distribution of $0.33 per share for our stockholders of record as of August 17, 2026, payable on or before August 31, 2026. </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13, 2026, we entered into the Eighth Amendment to our amended and restated credit agreement (the “Credit Facility Amendment”). The Credit Facility Amendment, effective as of June 30, 2026, (i) reduced the total commitments under the Credit Facility from $550.0 million to $425.0 million; (ii) permitted the future prepayment and termination of a certain lender’s commitments on a non-pro-rata basis; (iii) amended certain financial covenants; (iv) updated certain key-person trigger events; and (v) amended certain loan eligibility criteria and borrowing-base concentration limitations.</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Recent Portfolio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July 1, 2026 through August 6, 2026, we funded $1.9 million in unfunded commitments on existing investments. We also received $17.1 million in debt prepayments.</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Appointment of Co-Chief Executive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5, 2026, the Board of Directors elected Michael Rovner, age 56, as our Co-Chief Executive Officer, effective as of the close of business on August 6, 2026 (the “Effective Time”), to serve alongside R. David Spreng, whose title will change from Chief Executive Officer and President to Co-Chief Executive Officer and President, as of the Effective Time. In addition, Mr. Rovner will serve as the Co-Chief Executive Officer, the Co-Chief Investment Officer and as a member of the investment committee of RGC, effective as of the Effective Time.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Mr. Rovner has more than 30 years of industry experience spanning early and growth stage technology companies, private equity, private credit, and growth-debt lending. Prior to joining us, Mr. Rovner served as a managing director at BC Partners and its affiliate Mount Logan Management since 2023. Before that, from 2012 to 2023, he served as the chief executive officer and head of the investment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color w:val="000000"/>
          <w:sz w:val="20"/>
        </w:rPr>
      </w:pPr>
      <w:r>
        <w:rPr>
          <w:rFonts w:ascii="Times New Roman" w:hAnsi="Times New Roman"/>
          <w:color w:val="000000"/>
          <w:sz w:val="20"/>
        </w:rPr>
        <w:t>committee of Ovation Partners, a provider of asset backed lending solutions and growth capital for established companies, which he co-founded. From 2009 to 2011, Mr. Rovner served on the Board of Directors of Vida Capital, a vertically integrated manager of insurance-related and longevity contingent assets, which he co-founded in 2009. From 2000 to 2011, he served as a partner and head of the financial services practice of Austin Ventures, a venture capital and growth equity firm focused on early-stage and growth equity investments in the financial services, technology, digital media, and technology-enabled services markets. Mr. Rovner received a B.A. in English from UCLA.</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Investment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the close of business on August 6, 2026, RGC’s Investment Committee will consist of R. David Spreng, Michael</w:t>
        <w:br/>
        <w:t>Rovner, Thomas B. Raterman and Patrick Schafer.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refer to "Part II, Item 5. Other Information" for additional information.</w:t>
      </w:r>
    </w:p>
    <w:p>
      <w:pPr>
        <w:pStyle w:val="Heading1"/>
        <w:bidi w:val="0"/>
        <w:spacing w:before="120" w:after="240"/>
        <w:jc w:val="left"/>
        <w:rPr>
          <w:rFonts w:ascii="Times New Roman" w:hAnsi="Times New Roman"/>
          <w:color w:val="000000"/>
          <w:sz w:val="20"/>
        </w:rPr>
      </w:pPr>
      <w:bookmarkStart w:id="13" w:name="item3quantitativeandqualitativedisclosur"/>
      <w:bookmarkEnd w:id="13"/>
      <w:r>
        <w:rPr>
          <w:rFonts w:ascii="Times New Roman" w:hAnsi="Times New Roman"/>
          <w:color w:val="000000"/>
          <w:sz w:val="20"/>
        </w:rPr>
        <w:t>Item 3. Quantitative and Qualitative Disclosures about Market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as well as uncertainty with respect to trade policies, restrictions and tariffs, has introduced significant volatility in the financial markets, and the effects of this volatility could materially impact our market risks. For additional information concerning the market risks we face and their potential impact on our business and our operating results, see Part II, Item 1A. Risk Factors.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Valuation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to the extent our debt investments include variable interest rates.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June 30, 2026, $1.0 billion of par, or 87.5% of our debt portfolio investments bore interest at variable rates, of which approximately 82.0% were based on SOFR and 18.0% were based on Prime. A hypothetical 200 basis point increase or decrease in the interest rates on our variable-rate debt investments could increase our interest income by a maximum of $16.4 million and decrease our investment income by a maximum of $8.0 million, due to certain floors, on an annual basis.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our leverage ratio and number of eligible loans in the collateral pool. For additional information regarding the interest rate associated with each of our debt borrowings, refer to "Note 7 – Borrowings" of our consolidated financial statements in Part I, Item 1 of this Form 10-Q. For additional information regarding the subsequent reduction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total commitments under the Credit Facility, refer to “Recent Developments – Credit Facility” above and “Note 14 – Subsequent Events” of our consolidated financial statements in Part I, Item 1 of this Form 10-Q.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regularly measure exposure to interest rate risk. We assess interest rate risk and manage interest rate exposure on an ongoing basis by comparing our interest rate sensitive assets to our interest rate sensitive liabilities. Based on our Consolidated Statements of Assets and Liabilities as of June 30, 2026, the following table shows the approximate annualized increase (decrease) in components of net assets resulting from operations of hypothetical base rate changes in interest rates, assuming no changes to our investments or borrowing structure.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thousands except per share data):</w:t>
      </w:r>
    </w:p>
    <w:tbl>
      <w:tblPr>
        <w:tblW w:w="7080" w:type="dxa"/>
        <w:jc w:val="left"/>
        <w:tblInd w:w="0" w:type="dxa"/>
        <w:tblLayout w:type="fixed"/>
        <w:tblCellMar>
          <w:top w:w="28" w:type="dxa"/>
          <w:left w:w="28" w:type="dxa"/>
          <w:bottom w:w="28" w:type="dxa"/>
          <w:right w:w="28" w:type="dxa"/>
        </w:tblCellMar>
      </w:tblPr>
      <w:tblGrid>
        <w:gridCol w:w="1516"/>
        <w:gridCol w:w="255"/>
        <w:gridCol w:w="190"/>
        <w:gridCol w:w="784"/>
        <w:gridCol w:w="166"/>
        <w:gridCol w:w="146"/>
        <w:gridCol w:w="277"/>
        <w:gridCol w:w="206"/>
        <w:gridCol w:w="807"/>
        <w:gridCol w:w="166"/>
        <w:gridCol w:w="146"/>
        <w:gridCol w:w="199"/>
        <w:gridCol w:w="148"/>
        <w:gridCol w:w="582"/>
        <w:gridCol w:w="166"/>
        <w:gridCol w:w="146"/>
        <w:gridCol w:w="146"/>
        <w:gridCol w:w="196"/>
        <w:gridCol w:w="146"/>
        <w:gridCol w:w="481"/>
        <w:gridCol w:w="211"/>
      </w:tblGrid>
      <w:tr>
        <w:trPr/>
        <w:tc>
          <w:tcPr>
            <w:tcW w:w="15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NII/Share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believe that the foregoing analysis is indicative of our sensitivity to interest rate changes, it does not adjust for potential changes in the credit market, credit quality, size and composition of the assets in our portfolio. It also does not adjust for other business developments, including our debt borrowings and use of our Credit Facility that could affect the net increase in net assets resulting from operations, or net income. It also does not assume any repayments from our portfolio companies. Accordingly, no assurances can be given that actual results would not differ materially from the statement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 See "Risk Factors – Risks Related to Our Business and Structure" in Part I, Item 1A of our annual report on Form 10-K, filed with the SEC on March 12, 2026.</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Hedging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From time-to time, we may hedge against interest rate and currency exchange rate fluctuations by using standard hedging instruments such as futures, options, swap contracts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As of June 30, 2026, we did not have any hedging instruments.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14" w:name="item4controlsandprocedures_691536"/>
      <w:bookmarkEnd w:id="14"/>
      <w:r>
        <w:rPr>
          <w:rFonts w:ascii="Times New Roman" w:hAnsi="Times New Roman"/>
          <w:color w:val="000000"/>
          <w:sz w:val="20"/>
        </w:rPr>
        <w:t>Item 4. Controls and Procedures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noBreakHyphen/>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occurred during our most recently completed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bookmarkStart w:id="15" w:name="partiiotherinformation_686450"/>
      <w:bookmarkEnd w:id="15"/>
      <w:r>
        <w:rPr>
          <w:rFonts w:ascii="Times New Roman" w:hAnsi="Times New Roman"/>
          <w:b/>
          <w:color w:val="000000"/>
          <w:sz w:val="20"/>
        </w:rPr>
        <w:t>PART II. OTHER INFORMATION</w:t>
      </w:r>
    </w:p>
    <w:p>
      <w:pPr>
        <w:pStyle w:val="Heading1"/>
        <w:bidi w:val="0"/>
        <w:spacing w:before="120" w:after="240"/>
        <w:jc w:val="left"/>
        <w:rPr>
          <w:rFonts w:ascii="Times New Roman" w:hAnsi="Times New Roman"/>
          <w:color w:val="000000"/>
          <w:sz w:val="20"/>
        </w:rPr>
      </w:pPr>
      <w:bookmarkStart w:id="16" w:name="item1legalproceedings_844818"/>
      <w:bookmarkEnd w:id="16"/>
      <w:r>
        <w:rPr>
          <w:rFonts w:ascii="Times New Roman" w:hAnsi="Times New Roman"/>
          <w:color w:val="000000"/>
          <w:sz w:val="20"/>
        </w:rPr>
        <w:t>Item 1. Legal Proceedings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pStyle w:val="Heading1"/>
        <w:bidi w:val="0"/>
        <w:spacing w:before="160" w:after="240"/>
        <w:jc w:val="left"/>
        <w:rPr>
          <w:rFonts w:ascii="Times New Roman" w:hAnsi="Times New Roman"/>
          <w:color w:val="000000"/>
          <w:sz w:val="20"/>
        </w:rPr>
      </w:pPr>
      <w:bookmarkStart w:id="17" w:name="item1ariskfactors_996118"/>
      <w:bookmarkEnd w:id="17"/>
      <w:r>
        <w:rPr>
          <w:rFonts w:ascii="Times New Roman" w:hAnsi="Times New Roman"/>
          <w:color w:val="000000"/>
          <w:sz w:val="20"/>
        </w:rPr>
        <w:t>Item 1A.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should carefully consider the risks contained in this quarterly report on Form 10-Q, including our interim consolidated financial statements and the related notes thereto, before making a decision to purchase our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"Risk Factors" in Part I, Item 1A of our annual report on Form 10-K, filed with the SEC on March 12,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risks and uncertainties described in this report and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this report and our annual report on Form 10-K actually occur, our business, financial condition or results of operations could be materially adversely affected. If that happens, you may lose all or part of your investment.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Risks Related to Our Business and Structure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We are dependent upon RGC's senior management personnel for our future success.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on the experience, diligence, skill and investment acumen of RGC's senior officers and other investment professionals, including members of its investment committee, that it currently retains or may subsequently retain that identify, evaluate, negotiate, structure, close, monitor and manage our investments. Our future success will depend to a significant extent on the continued service of RGC’s senior management. We cannot assure you that unforeseen business, medical, personal or other circumstances would not lead any such individual to terminate his or her relationship with us. The departure of any of the members of RGC’s senior management could have a material adverse effect on our ability to achieve our investment objective, as well as on our financial condition, business and results of operations. In addition, we can offer no assurance that RGC will continue indefinitely as our investment adviser.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pStyle w:val="Heading1"/>
        <w:bidi w:val="0"/>
        <w:spacing w:before="120" w:after="240"/>
        <w:jc w:val="left"/>
        <w:rPr>
          <w:rFonts w:ascii="Times New Roman" w:hAnsi="Times New Roman"/>
          <w:color w:val="000000"/>
          <w:sz w:val="20"/>
        </w:rPr>
      </w:pPr>
      <w:bookmarkStart w:id="18" w:name="item2unregisteredsalesofequitysecurities"/>
      <w:bookmarkEnd w:id="18"/>
      <w:r>
        <w:rPr>
          <w:rFonts w:ascii="Times New Roman" w:hAnsi="Times New Roman"/>
          <w:color w:val="000000"/>
          <w:sz w:val="20"/>
        </w:rPr>
        <w:t>Item 2. Unregistered Sales of Equity Securities and Use of Proceeds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than pursuant to our Dividend Reinvestment Plan, and except as previously reported by us on our current reports on Form 8</w:t>
        <w:noBreakHyphen/>
        <w:t>K, we did not sell any securities during the period covered by this quarterly report on Form 10</w:t>
        <w:noBreakHyphen/>
        <w:t>Q that were not registered under the Securities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As part of our Fourth Repurchase Program, we have maintained repurchase plans in accordance with Rule 10b5-1 (the "Rule 10b5-1") promulgated under the Securities Exchange Act of 1934, as amended (the "Exchange Act"). Under the Fourth Repurchase Program, we repurchased 1,213,391 shares for an aggregate purchase price of $12.5 million. Repurchases under the Fourth Repurchase Program could be made in open-market or privately negotiated transactions, and we were not obligated to repurchase any shares under the Fourth Repurchase Program. The Fourth Repurchase Program expired in accordance with its terms on May 7, 2026.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On May 5, 2026, our Board of Directors approved a share repurchase program (the "Fifth Repurchase Program"). As part of our Fifth Repurchase Program, we have maintained repurchase plans in accordance with Rule 10b5-1 promulgated under the Exchange Act. Under the Fifth Repurchase Program, we repurchased 249,169 shares for an aggregate purchase price of $1.4 million during the six months ended June 30, 2026. Repurchases under the Fifth Repurchase Program can be made in open-market or privately negotiated transactions, and we are not obligated to repurchase any shares under the Fifth Repurchase Program. As of June 30, 2026, the approximate dollar value of shares that could yet be repurchased under the Fifth Repurchase Program was $13.6 million. If not renewed, the Fifth Repurchase Program will terminate upon the earlier of (i) May 7, 2027 or (ii) the repurchase of $15.0 million of our outstanding shares of common stock. Refer to "Note 9 – Net Assets - </w:t>
      </w:r>
      <w:r>
        <w:rPr>
          <w:rFonts w:ascii="Times New Roman" w:hAnsi="Times New Roman"/>
          <w:i/>
          <w:color w:val="000000"/>
          <w:sz w:val="20"/>
        </w:rPr>
        <w:t>Repurchase Program</w:t>
      </w:r>
      <w:r>
        <w:rPr>
          <w:rFonts w:ascii="Times New Roman" w:hAnsi="Times New Roman"/>
          <w:color w:val="000000"/>
          <w:sz w:val="20"/>
        </w:rPr>
        <w:t xml:space="preserve">" of our consolidated financial statements in Part I, Item 1 of this Form 10-Q for more information. </w:t>
      </w:r>
    </w:p>
    <w:p>
      <w:pPr>
        <w:pStyle w:val="Heading1"/>
        <w:bidi w:val="0"/>
        <w:spacing w:before="120" w:after="240"/>
        <w:jc w:val="left"/>
        <w:rPr>
          <w:rFonts w:ascii="Times New Roman" w:hAnsi="Times New Roman"/>
          <w:color w:val="000000"/>
          <w:sz w:val="20"/>
        </w:rPr>
      </w:pPr>
      <w:bookmarkStart w:id="19" w:name="item3defaultsuponseniorsecurities_59067"/>
      <w:bookmarkEnd w:id="19"/>
      <w:r>
        <w:rPr>
          <w:rFonts w:ascii="Times New Roman" w:hAnsi="Times New Roman"/>
          <w:color w:val="000000"/>
          <w:sz w:val="20"/>
        </w:rPr>
        <w:t>Item 3. Defaults Upon Senior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Heading1"/>
        <w:bidi w:val="0"/>
        <w:spacing w:before="120" w:after="240"/>
        <w:jc w:val="left"/>
        <w:rPr>
          <w:rFonts w:ascii="Times New Roman" w:hAnsi="Times New Roman"/>
          <w:color w:val="000000"/>
          <w:sz w:val="20"/>
        </w:rPr>
      </w:pPr>
      <w:bookmarkStart w:id="20" w:name="item4minesafetydisclosures_325402"/>
      <w:bookmarkEnd w:id="20"/>
      <w:r>
        <w:rPr>
          <w:rFonts w:ascii="Times New Roman" w:hAnsi="Times New Roman"/>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Heading1"/>
        <w:bidi w:val="0"/>
        <w:spacing w:before="360" w:after="240"/>
        <w:jc w:val="left"/>
        <w:rPr>
          <w:rFonts w:ascii="Times New Roman" w:hAnsi="Times New Roman"/>
          <w:color w:val="000000"/>
          <w:sz w:val="20"/>
        </w:rPr>
      </w:pPr>
      <w:bookmarkStart w:id="21" w:name="item5otherinformation_981141"/>
      <w:bookmarkEnd w:id="21"/>
      <w:r>
        <w:rPr>
          <w:rFonts w:ascii="Times New Roman" w:hAnsi="Times New Roman"/>
          <w:color w:val="000000"/>
          <w:sz w:val="20"/>
        </w:rPr>
        <w:t>Item 5. Other Information</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(a) Appointment of Co-Chief Executive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5, 2026, the Board of Directors elected Michael Rovner, age 56, as the Company’s Co-Chief Executive Officer, effective as of the close of business on August 6, 2026 (the “Effective Time”), to serve alongside R. David Spreng, whose title will change from Chief Executive Officer and President to Co-Chief Executive Officer and President of the Company, as of the Effective Time. In addition, Mr. Rovner will serve as the Co-Chief Executive Officer, the Co-Chief Investment Officer and as a member of the investment committee of Runway Growth Capital LLC, the Company’s investment adviser, effective as of the Effective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Rovner has more than 30 years of industry experience spanning early and growth stage technology companies, private equity, private credit, and growth-debt lending. Prior to joining the Company, Mr. Rovner served as a managing director at BC Partners and its affiliate Mount Logan Management since 2023. Before that, from 2012 to 2023, he served as the chief executive officer and head of the investment committee of Ovation Partners, a provider of asset backed lending solutions and growth capital for established companies, which he co-founded. From 2009 to 2011, Mr. Rovner served on the Board of Directors of Vida Capital, a vertically integrated manager of insurance-related and longevity contingent assets, which he co-founded in 2009. From 2000 to 2011, he served as a partner and head of the financial services practice of Austin Ventures, a venture capital and growth equity firm focused on early-stage and growth equity investments in the financial services, technology, digital media, and technology-enabled services markets. Mr. Rovner received a B.A. in English from UCLA.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Rovner does not have any family relationships with any current director, executive officer, or person nominated to become a director or executive officer, of the Company, and there are no transactions or proposed transactions, to which the Company is a party, or intended to be a party, in which Mr. Rovner has, or will have, a material interest subject to Item 404(a)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Third Amended and Restated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5, 2026, the Board of Directors of the Company approved the Third Amended and Restated Bylaws of the Company (the “Bylaws”), which became effective as of that date and amended and restated the Company’s Second Amended and Restated Bylaws in its entirety to, among other things: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provide a majority voting standard for the election of directors in contested elections;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designate, unless the Company consents in writing to the selection of a different forum and except for any claims made under the U.S. federal securities laws, the Circuit Court for Baltimore City, Maryland, or, if that court does not have jurisdiction, the United States District Court for the District of Maryland, Northern Division, as the sole and exclusive forum for (i) any internal corporate claim, (ii) any derivative action or proceeding brought on behalf of the Company, (iii) any action asserting a claim of breach of any duty owed by any director, officer or employee of the Company to the Company or to the Company’s stockholders, (iv) any action asserting a claim arising pursuant to any provision of the Maryland General Corporation Law or the Company’s Charter or Bylaws, or (v) any other action asserting a claim governed by the internal affairs doctrine.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description of the Bylaws is qualified in its entirety by reference to the complete text of the Bylaws, a copy of which is filed as Exhibit 3.3 to this Quarterly Report on Form 10-Q and is incorporated herein by reference.</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(b) None.</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(c) Rule 10b5-1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22" w:name="item6exhibits_524452"/>
      <w:bookmarkEnd w:id="22"/>
      <w:r>
        <w:rPr>
          <w:rFonts w:ascii="Times New Roman" w:hAnsi="Times New Roman"/>
          <w:color w:val="000000"/>
          <w:sz w:val="20"/>
        </w:rPr>
        <w:t>Item 6. Exhibits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514"/>
        <w:gridCol w:w="9691"/>
      </w:tblGrid>
      <w:tr>
        <w:trPr/>
        <w:tc>
          <w:tcPr>
            <w:tcW w:w="514" w:type="dxa"/>
            <w:tcBorders/>
            <w:vAlign w:val="center"/>
          </w:tcPr>
          <w:p>
            <w:pPr>
              <w:pStyle w:val="TableContents"/>
              <w:bidi w:val="0"/>
              <w:spacing w:before="0" w:after="283"/>
              <w:jc w:val="left"/>
              <w:rPr>
                <w:sz w:val="4"/>
                <w:szCs w:val="4"/>
              </w:rPr>
            </w:pPr>
            <w:r>
              <w:rPr>
                <w:sz w:val="4"/>
                <w:szCs w:val="4"/>
              </w:rPr>
            </w:r>
          </w:p>
        </w:tc>
        <w:tc>
          <w:tcPr>
            <w:tcW w:w="9691" w:type="dxa"/>
            <w:tcBorders/>
            <w:vAlign w:val="center"/>
          </w:tcPr>
          <w:p>
            <w:pPr>
              <w:pStyle w:val="TableContents"/>
              <w:bidi w:val="0"/>
              <w:spacing w:before="0" w:after="283"/>
              <w:jc w:val="left"/>
              <w:rPr>
                <w:sz w:val="4"/>
                <w:szCs w:val="4"/>
              </w:rPr>
            </w:pPr>
            <w:r>
              <w:rPr>
                <w:sz w:val="4"/>
                <w:szCs w:val="4"/>
              </w:rPr>
            </w:r>
          </w:p>
        </w:tc>
      </w:tr>
      <w:tr>
        <w:trPr/>
        <w:tc>
          <w:tcPr>
            <w:tcW w:w="5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w:t>
            </w:r>
          </w:p>
        </w:tc>
        <w:tc>
          <w:tcPr>
            <w:tcW w:w="9691"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16"/>
                  <w:u w:val="single"/>
                </w:rPr>
                <w:t xml:space="preserve">Articles of Amendment and Restatement </w:t>
              </w:r>
            </w:hyperlink>
            <w:hyperlink r:id="rId3">
              <w:r>
                <w:rPr>
                  <w:rStyle w:val="InternetLink"/>
                  <w:rFonts w:ascii="Times New Roman" w:hAnsi="Times New Roman"/>
                  <w:color w:val="0000FF"/>
                  <w:sz w:val="11"/>
                  <w:u w:val="single"/>
                </w:rPr>
                <w:t>(1)</w:t>
              </w:r>
            </w:hyperlink>
          </w:p>
        </w:tc>
      </w:tr>
      <w:tr>
        <w:trPr/>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w:t>
            </w:r>
          </w:p>
        </w:tc>
        <w:tc>
          <w:tcPr>
            <w:tcW w:w="9691"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16"/>
                  <w:u w:val="single"/>
                </w:rPr>
                <w:t xml:space="preserve">Articles of Amendment </w:t>
              </w:r>
            </w:hyperlink>
            <w:hyperlink r:id="rId5">
              <w:r>
                <w:rPr>
                  <w:rStyle w:val="InternetLink"/>
                  <w:rFonts w:ascii="Times New Roman" w:hAnsi="Times New Roman"/>
                  <w:color w:val="0000FF"/>
                  <w:sz w:val="11"/>
                  <w:u w:val="single"/>
                </w:rPr>
                <w:t>(2)</w:t>
              </w:r>
            </w:hyperlink>
          </w:p>
        </w:tc>
      </w:tr>
      <w:tr>
        <w:trPr/>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3.3</w:t>
            </w:r>
          </w:p>
        </w:tc>
        <w:tc>
          <w:tcPr>
            <w:tcW w:w="9691" w:type="dxa"/>
            <w:tcBorders/>
            <w:tcMar>
              <w:top w:w="0" w:type="dxa"/>
              <w:left w:w="0" w:type="dxa"/>
              <w:bottom w:w="0" w:type="dxa"/>
              <w:right w:w="0" w:type="dxa"/>
            </w:tcMar>
            <w:vAlign w:val="center"/>
          </w:tcPr>
          <w:p>
            <w:pPr>
              <w:pStyle w:val="TableContents"/>
              <w:bidi w:val="0"/>
              <w:spacing w:before="0" w:after="283"/>
              <w:jc w:val="both"/>
              <w:rPr/>
            </w:pPr>
            <w:hyperlink w:anchor="rway-ex3_3.htm">
              <w:r>
                <w:rPr>
                  <w:rStyle w:val="InternetLink"/>
                  <w:rFonts w:ascii="Times New Roman" w:hAnsi="Times New Roman"/>
                  <w:color w:val="0000FF"/>
                  <w:sz w:val="16"/>
                  <w:u w:val="single"/>
                </w:rPr>
                <w:t>Third Amended and Restated Bylaws *</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4.1</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6"/>
                  <w:u w:val="single"/>
                </w:rPr>
                <w:t xml:space="preserve">Eighth Amendment to Credit Agreement, dated as of July 13, 2026, among Runway Growth Finance Corp., as borrower, each guarantor party thereto; the financial institutions party thereto as lenders; KeyBank National Association, as administrative agent; CIBC Bank USA, as documentation agent; MUFG Bank, Ltd. (as successor in interest to MUFG Union Bank, N.A.), as co-documentation agent; and U.S. Bank Trust Company, National Association, as paying agent and collateral custodian </w:t>
              </w:r>
            </w:hyperlink>
            <w:hyperlink r:id="rId7">
              <w:r>
                <w:rPr>
                  <w:rStyle w:val="InternetLink"/>
                  <w:rFonts w:ascii="Times New Roman" w:hAnsi="Times New Roman"/>
                  <w:color w:val="0000FF"/>
                  <w:sz w:val="11"/>
                  <w:u w:val="single"/>
                </w:rPr>
                <w:t>(5)</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4.2</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6"/>
                  <w:u w:val="single"/>
                </w:rPr>
                <w:t xml:space="preserve">Indenture, by and between SWK and Wilmington Trust, National Association, dated as of October 3, 2023 </w:t>
              </w:r>
            </w:hyperlink>
            <w:hyperlink r:id="rId9">
              <w:r>
                <w:rPr>
                  <w:rStyle w:val="InternetLink"/>
                  <w:rFonts w:ascii="Times New Roman" w:hAnsi="Times New Roman"/>
                  <w:color w:val="0000FF"/>
                  <w:sz w:val="11"/>
                  <w:u w:val="single"/>
                </w:rPr>
                <w:t>(3)</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4.3</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6"/>
                  <w:u w:val="single"/>
                </w:rPr>
                <w:t xml:space="preserve">First Supplemental Indenture, by and between SWK Holdings Corporation and Wilmington Trust, National Association, dated as of October 3, 2023 </w:t>
              </w:r>
            </w:hyperlink>
            <w:hyperlink r:id="rId11">
              <w:r>
                <w:rPr>
                  <w:rStyle w:val="InternetLink"/>
                  <w:rFonts w:ascii="Times New Roman" w:hAnsi="Times New Roman"/>
                  <w:color w:val="0000FF"/>
                  <w:sz w:val="11"/>
                  <w:u w:val="single"/>
                </w:rPr>
                <w:t>(3)</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4.4</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6"/>
                  <w:u w:val="single"/>
                </w:rPr>
                <w:t>Form of 9.00% Senior Notes due 2027 (included as Exhibit A to Exhibit 4.3 above)</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4.5</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6"/>
                  <w:u w:val="single"/>
                </w:rPr>
                <w:t xml:space="preserve">Second Supplemental Indenture, by and between SWK Holdings Corporation and Wilmington Trust, National Association, dated as of April 6, 2026 </w:t>
              </w:r>
            </w:hyperlink>
            <w:hyperlink r:id="rId14">
              <w:r>
                <w:rPr>
                  <w:rStyle w:val="InternetLink"/>
                  <w:rFonts w:ascii="Times New Roman" w:hAnsi="Times New Roman"/>
                  <w:color w:val="0000FF"/>
                  <w:sz w:val="11"/>
                  <w:u w:val="single"/>
                </w:rPr>
                <w:t>(3)</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4.6</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6"/>
                  <w:u w:val="single"/>
                </w:rPr>
                <w:t xml:space="preserve">Third Supplemental Indenture, by and between Runway Growth Finance Corp. and Wilmington Trust, National Association, dated as of April 6, 2026 </w:t>
              </w:r>
            </w:hyperlink>
            <w:hyperlink r:id="rId16">
              <w:r>
                <w:rPr>
                  <w:rStyle w:val="InternetLink"/>
                  <w:rFonts w:ascii="Times New Roman" w:hAnsi="Times New Roman"/>
                  <w:color w:val="0000FF"/>
                  <w:sz w:val="11"/>
                  <w:u w:val="single"/>
                </w:rPr>
                <w:t>(3)</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4.7</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6"/>
                  <w:u w:val="single"/>
                </w:rPr>
                <w:t xml:space="preserve">Fourth Supplemental Indenture, by and between Runway Growth Finance Corp. and U.S. Bank Trust Company, National Association, dated as of May 29, 2026 </w:t>
              </w:r>
            </w:hyperlink>
            <w:hyperlink r:id="rId18">
              <w:r>
                <w:rPr>
                  <w:rStyle w:val="InternetLink"/>
                  <w:rFonts w:ascii="Times New Roman" w:hAnsi="Times New Roman"/>
                  <w:color w:val="0000FF"/>
                  <w:sz w:val="11"/>
                  <w:u w:val="single"/>
                </w:rPr>
                <w:t>(4)</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4.8</w:t>
            </w:r>
          </w:p>
        </w:tc>
        <w:tc>
          <w:tcPr>
            <w:tcW w:w="969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6"/>
                  <w:u w:val="single"/>
                </w:rPr>
                <w:t>Form of Global Note (included as Exhibit A to Exhibit 4.7 above)</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9691" w:type="dxa"/>
            <w:tcBorders/>
            <w:tcMar>
              <w:top w:w="0" w:type="dxa"/>
              <w:left w:w="0" w:type="dxa"/>
              <w:bottom w:w="0" w:type="dxa"/>
              <w:right w:w="0" w:type="dxa"/>
            </w:tcMar>
            <w:vAlign w:val="center"/>
          </w:tcPr>
          <w:p>
            <w:pPr>
              <w:pStyle w:val="TableContents"/>
              <w:bidi w:val="0"/>
              <w:spacing w:before="0" w:after="283"/>
              <w:jc w:val="both"/>
              <w:rPr/>
            </w:pPr>
            <w:hyperlink w:anchor="rway-ex31_1.htm">
              <w:r>
                <w:rPr>
                  <w:rStyle w:val="InternetLink"/>
                  <w:rFonts w:ascii="Times New Roman" w:hAnsi="Times New Roman"/>
                  <w:color w:val="0000FF"/>
                  <w:sz w:val="16"/>
                  <w:u w:val="single"/>
                </w:rPr>
                <w:t>Certification of Chief Executive Officer pursuant to Rule 13a</w:t>
                <w:noBreakHyphen/>
                <w:t>14 of the Securities Exchange Act of 1934, as amended *</w:t>
              </w:r>
            </w:hyperlink>
          </w:p>
        </w:tc>
      </w:tr>
      <w:tr>
        <w:trPr/>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31.2</w:t>
            </w:r>
          </w:p>
        </w:tc>
        <w:tc>
          <w:tcPr>
            <w:tcW w:w="9691" w:type="dxa"/>
            <w:tcBorders/>
            <w:tcMar>
              <w:top w:w="0" w:type="dxa"/>
              <w:left w:w="0" w:type="dxa"/>
              <w:bottom w:w="0" w:type="dxa"/>
              <w:right w:w="0" w:type="dxa"/>
            </w:tcMar>
            <w:vAlign w:val="center"/>
          </w:tcPr>
          <w:p>
            <w:pPr>
              <w:pStyle w:val="TableContents"/>
              <w:bidi w:val="0"/>
              <w:spacing w:before="0" w:after="283"/>
              <w:jc w:val="both"/>
              <w:rPr/>
            </w:pPr>
            <w:hyperlink w:anchor="rway-ex31_2.htm">
              <w:r>
                <w:rPr>
                  <w:rStyle w:val="InternetLink"/>
                  <w:rFonts w:ascii="Times New Roman" w:hAnsi="Times New Roman"/>
                  <w:color w:val="0000FF"/>
                  <w:sz w:val="16"/>
                  <w:u w:val="single"/>
                </w:rPr>
                <w:t>Certification of Chief Financial Officer pursuant to Rule 13a</w:t>
                <w:noBreakHyphen/>
                <w:t>14 of the Securities Exchange Act of 1934, as amended *</w:t>
              </w:r>
            </w:hyperlink>
          </w:p>
        </w:tc>
      </w:tr>
      <w:tr>
        <w:trPr/>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32.1</w:t>
            </w:r>
          </w:p>
        </w:tc>
        <w:tc>
          <w:tcPr>
            <w:tcW w:w="9691" w:type="dxa"/>
            <w:tcBorders/>
            <w:tcMar>
              <w:top w:w="0" w:type="dxa"/>
              <w:left w:w="0" w:type="dxa"/>
              <w:bottom w:w="0" w:type="dxa"/>
              <w:right w:w="0" w:type="dxa"/>
            </w:tcMar>
            <w:vAlign w:val="center"/>
          </w:tcPr>
          <w:p>
            <w:pPr>
              <w:pStyle w:val="TableContents"/>
              <w:bidi w:val="0"/>
              <w:spacing w:before="0" w:after="283"/>
              <w:jc w:val="both"/>
              <w:rPr/>
            </w:pPr>
            <w:hyperlink w:anchor="rway-ex32_1.htm">
              <w:r>
                <w:rPr>
                  <w:rStyle w:val="InternetLink"/>
                  <w:rFonts w:ascii="Times New Roman" w:hAnsi="Times New Roman"/>
                  <w:color w:val="0000FF"/>
                  <w:sz w:val="16"/>
                  <w:u w:val="single"/>
                </w:rPr>
                <w:t>Certification of Chief Executive Officer pursuant to Section 906 of the Sarbanes-Oxley Act of 2002 *</w:t>
              </w:r>
            </w:hyperlink>
          </w:p>
        </w:tc>
      </w:tr>
      <w:tr>
        <w:trPr/>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32.2</w:t>
            </w:r>
          </w:p>
        </w:tc>
        <w:tc>
          <w:tcPr>
            <w:tcW w:w="9691" w:type="dxa"/>
            <w:tcBorders/>
            <w:tcMar>
              <w:top w:w="0" w:type="dxa"/>
              <w:left w:w="0" w:type="dxa"/>
              <w:bottom w:w="0" w:type="dxa"/>
              <w:right w:w="0" w:type="dxa"/>
            </w:tcMar>
            <w:vAlign w:val="center"/>
          </w:tcPr>
          <w:p>
            <w:pPr>
              <w:pStyle w:val="TableContents"/>
              <w:bidi w:val="0"/>
              <w:spacing w:before="0" w:after="283"/>
              <w:jc w:val="both"/>
              <w:rPr/>
            </w:pPr>
            <w:hyperlink w:anchor="rway-ex32_2.htm">
              <w:r>
                <w:rPr>
                  <w:rStyle w:val="InternetLink"/>
                  <w:rFonts w:ascii="Times New Roman" w:hAnsi="Times New Roman"/>
                  <w:color w:val="0000FF"/>
                  <w:sz w:val="16"/>
                  <w:u w:val="single"/>
                </w:rPr>
                <w:t>Certification of Chief Financial Officer pursuant to Section 906 of the Sarbanes-Oxley Act of 2002 *</w:t>
              </w:r>
            </w:hyperlink>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101.INS</w:t>
            </w:r>
          </w:p>
        </w:tc>
        <w:tc>
          <w:tcPr>
            <w:tcW w:w="9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XBRL tags are embedded within the Inline XBRL document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101.SCH</w:t>
            </w:r>
          </w:p>
        </w:tc>
        <w:tc>
          <w:tcPr>
            <w:tcW w:w="9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w:t>
            </w:r>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104</w:t>
            </w:r>
          </w:p>
        </w:tc>
        <w:tc>
          <w:tcPr>
            <w:tcW w:w="9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cover page from the Company's Quarterly Report on Form 10-Q for the quarter ended June 30, 2026 has been formatted in Inline XBRL *</w:t>
            </w:r>
          </w:p>
        </w:tc>
      </w:tr>
      <w:tr>
        <w:trPr/>
        <w:tc>
          <w:tcPr>
            <w:tcW w:w="514" w:type="dxa"/>
            <w:tcBorders/>
            <w:tcMar>
              <w:top w:w="0" w:type="dxa"/>
              <w:left w:w="0" w:type="dxa"/>
              <w:bottom w:w="0" w:type="dxa"/>
              <w:right w:w="0" w:type="dxa"/>
            </w:tcMar>
            <w:vAlign w:val="center"/>
          </w:tcPr>
          <w:p>
            <w:pPr>
              <w:pStyle w:val="TableContents"/>
              <w:bidi w:val="0"/>
              <w:spacing w:before="0" w:after="283"/>
              <w:jc w:val="both"/>
              <w:rPr/>
            </w:pPr>
            <w:r>
              <w:rPr/>
              <w:t> </w:t>
            </w:r>
          </w:p>
        </w:tc>
        <w:tc>
          <w:tcPr>
            <w:tcW w:w="96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December 19, 2016.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August 19, 2021.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8-K filed with the SEC on April 7,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8-K filed with the SEC on May 29,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8-K filed with the SEC on July 15,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bookmarkStart w:id="23" w:name="signatures_230440"/>
      <w:bookmarkEnd w:id="23"/>
      <w:r>
        <w:rPr>
          <w:rFonts w:ascii="Times New Roman" w:hAnsi="Times New Roman"/>
          <w:b/>
          <w:color w:val="000000"/>
          <w:sz w:val="20"/>
        </w:rPr>
        <w:t>SIGNATURES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7098" w:type="dxa"/>
        <w:jc w:val="left"/>
        <w:tblInd w:w="0" w:type="dxa"/>
        <w:tblLayout w:type="fixed"/>
        <w:tblCellMar>
          <w:top w:w="28" w:type="dxa"/>
          <w:left w:w="28" w:type="dxa"/>
          <w:bottom w:w="28" w:type="dxa"/>
          <w:right w:w="28" w:type="dxa"/>
        </w:tblCellMar>
      </w:tblPr>
      <w:tblGrid>
        <w:gridCol w:w="1846"/>
        <w:gridCol w:w="406"/>
        <w:gridCol w:w="484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RUNWAY GROWTH FINANCE CORP.</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David Spreng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David Spreng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Carmela Thomson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Carmela Thomson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Treasurer and Corporate Secretary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way-ex3_3.htm"/>
      <w:bookmarkStart w:id="25" w:name="ksrwayex3_3"/>
      <w:bookmarkEnd w:id="24"/>
      <w:bookmarkEnd w:id="25"/>
      <w:r>
        <w:rPr>
          <w:rFonts w:ascii="Times New Roman" w:hAnsi="Times New Roman"/>
          <w:b/>
          <w:color w:val="000000"/>
          <w:sz w:val="20"/>
        </w:rPr>
        <w:t>Exhibit 3.3</w:t>
      </w:r>
      <w:r>
        <w:br w:type="page"/>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RUNWAY GROWTH FINANCE CORP. (the “Corporation”)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THIRD AMENDED AND RESTATED BYLAWS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August 5, 2026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OFFICES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PRINCIPAL OFFICE</w:t>
      </w:r>
      <w:r>
        <w:rPr>
          <w:rFonts w:ascii="Times New Roman" w:hAnsi="Times New Roman"/>
          <w:color w:val="000000"/>
          <w:sz w:val="20"/>
        </w:rPr>
        <w:t>. The principal office of the Corporation in the State of Maryland shall be located at such place as the Board of Directors may designate.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ADDITIONAL OFFICES</w:t>
      </w:r>
      <w:r>
        <w:rPr>
          <w:rFonts w:ascii="Times New Roman" w:hAnsi="Times New Roman"/>
          <w:color w:val="000000"/>
          <w:sz w:val="20"/>
        </w:rPr>
        <w:t>. The Corporation may have additional offices, including a principal executive office, at such places as the Board of Directors may from time to time determine or the business of the Corporation may require.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MEETINGS OF STOCKHOLDERS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PLACE</w:t>
      </w:r>
      <w:r>
        <w:rPr>
          <w:rFonts w:ascii="Times New Roman" w:hAnsi="Times New Roman"/>
          <w:color w:val="000000"/>
          <w:sz w:val="20"/>
        </w:rPr>
        <w:t>. All meetings of stockholders shall be held at the principal executive office of the Corporation or at such other place as shall be set by the Board of Directors and stated in the notice of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ANNUAL MEETING</w:t>
      </w:r>
      <w:r>
        <w:rPr>
          <w:rFonts w:ascii="Times New Roman" w:hAnsi="Times New Roman"/>
          <w:color w:val="000000"/>
          <w:sz w:val="20"/>
        </w:rPr>
        <w:t>. An annual meeting of the stockholders for the election of directors and the transaction of any business within the powers of the Corporation shall be held on the date and at the time set by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SPECIAL MEETINGS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The Chairman of the Board, the chief executive officer, the president or the Board of Directors may call a special meeting of the stockholders. Subject to subsection (b) of this Section 3, a special meeting of stockholders shall also be called by the secretary of the Corporation upon the written request of stockholders entitled to cast not less than a majority of all the votes entitled to be cast at such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Stockholder Requested Special Meetings</w:t>
      </w:r>
      <w:r>
        <w:rPr>
          <w:rFonts w:ascii="Times New Roman" w:hAnsi="Times New Roman"/>
          <w:color w:val="000000"/>
          <w:sz w:val="20"/>
        </w:rPr>
        <w:t xml:space="preserve">.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connection with the solicitation of proxies for the election of directors in an election contest (even if an election contest is not involved), or is otherwise required in connection with such a solicitation,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fixing the Request Record Date, the Request Record Date shall be the close of business on the tenth day after the first date on which the Record Date Request Notice is received by the secretary.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In order for any stockholder to request a special meeting, one or more written requests for a special meeting (collectively, the “Special Meeting Request”) signed by stockholders of record (or their agents duly authorized in a writing accompanying the request) as of the Request Record Date entitled to cast not less than a majority of all of the votes entitled to be cast at such meeting (the “Special Meeting Percentage”) shall be delivered to the secretary. In addition, the Special Meeting Request shall (a) set forth the purpose of the meeting and the matters proposed to be acted on at it (which shall be limited to those lawful matters set forth in the Record Date Request Notice received by the secretary), (b) bear the date of signature of each such stockholder (or such agent) signing the Special Meeting Request, (c) set forth (i) the name and address, as they appear in the Corporation’s books, of each stockholder signing such request (or on whose behalf the Special Meeting Request is signed), (ii) the class, series and number of all shares of stock of the Corporation which are owned (beneficially or of record) by each such stockholder and (iii) the nominee holder for, and number of, shares of stock of the Corporation owned beneficially but not of record by such stockholder, (d) be sent to the secretary by registered mail, return receipt requested, and (e)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The secretary shall inform the requesting stockholders of the reasonably estimated cost of preparing and mailing or delivering the notice of the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preparation and mailing or delivery of any notice of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(4) Except as provided in the next sentence, any special meeting shall be held at such place, date and time as may be designated by the Chairman of the Board, the chief executive officer, the president or the Board of Directors, whoever has called the meeting. In the case of any special meeting called by the secretary upon the request of stockholders (a “Stockholder-Requested Meeting”), such meeting shall be held at such place, date and time as may be designated by the Board of Directors; </w:t>
      </w:r>
      <w:r>
        <w:rPr>
          <w:rFonts w:ascii="Times New Roman" w:hAnsi="Times New Roman"/>
          <w:i/>
          <w:color w:val="000000"/>
          <w:sz w:val="20"/>
        </w:rPr>
        <w:t>provided</w:t>
      </w:r>
      <w:r>
        <w:rPr>
          <w:rFonts w:ascii="Times New Roman" w:hAnsi="Times New Roman"/>
          <w:color w:val="000000"/>
          <w:sz w:val="20"/>
        </w:rPr>
        <w:t xml:space="preserve">, however, that the date of any Stockholder-Requested Meeting shall be not more than 90 days after the record date for such meeting (the “Meeting Record Date”); and </w:t>
      </w:r>
      <w:r>
        <w:rPr>
          <w:rFonts w:ascii="Times New Roman" w:hAnsi="Times New Roman"/>
          <w:i/>
          <w:color w:val="000000"/>
          <w:sz w:val="20"/>
        </w:rPr>
        <w:t>provided further</w:t>
      </w:r>
      <w:r>
        <w:rPr>
          <w:rFonts w:ascii="Times New Roman" w:hAnsi="Times New Roman"/>
          <w:color w:val="000000"/>
          <w:sz w:val="20"/>
        </w:rPr>
        <w:t xml:space="preserve"> that if the Board of Directors fails to designate, within ten days after the date that a valid Special Meeting Request is actually received by the secretary (the “Delivery Date”), a date and time for a Stockholder-Requested Meeting, then such meeting shall be held at 2:00 p.m., local time, on the 90th day after the Meeting Record Date or, if such 90th day is not a Business Day (as defined below), on the first preceding Business Day; and </w:t>
      </w:r>
      <w:r>
        <w:rPr>
          <w:rFonts w:ascii="Times New Roman" w:hAnsi="Times New Roman"/>
          <w:i/>
          <w:color w:val="000000"/>
          <w:sz w:val="20"/>
        </w:rPr>
        <w:t>provided further</w:t>
      </w:r>
      <w:r>
        <w:rPr>
          <w:rFonts w:ascii="Times New Roman" w:hAnsi="Times New Roman"/>
          <w:color w:val="000000"/>
          <w:sz w:val="20"/>
        </w:rPr>
        <w:t xml:space="preserve"> that in the event that the Board of Directors fails to designate a place for a Stockholder-Requested Meeting within ten days after the Delivery Date, then such meeting shall be held at the principal executive office of the Corporation. In fixing a date for any special meeting, the Chairman of the Board, the chief executive officer, the president or the Board of Directors may consider such factors as he, she or it deems relevant within the good faith exercise of business judgment, including, without limitation, the nature of the matters to be considered, the facts and circumstances surrounding any request for the meeting and any plan of the Board of Directors to call an annual meeting or a special meeting. In the case of any Stockholder-Requested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Stockholder-Requested Meeting in the event that the requesting stockholders fail to comply with the provisions of paragraph (3) of this Section 3(b).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(5) If written revocations of the Special Meeting Request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(i) if the notice of meeting has not already been mailed or delivered, the secretary shall refrain from mailing or delivering the notice of the meeting and send to all requesting stockholders who have not revoked such requests written notice of any revocation of a request for the special meeting, or (ii) if the notice of meeting has been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mailed or delivered and if the secretary first sends to all requesting stockholders who have not revoked requests for a special meeting written notice of any revocation of a request for the special meeting and written notice of the Corporation’s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without acting on the matter. Any request for a special meeting received after a revocation by the secretary of a notice of a meeting shall be considered a request for a new special meeting.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(6) The Chairman of the Board, chief executive officer, president or Board of Directors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Special Meeting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as of the Request Record Date, not less than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(7) For purposes of these Bylaws, “Business Day” shall mean any day other than a Saturday, a Sunday or a day on which banking institutions in the State of New York are authorized or obligated by law or executive order to close.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NOTICE OF MEETINGS</w:t>
      </w:r>
      <w:r>
        <w:rPr>
          <w:rFonts w:ascii="Times New Roman" w:hAnsi="Times New Roman"/>
          <w:color w:val="000000"/>
          <w:sz w:val="20"/>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this Article II) of such postponement or cancellation prior to the meeting. Notice of the date, time and place to which the meeting is postponed shall be given not less than ten days prior to such date and otherwise in the manner set forth in this section.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ORGANIZATION AND CONDUCT</w:t>
      </w:r>
      <w:r>
        <w:rPr>
          <w:rFonts w:ascii="Times New Roman" w:hAnsi="Times New Roman"/>
          <w:color w:val="000000"/>
          <w:sz w:val="20"/>
        </w:rPr>
        <w:t xml:space="preserve">. Every meeting of stockholders shall be conducted by an individual appointed by the Board of Directors to be chairman of the meeting or, in the absence of such appointment or appointed individual, by the Chairman of the Board or, in the case of a vacancy in the office or absence of the Chairman of the Board, by one of the following officers present at the meeting: the Vice Chairman of the Board, if any, the chief executive officer, the president, any vice president, the secretary, the treasurer or, in the absence of such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stockholders, an assistant secretary, or, in the absence of all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the chairman and without any action by the stockholders, are appropriate for the proper conduct of the meeting, including, without limitation, (a) restricting admission to the time set for the commencement of the meeting; (b) limiting attendance at the meeting to stockholders of record of the Corporation,</w:t>
      </w:r>
    </w:p>
    <w:p>
      <w:pPr>
        <w:pStyle w:val="TextBody"/>
        <w:bidi w:val="0"/>
        <w:jc w:val="both"/>
        <w:rPr>
          <w:rFonts w:ascii="Times New Roman" w:hAnsi="Times New Roman"/>
          <w:color w:val="000000"/>
          <w:sz w:val="20"/>
        </w:rPr>
      </w:pPr>
      <w:r>
        <w:rPr>
          <w:rFonts w:ascii="Times New Roman" w:hAnsi="Times New Roman"/>
          <w:color w:val="000000"/>
          <w:sz w:val="20"/>
        </w:rPr>
        <w:t>their duly authorized proxies and other such individuals as the chairman of the meeting may determine; (c) limiting participation at the meeting on any matter to stockholders of record of the Corporation entitled to vote on such matter, their duly authorized proxies and other such individuals as the chairman of the meeting may determine; (d) limiting the time allotted to questions or comments; (e) determining when the polls should be opened and closed; (f) maintaining order and security at the meeting; (g) removing any stockholder or any other individual who refuses to comply with meeting procedures, rules or guidelines as set forth by the chairman of the meeting; (h) concluding a meeting or recessing or adjourning the meeting to a later date and time and at a place announced at the meeting; and (i) complying with any state and local laws and regulations concerning safety and security. Unless otherwise determined by the chairman of the meeting, meetings of stockholders shall not be required to be held in accordance with the rules of parliamentary procedure.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QUORUM</w:t>
      </w:r>
      <w:r>
        <w:rPr>
          <w:rFonts w:ascii="Times New Roman" w:hAnsi="Times New Roman"/>
          <w:color w:val="000000"/>
          <w:sz w:val="20"/>
        </w:rPr>
        <w:t>. At any meeting of stockholders, the presence in person or by proxy of the holders of shares of stock of the Corporation entitled to cast a majority of all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approval of any matter.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however, such quorum is not present at any meeting of the stockholders, the chairman of the meeting shall have the power to (a) adjourn the meeting from time to time to a date not more than 120 days after the original record date without notice other than announcement at the meeting or (b) conclude the meeting without adjournment to another date. If a meeting is adjourned and a quorum is present at such adjournment, any business may be transacted which might have been transacted at the meeting as originally notified.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stockholders present either in person or by proxy, at a meeting which has been duly called and at which a quorum was present, may continue to transact business until adjournment, notwithstanding the withdrawal from the meeting of enough stockholders to leave fewer than would be required to establish a quorum.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olor w:val="000000"/>
          <w:sz w:val="20"/>
          <w:u w:val="single"/>
        </w:rPr>
        <w:t>VOTING</w:t>
      </w:r>
      <w:r>
        <w:rPr>
          <w:rFonts w:ascii="Times New Roman" w:hAnsi="Times New Roman"/>
          <w:b/>
          <w:color w:val="000000"/>
          <w:sz w:val="20"/>
        </w:rPr>
        <w:t xml:space="preserve">. </w:t>
      </w:r>
      <w:r>
        <w:rPr>
          <w:rFonts w:ascii="Times New Roman" w:hAnsi="Times New Roman"/>
          <w:color w:val="000000"/>
          <w:sz w:val="20"/>
        </w:rPr>
        <w:t xml:space="preserve">Subject to any provision of applicable binding law or the charter, (a) with respect to the election of directors, other than a Contested Election, the affirmative vote of a plurality of the Shares for which votes were cast at any meeting at which a quorum is present shall be the act of the shareholders with respect to such matter and sufficient to elect directors, (b) with respect to a Contested Election, the affirmative vote of a majority of the Shares outstanding and entitled to vote with respect to such matter at such meeting shall be the act of the shareholders with respect to such matter, (c) for all other items of business, the affirmative vote of a majority of the Shares represented in person or by proxy at any meeting at which a quorum is present shall be the act of the shareholders with respect to such matter shall be required and sufficient to elect directors, and (d) where a separate vote of one or more classes or series of Shares is required on any matter, the affirmative vote of a plurality of Shares of such class or series of Shares represented in person or by proxy at any meeting at which a quorum is present, a majority of the Shares of such class or series of Shares outstanding and entitled to vote, or a majority of the Shares of such class or series of Shares represented in person or by proxy at any meeting at which a quorum is present, as required by the preceding clauses of this paragraph, shall be the act of the shareholders of such class or series with respect to such matter.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color w:val="000000"/>
        </w:rPr>
      </w:pPr>
      <w:r>
        <w:rPr>
          <w:color w:val="000000"/>
        </w:rPr>
        <w:t>“</w:t>
      </w:r>
      <w:r>
        <w:rPr>
          <w:rFonts w:ascii="Times New Roman" w:hAnsi="Times New Roman"/>
          <w:color w:val="000000"/>
          <w:sz w:val="20"/>
        </w:rPr>
        <w:t>Contested Election” shall mean any election of Directors in which the number of persons nominated for election as Directors in accordance with Section 11(a) of Article I exceeds the number of Directors to be elected, with the determination that any election of Directors is a Contested Election to be made by the Secretary or other officer of the Corporation prior to the time the Corporation mails its initial proxy statement in connection with such election of Directors. If, prior to the time the Corporation mails its initial proxy statement in connection with such election of Directors, one or more persons nominated for election as a Director are withdrawn such that the number of persons nominated for election as Director no longer exceeds the number of Directors to be elected, such election shall not be considered a Contested Election.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8. </w:t>
      </w:r>
      <w:r>
        <w:rPr>
          <w:rFonts w:ascii="Times New Roman" w:hAnsi="Times New Roman"/>
          <w:color w:val="000000"/>
          <w:sz w:val="20"/>
          <w:u w:val="single"/>
        </w:rPr>
        <w:t>PROXIES</w:t>
      </w:r>
      <w:r>
        <w:rPr>
          <w:rFonts w:ascii="Times New Roman" w:hAnsi="Times New Roman"/>
          <w:color w:val="000000"/>
          <w:sz w:val="20"/>
        </w:rPr>
        <w:t>. A stockholder may cast the votes entitled to be cast by the holder of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9. </w:t>
      </w:r>
      <w:r>
        <w:rPr>
          <w:rFonts w:ascii="Times New Roman" w:hAnsi="Times New Roman"/>
          <w:color w:val="000000"/>
          <w:sz w:val="20"/>
          <w:u w:val="single"/>
        </w:rPr>
        <w:t>VOTING OF STOCK BY CERTAIN HOLDERS</w:t>
      </w:r>
      <w:r>
        <w:rPr>
          <w:rFonts w:ascii="Times New Roman" w:hAnsi="Times New Roman"/>
          <w:color w:val="000000"/>
          <w:sz w:val="20"/>
        </w:rPr>
        <w:t>. Stock of the Corporation registered in the name of a corporation, partnership, trust, limited liability company or other entity, if entitled to be voted, may be voted by the president or a vice president, general partner, trustee or managing member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the name of such person in the capacity of such director or fiduciary, either in person or by proxy.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the time after the record date within which the certification must be received by the Corporation; and any other provisions with respect to the procedure which the Board of Directors considers necessary or desirable. On receipt by the Corporation of such certification, the person specified in the certification shall be regarded as, for the purposes set forth in the certification, the holder of record of the specified stock in place of the stockholder who makes the certification.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10. </w:t>
      </w:r>
      <w:r>
        <w:rPr>
          <w:rFonts w:ascii="Times New Roman" w:hAnsi="Times New Roman"/>
          <w:color w:val="000000"/>
          <w:sz w:val="20"/>
          <w:u w:val="single"/>
        </w:rPr>
        <w:t>INSPECTORS</w:t>
      </w:r>
      <w:r>
        <w:rPr>
          <w:rFonts w:ascii="Times New Roman" w:hAnsi="Times New Roman"/>
          <w:color w:val="000000"/>
          <w:sz w:val="20"/>
        </w:rPr>
        <w:t>. The Board of Directors or the chair of the meeting may appoint, before or at the meeting, one or more inspectors for the meeting and any successor thereto</w:t>
      </w:r>
      <w:r>
        <w:rPr>
          <w:rFonts w:ascii="Times New Roman" w:hAnsi="Times New Roman"/>
          <w:b/>
          <w:color w:val="000000"/>
          <w:sz w:val="20"/>
        </w:rPr>
        <w:t>.</w:t>
      </w:r>
      <w:r>
        <w:rPr>
          <w:rFonts w:ascii="Times New Roman" w:hAnsi="Times New Roman"/>
          <w:color w:val="000000"/>
          <w:sz w:val="20"/>
        </w:rPr>
        <w:t xml:space="preserve"> The inspectors, if any, shall (i) determine the number of shares of stock represented at the meeting, in person or by proxy and the validity and effect of proxies, (ii) receive and tabulate all votes, ballots or consents, (iii) report such tabulation to the chair of the meeting, (iv) hear and determine all challenges and questions arising in connection with the right to vote, and (v) do such acts as are proper to fairly conduct the election or vote. Each such report shall be in writing and signed by the inspector or by a majority of them if there is more than one inspector acting at such meeting. If there is more than one inspector, the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 xml:space="preserve">report of a majority shall be the report of the inspectors. The report of the inspector or inspectors on the number of shares represented at the meeting and the results of the voting shall be </w:t>
      </w:r>
      <w:r>
        <w:rPr>
          <w:rFonts w:ascii="Times New Roman" w:hAnsi="Times New Roman"/>
          <w:color w:val="000000"/>
          <w:sz w:val="20"/>
          <w:u w:val="single"/>
        </w:rPr>
        <w:t>prima</w:t>
      </w:r>
      <w:r>
        <w:rPr>
          <w:rFonts w:ascii="Times New Roman" w:hAnsi="Times New Roman"/>
          <w:color w:val="000000"/>
          <w:sz w:val="20"/>
        </w:rPr>
        <w:t xml:space="preserve"> </w:t>
      </w:r>
      <w:r>
        <w:rPr>
          <w:rFonts w:ascii="Times New Roman" w:hAnsi="Times New Roman"/>
          <w:color w:val="000000"/>
          <w:sz w:val="20"/>
          <w:u w:val="single"/>
        </w:rPr>
        <w:t>facie</w:t>
      </w:r>
      <w:r>
        <w:rPr>
          <w:rFonts w:ascii="Times New Roman" w:hAnsi="Times New Roman"/>
          <w:color w:val="000000"/>
          <w:sz w:val="20"/>
        </w:rPr>
        <w:t xml:space="preserve"> evidence thereof.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11. </w:t>
      </w:r>
      <w:r>
        <w:rPr>
          <w:rFonts w:ascii="Times New Roman" w:hAnsi="Times New Roman"/>
          <w:color w:val="000000"/>
          <w:sz w:val="20"/>
          <w:u w:val="single"/>
        </w:rPr>
        <w:t>ADVANCE NOTICE OF STOCKHOLDER NOMINEES FOR DIRECTOR AND OTHER STOCKHOLDER PROPOSALS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Annual Meetings of Stockholders</w:t>
      </w:r>
      <w:r>
        <w:rPr>
          <w:rFonts w:ascii="Times New Roman" w:hAnsi="Times New Roman"/>
          <w:color w:val="000000"/>
          <w:sz w:val="20"/>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and who has complied with this Section 11(a).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(2) For any nomination or other business to be properly brought before an annual meeting by a stockholder pursuant to clause (iii) of paragraph (a)(1) of this Section 11,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150th day prior to the first anniversary of the date of the proxy statement for the preceding year’s annual meeting nor later than 5:00 p.m., Eastern Time, on the 120th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of the preceding year’s annual meeting (or in the case of the first annual meeting), notice by the stockholder to be timely must be so delivered not earlier than the 150th day prior to the date of such annual meeting and not later than 5:00 p.m., Eastern Time, on the later of the 120th day prior to the date of such annual meeting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Such stockholder’s notice shall set forth: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as to each individual whom the stockholder proposes to nominate for election or reelection as a director (each, a “Proposed Nominee”), (A) the name, age, business address and residence address of such Proposed Nominee, (B) whether such stockholder believes any Proposed Nominee is, or is not, an “interested person of the Corporation, as defined in the Investment Company Act of 1940, as amended, and the rules promulgated thereunder (the “Investment Company Act”) and information regarding such Proposed Nominee that is sufficient, in the discretion of the Board of Directors or any committee thereof or any authorized officer of the Corporation, to make such determination and (C) all other information relating to such Proposed Nominee that is required to be disclosed in connection with the solicitation of proxies for election of directors in an election contest (even if an election contest is not involved), or is otherwise required, in each case pursuant to Regulation 14A (or any successor provision) under the Exchange Act and the rules thereunder (including such Proposed Nominee’s written consent to being named in the proxy statement as a nominee and to serving as a director if elected);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(ii) as to any other business that the stockholder proposes to bring before the meeting, a description of such business, the reasons for proposing such business at the meeting and any material interest in such business of such stockholder and any Stockholder Associated Person (as defined below), individually or in the aggregate, including any anticipated benefit to the stockholder or the Stockholder Associated Person therefrom;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(iii) as to the stockholder giving the notice, any Proposed Nominee and any Stockholder Associated Person,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 the class, series and number of all shares of stock or other securities of the Corporation or any affiliate thereof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 the nominee holder for, and number of, any Company Securities owned beneficially but not of record by such stockholder, Proposed Nominee or Stockholder Associated Person,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whether and the extent to which such stockholder, Proposed Nominee or Stockholder Associated Person, directly or indirectly (through brokers, nominees or otherwise), is subject to or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(x) Company Securities or (y) any security of any other closed-end investment company (a “Peer Group Company”) for such stockholder, Proposed Nominee or Stockholder Associated Person or (II) increase or decrease the voting power of such stockholder, Proposed Nominee or Stockholder Associated Person in the Corporation or any affiliate thereof (or, as applicable, in any Peer Group Company) disproportionately to such person’s economic interest in the Company Securities (or, as applicable, in any Peer Group Company);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w:t>
      </w:r>
      <w:r>
        <w:rPr>
          <w:rFonts w:ascii="Times New Roman" w:hAnsi="Times New Roman"/>
          <w:i/>
          <w:color w:val="000000"/>
          <w:sz w:val="20"/>
        </w:rPr>
        <w:t>pro rata</w:t>
      </w:r>
      <w:r>
        <w:rPr>
          <w:rFonts w:ascii="Times New Roman" w:hAnsi="Times New Roman"/>
          <w:color w:val="000000"/>
          <w:sz w:val="20"/>
        </w:rPr>
        <w:t xml:space="preserve"> basis by all other holders of the same class or series;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(iv) as to the stockholder giving the notice, any Stockholder Associated Person with an interest or ownership referred to in clauses (ii) or (iii) of this paragraph (3) of this Section 11(a) and any Proposed Nominee,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name and address of such stockholder, as they appear on the Corporation’s stock ledger, and the current name and address, if different, of each such Stockholder Associated Person and any Proposed Nominee,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 the investment strategy or objective, if any, of such stockholder and each such Stockholder Associated Person and a copy of the prospectus, offering memorandum or similar document, if any provided to investors or potential investors in such stockholder and each such Stockholder Associated Person; and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 to the extent known by the stockholder giving the notice, the name and address of any other stockholder supporting the nominee for election or reelection as a director or the proposal of other business on the date of such stockholder’s notice.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(4) Such stockholder’s notice shall, with respect to any Proposed Nominee, be accompanied by a certificate executed by the Proposed Nominee (i) 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 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(6) For purposes of this Section 11,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Special Meetings of Stockholders</w:t>
      </w:r>
      <w:r>
        <w:rPr>
          <w:rFonts w:ascii="Times New Roman" w:hAnsi="Times New Roman"/>
          <w:color w:val="000000"/>
          <w:sz w:val="20"/>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both at the time of giving of notice provided for in this Section 11 and at the time of the special meeting,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 (a)(3) of this Section 11, is delivered to the secretary at the principal executive office of the Corporation not earlier than the 120th day prior to such special meeting and not later than 5:00 p.m., Eastern Time, on the later of the 90th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General</w:t>
      </w:r>
      <w:r>
        <w:rPr>
          <w:rFonts w:ascii="Times New Roman" w:hAnsi="Times New Roman"/>
          <w:color w:val="000000"/>
          <w:sz w:val="20"/>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Upon written request by the secretary or the Board of Directors, any such stockholder shall provide, within five Business 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previously submitted by the stockholder pursuant to this Section 11 as of an earlier date (including, if requested by the Corporation, written confirmation by such stockholder that it continues to intend to bring such nomination or other business proposal before the meeting). If a stockholder fails to provide such written verification or written update within such period, the information as to which written verification or a written update was requested may be deemed not to have been provided in accordance with this Section 11.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(2) 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to determine whether a nomination or any other business proposed to be brought before the meeting was made or proposed, as the case may be, in accordance with this Section 11.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For purposes of this Section 11, “the date of the proxy statement” shall have the same meaning as “the date of the company’s proxy statement release to shareholders” as used in Rule 14a-8(e) promulgated under the Exchange Act, as interpreted by the Securities and Exchange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Securities and Exchange Commission pursuant to the Exchange Act or the Investment Company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(4) 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or the right of the Corporation to omit a proposal from, the Corporation’s proxy statement pursuant to Rule 14a-8 (or any successor provision) under the Exchange Act.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12. </w:t>
      </w:r>
      <w:r>
        <w:rPr>
          <w:rFonts w:ascii="Times New Roman" w:hAnsi="Times New Roman"/>
          <w:color w:val="000000"/>
          <w:sz w:val="20"/>
          <w:u w:val="single"/>
        </w:rPr>
        <w:t>VOTING BY BALLOT</w:t>
      </w:r>
      <w:r>
        <w:rPr>
          <w:rFonts w:ascii="Times New Roman" w:hAnsi="Times New Roman"/>
          <w:color w:val="000000"/>
          <w:sz w:val="20"/>
        </w:rPr>
        <w:t xml:space="preserve">. Voting on any question or in any election may be </w:t>
      </w:r>
      <w:r>
        <w:rPr>
          <w:rFonts w:ascii="Times New Roman" w:hAnsi="Times New Roman"/>
          <w:color w:val="000000"/>
          <w:sz w:val="20"/>
          <w:u w:val="single"/>
        </w:rPr>
        <w:t>viva voce</w:t>
      </w:r>
      <w:r>
        <w:rPr>
          <w:rFonts w:ascii="Times New Roman" w:hAnsi="Times New Roman"/>
          <w:color w:val="000000"/>
          <w:sz w:val="20"/>
        </w:rPr>
        <w:t xml:space="preserve"> unless the presiding officer shall order or any stockholder shall demand that voting be by ballot.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13. </w:t>
      </w:r>
      <w:r>
        <w:rPr>
          <w:rFonts w:ascii="Times New Roman" w:hAnsi="Times New Roman"/>
          <w:color w:val="000000"/>
          <w:sz w:val="20"/>
          <w:u w:val="single"/>
        </w:rPr>
        <w:t>CONTROL SHARE ACQUISITION ACT</w:t>
      </w:r>
      <w:r>
        <w:rPr>
          <w:rFonts w:ascii="Times New Roman" w:hAnsi="Times New Roman"/>
          <w:color w:val="000000"/>
          <w:sz w:val="20"/>
        </w:rPr>
        <w:t>. Notwithstanding any other provision of the charter of the Corporation or these Bylaws, Subtitle 7 of Title 3 of the Maryland General Corporation Law, or any successor statute (the “MGCL”),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III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DIRECTORS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GENERAL POWERS</w:t>
      </w:r>
      <w:r>
        <w:rPr>
          <w:rFonts w:ascii="Times New Roman" w:hAnsi="Times New Roman"/>
          <w:color w:val="000000"/>
          <w:sz w:val="20"/>
        </w:rPr>
        <w:t>. The business and affairs of the Corporation shall be managed under the direction of its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NUMBER, TENURE AND RESIGNATION</w:t>
      </w:r>
      <w:r>
        <w:rPr>
          <w:rFonts w:ascii="Times New Roman" w:hAnsi="Times New Roman"/>
          <w:color w:val="000000"/>
          <w:sz w:val="20"/>
        </w:rPr>
        <w:t>. At any regular meeting or at any special meeting called for that purpose, a majority of the entire Board of Directors may establish, increase or decrease the number of directors, provided that the number thereof shall never be less than one, nor more than nine,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ANNUAL AND REGULAR MEETINGS</w:t>
      </w:r>
      <w:r>
        <w:rPr>
          <w:rFonts w:ascii="Times New Roman" w:hAnsi="Times New Roman"/>
          <w:color w:val="000000"/>
          <w:sz w:val="20"/>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SPECIAL MEETINGS</w:t>
      </w:r>
      <w:r>
        <w:rPr>
          <w:rFonts w:ascii="Times New Roman" w:hAnsi="Times New Roman"/>
          <w:color w:val="000000"/>
          <w:sz w:val="20"/>
        </w:rPr>
        <w:t xml:space="preserve">. Special meetings of the Board of Directors may be called by or at the request of the Chairman of the Board, the chief executive officer, the president or by a majority of the directors then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NOTICE</w:t>
      </w:r>
      <w:r>
        <w:rPr>
          <w:rFonts w:ascii="Times New Roman" w:hAnsi="Times New Roman"/>
          <w:color w:val="000000"/>
          <w:sz w:val="20"/>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QUORUM</w:t>
      </w:r>
      <w:r>
        <w:rPr>
          <w:rFonts w:ascii="Times New Roman" w:hAnsi="Times New Roman"/>
          <w:color w:val="000000"/>
          <w:sz w:val="20"/>
        </w:rPr>
        <w:t>. A majority of the directors shall constitute a quorum for transaction of business at any meeting of the Board of Directors, provided that, if less than a majority of such directors is present at such meeting, a majority of the directors present may adjourn the meeting from time to time without further notice, and provided further that if, pursuant to applicable law, the charter of the Corporation or these Bylaws, the vote of a majority or other percentage of a particular group of directors is required for action, a quorum must also include a majority of such group.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directors present at a meeting which has been duly called and convened may continue to transact business until adjournment, notwithstanding the withdrawal from the meeting of enough directors to leave fewer than required to establish a quorum.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olor w:val="000000"/>
          <w:sz w:val="20"/>
          <w:u w:val="single"/>
        </w:rPr>
        <w:t>VOTING</w:t>
      </w:r>
      <w:r>
        <w:rPr>
          <w:rFonts w:ascii="Times New Roman" w:hAnsi="Times New Roman"/>
          <w:color w:val="000000"/>
          <w:sz w:val="20"/>
        </w:rPr>
        <w:t>. The action of a majority of the directors present at a meeting at which a quorum is present shall be the action of the Board of Directors, unless the concurrence of a greater proportion is required for such action by applicable law, the charter or these Bylaws. If enough directors have withdrawn from a meeting to leave fewer than required to establish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law, the charter of the Corporation or these Bylaws.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8. </w:t>
      </w:r>
      <w:r>
        <w:rPr>
          <w:rFonts w:ascii="Times New Roman" w:hAnsi="Times New Roman"/>
          <w:color w:val="000000"/>
          <w:sz w:val="20"/>
          <w:u w:val="single"/>
        </w:rPr>
        <w:t>ORGANIZATION</w:t>
      </w:r>
      <w:r>
        <w:rPr>
          <w:rFonts w:ascii="Times New Roman" w:hAnsi="Times New Roman"/>
          <w:color w:val="000000"/>
          <w:sz w:val="20"/>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of the meeting. The secretary or, in his or her absence, an assistant secretary of the Corporation, or in the absence of the secretary and all assistant secretaries, an individual appointed by the chairman of the meeting, shall act as secretary of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9. </w:t>
      </w:r>
      <w:r>
        <w:rPr>
          <w:rFonts w:ascii="Times New Roman" w:hAnsi="Times New Roman"/>
          <w:color w:val="000000"/>
          <w:sz w:val="20"/>
          <w:u w:val="single"/>
        </w:rPr>
        <w:t>TELEPHONE MEETINGS</w:t>
      </w:r>
      <w:r>
        <w:rPr>
          <w:rFonts w:ascii="Times New Roman" w:hAnsi="Times New Roman"/>
          <w:color w:val="000000"/>
          <w:sz w:val="20"/>
        </w:rPr>
        <w:t>. Directors may participate in a meeting by means of a conference telephone or other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 xml:space="preserve">Section 10. </w:t>
      </w:r>
      <w:r>
        <w:rPr>
          <w:rFonts w:ascii="Times New Roman" w:hAnsi="Times New Roman"/>
          <w:color w:val="000000"/>
          <w:sz w:val="20"/>
          <w:u w:val="single"/>
        </w:rPr>
        <w:t>CONSENT BY DIRECTORS WITHOUT A MEETING</w:t>
      </w:r>
      <w:r>
        <w:rPr>
          <w:rFonts w:ascii="Times New Roman" w:hAnsi="Times New Roman"/>
          <w:color w:val="000000"/>
          <w:sz w:val="20"/>
        </w:rPr>
        <w:t>. Any action required or permitted to be taken at any meeting of the Board of Directors may be taken without a meeting, if a consent to such action is given in writing or by electronic transmission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11. </w:t>
      </w:r>
      <w:r>
        <w:rPr>
          <w:rFonts w:ascii="Times New Roman" w:hAnsi="Times New Roman"/>
          <w:color w:val="000000"/>
          <w:sz w:val="20"/>
          <w:u w:val="single"/>
        </w:rPr>
        <w:t>VACANCIES</w:t>
      </w:r>
      <w:r>
        <w:rPr>
          <w:rFonts w:ascii="Times New Roman" w:hAnsi="Times New Roman"/>
          <w:color w:val="000000"/>
          <w:sz w:val="20"/>
        </w:rPr>
        <w:t>. If for any reason any or all the directors cease to be directors, such event shall not terminate the Corporation or affect these Bylaws or the powers of the remaining directors hereunder, if any. Pursuant to the Corporation’s election in Article IV of the charter, subject to applicable requirements of the Investment Company Act, except as may be provided by the Board of Directors in setting the terms of any class or series of preferred stock, (a) 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12. </w:t>
      </w:r>
      <w:r>
        <w:rPr>
          <w:rFonts w:ascii="Times New Roman" w:hAnsi="Times New Roman"/>
          <w:color w:val="000000"/>
          <w:sz w:val="20"/>
          <w:u w:val="single"/>
        </w:rPr>
        <w:t>COMPENSATION</w:t>
      </w:r>
      <w:r>
        <w:rPr>
          <w:rFonts w:ascii="Times New Roman" w:hAnsi="Times New Roman"/>
          <w:color w:val="000000"/>
          <w:sz w:val="20"/>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 or engage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 or engage in as directors; but nothing herein contained shall be construed to preclude any directors from serving the Corporation in any other capacity and receiving compensation therefor.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13. </w:t>
      </w:r>
      <w:r>
        <w:rPr>
          <w:rFonts w:ascii="Times New Roman" w:hAnsi="Times New Roman"/>
          <w:color w:val="000000"/>
          <w:sz w:val="20"/>
          <w:u w:val="single"/>
        </w:rPr>
        <w:t>LOSS OF DEPOSITS</w:t>
      </w:r>
      <w:r>
        <w:rPr>
          <w:rFonts w:ascii="Times New Roman" w:hAnsi="Times New Roman"/>
          <w:color w:val="000000"/>
          <w:sz w:val="20"/>
        </w:rPr>
        <w:t>. No director shall be liable for any loss which may occur by reason of the failure of the bank, trust company, savings and loan association, or other institution with whom moneys or stock have been deposited.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14. </w:t>
      </w:r>
      <w:r>
        <w:rPr>
          <w:rFonts w:ascii="Times New Roman" w:hAnsi="Times New Roman"/>
          <w:color w:val="000000"/>
          <w:sz w:val="20"/>
          <w:u w:val="single"/>
        </w:rPr>
        <w:t>SURETY BONDS</w:t>
      </w:r>
      <w:r>
        <w:rPr>
          <w:rFonts w:ascii="Times New Roman" w:hAnsi="Times New Roman"/>
          <w:color w:val="000000"/>
          <w:sz w:val="20"/>
        </w:rPr>
        <w:t>. Unless required by law, no director shall be obligated to give any bond or surety or other security for the performance of any of his or her duties.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15. </w:t>
      </w:r>
      <w:r>
        <w:rPr>
          <w:rFonts w:ascii="Times New Roman" w:hAnsi="Times New Roman"/>
          <w:color w:val="000000"/>
          <w:sz w:val="20"/>
          <w:u w:val="single"/>
        </w:rPr>
        <w:t>RELIANCE</w:t>
      </w:r>
      <w:r>
        <w:rPr>
          <w:rFonts w:ascii="Times New Roman" w:hAnsi="Times New Roman"/>
          <w:color w:val="000000"/>
          <w:sz w:val="20"/>
        </w:rPr>
        <w:t>. Each director and officer of the Corporation shall, in the performance of his or her duties with respect to the Corporation, be entitled to rely on any information, opinion, report or statement, including any financial statement or other financial data, prepared or presented by an officer or employee of the Corporation whom the director or officer reasonably believes to be reliable and competent in the matters presented, by a lawyer, certified public accountant or other person, as to a matter which the director or officer reasonably believes to be within the person’s professional or expert competence, or, with respect to a director, by a committee of the Board of Directors on which the director does not serve, as to a matter within its designated authority, if the director reasonably believes the committee to merit confidence.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16. </w:t>
      </w:r>
      <w:r>
        <w:rPr>
          <w:rFonts w:ascii="Times New Roman" w:hAnsi="Times New Roman"/>
          <w:color w:val="000000"/>
          <w:sz w:val="20"/>
          <w:u w:val="single"/>
        </w:rPr>
        <w:t>RATIFICATION</w:t>
      </w:r>
      <w:r>
        <w:rPr>
          <w:rFonts w:ascii="Times New Roman" w:hAnsi="Times New Roman"/>
          <w:color w:val="000000"/>
          <w:sz w:val="20"/>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 adverse interest of a director, officer or stockholder, non-disclosure, miscomputation, or the application of improper principles or practices of accounting, may be ratified, before or after judgment, by the Board of Directors or by the stockholders, and if so ratified, shall have the same force and effect as if the action or inaction had been originally duly authorized, and such ratification shall be binding upon the Corporation and its stockholders and shall constitute a bar to any claim or execution of any judgment in respect of such questioned action or inaction.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17 . </w:t>
      </w:r>
      <w:r>
        <w:rPr>
          <w:rFonts w:ascii="Times New Roman" w:hAnsi="Times New Roman"/>
          <w:color w:val="000000"/>
          <w:sz w:val="20"/>
          <w:u w:val="single"/>
        </w:rPr>
        <w:t>EMERGENCY PROVISIONS</w:t>
      </w:r>
      <w:r>
        <w:rPr>
          <w:rFonts w:ascii="Times New Roman" w:hAnsi="Times New Roman"/>
          <w:color w:val="000000"/>
          <w:sz w:val="20"/>
        </w:rPr>
        <w:t xml:space="preserve">. Notwithstanding any other provision in the charter or these Bylaws, this Section 17 shall apply during the existence of any catastrophe, or other similar emergency condition, as a result of which a quorum of the Board of Directors under Article III of these Bylaws cannot readily be obtained (an “Emergency”). During any Emergency, unless otherwise provided by the Board of Directors, (i) a meeting of the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Board of Directors or a committee thereof may be called by any director or officer by any means feasible under the circumstances; (ii) notice of any meeting of the Board of Directors during such an Emergency may be given less than 24 hours prior to the meeting to as many directors and by such means as may be feasible at the time, including publication, television or radio; and (iii) the number of directors necessary to constitute a quorum shall be one-third of the entire Board of Directors.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IV</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COMMITTEES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NUMBER, TENURE AND QUALIFICATIONS</w:t>
      </w:r>
      <w:r>
        <w:rPr>
          <w:rFonts w:ascii="Times New Roman" w:hAnsi="Times New Roman"/>
          <w:color w:val="000000"/>
          <w:sz w:val="20"/>
        </w:rPr>
        <w:t>. The Board of Directors may appoint from among its members an Executive Committee, an Audit Committee, a Nominating and Corporate Governance Committee, a Compensation Committee and other committees, composed of one or more directors, to serve at the pleasure of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POWERS</w:t>
      </w:r>
      <w:r>
        <w:rPr>
          <w:rFonts w:ascii="Times New Roman" w:hAnsi="Times New Roman"/>
          <w:color w:val="000000"/>
          <w:sz w:val="20"/>
        </w:rPr>
        <w:t>. The Board of Directors may delegate to committees appointed under Section 1 of this Article any of the powers of the Board of Directors, except as prohibited by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MEETINGS</w:t>
      </w:r>
      <w:r>
        <w:rPr>
          <w:rFonts w:ascii="Times New Roman" w:hAnsi="Times New Roman"/>
          <w:color w:val="000000"/>
          <w:sz w:val="20"/>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TELEPHONE MEETINGS</w:t>
      </w:r>
      <w:r>
        <w:rPr>
          <w:rFonts w:ascii="Times New Roman" w:hAnsi="Times New Roman"/>
          <w:color w:val="000000"/>
          <w:sz w:val="20"/>
        </w:rPr>
        <w:t>. Members of a committee of the Board of Directors may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CONSENT BY COMMITTEES WITHOUT A MEETING</w:t>
      </w:r>
      <w:r>
        <w:rPr>
          <w:rFonts w:ascii="Times New Roman" w:hAnsi="Times New Roman"/>
          <w:color w:val="000000"/>
          <w:sz w:val="20"/>
        </w:rPr>
        <w:t>. Any action required or permitted to be taken at any meeting of a committee of the Board of Directors may be taken without a meeting, if a consent to such action is given in writing or by electronic transmission by each member of the committee and is filed with the minutes of proceedings of such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VACANCIES</w:t>
      </w:r>
      <w:r>
        <w:rPr>
          <w:rFonts w:ascii="Times New Roman" w:hAnsi="Times New Roman"/>
          <w:color w:val="000000"/>
          <w:sz w:val="20"/>
        </w:rPr>
        <w:t>. Subject to the provisions hereof, the Board of Directors shall have the power at any time to change the membership of any committee, to fill any vacancy, to designate one or more alternate members to replace any absent or disqualified member or to dissolve any such committee. Subject to the power of the Board of Directors, the members of the committee shall have the power to fill any vacancies on the committee.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V</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OFFICERS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GENERAL PROVISIONS</w:t>
      </w:r>
      <w:r>
        <w:rPr>
          <w:rFonts w:ascii="Times New Roman" w:hAnsi="Times New Roman"/>
          <w:color w:val="000000"/>
          <w:sz w:val="20"/>
        </w:rPr>
        <w:t xml:space="preserve">. The officers of the Corporation shall include a president, a secretary and a treasurer and may include a chief executive officer, one or more vice presidents, a chief operating officer, a chief financial officer, a chief investment officer, a chief compliance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Board and a Vice Chairman of the Board, neither of whom shall, solely by reason of such designations,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serve until his or her successor is elected and qualifies or until his or her death, or his or her resignation or removal in the manner hereinafter provided. Any two or more offices may be held by the same person. Election of an officer or agent shall not of itself create contract rights between the Corporation and such officer or agent.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REMOVAL AND RESIGNATION</w:t>
      </w:r>
      <w:r>
        <w:rPr>
          <w:rFonts w:ascii="Times New Roman" w:hAnsi="Times New Roman"/>
          <w:color w:val="000000"/>
          <w:sz w:val="20"/>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delivering his or her resignation to the Board of Directors, the Chairman of the Board, the chief executive officer,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VACANCIES</w:t>
      </w:r>
      <w:r>
        <w:rPr>
          <w:rFonts w:ascii="Times New Roman" w:hAnsi="Times New Roman"/>
          <w:color w:val="000000"/>
          <w:sz w:val="20"/>
        </w:rPr>
        <w:t>. A vacancy in any office may be filled by the Board of Directors for the balance of the term.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CHIEF EXECUTIVE OFFICER</w:t>
      </w:r>
      <w:r>
        <w:rPr>
          <w:rFonts w:ascii="Times New Roman" w:hAnsi="Times New Roman"/>
          <w:color w:val="000000"/>
          <w:sz w:val="20"/>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CHIEF OPERATING OFFICER</w:t>
      </w:r>
      <w:r>
        <w:rPr>
          <w:rFonts w:ascii="Times New Roman" w:hAnsi="Times New Roman"/>
          <w:color w:val="000000"/>
          <w:sz w:val="20"/>
        </w:rPr>
        <w:t>. The Board of Directors may designate a chief operating officer. The chief operating officer shall have the responsibilities and duties as determined by the Board of Directors or the chief executive officer.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CHIEF INVESTMENT OFFICER</w:t>
      </w:r>
      <w:r>
        <w:rPr>
          <w:rFonts w:ascii="Times New Roman" w:hAnsi="Times New Roman"/>
          <w:color w:val="000000"/>
          <w:sz w:val="20"/>
        </w:rPr>
        <w:t>. The Board of Directors may designate a chief investment officer. The chief investment officer shall have the responsibilities and duties as determined by the Board of Directors or the chief executive officer.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olor w:val="000000"/>
          <w:sz w:val="20"/>
          <w:u w:val="single"/>
        </w:rPr>
        <w:t>CHIEF FINANCIAL OFFICER</w:t>
      </w:r>
      <w:r>
        <w:rPr>
          <w:rFonts w:ascii="Times New Roman" w:hAnsi="Times New Roman"/>
          <w:color w:val="000000"/>
          <w:sz w:val="20"/>
        </w:rPr>
        <w:t>. The Board of Directors may designate a chief financial officer. The chief financial officer shall have the responsibilities and duties as determined by the Board of Directors or the chief executive officer.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8. </w:t>
      </w:r>
      <w:r>
        <w:rPr>
          <w:rFonts w:ascii="Times New Roman" w:hAnsi="Times New Roman"/>
          <w:color w:val="000000"/>
          <w:sz w:val="20"/>
          <w:u w:val="single"/>
        </w:rPr>
        <w:t>CHIEF COMPLIANCE OFFICER</w:t>
      </w:r>
      <w:r>
        <w:rPr>
          <w:rFonts w:ascii="Times New Roman" w:hAnsi="Times New Roman"/>
          <w:color w:val="000000"/>
          <w:sz w:val="20"/>
        </w:rPr>
        <w:t>. The chief compliance officer, subject to the direction of and reporting to the Board of Directors, shall be 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Investment Company Act) of the Corporation. The chief compliance officer shall perform such executive, supervisory and management functions and duties as may be assigned to him or her from time to time.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9. </w:t>
      </w:r>
      <w:r>
        <w:rPr>
          <w:rFonts w:ascii="Times New Roman" w:hAnsi="Times New Roman"/>
          <w:color w:val="000000"/>
          <w:sz w:val="20"/>
          <w:u w:val="single"/>
        </w:rPr>
        <w:t>PRESIDENT</w:t>
      </w:r>
      <w:r>
        <w:rPr>
          <w:rFonts w:ascii="Times New Roman" w:hAnsi="Times New Roman"/>
          <w:color w:val="000000"/>
          <w:sz w:val="20"/>
        </w:rPr>
        <w:t xml:space="preserve">. In the absence of a designation of a chief executive officer by the Board of Directors, the president shall be the chief executive officer of the Corporation. He or she may execute any deed, mortgage, bond,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10. </w:t>
      </w:r>
      <w:r>
        <w:rPr>
          <w:rFonts w:ascii="Times New Roman" w:hAnsi="Times New Roman"/>
          <w:color w:val="000000"/>
          <w:sz w:val="20"/>
          <w:u w:val="single"/>
        </w:rPr>
        <w:t>VICE PRESIDENTS</w:t>
      </w:r>
      <w:r>
        <w:rPr>
          <w:rFonts w:ascii="Times New Roman" w:hAnsi="Times New Roman"/>
          <w:color w:val="000000"/>
          <w:sz w:val="20"/>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11. </w:t>
      </w:r>
      <w:r>
        <w:rPr>
          <w:rFonts w:ascii="Times New Roman" w:hAnsi="Times New Roman"/>
          <w:color w:val="000000"/>
          <w:sz w:val="20"/>
          <w:u w:val="single"/>
        </w:rPr>
        <w:t>SECRETARY</w:t>
      </w:r>
      <w:r>
        <w:rPr>
          <w:rFonts w:ascii="Times New Roman" w:hAnsi="Times New Roman"/>
          <w:color w:val="000000"/>
          <w:sz w:val="20"/>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or her by the chief executive officer, the president or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12. </w:t>
      </w:r>
      <w:r>
        <w:rPr>
          <w:rFonts w:ascii="Times New Roman" w:hAnsi="Times New Roman"/>
          <w:color w:val="000000"/>
          <w:sz w:val="20"/>
          <w:u w:val="single"/>
        </w:rPr>
        <w:t>TREASURER</w:t>
      </w:r>
      <w:r>
        <w:rPr>
          <w:rFonts w:ascii="Times New Roman" w:hAnsi="Times New Roman"/>
          <w:color w:val="000000"/>
          <w:sz w:val="20"/>
        </w:rPr>
        <w:t>. The treasurer shall keep full and accurate accounts of receipts and disbursements in books belonging to the Corporation, shall deposit all moneys and other valuable effects in the name and to the credit of the Corporation in such depositories as may be designated by the Board of Directors and in general perform such other duties as from time to time may be assigned to him or her by the chief executive officer, the president or the Board of Directors. In the absence of a designation of a chief financial officer by the Board of Directors, the treasurer shall be the chief financial officer of the Corporation.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13. </w:t>
      </w:r>
      <w:r>
        <w:rPr>
          <w:rFonts w:ascii="Times New Roman" w:hAnsi="Times New Roman"/>
          <w:color w:val="000000"/>
          <w:sz w:val="20"/>
          <w:u w:val="single"/>
        </w:rPr>
        <w:t>ASSISTANT SECRETARIES AND ASSISTANT TREASURERS</w:t>
      </w:r>
      <w:r>
        <w:rPr>
          <w:rFonts w:ascii="Times New Roman" w:hAnsi="Times New Roman"/>
          <w:color w:val="000000"/>
          <w:sz w:val="20"/>
        </w:rPr>
        <w:t>. The assistant secretaries and assistant treasurers, in general, shall perform such duties as shall be assigned to them by the secretary or treasurer, respectively, or by the chief executive officer, the president or the Board of Directors.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VI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CONTRACTS, CHECKS AND DEPOSITS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CONTRACTS</w:t>
      </w:r>
      <w:r>
        <w:rPr>
          <w:rFonts w:ascii="Times New Roman" w:hAnsi="Times New Roman"/>
          <w:color w:val="000000"/>
          <w:sz w:val="20"/>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CHECKS AND DRAFTS</w:t>
      </w:r>
      <w:r>
        <w:rPr>
          <w:rFonts w:ascii="Times New Roman" w:hAnsi="Times New Roman"/>
          <w:color w:val="000000"/>
          <w:sz w:val="20"/>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DEPOSITS</w:t>
      </w:r>
      <w:r>
        <w:rPr>
          <w:rFonts w:ascii="Times New Roman" w:hAnsi="Times New Roman"/>
          <w:color w:val="000000"/>
          <w:sz w:val="20"/>
        </w:rPr>
        <w:t>. All funds of the Corporation not otherwise employed shall be deposited from time to time to the credit of the Corporation in such banks, trust companies or other depositories as the Board of Directors may designate.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VII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STOCK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CERTIFICATES; REQUIRED INFORMATION</w:t>
      </w:r>
      <w:r>
        <w:rPr>
          <w:rFonts w:ascii="Times New Roman" w:hAnsi="Times New Roman"/>
          <w:color w:val="000000"/>
          <w:sz w:val="20"/>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in such form as prescribed by the Board of Directors or a duly authorized officer, shall contain the statements and information required by the MGCL and shall be signed by the officers of the Corporation in the manner permitted by the MGCL. In the event that the Corporation issues shares of stock without certificates, to the extent then required by the MGCL, the Corporation shall provide to the record holders of such shares a written statement of the information required by the MGCL to be included on stock certificates. There shall be no differences in the rights and obligations of stockholders based on whether or not their shares are represented by certificates. If a class or series of stock is authorized by the Board of Directors to be issued without certificates, no stockholder shall be entitled to a certificate or certificates representing any shares of such class or series of stock held by such stockholder unless otherwise determined by the Board of Directors and then only upon written request by such stockholder to the secretary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TRANSFERS</w:t>
      </w:r>
      <w:r>
        <w:rPr>
          <w:rFonts w:ascii="Times New Roman" w:hAnsi="Times New Roman"/>
          <w:color w:val="000000"/>
          <w:sz w:val="20"/>
        </w:rPr>
        <w:t>. All transfers of shares of stock shall be made on the books of the Corporation, by the holder of the shares, in person or by his or her attorney, in such manner as the Board of Directors or any officer of the Corporation may prescribe and, if such shares are certificated, upon surrender of certificates duly endorsed. The issuance of a new certificate upon the transfer of certificated shares is subject to the determination of the Board of Directors that such shares shall no longer be represented by certificates. Upon the transfer of any uncertificated shares, to the extent then required by the MGCL, the Corporation shall provide to the record holders of such shares a written statement of the information required by the MGCL to be included on stock certificates.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expressly provided by the laws of the State of Maryland.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transfers of shares of any class or series of stock will be subject in all respects to the charter of the Corporation and all of the terms and conditions contained therein.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REPLACEMENT CERTIFICATE</w:t>
      </w:r>
      <w:r>
        <w:rPr>
          <w:rFonts w:ascii="Times New Roman" w:hAnsi="Times New Roman"/>
          <w:color w:val="000000"/>
          <w:sz w:val="20"/>
        </w:rPr>
        <w:t>. Any officer of the Corporation may direct a new certificate or certificates to be issued in place of any certificate or certificates theretofore issued by the Corporation alleged to have been lost, destroyed, stolen or mutilated, upon the making of an affidavit of that fact by the person claiming the certificate of stock to be lost, destroyed, stolen or mutilated; provided, however, if such shares have ceased to be certificated, no new certificate shall be issued unless requested in writing by such stockholder and the Board of Directors has determined that such certificates may be issued. Unless otherwise determined by an officer of the Corporation, the owner of such lost, destroyed, stolen or mutilated certificate or certificates, or his or her legal representative, shall be required, as a condition precedent to the issuance of a new certificate or certificates, to give the Corporation a bond in such sums as it may direct as indemnity against any claim that may be made against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FIXING OF RECORD DATE</w:t>
      </w:r>
      <w:r>
        <w:rPr>
          <w:rFonts w:ascii="Times New Roman" w:hAnsi="Times New Roman"/>
          <w:color w:val="000000"/>
          <w:sz w:val="20"/>
        </w:rPr>
        <w:t xml:space="preserve">.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a record date for the determination of stockholders entitled to notice of and to vote at any meeting of stockholders has been set as provided in this section, such record date shall continue to apply to the meeting if adjourned or postponed, except if the meeting is adjourned or postponed to a date more than 120 days after the record date originally fixed for the meeting, in which case a new record date for such meeting may be determined as set forth 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STOCK LEDGER</w:t>
      </w:r>
      <w:r>
        <w:rPr>
          <w:rFonts w:ascii="Times New Roman" w:hAnsi="Times New Roman"/>
          <w:color w:val="000000"/>
          <w:sz w:val="20"/>
        </w:rPr>
        <w:t>. The Corporation shall maintain at its principal office or at the office of its counsel, accountants or transfer agent, an original or duplicate stock ledger containing the name and address of each stockholder and the number of shares of each class held by such stockholder.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FRACTIONAL STOCK; ISSUANCE OF UNITS</w:t>
      </w:r>
      <w:r>
        <w:rPr>
          <w:rFonts w:ascii="Times New Roman" w:hAnsi="Times New Roman"/>
          <w:color w:val="000000"/>
          <w:sz w:val="20"/>
        </w:rPr>
        <w:t>. The Board of Directors may authorize the Corporation to issue fractional stock or authorize the issuance of scrip, all on such terms and under such conditions as it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olor w:val="000000"/>
          <w:sz w:val="20"/>
          <w:u w:val="single"/>
        </w:rPr>
        <w:t>EXCLUSIVE FORUM</w:t>
      </w:r>
      <w:r>
        <w:rPr>
          <w:rFonts w:ascii="Times New Roman" w:hAnsi="Times New Roman"/>
          <w:color w:val="000000"/>
          <w:sz w:val="20"/>
        </w:rPr>
        <w:t>. Unless the Corporation consents in writing to the selection of a different forum, and except for any claims made under the federal U.S. securities laws, the Circuit Court for Baltimore City, Maryland, or, if that court does not have jurisdiction, the United States District Court for the District of Maryland, Baltimore Division, shall be the sole and exclusive forum for (a) any Internal Corporate Claim, as such term is defined in Section 1-101(q) of the MGCL, (b) any derivative action or proceeding brought on behalf of the Corporation, (c) any action asserting a claim of breach of any duty owed by any director, officer or employee of the Corporation to the Corporation or to the stockholders of the Corporation, (d) any action asserting a claim against the Corporation or any director, officer or employee of the Corporation arising pursuant to any provision of the MGCL, the Charter or these Bylaws or (e) any other action asserting a claim against the Corporation or any director, officer or employee of the Corporation that is governed by the internal affairs doctrine. With respect to any proceeding described in the foregoing sentence that is in the Circuit Court for Baltimore City, Maryland, the Corporation and its stockholders consent to the assignment of the proceeding to the Business and Technology Case Management Program pursuant to Maryland Rule 16-308 or any successor thereof. Any person or entity purchasing or otherwise acquiring any interest in shares of capital stock of the Corporation shall be deemed, to the fullest extent permitted by law, to have notice of and consented to the provisions of this Section 7 and to have irrevocably submitted to, and waived any objection to, the exclusive jurisdiction of such courts in connection with any such action or proceeding and consented to process being served in any such action or proceeding, without limitation, by United States mail addressed to the stockholder at the stockholder’s address as it appears on the records of the Corporation, with postage thereon prepaid.</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VIII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ACCOUNTING YEAR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shall have the power, from time to time, to fix the fiscal year of the Corporation by a duly adopted resolution.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IX</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DISTRIBUTIONS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AUTHORIZATION</w:t>
      </w:r>
      <w:r>
        <w:rPr>
          <w:rFonts w:ascii="Times New Roman" w:hAnsi="Times New Roman"/>
          <w:color w:val="000000"/>
          <w:sz w:val="20"/>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CONTINGENCIES</w:t>
      </w:r>
      <w:r>
        <w:rPr>
          <w:rFonts w:ascii="Times New Roman" w:hAnsi="Times New Roman"/>
          <w:color w:val="000000"/>
          <w:sz w:val="20"/>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for repairing or maintaining any property of the Corporation or for such other purpose as the Board of Directors shall determine, and the Board of Directors may modify or abolish any such reserve.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X</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SEAL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SEAL</w:t>
      </w:r>
      <w:r>
        <w:rPr>
          <w:rFonts w:ascii="Times New Roman" w:hAnsi="Times New Roman"/>
          <w:color w:val="000000"/>
          <w:sz w:val="20"/>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AFFIXING SEAL</w:t>
      </w:r>
      <w:r>
        <w:rPr>
          <w:rFonts w:ascii="Times New Roman" w:hAnsi="Times New Roman"/>
          <w:color w:val="000000"/>
          <w:sz w:val="20"/>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XI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INDEMNIFICATION AND ADVANCE OF EXPENSES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trustee, member or manager of another corporation, real estate investment trust, limited liability company, partnership, joint venture, trust, employee benefit plan or other enterprise and who is made or threatened to be made a party to the proceeding by reason of his or her service in that capacity. The rights to indemnification and advance of expenses provided by the charter of the Corporation and these Bylaws shall vest immediately upon election of a director or officer. The Corporation may, with the approval of its Board of Directors or any duly authorized committee thereof, provide such indemnification and advance for expenses to an individual who served a predecessor of the Corporation in any of the capacities described in (a) or (b) above and to any employee or agent of the Corporation or a predecessor of the Corporation. The indemnification and payment or reimbursement of expenses provided in these Bylaws shall not be deemed exclusive of or limit in any way other rights to which any person seeking indemnification or payment or reimbursement of expenses may be or may become entitled under any bylaw, resolution, insurance, agreement or otherwise.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Neither the amendment nor repeal of this Article, nor the adoption or amendment of any other provision of the charter of the Corporation or these Bylaws inconsistent with this Article, shall apply to or affect in any respect the applicability of the preceding paragraph with respect to any act or failure to act which occurred prior to such amendment, repeal or adoption.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No provision of this Article XI shall be effective to protect or purport to protect any director or officer of the Corporation against liability to the Corporation or its stockholders to which he or she would otherwise be subject by reason of willful misfeasance, bad faith, gross negligence or reckless disregard of the duties involved in the conduct of his or her office.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XII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WAIVER OF NOTICE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Whenever any notice is required to be given pursuant to the charter of the Corporation or these Bylaws or pursuant to applicable law, a waiver thereof in writing or by electronic transmission, given by the person or persons entitled to such notice, whether before or after the time stated therein, shall be deemed equivalent to the giving of such notice. Neither the business to be transacted at nor the purpose of any meeting need be set forth in the waiver of notice of such meeting,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has not been lawfully called or convened.</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XIII</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INVESTMENT COMPANY ACT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XIV</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AMENDMENT OF BYLAWS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shall have the exclusive power, at any time, to adopt, alter or repeal any provision of these Bylaws and to make new Bylaws.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way-ex31_1.htm"/>
      <w:bookmarkStart w:id="27" w:name="ksrwayex31_1"/>
      <w:bookmarkEnd w:id="26"/>
      <w:bookmarkEnd w:id="27"/>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David Spreng, as Chief Executive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rway-ex31_2.htm"/>
      <w:bookmarkStart w:id="29" w:name="ksrwayex31_2"/>
      <w:bookmarkEnd w:id="28"/>
      <w:bookmarkEnd w:id="29"/>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Carmela Thomson, as Chief Financial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Carmela Thomson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Carmela Thomson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rway-ex32_1.htm"/>
      <w:bookmarkStart w:id="31" w:name="ksrwayex32_1"/>
      <w:bookmarkEnd w:id="30"/>
      <w:bookmarkEnd w:id="31"/>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rway-ex32_2.htm"/>
      <w:bookmarkStart w:id="33" w:name="ksrwayex32_2"/>
      <w:bookmarkEnd w:id="32"/>
      <w:bookmarkEnd w:id="33"/>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Carmela Thomson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Carmela Thomson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4420416140270/v454968_ex3-1.htm" TargetMode="External"/><Relationship Id="rId3" Type="http://schemas.openxmlformats.org/officeDocument/2006/relationships/hyperlink" Target="https://www.sec.gov/Archives/edgar/data/1653384/000114420416140270/v454968_ex3-1.htm" TargetMode="External"/><Relationship Id="rId4" Type="http://schemas.openxmlformats.org/officeDocument/2006/relationships/hyperlink" Target="https://www.sec.gov/Archives/edgar/data/0001653384/000165338421000016/rgc-20210819ex31cb84ffa.htm" TargetMode="External"/><Relationship Id="rId5" Type="http://schemas.openxmlformats.org/officeDocument/2006/relationships/hyperlink" Target="https://www.sec.gov/Archives/edgar/data/0001653384/000165338421000016/rgc-20210819ex31cb84ffa.htm" TargetMode="External"/><Relationship Id="rId6" Type="http://schemas.openxmlformats.org/officeDocument/2006/relationships/hyperlink" Target="https://www.sec.gov/Archives/edgar/data/1653384/000119312526304889/rway-ex10_1.htm" TargetMode="External"/><Relationship Id="rId7" Type="http://schemas.openxmlformats.org/officeDocument/2006/relationships/hyperlink" Target="https://www.sec.gov/Archives/edgar/data/1653384/000119312526304889/rway-ex10_1.htm" TargetMode="External"/><Relationship Id="rId8" Type="http://schemas.openxmlformats.org/officeDocument/2006/relationships/hyperlink" Target="https://www.sec.gov/Archives/edgar/data/1089907/000155278123000397/e23407_ex4-1.htm" TargetMode="External"/><Relationship Id="rId9" Type="http://schemas.openxmlformats.org/officeDocument/2006/relationships/hyperlink" Target="https://www.sec.gov/Archives/edgar/data/1089907/000155278123000397/e23407_ex4-1.htm" TargetMode="External"/><Relationship Id="rId10" Type="http://schemas.openxmlformats.org/officeDocument/2006/relationships/hyperlink" Target="https://www.sec.gov/Archives/edgar/data/1089907/000155278123000397/e23407_ex4-2.htm" TargetMode="External"/><Relationship Id="rId11" Type="http://schemas.openxmlformats.org/officeDocument/2006/relationships/hyperlink" Target="https://www.sec.gov/Archives/edgar/data/1089907/000155278123000397/e23407_ex4-2.htm" TargetMode="External"/><Relationship Id="rId12" Type="http://schemas.openxmlformats.org/officeDocument/2006/relationships/hyperlink" Target="https://www.sec.gov/Archives/edgar/data/1089907/000155278123000397/e23407_ex4-2.htm" TargetMode="External"/><Relationship Id="rId13" Type="http://schemas.openxmlformats.org/officeDocument/2006/relationships/hyperlink" Target="https://www.sec.gov/Archives/edgar/data/1089907/000155278126000198/e26171_ex4-3.htm" TargetMode="External"/><Relationship Id="rId14" Type="http://schemas.openxmlformats.org/officeDocument/2006/relationships/hyperlink" Target="https://www.sec.gov/Archives/edgar/data/1089907/000155278126000198/e26171_ex4-3.htm" TargetMode="External"/><Relationship Id="rId15" Type="http://schemas.openxmlformats.org/officeDocument/2006/relationships/hyperlink" Target="https://www.sec.gov/Archives/edgar/data/1653384/000119312526144599/rway-ex4_5.htm" TargetMode="External"/><Relationship Id="rId16" Type="http://schemas.openxmlformats.org/officeDocument/2006/relationships/hyperlink" Target="https://www.sec.gov/Archives/edgar/data/1653384/000119312526144599/rway-ex4_5.htm" TargetMode="External"/><Relationship Id="rId17" Type="http://schemas.openxmlformats.org/officeDocument/2006/relationships/hyperlink" Target="https://www.sec.gov/Archives/edgar/data/1653384/000110465926068282/tm2616014d1_ex4-2.htm" TargetMode="External"/><Relationship Id="rId18" Type="http://schemas.openxmlformats.org/officeDocument/2006/relationships/hyperlink" Target="https://www.sec.gov/Archives/edgar/data/1653384/000110465926068282/tm2616014d1_ex4-2.htm" TargetMode="External"/><Relationship Id="rId19" Type="http://schemas.openxmlformats.org/officeDocument/2006/relationships/hyperlink" Target="https://www.sec.gov/Archives/edgar/data/1653384/000110465926068282/tm2616014d1_ex4-2.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62988</Words>
  <Characters>335994</Characters>
  <CharactersWithSpaces>411996</CharactersWithSpaces>
  <Paragraphs>28879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