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08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7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6" w:lineRule="exact"/>
        <w:rPr>
          <w:sz w:val="24"/>
          <w:szCs w:val="24"/>
          <w:color w:val="auto"/>
        </w:rPr>
      </w:pPr>
    </w:p>
    <w:p>
      <w:pPr>
        <w:ind w:left="2280" w:right="220" w:hanging="1226"/>
        <w:spacing w:after="0" w:line="286" w:lineRule="auto"/>
        <w:tabs>
          <w:tab w:leader="none" w:pos="2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71" w:lineRule="exact"/>
        <w:rPr>
          <w:sz w:val="24"/>
          <w:szCs w:val="24"/>
          <w:color w:val="auto"/>
        </w:rPr>
      </w:pPr>
    </w:p>
    <w:p>
      <w:pPr>
        <w:ind w:left="2280" w:right="220" w:hanging="1226"/>
        <w:spacing w:after="0" w:line="286" w:lineRule="auto"/>
        <w:tabs>
          <w:tab w:leader="none" w:pos="22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814-01180</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Runway Growth Finance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47" w:lineRule="exact"/>
        <w:rPr>
          <w:sz w:val="24"/>
          <w:szCs w:val="24"/>
          <w:color w:val="auto"/>
        </w:rPr>
      </w:pPr>
    </w:p>
    <w:tbl>
      <w:tblPr>
        <w:tblLayout w:type="fixed"/>
        <w:tblInd w:w="1420" w:type="dxa"/>
        <w:tblCellMar>
          <w:top w:w="0" w:type="dxa"/>
          <w:left w:w="0" w:type="dxa"/>
          <w:bottom w:w="0" w:type="dxa"/>
          <w:right w:w="0" w:type="dxa"/>
        </w:tblCellMar>
      </w:tblPr>
      <w:tr>
        <w:trPr>
          <w:trHeight w:val="238"/>
        </w:trPr>
        <w:tc>
          <w:tcPr>
            <w:tcW w:w="430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40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47-5049745</w:t>
            </w:r>
          </w:p>
        </w:tc>
      </w:tr>
      <w:tr>
        <w:trPr>
          <w:trHeight w:val="243"/>
        </w:trPr>
        <w:tc>
          <w:tcPr>
            <w:tcW w:w="430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rPr>
              <w:t>(State of incorporation)</w:t>
            </w:r>
          </w:p>
        </w:tc>
        <w:tc>
          <w:tcPr>
            <w:tcW w:w="406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2"/>
        </w:trPr>
        <w:tc>
          <w:tcPr>
            <w:tcW w:w="430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205 N. Michigan Ave., Suite 4200</w:t>
            </w:r>
          </w:p>
        </w:tc>
        <w:tc>
          <w:tcPr>
            <w:tcW w:w="4060" w:type="dxa"/>
            <w:vAlign w:val="bottom"/>
          </w:tcPr>
          <w:p>
            <w:pPr>
              <w:spacing w:after="0"/>
              <w:rPr>
                <w:sz w:val="24"/>
                <w:szCs w:val="24"/>
                <w:color w:val="auto"/>
              </w:rPr>
            </w:pPr>
          </w:p>
        </w:tc>
      </w:tr>
      <w:tr>
        <w:trPr>
          <w:trHeight w:val="243"/>
        </w:trPr>
        <w:tc>
          <w:tcPr>
            <w:tcW w:w="430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8"/>
              </w:rPr>
              <w:t>Chicago, IL</w:t>
            </w:r>
          </w:p>
        </w:tc>
        <w:tc>
          <w:tcPr>
            <w:tcW w:w="40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60601</w:t>
            </w:r>
          </w:p>
        </w:tc>
      </w:tr>
      <w:tr>
        <w:trPr>
          <w:trHeight w:val="243"/>
        </w:trPr>
        <w:tc>
          <w:tcPr>
            <w:tcW w:w="430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6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(312) 698-6902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0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310"/>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6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5"/>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0"/>
              </w:rPr>
              <w:t>RWAY</w:t>
            </w:r>
          </w:p>
        </w:tc>
        <w:tc>
          <w:tcPr>
            <w:tcW w:w="3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Nasdaq Global Select Market LLC</w:t>
            </w:r>
          </w:p>
        </w:tc>
      </w:tr>
      <w:tr>
        <w:trPr>
          <w:trHeight w:val="234"/>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7.50% Notes due 2027</w:t>
            </w:r>
          </w:p>
        </w:tc>
        <w:tc>
          <w:tcPr>
            <w:tcW w:w="2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3"/>
              </w:rPr>
              <w:t>RWAYL</w:t>
            </w:r>
          </w:p>
        </w:tc>
        <w:tc>
          <w:tcPr>
            <w:tcW w:w="3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Nasdaq Global Select Market LLC</w:t>
            </w:r>
          </w:p>
        </w:tc>
      </w:tr>
      <w:tr>
        <w:trPr>
          <w:trHeight w:val="243"/>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8.00% Notes due 2027</w:t>
            </w:r>
          </w:p>
        </w:tc>
        <w:tc>
          <w:tcPr>
            <w:tcW w:w="2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3"/>
              </w:rPr>
              <w:t>RWAYZ</w:t>
            </w:r>
          </w:p>
        </w:tc>
        <w:tc>
          <w:tcPr>
            <w:tcW w:w="3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Nasdaq Global Select Market LLC</w:t>
            </w:r>
          </w:p>
        </w:tc>
      </w:tr>
    </w:tbl>
    <w:p>
      <w:pPr>
        <w:spacing w:after="0" w:line="144"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firstLine="37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firstLine="374"/>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Refer to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Exchange Act.</w:t>
      </w:r>
    </w:p>
    <w:p>
      <w:pPr>
        <w:sectPr>
          <w:pgSz w:w="11900" w:h="16838" w:orient="portrait"/>
          <w:cols w:equalWidth="0" w:num="1">
            <w:col w:w="11240"/>
          </w:cols>
          <w:pgMar w:left="320" w:top="877" w:right="339" w:bottom="1440" w:gutter="0" w:footer="0" w:header="0"/>
        </w:sectPr>
      </w:pPr>
    </w:p>
    <w:p>
      <w:pPr>
        <w:spacing w:after="0" w:line="76"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jc w:val="center"/>
        <w:ind w:right="420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2">
            <w:col w:w="4920" w:space="720"/>
            <w:col w:w="5600"/>
          </w:cols>
          <w:pgMar w:left="320" w:top="877"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8" w:lineRule="exact"/>
        <w:rPr>
          <w:sz w:val="24"/>
          <w:szCs w:val="24"/>
          <w:color w:val="auto"/>
        </w:rPr>
      </w:pPr>
    </w:p>
    <w:p>
      <w:pPr>
        <w:sectPr>
          <w:pgSz w:w="11900" w:h="16838" w:orient="portrait"/>
          <w:cols w:equalWidth="0" w:num="2">
            <w:col w:w="4920" w:space="720"/>
            <w:col w:w="5600"/>
          </w:cols>
          <w:pgMar w:left="320" w:top="877"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877" w:right="339" w:bottom="1440" w:gutter="0" w:footer="0" w:header="0"/>
          <w:type w:val="continuous"/>
        </w:sectPr>
      </w:pPr>
    </w:p>
    <w:p>
      <w:pPr>
        <w:spacing w:after="0" w:line="163" w:lineRule="exact"/>
        <w:rPr>
          <w:sz w:val="24"/>
          <w:szCs w:val="24"/>
          <w:color w:val="auto"/>
        </w:rPr>
      </w:pPr>
    </w:p>
    <w:p>
      <w:pPr>
        <w:ind w:right="140" w:firstLine="37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ind w:left="380" w:right="1700"/>
        <w:spacing w:after="0" w:line="300"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issuer had 37,399,622 shares of common stock, $0.01 par value per share, outstanding as of November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6"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FORM 10</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Q FOR THE QUARTER ENDED September 30, 2024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gridSpan w:val="8"/>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20" w:type="dxa"/>
            <w:vAlign w:val="bottom"/>
          </w:tcPr>
          <w:p>
            <w:pPr>
              <w:spacing w:after="0"/>
              <w:rPr>
                <w:sz w:val="13"/>
                <w:szCs w:val="13"/>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gridSpan w:val="8"/>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8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FINANCIAL INFORMATION</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5"/>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w w:val="97"/>
              </w:rPr>
              <w:t>Item 1.</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Financial Statements</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Assets and Liabilities as of September 30, 2024 (unaudited) and December 31, 2023</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52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900" w:type="dxa"/>
            <w:vAlign w:val="bottom"/>
            <w:tcBorders>
              <w:top w:val="single" w:sz="8" w:color="0000FF"/>
            </w:tcBorders>
          </w:tcPr>
          <w:p>
            <w:pPr>
              <w:spacing w:after="0"/>
              <w:rPr>
                <w:sz w:val="21"/>
                <w:szCs w:val="21"/>
                <w:color w:val="auto"/>
              </w:rPr>
            </w:pPr>
          </w:p>
        </w:tc>
        <w:tc>
          <w:tcPr>
            <w:tcW w:w="940" w:type="dxa"/>
            <w:vAlign w:val="bottom"/>
            <w:tcBorders>
              <w:top w:val="single" w:sz="8" w:color="0000FF"/>
            </w:tcBorders>
          </w:tcPr>
          <w:p>
            <w:pPr>
              <w:spacing w:after="0"/>
              <w:rPr>
                <w:sz w:val="21"/>
                <w:szCs w:val="21"/>
                <w:color w:val="auto"/>
              </w:rPr>
            </w:pPr>
          </w:p>
        </w:tc>
        <w:tc>
          <w:tcPr>
            <w:tcW w:w="14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 for the three and nine months ended September 30, 2024 and 2023 (unaudited)</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52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900" w:type="dxa"/>
            <w:vAlign w:val="bottom"/>
            <w:tcBorders>
              <w:top w:val="single" w:sz="8" w:color="0000FF"/>
            </w:tcBorders>
          </w:tcPr>
          <w:p>
            <w:pPr>
              <w:spacing w:after="0"/>
              <w:rPr>
                <w:sz w:val="21"/>
                <w:szCs w:val="21"/>
                <w:color w:val="auto"/>
              </w:rPr>
            </w:pPr>
          </w:p>
        </w:tc>
        <w:tc>
          <w:tcPr>
            <w:tcW w:w="940" w:type="dxa"/>
            <w:vAlign w:val="bottom"/>
            <w:tcBorders>
              <w:top w:val="single" w:sz="8" w:color="0000FF"/>
            </w:tcBorders>
          </w:tcPr>
          <w:p>
            <w:pPr>
              <w:spacing w:after="0"/>
              <w:rPr>
                <w:sz w:val="21"/>
                <w:szCs w:val="21"/>
                <w:color w:val="auto"/>
              </w:rPr>
            </w:pPr>
          </w:p>
        </w:tc>
        <w:tc>
          <w:tcPr>
            <w:tcW w:w="14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Changes in Net Assets for the three and nine months ended September 30, 2024 and 2023 (unaudited)</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52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14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840" w:type="dxa"/>
            <w:vAlign w:val="bottom"/>
            <w:tcBorders>
              <w:top w:val="single" w:sz="8" w:color="0000EE"/>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5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nine months ended September 30, 2024 and 2023 (unaudited)</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52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900" w:type="dxa"/>
            <w:vAlign w:val="bottom"/>
            <w:tcBorders>
              <w:top w:val="single" w:sz="8" w:color="0000EE"/>
            </w:tcBorders>
          </w:tcPr>
          <w:p>
            <w:pPr>
              <w:spacing w:after="0"/>
              <w:rPr>
                <w:sz w:val="21"/>
                <w:szCs w:val="21"/>
                <w:color w:val="auto"/>
              </w:rPr>
            </w:pPr>
          </w:p>
        </w:tc>
        <w:tc>
          <w:tcPr>
            <w:tcW w:w="940" w:type="dxa"/>
            <w:vAlign w:val="bottom"/>
            <w:tcBorders>
              <w:top w:val="single" w:sz="8" w:color="0000EE"/>
            </w:tcBorders>
          </w:tcPr>
          <w:p>
            <w:pPr>
              <w:spacing w:after="0"/>
              <w:rPr>
                <w:sz w:val="21"/>
                <w:szCs w:val="21"/>
                <w:color w:val="auto"/>
              </w:rPr>
            </w:pPr>
          </w:p>
        </w:tc>
        <w:tc>
          <w:tcPr>
            <w:tcW w:w="1400" w:type="dxa"/>
            <w:vAlign w:val="bottom"/>
            <w:tcBorders>
              <w:top w:val="single" w:sz="8" w:color="0000EE"/>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Schedule of Investments as of September 30, 2024 (unaudited)</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52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940" w:type="dxa"/>
            <w:vAlign w:val="bottom"/>
            <w:tcBorders>
              <w:top w:val="single" w:sz="8" w:color="CCEEFF"/>
            </w:tcBorders>
          </w:tcPr>
          <w:p>
            <w:pPr>
              <w:spacing w:after="0"/>
              <w:rPr>
                <w:sz w:val="20"/>
                <w:szCs w:val="20"/>
                <w:color w:val="auto"/>
              </w:rPr>
            </w:pPr>
          </w:p>
        </w:tc>
        <w:tc>
          <w:tcPr>
            <w:tcW w:w="140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42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5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Schedule of Investments as of December 31, 2023</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52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9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520" w:type="dxa"/>
            <w:vAlign w:val="bottom"/>
            <w:tcBorders>
              <w:top w:val="single" w:sz="8" w:color="0000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5"/>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w w:val="97"/>
              </w:rPr>
              <w:t>Item 2.</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52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900" w:type="dxa"/>
            <w:vAlign w:val="bottom"/>
            <w:tcBorders>
              <w:top w:val="single" w:sz="8" w:color="0000FF"/>
            </w:tcBorders>
          </w:tcPr>
          <w:p>
            <w:pPr>
              <w:spacing w:after="0"/>
              <w:rPr>
                <w:sz w:val="21"/>
                <w:szCs w:val="21"/>
                <w:color w:val="auto"/>
              </w:rPr>
            </w:pPr>
          </w:p>
        </w:tc>
        <w:tc>
          <w:tcPr>
            <w:tcW w:w="940" w:type="dxa"/>
            <w:vAlign w:val="bottom"/>
            <w:tcBorders>
              <w:top w:val="single" w:sz="8" w:color="0000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5"/>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w w:val="97"/>
              </w:rPr>
              <w:t>Item 3.</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52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5"/>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w w:val="97"/>
              </w:rPr>
              <w:t>Item 4.</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18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INFORMATION</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5"/>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w w:val="97"/>
              </w:rPr>
              <w:t>Item 1.</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160" w:type="dxa"/>
            <w:vAlign w:val="bottom"/>
            <w:gridSpan w:val="7"/>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5"/>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w w:val="97"/>
              </w:rPr>
              <w:t>Item 2.</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52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5"/>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w w:val="97"/>
              </w:rPr>
              <w:t>Item 3.</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5"/>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w w:val="97"/>
              </w:rPr>
              <w:t>Item 4.</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5"/>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w w:val="97"/>
              </w:rPr>
              <w:t>Item 5.</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5"/>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w w:val="97"/>
              </w:rPr>
              <w:t>Item 6.</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18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w w:val="97"/>
              </w:rPr>
              <w:t>SIGNATURES</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424"/>
        </w:trPr>
        <w:tc>
          <w:tcPr>
            <w:tcW w:w="2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5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900" w:type="dxa"/>
            <w:vAlign w:val="bottom"/>
            <w:tcBorders>
              <w:top w:val="single" w:sz="8" w:color="CCEEFF"/>
              <w:bottom w:val="single" w:sz="8" w:color="9A9A9A"/>
            </w:tcBorders>
          </w:tcPr>
          <w:p>
            <w:pPr>
              <w:spacing w:after="0"/>
              <w:rPr>
                <w:sz w:val="24"/>
                <w:szCs w:val="24"/>
                <w:color w:val="auto"/>
              </w:rPr>
            </w:pPr>
          </w:p>
        </w:tc>
        <w:tc>
          <w:tcPr>
            <w:tcW w:w="940" w:type="dxa"/>
            <w:vAlign w:val="bottom"/>
            <w:tcBorders>
              <w:top w:val="single" w:sz="8" w:color="CCEEFF"/>
              <w:bottom w:val="single" w:sz="8" w:color="9A9A9A"/>
            </w:tcBorders>
          </w:tcPr>
          <w:p>
            <w:pPr>
              <w:spacing w:after="0"/>
              <w:rPr>
                <w:sz w:val="24"/>
                <w:szCs w:val="24"/>
                <w:color w:val="auto"/>
              </w:rPr>
            </w:pPr>
          </w:p>
        </w:tc>
        <w:tc>
          <w:tcPr>
            <w:tcW w:w="140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8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Assets and Liabilities</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87"/>
        </w:trPr>
        <w:tc>
          <w:tcPr>
            <w:tcW w:w="7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top w:val="single" w:sz="8" w:color="auto"/>
            </w:tcBorders>
            <w:shd w:val="clear" w:color="auto" w:fill="CFF0FC"/>
          </w:tcPr>
          <w:p>
            <w:pPr>
              <w:spacing w:after="0"/>
              <w:rPr>
                <w:sz w:val="14"/>
                <w:szCs w:val="14"/>
                <w:color w:val="auto"/>
              </w:rPr>
            </w:pPr>
          </w:p>
        </w:tc>
        <w:tc>
          <w:tcPr>
            <w:tcW w:w="150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Non-control/non-affiliate investments at fair value (cost of $1,044,022 and $1,005,024, respectively)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1,000,405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972,604</w:t>
            </w:r>
          </w:p>
        </w:tc>
        <w:tc>
          <w:tcPr>
            <w:tcW w:w="100" w:type="dxa"/>
            <w:vAlign w:val="bottom"/>
            <w:shd w:val="clear" w:color="auto" w:fill="CFF0FC"/>
          </w:tcPr>
          <w:p>
            <w:pPr>
              <w:spacing w:after="0"/>
              <w:rPr>
                <w:sz w:val="15"/>
                <w:szCs w:val="15"/>
                <w:color w:val="auto"/>
              </w:rPr>
            </w:pPr>
          </w:p>
        </w:tc>
      </w:tr>
      <w:tr>
        <w:trPr>
          <w:trHeight w:val="176"/>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Affiliate investments at fair value (cost of $59,111 and $58,861, respectively)</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58,969</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51,456</w:t>
            </w:r>
          </w:p>
        </w:tc>
        <w:tc>
          <w:tcPr>
            <w:tcW w:w="100" w:type="dxa"/>
            <w:vAlign w:val="bottom"/>
          </w:tcPr>
          <w:p>
            <w:pPr>
              <w:spacing w:after="0"/>
              <w:rPr>
                <w:sz w:val="15"/>
                <w:szCs w:val="15"/>
                <w:color w:val="auto"/>
              </w:rPr>
            </w:pPr>
          </w:p>
        </w:tc>
      </w:tr>
      <w:tr>
        <w:trPr>
          <w:trHeight w:val="175"/>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Control investments at fair value (cost of $6,550 and $950, respectively)</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6,726</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shd w:val="clear" w:color="auto" w:fill="CFF0FC"/>
          </w:tcPr>
          <w:p>
            <w:pPr>
              <w:spacing w:after="0"/>
              <w:rPr>
                <w:sz w:val="15"/>
                <w:szCs w:val="15"/>
                <w:color w:val="auto"/>
              </w:rPr>
            </w:pPr>
          </w:p>
        </w:tc>
      </w:tr>
      <w:tr>
        <w:trPr>
          <w:trHeight w:val="176"/>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 in U.S. Treasury Bills at fair value (cost of $0 and $42,014, respectively)</w:t>
            </w:r>
          </w:p>
        </w:tc>
        <w:tc>
          <w:tcPr>
            <w:tcW w:w="140" w:type="dxa"/>
            <w:vAlign w:val="bottom"/>
          </w:tcPr>
          <w:p>
            <w:pPr>
              <w:spacing w:after="0"/>
              <w:rPr>
                <w:sz w:val="15"/>
                <w:szCs w:val="15"/>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41,999</w:t>
            </w:r>
          </w:p>
        </w:tc>
        <w:tc>
          <w:tcPr>
            <w:tcW w:w="100" w:type="dxa"/>
            <w:vAlign w:val="bottom"/>
          </w:tcPr>
          <w:p>
            <w:pPr>
              <w:spacing w:after="0"/>
              <w:rPr>
                <w:sz w:val="15"/>
                <w:szCs w:val="15"/>
                <w:color w:val="auto"/>
              </w:rPr>
            </w:pPr>
          </w:p>
        </w:tc>
      </w:tr>
      <w:tr>
        <w:trPr>
          <w:trHeight w:val="169"/>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investments at fair value (cost of $1,109,683 and $1,106,849, respectively)</w:t>
            </w:r>
          </w:p>
        </w:tc>
        <w:tc>
          <w:tcPr>
            <w:tcW w:w="140" w:type="dxa"/>
            <w:vAlign w:val="bottom"/>
            <w:tcBorders>
              <w:top w:val="single" w:sz="8" w:color="auto"/>
            </w:tcBorders>
            <w:shd w:val="clear" w:color="auto" w:fill="CFF0FC"/>
          </w:tcPr>
          <w:p>
            <w:pPr>
              <w:spacing w:after="0"/>
              <w:rPr>
                <w:sz w:val="14"/>
                <w:szCs w:val="14"/>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1,066,100</w:t>
            </w:r>
          </w:p>
        </w:tc>
        <w:tc>
          <w:tcPr>
            <w:tcW w:w="2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1,067,009</w:t>
            </w:r>
          </w:p>
        </w:tc>
        <w:tc>
          <w:tcPr>
            <w:tcW w:w="100" w:type="dxa"/>
            <w:vAlign w:val="bottom"/>
            <w:shd w:val="clear" w:color="auto" w:fill="CFF0FC"/>
          </w:tcPr>
          <w:p>
            <w:pPr>
              <w:spacing w:after="0"/>
              <w:rPr>
                <w:sz w:val="14"/>
                <w:szCs w:val="14"/>
                <w:color w:val="auto"/>
              </w:rPr>
            </w:pPr>
          </w:p>
        </w:tc>
      </w:tr>
      <w:tr>
        <w:trPr>
          <w:trHeight w:val="175"/>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100" w:type="dxa"/>
            <w:vAlign w:val="bottom"/>
          </w:tcPr>
          <w:p>
            <w:pPr>
              <w:spacing w:after="0"/>
              <w:rPr>
                <w:sz w:val="15"/>
                <w:szCs w:val="15"/>
                <w:color w:val="auto"/>
              </w:rPr>
            </w:pPr>
          </w:p>
        </w:tc>
      </w:tr>
      <w:tr>
        <w:trPr>
          <w:trHeight w:val="17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and fees receivable</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8,269</w:t>
            </w:r>
          </w:p>
        </w:tc>
        <w:tc>
          <w:tcPr>
            <w:tcW w:w="100" w:type="dxa"/>
            <w:vAlign w:val="bottom"/>
            <w:shd w:val="clear" w:color="auto" w:fill="CFF0FC"/>
          </w:tcPr>
          <w:p>
            <w:pPr>
              <w:spacing w:after="0"/>
              <w:rPr>
                <w:sz w:val="15"/>
                <w:szCs w:val="15"/>
                <w:color w:val="auto"/>
              </w:rPr>
            </w:pPr>
          </w:p>
        </w:tc>
      </w:tr>
      <w:tr>
        <w:trPr>
          <w:trHeight w:val="176"/>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100" w:type="dxa"/>
            <w:vAlign w:val="bottom"/>
          </w:tcPr>
          <w:p>
            <w:pPr>
              <w:spacing w:after="0"/>
              <w:rPr>
                <w:sz w:val="15"/>
                <w:szCs w:val="15"/>
                <w:color w:val="auto"/>
              </w:rPr>
            </w:pPr>
          </w:p>
        </w:tc>
      </w:tr>
      <w:tr>
        <w:trPr>
          <w:trHeight w:val="209"/>
        </w:trPr>
        <w:tc>
          <w:tcPr>
            <w:tcW w:w="7600" w:type="dxa"/>
            <w:vAlign w:val="bottom"/>
            <w:tcBorders>
              <w:bottom w:val="single" w:sz="8" w:color="CFF0FC"/>
            </w:tcBorders>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1,075,578</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1,079,153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6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Credit facility</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302,000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272,000</w:t>
            </w:r>
          </w:p>
        </w:tc>
        <w:tc>
          <w:tcPr>
            <w:tcW w:w="100" w:type="dxa"/>
            <w:vAlign w:val="bottom"/>
          </w:tcPr>
          <w:p>
            <w:pPr>
              <w:spacing w:after="0"/>
              <w:rPr>
                <w:sz w:val="15"/>
                <w:szCs w:val="15"/>
                <w:color w:val="auto"/>
              </w:rPr>
            </w:pPr>
          </w:p>
        </w:tc>
      </w:tr>
      <w:tr>
        <w:trPr>
          <w:trHeight w:val="175"/>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2026 Notes</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100" w:type="dxa"/>
            <w:vAlign w:val="bottom"/>
            <w:shd w:val="clear" w:color="auto" w:fill="CFF0FC"/>
          </w:tcPr>
          <w:p>
            <w:pPr>
              <w:spacing w:after="0"/>
              <w:rPr>
                <w:sz w:val="15"/>
                <w:szCs w:val="15"/>
                <w:color w:val="auto"/>
              </w:rPr>
            </w:pPr>
          </w:p>
        </w:tc>
      </w:tr>
      <w:tr>
        <w:trPr>
          <w:trHeight w:val="176"/>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2027 Notes</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152,250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152,250</w:t>
            </w:r>
          </w:p>
        </w:tc>
        <w:tc>
          <w:tcPr>
            <w:tcW w:w="100" w:type="dxa"/>
            <w:vAlign w:val="bottom"/>
          </w:tcPr>
          <w:p>
            <w:pPr>
              <w:spacing w:after="0"/>
              <w:rPr>
                <w:sz w:val="15"/>
                <w:szCs w:val="15"/>
                <w:color w:val="auto"/>
              </w:rPr>
            </w:pPr>
          </w:p>
        </w:tc>
      </w:tr>
      <w:tr>
        <w:trPr>
          <w:trHeight w:val="175"/>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Unamortized deferred financing costs</w:t>
            </w:r>
          </w:p>
        </w:tc>
        <w:tc>
          <w:tcPr>
            <w:tcW w:w="14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(6,738 )</w:t>
            </w:r>
          </w:p>
        </w:tc>
        <w:tc>
          <w:tcPr>
            <w:tcW w:w="1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(9,172 )</w:t>
            </w:r>
          </w:p>
        </w:tc>
      </w:tr>
      <w:tr>
        <w:trPr>
          <w:trHeight w:val="169"/>
        </w:trPr>
        <w:tc>
          <w:tcPr>
            <w:tcW w:w="76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4"/>
                <w:szCs w:val="14"/>
                <w:color w:val="auto"/>
              </w:rPr>
              <w:t>Total debt, less unamortized deferred financing costs</w:t>
            </w:r>
          </w:p>
        </w:tc>
        <w:tc>
          <w:tcPr>
            <w:tcW w:w="1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542,512</w:t>
            </w:r>
          </w:p>
        </w:tc>
        <w:tc>
          <w:tcPr>
            <w:tcW w:w="26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510,078</w:t>
            </w:r>
          </w:p>
        </w:tc>
        <w:tc>
          <w:tcPr>
            <w:tcW w:w="100" w:type="dxa"/>
            <w:vAlign w:val="bottom"/>
            <w:tcBorders>
              <w:top w:val="single" w:sz="8" w:color="CFF0FC"/>
            </w:tcBorders>
          </w:tcPr>
          <w:p>
            <w:pPr>
              <w:spacing w:after="0"/>
              <w:rPr>
                <w:sz w:val="14"/>
                <w:szCs w:val="14"/>
                <w:color w:val="auto"/>
              </w:rPr>
            </w:pPr>
          </w:p>
        </w:tc>
      </w:tr>
      <w:tr>
        <w:trPr>
          <w:trHeight w:val="17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Incentive fees payable</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14,930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payable</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6,764</w:t>
            </w:r>
          </w:p>
        </w:tc>
        <w:tc>
          <w:tcPr>
            <w:tcW w:w="100" w:type="dxa"/>
            <w:vAlign w:val="bottom"/>
          </w:tcPr>
          <w:p>
            <w:pPr>
              <w:spacing w:after="0"/>
              <w:rPr>
                <w:sz w:val="15"/>
                <w:szCs w:val="15"/>
                <w:color w:val="auto"/>
              </w:rPr>
            </w:pPr>
          </w:p>
        </w:tc>
      </w:tr>
      <w:tr>
        <w:trPr>
          <w:trHeight w:val="175"/>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4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60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568,220</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532,082</w:t>
            </w:r>
          </w:p>
        </w:tc>
        <w:tc>
          <w:tcPr>
            <w:tcW w:w="100" w:type="dxa"/>
            <w:vAlign w:val="bottom"/>
          </w:tcPr>
          <w:p>
            <w:pPr>
              <w:spacing w:after="0"/>
              <w:rPr>
                <w:sz w:val="14"/>
                <w:szCs w:val="14"/>
                <w:color w:val="auto"/>
              </w:rPr>
            </w:pPr>
          </w:p>
        </w:tc>
      </w:tr>
      <w:tr>
        <w:trPr>
          <w:trHeight w:val="20"/>
        </w:trPr>
        <w:tc>
          <w:tcPr>
            <w:tcW w:w="7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6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Commitments and contingencies (Note 8)</w:t>
            </w:r>
          </w:p>
        </w:tc>
        <w:tc>
          <w:tcPr>
            <w:tcW w:w="14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Common stock, par value</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605,107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605,110</w:t>
            </w:r>
          </w:p>
        </w:tc>
        <w:tc>
          <w:tcPr>
            <w:tcW w:w="100" w:type="dxa"/>
            <w:vAlign w:val="bottom"/>
          </w:tcPr>
          <w:p>
            <w:pPr>
              <w:spacing w:after="0"/>
              <w:rPr>
                <w:sz w:val="15"/>
                <w:szCs w:val="15"/>
                <w:color w:val="auto"/>
              </w:rPr>
            </w:pPr>
          </w:p>
        </w:tc>
      </w:tr>
      <w:tr>
        <w:trPr>
          <w:trHeight w:val="176"/>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Accumulated undistributed (overdistributed) earnings</w:t>
            </w:r>
          </w:p>
        </w:tc>
        <w:tc>
          <w:tcPr>
            <w:tcW w:w="14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(57,169 )</w:t>
            </w:r>
          </w:p>
        </w:tc>
        <w:tc>
          <w:tcPr>
            <w:tcW w:w="1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(47,637 )</w:t>
            </w:r>
          </w:p>
        </w:tc>
      </w:tr>
      <w:tr>
        <w:trPr>
          <w:trHeight w:val="175"/>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Treasury stock</w:t>
            </w:r>
          </w:p>
        </w:tc>
        <w:tc>
          <w:tcPr>
            <w:tcW w:w="140" w:type="dxa"/>
            <w:vAlign w:val="bottom"/>
          </w:tcPr>
          <w:p>
            <w:pPr>
              <w:spacing w:after="0"/>
              <w:rPr>
                <w:sz w:val="15"/>
                <w:szCs w:val="15"/>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(40,994 )</w:t>
            </w:r>
          </w:p>
        </w:tc>
        <w:tc>
          <w:tcPr>
            <w:tcW w:w="160" w:type="dxa"/>
            <w:vAlign w:val="bottom"/>
          </w:tcPr>
          <w:p>
            <w:pPr>
              <w:spacing w:after="0"/>
              <w:rPr>
                <w:sz w:val="15"/>
                <w:szCs w:val="15"/>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(10,816 )</w:t>
            </w:r>
          </w:p>
        </w:tc>
      </w:tr>
      <w:tr>
        <w:trPr>
          <w:trHeight w:val="209"/>
        </w:trPr>
        <w:tc>
          <w:tcPr>
            <w:tcW w:w="7600" w:type="dxa"/>
            <w:vAlign w:val="bottom"/>
            <w:tcBorders>
              <w:bottom w:val="single" w:sz="8" w:color="CFF0FC"/>
            </w:tcBorders>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Total net assets</w:t>
            </w: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507,358</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547,071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Shares of common stock outstanding ($0.01 par value, 100,000,000 shares authorized)</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37,902,532</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40,509,269</w:t>
            </w:r>
          </w:p>
        </w:tc>
        <w:tc>
          <w:tcPr>
            <w:tcW w:w="100" w:type="dxa"/>
            <w:vAlign w:val="bottom"/>
            <w:shd w:val="clear" w:color="auto" w:fill="CFF0FC"/>
          </w:tcPr>
          <w:p>
            <w:pPr>
              <w:spacing w:after="0"/>
              <w:rPr>
                <w:sz w:val="15"/>
                <w:szCs w:val="15"/>
                <w:color w:val="auto"/>
              </w:rPr>
            </w:pPr>
          </w:p>
        </w:tc>
      </w:tr>
      <w:tr>
        <w:trPr>
          <w:trHeight w:val="188"/>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 value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26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-2450465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-2433320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-2450465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-2433320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-1756410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-1301750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-1301750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-367665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-350520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0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31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From non-control/non-affiliate investments:</w:t>
            </w: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32,253</w:t>
            </w:r>
          </w:p>
        </w:tc>
        <w:tc>
          <w:tcPr>
            <w:tcW w:w="6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35,498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97,643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104,169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Payment-in-kind interest income</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Dividend income</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Fee income</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From affiliate investments:</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Fee income</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income</w:t>
            </w: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investment income</w:t>
            </w:r>
          </w:p>
        </w:tc>
        <w:tc>
          <w:tcPr>
            <w:tcW w:w="3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36,651</w:t>
            </w:r>
          </w:p>
        </w:tc>
        <w:tc>
          <w:tcPr>
            <w:tcW w:w="2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43,779</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110,853</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124,984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Management fees</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3,865</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4,302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11,763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Incentive fees</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and other debt financing expenses</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11,379</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10,442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33,106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32,772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Professional fees</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Administration agreement expenses</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Insurance expense</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Tax expense</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expenses</w:t>
            </w: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20,776</w:t>
            </w:r>
          </w:p>
        </w:tc>
        <w:tc>
          <w:tcPr>
            <w:tcW w:w="2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21,743</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61,723</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65,026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15,875</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net change in unrealized gain (loss) on investments</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3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realized gain (loss) on non-control/non-affiliate investments,</w:t>
            </w:r>
          </w:p>
        </w:tc>
        <w:tc>
          <w:tcPr>
            <w:tcW w:w="36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(1,178 )</w:t>
            </w:r>
          </w:p>
        </w:tc>
        <w:tc>
          <w:tcPr>
            <w:tcW w:w="0" w:type="dxa"/>
            <w:vAlign w:val="bottom"/>
          </w:tcPr>
          <w:p>
            <w:pPr>
              <w:spacing w:after="0"/>
              <w:rPr>
                <w:sz w:val="1"/>
                <w:szCs w:val="1"/>
                <w:color w:val="auto"/>
              </w:rPr>
            </w:pPr>
          </w:p>
        </w:tc>
      </w:tr>
      <w:tr>
        <w:trPr>
          <w:trHeight w:val="185"/>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including U.S. Treasury Bills</w:t>
            </w:r>
          </w:p>
        </w:tc>
        <w:tc>
          <w:tcPr>
            <w:tcW w:w="3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Net realized gain (loss) on investments, including U.S. Treasury</w:t>
            </w: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320" w:type="dxa"/>
            <w:vAlign w:val="bottom"/>
            <w:vMerge w:val="continue"/>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(1,178 )</w:t>
            </w:r>
          </w:p>
        </w:tc>
        <w:tc>
          <w:tcPr>
            <w:tcW w:w="0" w:type="dxa"/>
            <w:vAlign w:val="bottom"/>
          </w:tcPr>
          <w:p>
            <w:pPr>
              <w:spacing w:after="0"/>
              <w:rPr>
                <w:sz w:val="1"/>
                <w:szCs w:val="1"/>
                <w:color w:val="auto"/>
              </w:rPr>
            </w:pPr>
          </w:p>
        </w:tc>
      </w:tr>
      <w:tr>
        <w:trPr>
          <w:trHeight w:val="171"/>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Bills</w:t>
            </w:r>
          </w:p>
        </w:tc>
        <w:tc>
          <w:tcPr>
            <w:tcW w:w="360" w:type="dxa"/>
            <w:vAlign w:val="bottom"/>
            <w:shd w:val="clear" w:color="auto" w:fill="CFF0FC"/>
          </w:tcPr>
          <w:p>
            <w:pPr>
              <w:spacing w:after="0"/>
              <w:rPr>
                <w:sz w:val="14"/>
                <w:szCs w:val="14"/>
                <w:color w:val="auto"/>
              </w:rPr>
            </w:pPr>
          </w:p>
        </w:tc>
        <w:tc>
          <w:tcPr>
            <w:tcW w:w="124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320" w:type="dxa"/>
            <w:vAlign w:val="bottom"/>
          </w:tcPr>
          <w:p>
            <w:pPr>
              <w:ind w:left="120"/>
              <w:spacing w:after="0" w:line="133" w:lineRule="exact"/>
              <w:rPr>
                <w:sz w:val="20"/>
                <w:szCs w:val="20"/>
                <w:color w:val="auto"/>
              </w:rPr>
            </w:pPr>
            <w:r>
              <w:rPr>
                <w:rFonts w:ascii="Times New Roman" w:cs="Times New Roman" w:eastAsia="Times New Roman" w:hAnsi="Times New Roman"/>
                <w:sz w:val="14"/>
                <w:szCs w:val="14"/>
                <w:color w:val="auto"/>
              </w:rPr>
              <w:t>Net change in unrealized gain (loss) on non-control/non-affiliate</w:t>
            </w:r>
          </w:p>
        </w:tc>
        <w:tc>
          <w:tcPr>
            <w:tcW w:w="36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(7,624 )</w:t>
            </w:r>
          </w:p>
        </w:tc>
        <w:tc>
          <w:tcPr>
            <w:tcW w:w="120" w:type="dxa"/>
            <w:vAlign w:val="bottom"/>
          </w:tcPr>
          <w:p>
            <w:pPr>
              <w:spacing w:after="0"/>
              <w:rPr>
                <w:sz w:val="11"/>
                <w:szCs w:val="11"/>
                <w:color w:val="auto"/>
              </w:rPr>
            </w:pPr>
          </w:p>
        </w:tc>
        <w:tc>
          <w:tcPr>
            <w:tcW w:w="1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(11,182 )</w:t>
            </w:r>
          </w:p>
        </w:tc>
        <w:tc>
          <w:tcPr>
            <w:tcW w:w="100" w:type="dxa"/>
            <w:vAlign w:val="bottom"/>
          </w:tcPr>
          <w:p>
            <w:pPr>
              <w:spacing w:after="0"/>
              <w:rPr>
                <w:sz w:val="11"/>
                <w:szCs w:val="11"/>
                <w:color w:val="auto"/>
              </w:rPr>
            </w:pPr>
          </w:p>
        </w:tc>
        <w:tc>
          <w:tcPr>
            <w:tcW w:w="14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(7,507 )</w:t>
            </w:r>
          </w:p>
        </w:tc>
        <w:tc>
          <w:tcPr>
            <w:tcW w:w="0" w:type="dxa"/>
            <w:vAlign w:val="bottom"/>
          </w:tcPr>
          <w:p>
            <w:pPr>
              <w:spacing w:after="0"/>
              <w:rPr>
                <w:sz w:val="1"/>
                <w:szCs w:val="1"/>
                <w:color w:val="auto"/>
              </w:rPr>
            </w:pPr>
          </w:p>
        </w:tc>
      </w:tr>
      <w:tr>
        <w:trPr>
          <w:trHeight w:val="185"/>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investments, including U.S. Treasury Bills</w:t>
            </w:r>
          </w:p>
        </w:tc>
        <w:tc>
          <w:tcPr>
            <w:tcW w:w="3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change in unrealized gain (loss) on affiliate investments</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8,510</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7,263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(5,679 )</w:t>
            </w:r>
          </w:p>
        </w:tc>
        <w:tc>
          <w:tcPr>
            <w:tcW w:w="0" w:type="dxa"/>
            <w:vAlign w:val="bottom"/>
          </w:tcPr>
          <w:p>
            <w:pPr>
              <w:spacing w:after="0"/>
              <w:rPr>
                <w:sz w:val="1"/>
                <w:szCs w:val="1"/>
                <w:color w:val="auto"/>
              </w:rPr>
            </w:pPr>
          </w:p>
        </w:tc>
      </w:tr>
      <w:tr>
        <w:trPr>
          <w:trHeight w:val="175"/>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change in unrealized gain (loss) on control investments</w:t>
            </w: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320" w:type="dxa"/>
            <w:vAlign w:val="bottom"/>
            <w:shd w:val="clear" w:color="auto" w:fill="CFF0FC"/>
          </w:tcPr>
          <w:p>
            <w:pPr>
              <w:ind w:left="200"/>
              <w:spacing w:after="0" w:line="133" w:lineRule="exact"/>
              <w:rPr>
                <w:sz w:val="20"/>
                <w:szCs w:val="20"/>
                <w:color w:val="auto"/>
              </w:rPr>
            </w:pPr>
            <w:r>
              <w:rPr>
                <w:rFonts w:ascii="Times New Roman" w:cs="Times New Roman" w:eastAsia="Times New Roman" w:hAnsi="Times New Roman"/>
                <w:sz w:val="14"/>
                <w:szCs w:val="14"/>
                <w:color w:val="auto"/>
              </w:rPr>
              <w:t>Net change in unrealized gain (loss) on investments, including U.S.</w:t>
            </w:r>
          </w:p>
        </w:tc>
        <w:tc>
          <w:tcPr>
            <w:tcW w:w="360" w:type="dxa"/>
            <w:vAlign w:val="bottom"/>
            <w:shd w:val="clear" w:color="auto" w:fill="CFF0FC"/>
          </w:tcPr>
          <w:p>
            <w:pPr>
              <w:spacing w:after="0"/>
              <w:rPr>
                <w:sz w:val="11"/>
                <w:szCs w:val="11"/>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9,174</w:t>
            </w:r>
          </w:p>
        </w:tc>
        <w:tc>
          <w:tcPr>
            <w:tcW w:w="2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(7,214 )</w:t>
            </w:r>
          </w:p>
        </w:tc>
        <w:tc>
          <w:tcPr>
            <w:tcW w:w="120" w:type="dxa"/>
            <w:vAlign w:val="bottom"/>
            <w:shd w:val="clear" w:color="auto" w:fill="CFF0FC"/>
          </w:tcPr>
          <w:p>
            <w:pPr>
              <w:spacing w:after="0"/>
              <w:rPr>
                <w:sz w:val="11"/>
                <w:szCs w:val="11"/>
                <w:color w:val="auto"/>
              </w:rPr>
            </w:pPr>
          </w:p>
        </w:tc>
        <w:tc>
          <w:tcPr>
            <w:tcW w:w="15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(3,743 )</w:t>
            </w:r>
          </w:p>
        </w:tc>
        <w:tc>
          <w:tcPr>
            <w:tcW w:w="100" w:type="dxa"/>
            <w:vAlign w:val="bottom"/>
            <w:shd w:val="clear" w:color="auto" w:fill="CFF0FC"/>
          </w:tcPr>
          <w:p>
            <w:pPr>
              <w:spacing w:after="0"/>
              <w:rPr>
                <w:sz w:val="11"/>
                <w:szCs w:val="11"/>
                <w:color w:val="auto"/>
              </w:rPr>
            </w:pPr>
          </w:p>
        </w:tc>
        <w:tc>
          <w:tcPr>
            <w:tcW w:w="14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(9,654 )</w:t>
            </w:r>
          </w:p>
        </w:tc>
        <w:tc>
          <w:tcPr>
            <w:tcW w:w="0" w:type="dxa"/>
            <w:vAlign w:val="bottom"/>
          </w:tcPr>
          <w:p>
            <w:pPr>
              <w:spacing w:after="0"/>
              <w:rPr>
                <w:sz w:val="1"/>
                <w:szCs w:val="1"/>
                <w:color w:val="auto"/>
              </w:rPr>
            </w:pPr>
          </w:p>
        </w:tc>
      </w:tr>
      <w:tr>
        <w:trPr>
          <w:trHeight w:val="171"/>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Treasury Bills</w:t>
            </w:r>
          </w:p>
        </w:tc>
        <w:tc>
          <w:tcPr>
            <w:tcW w:w="360" w:type="dxa"/>
            <w:vAlign w:val="bottom"/>
            <w:shd w:val="clear" w:color="auto" w:fill="CFF0FC"/>
          </w:tcPr>
          <w:p>
            <w:pPr>
              <w:spacing w:after="0"/>
              <w:rPr>
                <w:sz w:val="14"/>
                <w:szCs w:val="14"/>
                <w:color w:val="auto"/>
              </w:rPr>
            </w:pPr>
          </w:p>
        </w:tc>
        <w:tc>
          <w:tcPr>
            <w:tcW w:w="124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gain (loss) on investments</w:t>
            </w: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9,174</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(7,214 )</w:t>
            </w:r>
          </w:p>
        </w:tc>
        <w:tc>
          <w:tcPr>
            <w:tcW w:w="120" w:type="dxa"/>
            <w:vAlign w:val="bottom"/>
          </w:tcPr>
          <w:p>
            <w:pPr>
              <w:spacing w:after="0"/>
              <w:rPr>
                <w:sz w:val="14"/>
                <w:szCs w:val="14"/>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(3,743 )</w:t>
            </w:r>
          </w:p>
        </w:tc>
        <w:tc>
          <w:tcPr>
            <w:tcW w:w="100" w:type="dxa"/>
            <w:vAlign w:val="bottom"/>
          </w:tcPr>
          <w:p>
            <w:pPr>
              <w:spacing w:after="0"/>
              <w:rPr>
                <w:sz w:val="14"/>
                <w:szCs w:val="14"/>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(10,832 )</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360" w:type="dxa"/>
            <w:vAlign w:val="bottom"/>
            <w:tcBorders>
              <w:top w:val="single" w:sz="8" w:color="auto"/>
              <w:bottom w:val="single" w:sz="8" w:color="auto"/>
            </w:tcBorders>
            <w:shd w:val="clear" w:color="auto" w:fill="CFF0FC"/>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25,049</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14,822</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45,387</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49,126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3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investment income per common share (basic and diluted)</w:t>
            </w:r>
          </w:p>
        </w:tc>
        <w:tc>
          <w:tcPr>
            <w:tcW w:w="360" w:type="dxa"/>
            <w:vAlign w:val="bottom"/>
          </w:tcPr>
          <w:p>
            <w:pPr>
              <w:jc w:val="right"/>
              <w:ind w:right="1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0.41</w:t>
            </w:r>
          </w:p>
        </w:tc>
        <w:tc>
          <w:tcPr>
            <w:tcW w:w="620" w:type="dxa"/>
            <w:vAlign w:val="bottom"/>
            <w:gridSpan w:val="2"/>
          </w:tcPr>
          <w:p>
            <w:pPr>
              <w:jc w:val="right"/>
              <w:ind w:right="2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0.54</w:t>
            </w:r>
          </w:p>
        </w:tc>
        <w:tc>
          <w:tcPr>
            <w:tcW w:w="22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1.25</w:t>
            </w:r>
          </w:p>
        </w:tc>
        <w:tc>
          <w:tcPr>
            <w:tcW w:w="24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3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 per</w:t>
            </w:r>
          </w:p>
        </w:tc>
        <w:tc>
          <w:tcPr>
            <w:tcW w:w="360" w:type="dxa"/>
            <w:vAlign w:val="bottom"/>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620" w:type="dxa"/>
            <w:vAlign w:val="bottom"/>
            <w:gridSpan w:val="2"/>
            <w:vMerge w:val="restart"/>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22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4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share (basic and diluted)</w:t>
            </w:r>
          </w:p>
        </w:tc>
        <w:tc>
          <w:tcPr>
            <w:tcW w:w="360" w:type="dxa"/>
            <w:vAlign w:val="bottom"/>
            <w:vMerge w:val="continue"/>
            <w:shd w:val="clear" w:color="auto" w:fill="CFF0FC"/>
          </w:tcPr>
          <w:p>
            <w:pPr>
              <w:spacing w:after="0"/>
              <w:rPr>
                <w:sz w:val="16"/>
                <w:szCs w:val="16"/>
                <w:color w:val="auto"/>
              </w:rPr>
            </w:pPr>
          </w:p>
        </w:tc>
        <w:tc>
          <w:tcPr>
            <w:tcW w:w="1240" w:type="dxa"/>
            <w:vAlign w:val="bottom"/>
            <w:vMerge w:val="continue"/>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3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13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(basic and diluted)</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38,390,854</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40,509,269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39,317,890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40,509,269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-3110865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-3110865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-3110865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-1979295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-1979295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-1979295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-1554480</wp:posOffset>
            </wp:positionV>
            <wp:extent cx="102870" cy="2311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231140"/>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-1554480</wp:posOffset>
            </wp:positionV>
            <wp:extent cx="93980" cy="2311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-1554480</wp:posOffset>
            </wp:positionV>
            <wp:extent cx="93980" cy="2311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-1554480</wp:posOffset>
            </wp:positionV>
            <wp:extent cx="93980" cy="2311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-701675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-701675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-701675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-461645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-444500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-461645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-444500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-461645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-444500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-461645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-444500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56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Undistributed</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50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104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4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vMerge w:val="restart"/>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tcPr>
          <w:p>
            <w:pPr>
              <w:jc w:val="center"/>
              <w:ind w:right="308"/>
              <w:spacing w:after="0" w:line="129" w:lineRule="exact"/>
              <w:rPr>
                <w:sz w:val="20"/>
                <w:szCs w:val="20"/>
                <w:color w:val="auto"/>
              </w:rPr>
            </w:pPr>
            <w:r>
              <w:rPr>
                <w:rFonts w:ascii="Times New Roman" w:cs="Times New Roman" w:eastAsia="Times New Roman" w:hAnsi="Times New Roman"/>
                <w:sz w:val="14"/>
                <w:szCs w:val="14"/>
                <w:b w:val="1"/>
                <w:bCs w:val="1"/>
                <w:color w:val="auto"/>
              </w:rPr>
              <w:t>(Overdistributed)</w:t>
            </w: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Ended September 30, 2024</w:t>
            </w:r>
          </w:p>
        </w:tc>
        <w:tc>
          <w:tcPr>
            <w:tcW w:w="140" w:type="dxa"/>
            <w:vAlign w:val="bottom"/>
          </w:tcPr>
          <w:p>
            <w:pPr>
              <w:spacing w:after="0"/>
              <w:rPr>
                <w:sz w:val="16"/>
                <w:szCs w:val="16"/>
                <w:color w:val="auto"/>
              </w:rPr>
            </w:pPr>
          </w:p>
        </w:tc>
        <w:tc>
          <w:tcPr>
            <w:tcW w:w="9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5"/>
              </w:rPr>
              <w:t xml:space="preserve">Shares </w:t>
            </w:r>
            <w:r>
              <w:rPr>
                <w:rFonts w:ascii="Times New Roman" w:cs="Times New Roman" w:eastAsia="Times New Roman" w:hAnsi="Times New Roman"/>
                <w:sz w:val="19"/>
                <w:szCs w:val="19"/>
                <w:b w:val="1"/>
                <w:bCs w:val="1"/>
                <w:color w:val="auto"/>
                <w:w w:val="95"/>
                <w:vertAlign w:val="superscript"/>
              </w:rPr>
              <w:t>(1)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June 30, 2024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38,547,295</w:t>
            </w:r>
          </w:p>
        </w:tc>
        <w:tc>
          <w:tcPr>
            <w:tcW w:w="12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5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(34,266 )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605,107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(64,872 )</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506,383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15,875</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change in unrealized gain (loss) on investments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9,174</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(644,763 )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(6,728 )</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(6,728 )</w:t>
            </w: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paid to stockholders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5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(17,346 )</w:t>
            </w:r>
          </w:p>
        </w:tc>
        <w:tc>
          <w:tcPr>
            <w:tcW w:w="32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(17,346 )</w:t>
            </w:r>
          </w:p>
        </w:tc>
        <w:tc>
          <w:tcPr>
            <w:tcW w:w="0" w:type="dxa"/>
            <w:vAlign w:val="bottom"/>
          </w:tcPr>
          <w:p>
            <w:pPr>
              <w:spacing w:after="0"/>
              <w:rPr>
                <w:sz w:val="1"/>
                <w:szCs w:val="1"/>
                <w:color w:val="auto"/>
              </w:rPr>
            </w:pPr>
          </w:p>
        </w:tc>
      </w:tr>
      <w:tr>
        <w:trPr>
          <w:trHeight w:val="209"/>
        </w:trPr>
        <w:tc>
          <w:tcPr>
            <w:tcW w:w="3500" w:type="dxa"/>
            <w:vAlign w:val="bottom"/>
            <w:tcBorders>
              <w:top w:val="single" w:sz="8" w:color="CFF0FC"/>
              <w:bottom w:val="single" w:sz="8" w:color="CFF0FC"/>
            </w:tcBorders>
            <w:gridSpan w:val="2"/>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Balances at September 30, 2024</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37,902,532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ind w:left="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(40,994</w:t>
            </w:r>
          </w:p>
        </w:tc>
        <w:tc>
          <w:tcPr>
            <w:tcW w:w="220" w:type="dxa"/>
            <w:vAlign w:val="bottom"/>
            <w:tcBorders>
              <w:top w:val="single" w:sz="8" w:color="CFF0FC"/>
              <w:bottom w:val="single" w:sz="8" w:color="CFF0FC"/>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605,107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(57,169</w:t>
            </w:r>
          </w:p>
        </w:tc>
        <w:tc>
          <w:tcPr>
            <w:tcW w:w="220" w:type="dxa"/>
            <w:vAlign w:val="bottom"/>
            <w:tcBorders>
              <w:top w:val="single" w:sz="8" w:color="CFF0FC"/>
              <w:bottom w:val="single" w:sz="8" w:color="CFF0FC"/>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32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507,358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56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Undistributed</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50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For the Nine Months</w:t>
            </w:r>
          </w:p>
        </w:tc>
        <w:tc>
          <w:tcPr>
            <w:tcW w:w="104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4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vMerge w:val="restart"/>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tcPr>
          <w:p>
            <w:pPr>
              <w:jc w:val="center"/>
              <w:ind w:right="308"/>
              <w:spacing w:after="0" w:line="129" w:lineRule="exact"/>
              <w:rPr>
                <w:sz w:val="20"/>
                <w:szCs w:val="20"/>
                <w:color w:val="auto"/>
              </w:rPr>
            </w:pPr>
            <w:r>
              <w:rPr>
                <w:rFonts w:ascii="Times New Roman" w:cs="Times New Roman" w:eastAsia="Times New Roman" w:hAnsi="Times New Roman"/>
                <w:sz w:val="14"/>
                <w:szCs w:val="14"/>
                <w:b w:val="1"/>
                <w:bCs w:val="1"/>
                <w:color w:val="auto"/>
              </w:rPr>
              <w:t>(Overdistributed)</w:t>
            </w: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Ended September 30, 2024</w:t>
            </w:r>
          </w:p>
        </w:tc>
        <w:tc>
          <w:tcPr>
            <w:tcW w:w="140" w:type="dxa"/>
            <w:vAlign w:val="bottom"/>
          </w:tcPr>
          <w:p>
            <w:pPr>
              <w:spacing w:after="0"/>
              <w:rPr>
                <w:sz w:val="16"/>
                <w:szCs w:val="16"/>
                <w:color w:val="auto"/>
              </w:rPr>
            </w:pPr>
          </w:p>
        </w:tc>
        <w:tc>
          <w:tcPr>
            <w:tcW w:w="9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5"/>
              </w:rPr>
              <w:t xml:space="preserve">Shares </w:t>
            </w:r>
            <w:r>
              <w:rPr>
                <w:rFonts w:ascii="Times New Roman" w:cs="Times New Roman" w:eastAsia="Times New Roman" w:hAnsi="Times New Roman"/>
                <w:sz w:val="19"/>
                <w:szCs w:val="19"/>
                <w:b w:val="1"/>
                <w:bCs w:val="1"/>
                <w:color w:val="auto"/>
                <w:w w:val="95"/>
                <w:vertAlign w:val="superscript"/>
              </w:rPr>
              <w:t>(1)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2023</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40,509,269</w:t>
            </w:r>
          </w:p>
        </w:tc>
        <w:tc>
          <w:tcPr>
            <w:tcW w:w="12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5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(10,816 )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605,110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(47,637 )</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547,071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49,130</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change in unrealized gain (loss) on investments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5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(3,743 )</w:t>
            </w:r>
          </w:p>
        </w:tc>
        <w:tc>
          <w:tcPr>
            <w:tcW w:w="32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(3,743 )</w:t>
            </w:r>
          </w:p>
        </w:tc>
        <w:tc>
          <w:tcPr>
            <w:tcW w:w="0" w:type="dxa"/>
            <w:vAlign w:val="bottom"/>
          </w:tcPr>
          <w:p>
            <w:pPr>
              <w:spacing w:after="0"/>
              <w:rPr>
                <w:sz w:val="1"/>
                <w:szCs w:val="1"/>
                <w:color w:val="auto"/>
              </w:rPr>
            </w:pPr>
          </w:p>
        </w:tc>
      </w:tr>
      <w:tr>
        <w:trPr>
          <w:trHeight w:val="176"/>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(2,606,701 )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(30,178 )</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(30,178 )</w:t>
            </w: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paid to stockholders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5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(54,921 )</w:t>
            </w:r>
          </w:p>
        </w:tc>
        <w:tc>
          <w:tcPr>
            <w:tcW w:w="32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(54,921 )</w:t>
            </w:r>
          </w:p>
        </w:tc>
        <w:tc>
          <w:tcPr>
            <w:tcW w:w="0" w:type="dxa"/>
            <w:vAlign w:val="bottom"/>
          </w:tcPr>
          <w:p>
            <w:pPr>
              <w:spacing w:after="0"/>
              <w:rPr>
                <w:sz w:val="1"/>
                <w:szCs w:val="1"/>
                <w:color w:val="auto"/>
              </w:rPr>
            </w:pPr>
          </w:p>
        </w:tc>
      </w:tr>
      <w:tr>
        <w:trPr>
          <w:trHeight w:val="176"/>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Shares retired</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(36 )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 reclassification</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35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Balances at September 30, 2024</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37,902,532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414</w:t>
            </w:r>
          </w:p>
        </w:tc>
        <w:tc>
          <w:tcPr>
            <w:tcW w:w="240" w:type="dxa"/>
            <w:vAlign w:val="bottom"/>
          </w:tcPr>
          <w:p>
            <w:pPr>
              <w:spacing w:after="0"/>
              <w:rPr>
                <w:sz w:val="14"/>
                <w:szCs w:val="14"/>
                <w:color w:val="auto"/>
              </w:rPr>
            </w:pPr>
          </w:p>
        </w:tc>
        <w:tc>
          <w:tcPr>
            <w:tcW w:w="340" w:type="dxa"/>
            <w:vAlign w:val="bottom"/>
            <w:tcBorders>
              <w:top w:val="single" w:sz="8" w:color="auto"/>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(40,994</w:t>
            </w:r>
          </w:p>
        </w:tc>
        <w:tc>
          <w:tcPr>
            <w:tcW w:w="2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605,107</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(57,169</w:t>
            </w:r>
          </w:p>
        </w:tc>
        <w:tc>
          <w:tcPr>
            <w:tcW w:w="2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32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507,358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-1508125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-1490980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-1628140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-1508125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-1490980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-1628140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-1508125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-1490980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-1628140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-1508125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-1490980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-1628140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-1508125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-1490980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-1628140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60" w:hanging="239"/>
        <w:spacing w:after="0" w:line="226" w:lineRule="auto"/>
        <w:tabs>
          <w:tab w:leader="none" w:pos="26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Number of shares is shown net of cumulative treasury stock repurchases of 3,478,046 shares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9030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Undistributed</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50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4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vMerge w:val="restart"/>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tcPr>
          <w:p>
            <w:pPr>
              <w:jc w:val="center"/>
              <w:ind w:right="308"/>
              <w:spacing w:after="0" w:line="129" w:lineRule="exact"/>
              <w:rPr>
                <w:sz w:val="20"/>
                <w:szCs w:val="20"/>
                <w:color w:val="auto"/>
              </w:rPr>
            </w:pPr>
            <w:r>
              <w:rPr>
                <w:rFonts w:ascii="Times New Roman" w:cs="Times New Roman" w:eastAsia="Times New Roman" w:hAnsi="Times New Roman"/>
                <w:sz w:val="14"/>
                <w:szCs w:val="14"/>
                <w:b w:val="1"/>
                <w:bCs w:val="1"/>
                <w:color w:val="auto"/>
              </w:rPr>
              <w:t>(Overdistributed)</w:t>
            </w: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Ended September 30, 2023</w:t>
            </w:r>
          </w:p>
        </w:tc>
        <w:tc>
          <w:tcPr>
            <w:tcW w:w="140" w:type="dxa"/>
            <w:vAlign w:val="bottom"/>
          </w:tcPr>
          <w:p>
            <w:pPr>
              <w:spacing w:after="0"/>
              <w:rPr>
                <w:sz w:val="16"/>
                <w:szCs w:val="16"/>
                <w:color w:val="auto"/>
              </w:rPr>
            </w:pPr>
          </w:p>
        </w:tc>
        <w:tc>
          <w:tcPr>
            <w:tcW w:w="9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5"/>
              </w:rPr>
              <w:t xml:space="preserve">Shares </w:t>
            </w:r>
            <w:r>
              <w:rPr>
                <w:rFonts w:ascii="Times New Roman" w:cs="Times New Roman" w:eastAsia="Times New Roman" w:hAnsi="Times New Roman"/>
                <w:sz w:val="19"/>
                <w:szCs w:val="19"/>
                <w:b w:val="1"/>
                <w:bCs w:val="1"/>
                <w:color w:val="auto"/>
                <w:w w:val="95"/>
                <w:vertAlign w:val="superscript"/>
              </w:rPr>
              <w:t>(1)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June 30, 2023</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40,509,269</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5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(10,816 )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605,774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(21,474 )</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573,898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22,036</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change in unrealized gain (loss) on investments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(7,214 )</w:t>
            </w:r>
          </w:p>
        </w:tc>
        <w:tc>
          <w:tcPr>
            <w:tcW w:w="32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(7,214 )</w:t>
            </w:r>
          </w:p>
        </w:tc>
        <w:tc>
          <w:tcPr>
            <w:tcW w:w="0" w:type="dxa"/>
            <w:vAlign w:val="bottom"/>
          </w:tcPr>
          <w:p>
            <w:pPr>
              <w:spacing w:after="0"/>
              <w:rPr>
                <w:sz w:val="1"/>
                <w:szCs w:val="1"/>
                <w:color w:val="auto"/>
              </w:rPr>
            </w:pPr>
          </w:p>
        </w:tc>
      </w:tr>
      <w:tr>
        <w:trPr>
          <w:trHeight w:val="175"/>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Dividends paid to stockholders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(18,229 )</w:t>
            </w:r>
          </w:p>
        </w:tc>
        <w:tc>
          <w:tcPr>
            <w:tcW w:w="3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(18,229 )</w:t>
            </w:r>
          </w:p>
        </w:tc>
        <w:tc>
          <w:tcPr>
            <w:tcW w:w="0" w:type="dxa"/>
            <w:vAlign w:val="bottom"/>
          </w:tcPr>
          <w:p>
            <w:pPr>
              <w:spacing w:after="0"/>
              <w:rPr>
                <w:sz w:val="1"/>
                <w:szCs w:val="1"/>
                <w:color w:val="auto"/>
              </w:rPr>
            </w:pPr>
          </w:p>
        </w:tc>
      </w:tr>
      <w:tr>
        <w:trPr>
          <w:trHeight w:val="169"/>
        </w:trPr>
        <w:tc>
          <w:tcPr>
            <w:tcW w:w="35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Balances at September 30, 2023</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40,509,269</w:t>
            </w:r>
          </w:p>
        </w:tc>
        <w:tc>
          <w:tcPr>
            <w:tcW w:w="240" w:type="dxa"/>
            <w:vAlign w:val="bottom"/>
            <w:gridSpan w:val="2"/>
          </w:tcPr>
          <w:p>
            <w:pPr>
              <w:spacing w:after="0"/>
              <w:rPr>
                <w:sz w:val="14"/>
                <w:szCs w:val="14"/>
                <w:color w:val="auto"/>
              </w:rPr>
            </w:pP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414</w:t>
            </w:r>
          </w:p>
        </w:tc>
        <w:tc>
          <w:tcPr>
            <w:tcW w:w="240" w:type="dxa"/>
            <w:vAlign w:val="bottom"/>
          </w:tcPr>
          <w:p>
            <w:pPr>
              <w:spacing w:after="0"/>
              <w:rPr>
                <w:sz w:val="14"/>
                <w:szCs w:val="14"/>
                <w:color w:val="auto"/>
              </w:rPr>
            </w:pPr>
          </w:p>
        </w:tc>
        <w:tc>
          <w:tcPr>
            <w:tcW w:w="340" w:type="dxa"/>
            <w:vAlign w:val="bottom"/>
            <w:tcBorders>
              <w:top w:val="single" w:sz="8" w:color="auto"/>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(10,816</w:t>
            </w:r>
          </w:p>
        </w:tc>
        <w:tc>
          <w:tcPr>
            <w:tcW w:w="2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605,774</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(24,881</w:t>
            </w:r>
          </w:p>
        </w:tc>
        <w:tc>
          <w:tcPr>
            <w:tcW w:w="2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32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570,491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Undistributed</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50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For the Nine Months</w:t>
            </w: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4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vMerge w:val="restart"/>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tcPr>
          <w:p>
            <w:pPr>
              <w:jc w:val="center"/>
              <w:ind w:right="308"/>
              <w:spacing w:after="0" w:line="129" w:lineRule="exact"/>
              <w:rPr>
                <w:sz w:val="20"/>
                <w:szCs w:val="20"/>
                <w:color w:val="auto"/>
              </w:rPr>
            </w:pPr>
            <w:r>
              <w:rPr>
                <w:rFonts w:ascii="Times New Roman" w:cs="Times New Roman" w:eastAsia="Times New Roman" w:hAnsi="Times New Roman"/>
                <w:sz w:val="14"/>
                <w:szCs w:val="14"/>
                <w:b w:val="1"/>
                <w:bCs w:val="1"/>
                <w:color w:val="auto"/>
              </w:rPr>
              <w:t>(Overdistributed)</w:t>
            </w: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Ended September 30, 2023</w:t>
            </w:r>
          </w:p>
        </w:tc>
        <w:tc>
          <w:tcPr>
            <w:tcW w:w="140" w:type="dxa"/>
            <w:vAlign w:val="bottom"/>
          </w:tcPr>
          <w:p>
            <w:pPr>
              <w:spacing w:after="0"/>
              <w:rPr>
                <w:sz w:val="16"/>
                <w:szCs w:val="16"/>
                <w:color w:val="auto"/>
              </w:rPr>
            </w:pPr>
          </w:p>
        </w:tc>
        <w:tc>
          <w:tcPr>
            <w:tcW w:w="9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5"/>
              </w:rPr>
              <w:t xml:space="preserve">Shares </w:t>
            </w:r>
            <w:r>
              <w:rPr>
                <w:rFonts w:ascii="Times New Roman" w:cs="Times New Roman" w:eastAsia="Times New Roman" w:hAnsi="Times New Roman"/>
                <w:sz w:val="19"/>
                <w:szCs w:val="19"/>
                <w:b w:val="1"/>
                <w:bCs w:val="1"/>
                <w:color w:val="auto"/>
                <w:w w:val="95"/>
                <w:vertAlign w:val="superscript"/>
              </w:rPr>
              <w:t>(1)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2022</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40,509,269</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5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(10,816 )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605,774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(19,320 )</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576,052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59,958</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(1,178 )</w:t>
            </w:r>
          </w:p>
        </w:tc>
        <w:tc>
          <w:tcPr>
            <w:tcW w:w="3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(1,178 )</w:t>
            </w: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change in unrealized gain (loss) on investments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(9,654 )</w:t>
            </w:r>
          </w:p>
        </w:tc>
        <w:tc>
          <w:tcPr>
            <w:tcW w:w="32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(9,654 )</w:t>
            </w:r>
          </w:p>
        </w:tc>
        <w:tc>
          <w:tcPr>
            <w:tcW w:w="0" w:type="dxa"/>
            <w:vAlign w:val="bottom"/>
          </w:tcPr>
          <w:p>
            <w:pPr>
              <w:spacing w:after="0"/>
              <w:rPr>
                <w:sz w:val="1"/>
                <w:szCs w:val="1"/>
                <w:color w:val="auto"/>
              </w:rPr>
            </w:pPr>
          </w:p>
        </w:tc>
      </w:tr>
      <w:tr>
        <w:trPr>
          <w:trHeight w:val="175"/>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Dividends paid to stockholders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(54,687 )</w:t>
            </w:r>
          </w:p>
        </w:tc>
        <w:tc>
          <w:tcPr>
            <w:tcW w:w="3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(54,687 )</w:t>
            </w:r>
          </w:p>
        </w:tc>
        <w:tc>
          <w:tcPr>
            <w:tcW w:w="0" w:type="dxa"/>
            <w:vAlign w:val="bottom"/>
          </w:tcPr>
          <w:p>
            <w:pPr>
              <w:spacing w:after="0"/>
              <w:rPr>
                <w:sz w:val="1"/>
                <w:szCs w:val="1"/>
                <w:color w:val="auto"/>
              </w:rPr>
            </w:pPr>
          </w:p>
        </w:tc>
      </w:tr>
      <w:tr>
        <w:trPr>
          <w:trHeight w:val="169"/>
        </w:trPr>
        <w:tc>
          <w:tcPr>
            <w:tcW w:w="35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Balances at September 30, 2023</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40,509,269</w:t>
            </w:r>
          </w:p>
        </w:tc>
        <w:tc>
          <w:tcPr>
            <w:tcW w:w="240" w:type="dxa"/>
            <w:vAlign w:val="bottom"/>
            <w:gridSpan w:val="2"/>
          </w:tcPr>
          <w:p>
            <w:pPr>
              <w:spacing w:after="0"/>
              <w:rPr>
                <w:sz w:val="14"/>
                <w:szCs w:val="14"/>
                <w:color w:val="auto"/>
              </w:rPr>
            </w:pP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414</w:t>
            </w:r>
          </w:p>
        </w:tc>
        <w:tc>
          <w:tcPr>
            <w:tcW w:w="240" w:type="dxa"/>
            <w:vAlign w:val="bottom"/>
          </w:tcPr>
          <w:p>
            <w:pPr>
              <w:spacing w:after="0"/>
              <w:rPr>
                <w:sz w:val="14"/>
                <w:szCs w:val="14"/>
                <w:color w:val="auto"/>
              </w:rPr>
            </w:pPr>
          </w:p>
        </w:tc>
        <w:tc>
          <w:tcPr>
            <w:tcW w:w="340" w:type="dxa"/>
            <w:vAlign w:val="bottom"/>
            <w:tcBorders>
              <w:top w:val="single" w:sz="8" w:color="auto"/>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(10,816</w:t>
            </w:r>
          </w:p>
        </w:tc>
        <w:tc>
          <w:tcPr>
            <w:tcW w:w="2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605,774</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(24,881</w:t>
            </w:r>
          </w:p>
        </w:tc>
        <w:tc>
          <w:tcPr>
            <w:tcW w:w="2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32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570,491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60" w:hanging="239"/>
        <w:spacing w:after="0" w:line="226" w:lineRule="auto"/>
        <w:tabs>
          <w:tab w:leader="none" w:pos="2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Number of shares is shown net of cumulative treasury stock repurchases of 871,345 shares as of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-121285</wp:posOffset>
            </wp:positionV>
            <wp:extent cx="48520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852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19030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00" w:type="dxa"/>
            <w:vAlign w:val="bottom"/>
          </w:tcPr>
          <w:p>
            <w:pPr>
              <w:spacing w:after="0"/>
              <w:rPr>
                <w:sz w:val="15"/>
                <w:szCs w:val="15"/>
                <w:color w:val="auto"/>
              </w:rPr>
            </w:pPr>
          </w:p>
        </w:tc>
        <w:tc>
          <w:tcPr>
            <w:tcW w:w="3740" w:type="dxa"/>
            <w:vAlign w:val="bottom"/>
            <w:gridSpan w:val="6"/>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87"/>
        </w:trPr>
        <w:tc>
          <w:tcPr>
            <w:tcW w:w="7500" w:type="dxa"/>
            <w:vAlign w:val="bottom"/>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increase in net assets resulting from operations</w:t>
            </w:r>
          </w:p>
        </w:tc>
        <w:tc>
          <w:tcPr>
            <w:tcW w:w="1080" w:type="dxa"/>
            <w:vAlign w:val="bottom"/>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45,387</w:t>
            </w:r>
          </w:p>
        </w:tc>
        <w:tc>
          <w:tcPr>
            <w:tcW w:w="24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49,126</w:t>
            </w:r>
          </w:p>
        </w:tc>
        <w:tc>
          <w:tcPr>
            <w:tcW w:w="100" w:type="dxa"/>
            <w:vAlign w:val="bottom"/>
          </w:tcPr>
          <w:p>
            <w:pPr>
              <w:spacing w:after="0"/>
              <w:rPr>
                <w:sz w:val="15"/>
                <w:szCs w:val="15"/>
                <w:color w:val="auto"/>
              </w:rPr>
            </w:pPr>
          </w:p>
        </w:tc>
      </w:tr>
      <w:tr>
        <w:trPr>
          <w:trHeight w:val="139"/>
        </w:trPr>
        <w:tc>
          <w:tcPr>
            <w:tcW w:w="7500" w:type="dxa"/>
            <w:vAlign w:val="bottom"/>
            <w:shd w:val="clear" w:color="auto" w:fill="CFF0FC"/>
          </w:tcPr>
          <w:p>
            <w:pPr>
              <w:ind w:left="120"/>
              <w:spacing w:after="0" w:line="139" w:lineRule="exact"/>
              <w:rPr>
                <w:sz w:val="20"/>
                <w:szCs w:val="20"/>
                <w:color w:val="auto"/>
              </w:rPr>
            </w:pPr>
            <w:r>
              <w:rPr>
                <w:rFonts w:ascii="Times New Roman" w:cs="Times New Roman" w:eastAsia="Times New Roman" w:hAnsi="Times New Roman"/>
                <w:sz w:val="14"/>
                <w:szCs w:val="14"/>
                <w:color w:val="auto"/>
              </w:rPr>
              <w:t>Adjustments to reconcile net increase in net assets resulting from operations to net cash provided by (used in) operating</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5"/>
        </w:trPr>
        <w:tc>
          <w:tcPr>
            <w:tcW w:w="7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activities:</w:t>
            </w:r>
          </w:p>
        </w:tc>
        <w:tc>
          <w:tcPr>
            <w:tcW w:w="10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76"/>
        </w:trPr>
        <w:tc>
          <w:tcPr>
            <w:tcW w:w="7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080" w:type="dxa"/>
            <w:vAlign w:val="bottom"/>
          </w:tcPr>
          <w:p>
            <w:pPr>
              <w:spacing w:after="0"/>
              <w:rPr>
                <w:sz w:val="15"/>
                <w:szCs w:val="15"/>
                <w:color w:val="auto"/>
              </w:rPr>
            </w:pPr>
          </w:p>
        </w:tc>
        <w:tc>
          <w:tcPr>
            <w:tcW w:w="8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(174,029 )</w:t>
            </w:r>
          </w:p>
        </w:tc>
        <w:tc>
          <w:tcPr>
            <w:tcW w:w="40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(105,527 )</w:t>
            </w:r>
          </w:p>
        </w:tc>
      </w:tr>
      <w:tr>
        <w:trPr>
          <w:trHeight w:val="175"/>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Purchases of U.S. Treasury Bills</w:t>
            </w:r>
          </w:p>
        </w:tc>
        <w:tc>
          <w:tcPr>
            <w:tcW w:w="10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(34,974 )</w:t>
            </w:r>
          </w:p>
        </w:tc>
      </w:tr>
      <w:tr>
        <w:trPr>
          <w:trHeight w:val="176"/>
        </w:trPr>
        <w:tc>
          <w:tcPr>
            <w:tcW w:w="7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Payment-in-kind interest</w:t>
            </w:r>
          </w:p>
        </w:tc>
        <w:tc>
          <w:tcPr>
            <w:tcW w:w="1080" w:type="dxa"/>
            <w:vAlign w:val="bottom"/>
          </w:tcPr>
          <w:p>
            <w:pPr>
              <w:spacing w:after="0"/>
              <w:rPr>
                <w:sz w:val="15"/>
                <w:szCs w:val="15"/>
                <w:color w:val="auto"/>
              </w:rPr>
            </w:pPr>
          </w:p>
        </w:tc>
        <w:tc>
          <w:tcPr>
            <w:tcW w:w="8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(9,582 )</w:t>
            </w:r>
          </w:p>
        </w:tc>
        <w:tc>
          <w:tcPr>
            <w:tcW w:w="40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(15,334 )</w:t>
            </w:r>
          </w:p>
        </w:tc>
      </w:tr>
      <w:tr>
        <w:trPr>
          <w:trHeight w:val="175"/>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Sales or repayments of investments</w:t>
            </w:r>
          </w:p>
        </w:tc>
        <w:tc>
          <w:tcPr>
            <w:tcW w:w="10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147,041</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232,717</w:t>
            </w:r>
          </w:p>
        </w:tc>
        <w:tc>
          <w:tcPr>
            <w:tcW w:w="100" w:type="dxa"/>
            <w:vAlign w:val="bottom"/>
            <w:shd w:val="clear" w:color="auto" w:fill="CFF0FC"/>
          </w:tcPr>
          <w:p>
            <w:pPr>
              <w:spacing w:after="0"/>
              <w:rPr>
                <w:sz w:val="15"/>
                <w:szCs w:val="15"/>
                <w:color w:val="auto"/>
              </w:rPr>
            </w:pPr>
          </w:p>
        </w:tc>
      </w:tr>
      <w:tr>
        <w:trPr>
          <w:trHeight w:val="176"/>
        </w:trPr>
        <w:tc>
          <w:tcPr>
            <w:tcW w:w="7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Sales or maturities of U.S. Treasury Bills</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42,029</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00" w:type="dxa"/>
            <w:vAlign w:val="bottom"/>
          </w:tcPr>
          <w:p>
            <w:pPr>
              <w:spacing w:after="0"/>
              <w:rPr>
                <w:sz w:val="15"/>
                <w:szCs w:val="15"/>
                <w:color w:val="auto"/>
              </w:rPr>
            </w:pPr>
          </w:p>
        </w:tc>
      </w:tr>
      <w:tr>
        <w:trPr>
          <w:trHeight w:val="175"/>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10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00" w:type="dxa"/>
            <w:vAlign w:val="bottom"/>
            <w:shd w:val="clear" w:color="auto" w:fill="CFF0FC"/>
          </w:tcPr>
          <w:p>
            <w:pPr>
              <w:spacing w:after="0"/>
              <w:rPr>
                <w:sz w:val="15"/>
                <w:szCs w:val="15"/>
                <w:color w:val="auto"/>
              </w:rPr>
            </w:pPr>
          </w:p>
        </w:tc>
      </w:tr>
      <w:tr>
        <w:trPr>
          <w:trHeight w:val="176"/>
        </w:trPr>
        <w:tc>
          <w:tcPr>
            <w:tcW w:w="7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unrealized (gain) loss on investments</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3,743</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9,654</w:t>
            </w:r>
          </w:p>
        </w:tc>
        <w:tc>
          <w:tcPr>
            <w:tcW w:w="100" w:type="dxa"/>
            <w:vAlign w:val="bottom"/>
          </w:tcPr>
          <w:p>
            <w:pPr>
              <w:spacing w:after="0"/>
              <w:rPr>
                <w:sz w:val="15"/>
                <w:szCs w:val="15"/>
                <w:color w:val="auto"/>
              </w:rPr>
            </w:pPr>
          </w:p>
        </w:tc>
      </w:tr>
      <w:tr>
        <w:trPr>
          <w:trHeight w:val="176"/>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Amortization of fixed income premiums or accretion of discounts and ETP</w:t>
            </w:r>
          </w:p>
        </w:tc>
        <w:tc>
          <w:tcPr>
            <w:tcW w:w="10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(8,293 )</w:t>
            </w:r>
          </w:p>
        </w:tc>
        <w:tc>
          <w:tcPr>
            <w:tcW w:w="4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(7,332 )</w:t>
            </w:r>
          </w:p>
        </w:tc>
      </w:tr>
      <w:tr>
        <w:trPr>
          <w:trHeight w:val="175"/>
        </w:trPr>
        <w:tc>
          <w:tcPr>
            <w:tcW w:w="7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100" w:type="dxa"/>
            <w:vAlign w:val="bottom"/>
          </w:tcPr>
          <w:p>
            <w:pPr>
              <w:spacing w:after="0"/>
              <w:rPr>
                <w:sz w:val="15"/>
                <w:szCs w:val="15"/>
                <w:color w:val="auto"/>
              </w:rPr>
            </w:pPr>
          </w:p>
        </w:tc>
      </w:tr>
      <w:tr>
        <w:trPr>
          <w:trHeight w:val="176"/>
        </w:trPr>
        <w:tc>
          <w:tcPr>
            <w:tcW w:w="7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(Increase) decrease in interest and fees receivable</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2,616</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tcPr>
          <w:p>
            <w:pPr>
              <w:spacing w:after="0"/>
              <w:rPr>
                <w:sz w:val="15"/>
                <w:szCs w:val="15"/>
                <w:color w:val="auto"/>
              </w:rPr>
            </w:pPr>
          </w:p>
        </w:tc>
      </w:tr>
      <w:tr>
        <w:trPr>
          <w:trHeight w:val="176"/>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(Increase) decrease in other assets</w:t>
            </w:r>
          </w:p>
        </w:tc>
        <w:tc>
          <w:tcPr>
            <w:tcW w:w="10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shd w:val="clear" w:color="auto" w:fill="CFF0FC"/>
          </w:tcPr>
          <w:p>
            <w:pPr>
              <w:spacing w:after="0"/>
              <w:rPr>
                <w:sz w:val="15"/>
                <w:szCs w:val="15"/>
                <w:color w:val="auto"/>
              </w:rPr>
            </w:pPr>
          </w:p>
        </w:tc>
      </w:tr>
      <w:tr>
        <w:trPr>
          <w:trHeight w:val="176"/>
        </w:trPr>
        <w:tc>
          <w:tcPr>
            <w:tcW w:w="7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Increase (decrease) in incentive fees payable</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3,971</w:t>
            </w:r>
          </w:p>
        </w:tc>
        <w:tc>
          <w:tcPr>
            <w:tcW w:w="100" w:type="dxa"/>
            <w:vAlign w:val="bottom"/>
          </w:tcPr>
          <w:p>
            <w:pPr>
              <w:spacing w:after="0"/>
              <w:rPr>
                <w:sz w:val="15"/>
                <w:szCs w:val="15"/>
                <w:color w:val="auto"/>
              </w:rPr>
            </w:pPr>
          </w:p>
        </w:tc>
      </w:tr>
      <w:tr>
        <w:trPr>
          <w:trHeight w:val="175"/>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Increase (decrease) in interest payable</w:t>
            </w:r>
          </w:p>
        </w:tc>
        <w:tc>
          <w:tcPr>
            <w:tcW w:w="10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1,804</w:t>
            </w:r>
          </w:p>
        </w:tc>
        <w:tc>
          <w:tcPr>
            <w:tcW w:w="100" w:type="dxa"/>
            <w:vAlign w:val="bottom"/>
            <w:shd w:val="clear" w:color="auto" w:fill="CFF0FC"/>
          </w:tcPr>
          <w:p>
            <w:pPr>
              <w:spacing w:after="0"/>
              <w:rPr>
                <w:sz w:val="15"/>
                <w:szCs w:val="15"/>
                <w:color w:val="auto"/>
              </w:rPr>
            </w:pPr>
          </w:p>
        </w:tc>
      </w:tr>
      <w:tr>
        <w:trPr>
          <w:trHeight w:val="176"/>
        </w:trPr>
        <w:tc>
          <w:tcPr>
            <w:tcW w:w="7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Increase (decrease) in accrued expenses and other liabilities</w:t>
            </w:r>
          </w:p>
        </w:tc>
        <w:tc>
          <w:tcPr>
            <w:tcW w:w="1080" w:type="dxa"/>
            <w:vAlign w:val="bottom"/>
          </w:tcPr>
          <w:p>
            <w:pPr>
              <w:spacing w:after="0"/>
              <w:rPr>
                <w:sz w:val="15"/>
                <w:szCs w:val="15"/>
                <w:color w:val="auto"/>
              </w:rPr>
            </w:pPr>
          </w:p>
        </w:tc>
        <w:tc>
          <w:tcPr>
            <w:tcW w:w="8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(772 )</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5"/>
                <w:szCs w:val="15"/>
                <w:color w:val="auto"/>
              </w:rPr>
            </w:pPr>
          </w:p>
        </w:tc>
      </w:tr>
      <w:tr>
        <w:trPr>
          <w:trHeight w:val="169"/>
        </w:trPr>
        <w:tc>
          <w:tcPr>
            <w:tcW w:w="75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10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55,868</w:t>
            </w:r>
          </w:p>
        </w:tc>
        <w:tc>
          <w:tcPr>
            <w:tcW w:w="24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top w:val="single" w:sz="8" w:color="auto"/>
              <w:bottom w:val="single" w:sz="8" w:color="auto"/>
            </w:tcBorders>
            <w:shd w:val="clear" w:color="auto" w:fill="CFF0FC"/>
          </w:tcPr>
          <w:p>
            <w:pPr>
              <w:spacing w:after="0"/>
              <w:rPr>
                <w:sz w:val="14"/>
                <w:szCs w:val="14"/>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174,080</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Payments of deferred financing costs</w:t>
            </w:r>
          </w:p>
        </w:tc>
        <w:tc>
          <w:tcPr>
            <w:tcW w:w="10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(121 )</w:t>
            </w:r>
          </w:p>
        </w:tc>
        <w:tc>
          <w:tcPr>
            <w:tcW w:w="4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(1,209 )</w:t>
            </w:r>
          </w:p>
        </w:tc>
      </w:tr>
      <w:tr>
        <w:trPr>
          <w:trHeight w:val="175"/>
        </w:trPr>
        <w:tc>
          <w:tcPr>
            <w:tcW w:w="7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Borrowings under credit facility</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182,000</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121,000</w:t>
            </w:r>
          </w:p>
        </w:tc>
        <w:tc>
          <w:tcPr>
            <w:tcW w:w="100" w:type="dxa"/>
            <w:vAlign w:val="bottom"/>
          </w:tcPr>
          <w:p>
            <w:pPr>
              <w:spacing w:after="0"/>
              <w:rPr>
                <w:sz w:val="15"/>
                <w:szCs w:val="15"/>
                <w:color w:val="auto"/>
              </w:rPr>
            </w:pPr>
          </w:p>
        </w:tc>
      </w:tr>
      <w:tr>
        <w:trPr>
          <w:trHeight w:val="176"/>
        </w:trPr>
        <w:tc>
          <w:tcPr>
            <w:tcW w:w="7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Repayments under credit facility</w:t>
            </w:r>
          </w:p>
        </w:tc>
        <w:tc>
          <w:tcPr>
            <w:tcW w:w="10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(152,000 )</w:t>
            </w:r>
          </w:p>
        </w:tc>
        <w:tc>
          <w:tcPr>
            <w:tcW w:w="4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(255,000 )</w:t>
            </w:r>
          </w:p>
        </w:tc>
      </w:tr>
      <w:tr>
        <w:trPr>
          <w:trHeight w:val="175"/>
        </w:trPr>
        <w:tc>
          <w:tcPr>
            <w:tcW w:w="7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2026 Notes</w:t>
            </w:r>
          </w:p>
        </w:tc>
        <w:tc>
          <w:tcPr>
            <w:tcW w:w="1080" w:type="dxa"/>
            <w:vAlign w:val="bottom"/>
          </w:tcPr>
          <w:p>
            <w:pPr>
              <w:spacing w:after="0"/>
              <w:rPr>
                <w:sz w:val="15"/>
                <w:szCs w:val="15"/>
                <w:color w:val="auto"/>
              </w:rPr>
            </w:pPr>
          </w:p>
        </w:tc>
        <w:tc>
          <w:tcPr>
            <w:tcW w:w="8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5"/>
                <w:szCs w:val="15"/>
                <w:color w:val="auto"/>
              </w:rPr>
            </w:pPr>
          </w:p>
        </w:tc>
      </w:tr>
      <w:tr>
        <w:trPr>
          <w:trHeight w:val="175"/>
        </w:trPr>
        <w:tc>
          <w:tcPr>
            <w:tcW w:w="7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Acquisition of treasury shares</w:t>
            </w:r>
          </w:p>
        </w:tc>
        <w:tc>
          <w:tcPr>
            <w:tcW w:w="10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(30,178 )</w:t>
            </w:r>
          </w:p>
        </w:tc>
        <w:tc>
          <w:tcPr>
            <w:tcW w:w="4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Retirement of shares</w:t>
            </w:r>
          </w:p>
        </w:tc>
        <w:tc>
          <w:tcPr>
            <w:tcW w:w="1080" w:type="dxa"/>
            <w:vAlign w:val="bottom"/>
          </w:tcPr>
          <w:p>
            <w:pPr>
              <w:spacing w:after="0"/>
              <w:rPr>
                <w:sz w:val="15"/>
                <w:szCs w:val="15"/>
                <w:color w:val="auto"/>
              </w:rPr>
            </w:pPr>
          </w:p>
        </w:tc>
        <w:tc>
          <w:tcPr>
            <w:tcW w:w="8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(1 )</w:t>
            </w:r>
          </w:p>
        </w:tc>
        <w:tc>
          <w:tcPr>
            <w:tcW w:w="400" w:type="dxa"/>
            <w:vAlign w:val="bottom"/>
          </w:tcPr>
          <w:p>
            <w:pPr>
              <w:spacing w:after="0"/>
              <w:rPr>
                <w:sz w:val="15"/>
                <w:szCs w:val="15"/>
                <w:color w:val="auto"/>
              </w:rPr>
            </w:pP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Dividends paid to stockholders</w:t>
            </w:r>
          </w:p>
        </w:tc>
        <w:tc>
          <w:tcPr>
            <w:tcW w:w="10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(54,921 )</w:t>
            </w:r>
          </w:p>
        </w:tc>
        <w:tc>
          <w:tcPr>
            <w:tcW w:w="4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(54,687 )</w:t>
            </w:r>
          </w:p>
        </w:tc>
      </w:tr>
      <w:tr>
        <w:trPr>
          <w:trHeight w:val="169"/>
        </w:trPr>
        <w:tc>
          <w:tcPr>
            <w:tcW w:w="75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10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(55,221</w:t>
            </w:r>
          </w:p>
        </w:tc>
        <w:tc>
          <w:tcPr>
            <w:tcW w:w="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(164,896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9,184</w:t>
            </w:r>
          </w:p>
        </w:tc>
        <w:tc>
          <w:tcPr>
            <w:tcW w:w="100" w:type="dxa"/>
            <w:vAlign w:val="bottom"/>
            <w:shd w:val="clear" w:color="auto" w:fill="CFF0FC"/>
          </w:tcPr>
          <w:p>
            <w:pPr>
              <w:spacing w:after="0"/>
              <w:rPr>
                <w:sz w:val="14"/>
                <w:szCs w:val="14"/>
                <w:color w:val="auto"/>
              </w:rPr>
            </w:pPr>
          </w:p>
        </w:tc>
      </w:tr>
      <w:tr>
        <w:trPr>
          <w:trHeight w:val="175"/>
        </w:trPr>
        <w:tc>
          <w:tcPr>
            <w:tcW w:w="7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5,761</w:t>
            </w:r>
          </w:p>
        </w:tc>
        <w:tc>
          <w:tcPr>
            <w:tcW w:w="100" w:type="dxa"/>
            <w:vAlign w:val="bottom"/>
          </w:tcPr>
          <w:p>
            <w:pPr>
              <w:spacing w:after="0"/>
              <w:rPr>
                <w:sz w:val="15"/>
                <w:szCs w:val="15"/>
                <w:color w:val="auto"/>
              </w:rPr>
            </w:pPr>
          </w:p>
        </w:tc>
      </w:tr>
      <w:tr>
        <w:trPr>
          <w:trHeight w:val="209"/>
        </w:trPr>
        <w:tc>
          <w:tcPr>
            <w:tcW w:w="7500" w:type="dxa"/>
            <w:vAlign w:val="bottom"/>
            <w:tcBorders>
              <w:bottom w:val="single" w:sz="8" w:color="CFF0FC"/>
            </w:tcBorders>
            <w:shd w:val="clear" w:color="auto" w:fill="CFF0FC"/>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1080" w:type="dxa"/>
            <w:vAlign w:val="bottom"/>
            <w:tcBorders>
              <w:bottom w:val="single" w:sz="8" w:color="auto"/>
            </w:tcBorders>
            <w:shd w:val="clear" w:color="auto" w:fill="CFF0FC"/>
          </w:tcPr>
          <w:p>
            <w:pPr>
              <w:jc w:val="right"/>
              <w:ind w:right="9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3,617</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14,945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5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and non-cash financing cash flow information:</w:t>
            </w: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Taxes paid</w:t>
            </w:r>
          </w:p>
        </w:tc>
        <w:tc>
          <w:tcPr>
            <w:tcW w:w="1080" w:type="dxa"/>
            <w:vAlign w:val="bottom"/>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FF0FC"/>
          </w:tcPr>
          <w:p>
            <w:pPr>
              <w:spacing w:after="0"/>
              <w:rPr>
                <w:sz w:val="15"/>
                <w:szCs w:val="15"/>
                <w:color w:val="auto"/>
              </w:rPr>
            </w:pPr>
          </w:p>
        </w:tc>
      </w:tr>
      <w:tr>
        <w:trPr>
          <w:trHeight w:val="188"/>
        </w:trPr>
        <w:tc>
          <w:tcPr>
            <w:tcW w:w="7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paid</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26,367</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27,902</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-1739265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5829935</wp:posOffset>
            </wp:positionH>
            <wp:positionV relativeFrom="paragraph">
              <wp:posOffset>-851535</wp:posOffset>
            </wp:positionV>
            <wp:extent cx="9398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-851535</wp:posOffset>
            </wp:positionV>
            <wp:extent cx="9398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-367665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-350520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2"/>
                <w:szCs w:val="12"/>
                <w:color w:val="auto"/>
              </w:rPr>
            </w:pPr>
          </w:p>
        </w:tc>
        <w:tc>
          <w:tcPr>
            <w:tcW w:w="18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gridSpan w:val="2"/>
          </w:tcPr>
          <w:p>
            <w:pPr>
              <w:jc w:val="right"/>
              <w:ind w:right="168"/>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9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9"/>
        </w:trPr>
        <w:tc>
          <w:tcPr>
            <w:tcW w:w="206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0" w:type="dxa"/>
            <w:vAlign w:val="bottom"/>
          </w:tcPr>
          <w:p>
            <w:pPr>
              <w:spacing w:after="0"/>
              <w:rPr>
                <w:sz w:val="16"/>
                <w:szCs w:val="16"/>
                <w:color w:val="auto"/>
              </w:rPr>
            </w:pPr>
          </w:p>
        </w:tc>
        <w:tc>
          <w:tcPr>
            <w:tcW w:w="1880" w:type="dxa"/>
            <w:vAlign w:val="bottom"/>
            <w:tcBorders>
              <w:bottom w:val="single" w:sz="8" w:color="auto"/>
            </w:tcBorders>
          </w:tcPr>
          <w:p>
            <w:pPr>
              <w:ind w:left="420"/>
              <w:spacing w:after="0" w:line="189" w:lineRule="exact"/>
              <w:rPr>
                <w:sz w:val="20"/>
                <w:szCs w:val="20"/>
                <w:color w:val="auto"/>
              </w:rPr>
            </w:pPr>
            <w:r>
              <w:rPr>
                <w:rFonts w:ascii="Times New Roman" w:cs="Times New Roman" w:eastAsia="Times New Roman" w:hAnsi="Times New Roman"/>
                <w:sz w:val="14"/>
                <w:szCs w:val="14"/>
                <w:b w:val="1"/>
                <w:bCs w:val="1"/>
                <w:color w:val="auto"/>
              </w:rPr>
              <w:t>Description</w:t>
            </w:r>
            <w:r>
              <w:rPr>
                <w:rFonts w:ascii="Times New Roman" w:cs="Times New Roman" w:eastAsia="Times New Roman" w:hAnsi="Times New Roman"/>
                <w:sz w:val="19"/>
                <w:szCs w:val="19"/>
                <w:b w:val="1"/>
                <w:bCs w:val="1"/>
                <w:color w:val="auto"/>
                <w:vertAlign w:val="superscript"/>
              </w:rPr>
              <w:t>(1)(2)(4)</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Shares</w:t>
            </w:r>
          </w:p>
        </w:tc>
        <w:tc>
          <w:tcPr>
            <w:tcW w:w="2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ind w:right="68"/>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Value ($) </w:t>
            </w:r>
            <w:r>
              <w:rPr>
                <w:rFonts w:ascii="Times New Roman" w:cs="Times New Roman" w:eastAsia="Times New Roman" w:hAnsi="Times New Roman"/>
                <w:sz w:val="19"/>
                <w:szCs w:val="19"/>
                <w:b w:val="1"/>
                <w:bCs w:val="1"/>
                <w:color w:val="auto"/>
                <w:vertAlign w:val="superscript"/>
              </w:rPr>
              <w:t>(3)</w:t>
            </w:r>
          </w:p>
        </w:tc>
        <w:tc>
          <w:tcPr>
            <w:tcW w:w="22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060" w:type="dxa"/>
            <w:vAlign w:val="bottom"/>
            <w:gridSpan w:val="5"/>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 Investments</w:t>
            </w:r>
          </w:p>
        </w:tc>
        <w:tc>
          <w:tcPr>
            <w:tcW w:w="120" w:type="dxa"/>
            <w:vAlign w:val="bottom"/>
            <w:shd w:val="clear" w:color="auto" w:fill="CFF0FC"/>
          </w:tcPr>
          <w:p>
            <w:pPr>
              <w:spacing w:after="0"/>
              <w:rPr>
                <w:sz w:val="12"/>
                <w:szCs w:val="12"/>
                <w:color w:val="auto"/>
              </w:rPr>
            </w:pPr>
          </w:p>
        </w:tc>
        <w:tc>
          <w:tcPr>
            <w:tcW w:w="1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20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Debt Investments</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66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96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4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Airship Group, Inc.</w:t>
            </w:r>
          </w:p>
        </w:tc>
        <w:tc>
          <w:tcPr>
            <w:tcW w:w="120" w:type="dxa"/>
            <w:vAlign w:val="bottom"/>
          </w:tcPr>
          <w:p>
            <w:pPr>
              <w:spacing w:after="0"/>
              <w:rPr>
                <w:sz w:val="12"/>
                <w:szCs w:val="12"/>
                <w:color w:val="auto"/>
              </w:rPr>
            </w:pPr>
          </w:p>
        </w:tc>
        <w:tc>
          <w:tcPr>
            <w:tcW w:w="8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Senior</w:t>
            </w:r>
          </w:p>
        </w:tc>
        <w:tc>
          <w:tcPr>
            <w:tcW w:w="120" w:type="dxa"/>
            <w:vAlign w:val="bottom"/>
          </w:tcPr>
          <w:p>
            <w:pPr>
              <w:spacing w:after="0"/>
              <w:rPr>
                <w:sz w:val="12"/>
                <w:szCs w:val="12"/>
                <w:color w:val="auto"/>
              </w:rPr>
            </w:pP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SOFR+3.75%, 9.08%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6/28/2024</w:t>
            </w:r>
          </w:p>
        </w:tc>
        <w:tc>
          <w:tcPr>
            <w:tcW w:w="9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6/15/2028</w:t>
            </w:r>
          </w:p>
        </w:tc>
        <w:tc>
          <w:tcPr>
            <w:tcW w:w="7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48,759</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48,005</w:t>
            </w:r>
          </w:p>
        </w:tc>
        <w:tc>
          <w:tcPr>
            <w:tcW w:w="1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47,952</w:t>
            </w:r>
          </w:p>
        </w:tc>
        <w:tc>
          <w:tcPr>
            <w:tcW w:w="110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(10) (11) (12)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Secured</w:t>
            </w:r>
          </w:p>
        </w:tc>
        <w:tc>
          <w:tcPr>
            <w:tcW w:w="12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3.00% PIK, 3.25%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04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Blueshift Labs, Inc.</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Senior</w:t>
            </w:r>
          </w:p>
        </w:tc>
        <w:tc>
          <w:tcPr>
            <w:tcW w:w="120" w:type="dxa"/>
            <w:vAlign w:val="bottom"/>
            <w:shd w:val="clear" w:color="auto" w:fill="CFF0FC"/>
          </w:tcPr>
          <w:p>
            <w:pPr>
              <w:spacing w:after="0"/>
              <w:rPr>
                <w:sz w:val="12"/>
                <w:szCs w:val="12"/>
                <w:color w:val="auto"/>
              </w:rPr>
            </w:pP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SOFR+6.25%, 11.25%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12/19/2023</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12/15/2028</w:t>
            </w:r>
          </w:p>
        </w:tc>
        <w:tc>
          <w:tcPr>
            <w:tcW w:w="7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25,886</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25,573</w:t>
            </w:r>
          </w:p>
        </w:tc>
        <w:tc>
          <w:tcPr>
            <w:tcW w:w="12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23,777</w:t>
            </w:r>
          </w:p>
        </w:tc>
        <w:tc>
          <w:tcPr>
            <w:tcW w:w="11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(10) (11) (12)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Secured</w:t>
            </w: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2.00% PIK, 1.50%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4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Circadence Corporation</w:t>
            </w:r>
          </w:p>
        </w:tc>
        <w:tc>
          <w:tcPr>
            <w:tcW w:w="120" w:type="dxa"/>
            <w:vAlign w:val="bottom"/>
          </w:tcPr>
          <w:p>
            <w:pPr>
              <w:spacing w:after="0"/>
              <w:rPr>
                <w:sz w:val="12"/>
                <w:szCs w:val="12"/>
                <w:color w:val="auto"/>
              </w:rPr>
            </w:pPr>
          </w:p>
        </w:tc>
        <w:tc>
          <w:tcPr>
            <w:tcW w:w="8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Senior</w:t>
            </w:r>
          </w:p>
        </w:tc>
        <w:tc>
          <w:tcPr>
            <w:tcW w:w="120" w:type="dxa"/>
            <w:vAlign w:val="bottom"/>
          </w:tcPr>
          <w:p>
            <w:pPr>
              <w:spacing w:after="0"/>
              <w:rPr>
                <w:sz w:val="12"/>
                <w:szCs w:val="12"/>
                <w:color w:val="auto"/>
              </w:rPr>
            </w:pP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SOFR+9.50%, 12.26%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12/20/2018</w:t>
            </w:r>
          </w:p>
        </w:tc>
        <w:tc>
          <w:tcPr>
            <w:tcW w:w="9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12/15/2025</w:t>
            </w:r>
          </w:p>
        </w:tc>
        <w:tc>
          <w:tcPr>
            <w:tcW w:w="7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23,752</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25,102</w:t>
            </w:r>
          </w:p>
        </w:tc>
        <w:tc>
          <w:tcPr>
            <w:tcW w:w="1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20,034</w:t>
            </w:r>
          </w:p>
        </w:tc>
        <w:tc>
          <w:tcPr>
            <w:tcW w:w="110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Secured</w:t>
            </w:r>
          </w:p>
        </w:tc>
        <w:tc>
          <w:tcPr>
            <w:tcW w:w="12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7.50%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04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FiscalNote, Inc.</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Senior</w:t>
            </w:r>
          </w:p>
        </w:tc>
        <w:tc>
          <w:tcPr>
            <w:tcW w:w="120" w:type="dxa"/>
            <w:vAlign w:val="bottom"/>
            <w:shd w:val="clear" w:color="auto" w:fill="CFF0FC"/>
          </w:tcPr>
          <w:p>
            <w:pPr>
              <w:spacing w:after="0"/>
              <w:rPr>
                <w:sz w:val="12"/>
                <w:szCs w:val="12"/>
                <w:color w:val="auto"/>
              </w:rPr>
            </w:pP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PRIME+5.00%, 9.00%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10/19/2020</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7/15/2027</w:t>
            </w:r>
          </w:p>
        </w:tc>
        <w:tc>
          <w:tcPr>
            <w:tcW w:w="7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38,896</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40,827</w:t>
            </w:r>
          </w:p>
        </w:tc>
        <w:tc>
          <w:tcPr>
            <w:tcW w:w="12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37,872</w:t>
            </w:r>
          </w:p>
        </w:tc>
        <w:tc>
          <w:tcPr>
            <w:tcW w:w="11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(10) (11) (12)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Secured</w:t>
            </w: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1.00% PIK, 5.75%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4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Snap! Mobile, Inc.</w:t>
            </w:r>
          </w:p>
        </w:tc>
        <w:tc>
          <w:tcPr>
            <w:tcW w:w="120" w:type="dxa"/>
            <w:vAlign w:val="bottom"/>
          </w:tcPr>
          <w:p>
            <w:pPr>
              <w:spacing w:after="0"/>
              <w:rPr>
                <w:sz w:val="12"/>
                <w:szCs w:val="12"/>
                <w:color w:val="auto"/>
              </w:rPr>
            </w:pPr>
          </w:p>
        </w:tc>
        <w:tc>
          <w:tcPr>
            <w:tcW w:w="8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Senior</w:t>
            </w:r>
          </w:p>
        </w:tc>
        <w:tc>
          <w:tcPr>
            <w:tcW w:w="120" w:type="dxa"/>
            <w:vAlign w:val="bottom"/>
          </w:tcPr>
          <w:p>
            <w:pPr>
              <w:spacing w:after="0"/>
              <w:rPr>
                <w:sz w:val="12"/>
                <w:szCs w:val="12"/>
                <w:color w:val="auto"/>
              </w:rPr>
            </w:pP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SOFR+7.50%, 12.10%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9/30/2024</w:t>
            </w:r>
          </w:p>
        </w:tc>
        <w:tc>
          <w:tcPr>
            <w:tcW w:w="9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9/30/2028</w:t>
            </w:r>
          </w:p>
        </w:tc>
        <w:tc>
          <w:tcPr>
            <w:tcW w:w="7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18,000</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17,431</w:t>
            </w:r>
          </w:p>
        </w:tc>
        <w:tc>
          <w:tcPr>
            <w:tcW w:w="1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17,431</w:t>
            </w:r>
          </w:p>
        </w:tc>
        <w:tc>
          <w:tcPr>
            <w:tcW w:w="110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(11) (12)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Secured</w:t>
            </w:r>
          </w:p>
        </w:tc>
        <w:tc>
          <w:tcPr>
            <w:tcW w:w="12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3.83%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04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VTX Intermediate Holdings,</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Senior</w:t>
            </w:r>
          </w:p>
        </w:tc>
        <w:tc>
          <w:tcPr>
            <w:tcW w:w="120" w:type="dxa"/>
            <w:vAlign w:val="bottom"/>
            <w:shd w:val="clear" w:color="auto" w:fill="CFF0FC"/>
          </w:tcPr>
          <w:p>
            <w:pPr>
              <w:spacing w:after="0"/>
              <w:rPr>
                <w:sz w:val="12"/>
                <w:szCs w:val="12"/>
                <w:color w:val="auto"/>
              </w:rPr>
            </w:pP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SOFR+9.00%, 9.50%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12/28/2021</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12/28/2026</w:t>
            </w:r>
          </w:p>
        </w:tc>
        <w:tc>
          <w:tcPr>
            <w:tcW w:w="7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91,086</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92,497</w:t>
            </w:r>
          </w:p>
        </w:tc>
        <w:tc>
          <w:tcPr>
            <w:tcW w:w="12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89,313</w:t>
            </w:r>
          </w:p>
        </w:tc>
        <w:tc>
          <w:tcPr>
            <w:tcW w:w="11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(10) (11) (12)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0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Inc. (dba VertexOne)</w:t>
            </w:r>
          </w:p>
        </w:tc>
        <w:tc>
          <w:tcPr>
            <w:tcW w:w="1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Secured</w:t>
            </w:r>
          </w:p>
        </w:tc>
        <w:tc>
          <w:tcPr>
            <w:tcW w:w="120" w:type="dxa"/>
            <w:vAlign w:val="bottom"/>
            <w:tcBorders>
              <w:bottom w:val="single" w:sz="8" w:color="CFF0FC"/>
            </w:tcBorders>
            <w:shd w:val="clear" w:color="auto" w:fill="CFF0FC"/>
          </w:tcPr>
          <w:p>
            <w:pPr>
              <w:spacing w:after="0"/>
              <w:rPr>
                <w:sz w:val="14"/>
                <w:szCs w:val="14"/>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10.00% cash cap, 4.50%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Total Application Software - 46.59%*</w:t>
            </w: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249,435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236,379</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160" w:type="dxa"/>
            <w:vAlign w:val="bottom"/>
            <w:gridSpan w:val="2"/>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Asset Management &amp; Custody Banks</w:t>
            </w: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04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Betterment Holdings, Inc.</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Senior</w:t>
            </w:r>
          </w:p>
        </w:tc>
        <w:tc>
          <w:tcPr>
            <w:tcW w:w="120" w:type="dxa"/>
            <w:vAlign w:val="bottom"/>
            <w:shd w:val="clear" w:color="auto" w:fill="CFF0FC"/>
          </w:tcPr>
          <w:p>
            <w:pPr>
              <w:spacing w:after="0"/>
              <w:rPr>
                <w:sz w:val="12"/>
                <w:szCs w:val="12"/>
                <w:color w:val="auto"/>
              </w:rPr>
            </w:pP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PRIME+4.50%, 8.50%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10/6/2023</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10/6/2027</w:t>
            </w:r>
          </w:p>
        </w:tc>
        <w:tc>
          <w:tcPr>
            <w:tcW w:w="7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8,000</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7,905</w:t>
            </w:r>
          </w:p>
        </w:tc>
        <w:tc>
          <w:tcPr>
            <w:tcW w:w="12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8,058</w:t>
            </w:r>
          </w:p>
        </w:tc>
        <w:tc>
          <w:tcPr>
            <w:tcW w:w="11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0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Secured</w:t>
            </w:r>
          </w:p>
        </w:tc>
        <w:tc>
          <w:tcPr>
            <w:tcW w:w="120" w:type="dxa"/>
            <w:vAlign w:val="bottom"/>
            <w:tcBorders>
              <w:bottom w:val="single" w:sz="8" w:color="CFF0FC"/>
            </w:tcBorders>
            <w:shd w:val="clear" w:color="auto" w:fill="CFF0FC"/>
          </w:tcPr>
          <w:p>
            <w:pPr>
              <w:spacing w:after="0"/>
              <w:rPr>
                <w:sz w:val="14"/>
                <w:szCs w:val="14"/>
                <w:color w:val="auto"/>
              </w:rPr>
            </w:pPr>
          </w:p>
        </w:tc>
        <w:tc>
          <w:tcPr>
            <w:tcW w:w="18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Total Asset Management &amp; Custody Banks - 1.59%*</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7,905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8,058</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160" w:type="dxa"/>
            <w:vAlign w:val="bottom"/>
            <w:gridSpan w:val="2"/>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Data Processing &amp; Outsourced Services</w:t>
            </w: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04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Elevate Services, Inc.</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Senior</w:t>
            </w:r>
          </w:p>
        </w:tc>
        <w:tc>
          <w:tcPr>
            <w:tcW w:w="120" w:type="dxa"/>
            <w:vAlign w:val="bottom"/>
            <w:shd w:val="clear" w:color="auto" w:fill="CFF0FC"/>
          </w:tcPr>
          <w:p>
            <w:pPr>
              <w:spacing w:after="0"/>
              <w:rPr>
                <w:sz w:val="12"/>
                <w:szCs w:val="12"/>
                <w:color w:val="auto"/>
              </w:rPr>
            </w:pP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SOFR+7.50%, 12.78%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7/10/2023</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7/10/2027</w:t>
            </w:r>
          </w:p>
        </w:tc>
        <w:tc>
          <w:tcPr>
            <w:tcW w:w="7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26,000</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25,244</w:t>
            </w:r>
          </w:p>
        </w:tc>
        <w:tc>
          <w:tcPr>
            <w:tcW w:w="12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26,186</w:t>
            </w:r>
          </w:p>
        </w:tc>
        <w:tc>
          <w:tcPr>
            <w:tcW w:w="11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Secured</w:t>
            </w: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4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Interactions Corporation</w:t>
            </w:r>
          </w:p>
        </w:tc>
        <w:tc>
          <w:tcPr>
            <w:tcW w:w="120" w:type="dxa"/>
            <w:vAlign w:val="bottom"/>
          </w:tcPr>
          <w:p>
            <w:pPr>
              <w:spacing w:after="0"/>
              <w:rPr>
                <w:sz w:val="12"/>
                <w:szCs w:val="12"/>
                <w:color w:val="auto"/>
              </w:rPr>
            </w:pPr>
          </w:p>
        </w:tc>
        <w:tc>
          <w:tcPr>
            <w:tcW w:w="8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Senior</w:t>
            </w:r>
          </w:p>
        </w:tc>
        <w:tc>
          <w:tcPr>
            <w:tcW w:w="120" w:type="dxa"/>
            <w:vAlign w:val="bottom"/>
          </w:tcPr>
          <w:p>
            <w:pPr>
              <w:spacing w:after="0"/>
              <w:rPr>
                <w:sz w:val="12"/>
                <w:szCs w:val="12"/>
                <w:color w:val="auto"/>
              </w:rPr>
            </w:pP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SOFR+9.26%, 9.76%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6/24/2022</w:t>
            </w:r>
          </w:p>
        </w:tc>
        <w:tc>
          <w:tcPr>
            <w:tcW w:w="9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6/15/2027</w:t>
            </w:r>
          </w:p>
        </w:tc>
        <w:tc>
          <w:tcPr>
            <w:tcW w:w="7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40,000</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40,236</w:t>
            </w:r>
          </w:p>
        </w:tc>
        <w:tc>
          <w:tcPr>
            <w:tcW w:w="1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39,723</w:t>
            </w:r>
          </w:p>
        </w:tc>
        <w:tc>
          <w:tcPr>
            <w:tcW w:w="110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(11) (12)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Secured</w:t>
            </w:r>
          </w:p>
        </w:tc>
        <w:tc>
          <w:tcPr>
            <w:tcW w:w="12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3.4375%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04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Predactiv, Inc. (fka Sharethis,</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Senior</w:t>
            </w:r>
          </w:p>
        </w:tc>
        <w:tc>
          <w:tcPr>
            <w:tcW w:w="120" w:type="dxa"/>
            <w:vAlign w:val="bottom"/>
            <w:shd w:val="clear" w:color="auto" w:fill="CFF0FC"/>
          </w:tcPr>
          <w:p>
            <w:pPr>
              <w:spacing w:after="0"/>
              <w:rPr>
                <w:sz w:val="12"/>
                <w:szCs w:val="12"/>
                <w:color w:val="auto"/>
              </w:rPr>
            </w:pP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SOFR+9.25%, 11.86%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12/3/2018</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10/31/2024</w:t>
            </w:r>
          </w:p>
        </w:tc>
        <w:tc>
          <w:tcPr>
            <w:tcW w:w="7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17,678</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18,302</w:t>
            </w:r>
          </w:p>
        </w:tc>
        <w:tc>
          <w:tcPr>
            <w:tcW w:w="12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18,506</w:t>
            </w:r>
          </w:p>
        </w:tc>
        <w:tc>
          <w:tcPr>
            <w:tcW w:w="11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(11) (12)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Inc.)</w:t>
            </w:r>
          </w:p>
        </w:tc>
        <w:tc>
          <w:tcPr>
            <w:tcW w:w="1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Secured</w:t>
            </w: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4.00%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Senior</w:t>
            </w:r>
          </w:p>
        </w:tc>
        <w:tc>
          <w:tcPr>
            <w:tcW w:w="120" w:type="dxa"/>
            <w:vAlign w:val="bottom"/>
          </w:tcPr>
          <w:p>
            <w:pPr>
              <w:spacing w:after="0"/>
              <w:rPr>
                <w:sz w:val="12"/>
                <w:szCs w:val="12"/>
                <w:color w:val="auto"/>
              </w:rPr>
            </w:pP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SOFR+8.25%, 10.86%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8/18/2020</w:t>
            </w:r>
          </w:p>
        </w:tc>
        <w:tc>
          <w:tcPr>
            <w:tcW w:w="9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10/31/2024</w:t>
            </w:r>
          </w:p>
        </w:tc>
        <w:tc>
          <w:tcPr>
            <w:tcW w:w="7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842</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872</w:t>
            </w:r>
          </w:p>
        </w:tc>
        <w:tc>
          <w:tcPr>
            <w:tcW w:w="1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881</w:t>
            </w:r>
          </w:p>
        </w:tc>
        <w:tc>
          <w:tcPr>
            <w:tcW w:w="110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(11) (12)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Secured</w:t>
            </w:r>
          </w:p>
        </w:tc>
        <w:tc>
          <w:tcPr>
            <w:tcW w:w="12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4.00%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04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Vesta Payment Solutions, Inc.</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Senior</w:t>
            </w:r>
          </w:p>
        </w:tc>
        <w:tc>
          <w:tcPr>
            <w:tcW w:w="120" w:type="dxa"/>
            <w:vAlign w:val="bottom"/>
            <w:shd w:val="clear" w:color="auto" w:fill="CFF0FC"/>
          </w:tcPr>
          <w:p>
            <w:pPr>
              <w:spacing w:after="0"/>
              <w:rPr>
                <w:sz w:val="12"/>
                <w:szCs w:val="12"/>
                <w:color w:val="auto"/>
              </w:rPr>
            </w:pP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SOFR+7.00%, 9.00%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11/29/2022</w:t>
            </w:r>
          </w:p>
        </w:tc>
        <w:tc>
          <w:tcPr>
            <w:tcW w:w="940" w:type="dxa"/>
            <w:vAlign w:val="bottom"/>
            <w:gridSpan w:val="2"/>
            <w:shd w:val="clear" w:color="auto" w:fill="CFF0FC"/>
          </w:tcPr>
          <w:p>
            <w:pPr>
              <w:jc w:val="center"/>
              <w:ind w:left="28"/>
              <w:spacing w:after="0" w:line="139" w:lineRule="exact"/>
              <w:rPr>
                <w:sz w:val="20"/>
                <w:szCs w:val="20"/>
                <w:color w:val="auto"/>
              </w:rPr>
            </w:pPr>
            <w:r>
              <w:rPr>
                <w:rFonts w:ascii="Times New Roman" w:cs="Times New Roman" w:eastAsia="Times New Roman" w:hAnsi="Times New Roman"/>
                <w:sz w:val="14"/>
                <w:szCs w:val="14"/>
                <w:color w:val="auto"/>
              </w:rPr>
              <w:t>11/15/2026</w:t>
            </w:r>
          </w:p>
        </w:tc>
        <w:tc>
          <w:tcPr>
            <w:tcW w:w="7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25,000</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25,291</w:t>
            </w:r>
          </w:p>
        </w:tc>
        <w:tc>
          <w:tcPr>
            <w:tcW w:w="12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22,441</w:t>
            </w:r>
          </w:p>
        </w:tc>
        <w:tc>
          <w:tcPr>
            <w:tcW w:w="11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(11) (12)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0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Secured</w:t>
            </w:r>
          </w:p>
        </w:tc>
        <w:tc>
          <w:tcPr>
            <w:tcW w:w="120" w:type="dxa"/>
            <w:vAlign w:val="bottom"/>
            <w:tcBorders>
              <w:bottom w:val="single" w:sz="8" w:color="CFF0FC"/>
            </w:tcBorders>
            <w:shd w:val="clear" w:color="auto" w:fill="CFF0FC"/>
          </w:tcPr>
          <w:p>
            <w:pPr>
              <w:spacing w:after="0"/>
              <w:rPr>
                <w:sz w:val="14"/>
                <w:szCs w:val="14"/>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5.00%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Total Data Processing &amp; Outsourced Services - 21.23%*</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109,945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107,737</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160" w:type="dxa"/>
            <w:vAlign w:val="bottom"/>
            <w:gridSpan w:val="2"/>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Electronic Equipment &amp; Instruments</w:t>
            </w: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04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Brivo, Inc.</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Senior</w:t>
            </w:r>
          </w:p>
        </w:tc>
        <w:tc>
          <w:tcPr>
            <w:tcW w:w="120" w:type="dxa"/>
            <w:vAlign w:val="bottom"/>
            <w:shd w:val="clear" w:color="auto" w:fill="CFF0FC"/>
          </w:tcPr>
          <w:p>
            <w:pPr>
              <w:spacing w:after="0"/>
              <w:rPr>
                <w:sz w:val="12"/>
                <w:szCs w:val="12"/>
                <w:color w:val="auto"/>
              </w:rPr>
            </w:pP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SOFR+6.85%, 10.89%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10/20/2022</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10/20/2027</w:t>
            </w:r>
          </w:p>
        </w:tc>
        <w:tc>
          <w:tcPr>
            <w:tcW w:w="7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32,293</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32,424</w:t>
            </w:r>
          </w:p>
        </w:tc>
        <w:tc>
          <w:tcPr>
            <w:tcW w:w="12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32,725</w:t>
            </w:r>
          </w:p>
        </w:tc>
        <w:tc>
          <w:tcPr>
            <w:tcW w:w="11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(11) (12)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0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Secured</w:t>
            </w:r>
          </w:p>
        </w:tc>
        <w:tc>
          <w:tcPr>
            <w:tcW w:w="120" w:type="dxa"/>
            <w:vAlign w:val="bottom"/>
            <w:tcBorders>
              <w:bottom w:val="single" w:sz="8" w:color="CFF0FC"/>
            </w:tcBorders>
            <w:shd w:val="clear" w:color="auto" w:fill="CFF0FC"/>
          </w:tcPr>
          <w:p>
            <w:pPr>
              <w:spacing w:after="0"/>
              <w:rPr>
                <w:sz w:val="14"/>
                <w:szCs w:val="14"/>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3.00%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Total Electronic Equipment &amp; Instruments - 6.45%*</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32,424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32,725</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Healthcare Equipment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04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Moximed, Inc.</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Senior</w:t>
            </w:r>
          </w:p>
        </w:tc>
        <w:tc>
          <w:tcPr>
            <w:tcW w:w="120" w:type="dxa"/>
            <w:vAlign w:val="bottom"/>
            <w:shd w:val="clear" w:color="auto" w:fill="CFF0FC"/>
          </w:tcPr>
          <w:p>
            <w:pPr>
              <w:spacing w:after="0"/>
              <w:rPr>
                <w:sz w:val="12"/>
                <w:szCs w:val="12"/>
                <w:color w:val="auto"/>
              </w:rPr>
            </w:pP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PRIME+5.25%, 8.75%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6/24/2022</w:t>
            </w:r>
          </w:p>
        </w:tc>
        <w:tc>
          <w:tcPr>
            <w:tcW w:w="940" w:type="dxa"/>
            <w:vAlign w:val="bottom"/>
            <w:gridSpan w:val="2"/>
            <w:shd w:val="clear" w:color="auto" w:fill="CFF0FC"/>
          </w:tcPr>
          <w:p>
            <w:pPr>
              <w:jc w:val="center"/>
              <w:ind w:left="28"/>
              <w:spacing w:after="0" w:line="139" w:lineRule="exact"/>
              <w:rPr>
                <w:sz w:val="20"/>
                <w:szCs w:val="20"/>
                <w:color w:val="auto"/>
              </w:rPr>
            </w:pPr>
            <w:r>
              <w:rPr>
                <w:rFonts w:ascii="Times New Roman" w:cs="Times New Roman" w:eastAsia="Times New Roman" w:hAnsi="Times New Roman"/>
                <w:sz w:val="14"/>
                <w:szCs w:val="14"/>
                <w:color w:val="auto"/>
              </w:rPr>
              <w:t>7/1/2027</w:t>
            </w:r>
          </w:p>
        </w:tc>
        <w:tc>
          <w:tcPr>
            <w:tcW w:w="7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15,000</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15,038</w:t>
            </w:r>
          </w:p>
        </w:tc>
        <w:tc>
          <w:tcPr>
            <w:tcW w:w="12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15,350</w:t>
            </w:r>
          </w:p>
        </w:tc>
        <w:tc>
          <w:tcPr>
            <w:tcW w:w="11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(11) (12)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0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Secured</w:t>
            </w:r>
          </w:p>
        </w:tc>
        <w:tc>
          <w:tcPr>
            <w:tcW w:w="120" w:type="dxa"/>
            <w:vAlign w:val="bottom"/>
            <w:tcBorders>
              <w:bottom w:val="single" w:sz="8" w:color="CFF0FC"/>
            </w:tcBorders>
            <w:shd w:val="clear" w:color="auto" w:fill="CFF0FC"/>
          </w:tcPr>
          <w:p>
            <w:pPr>
              <w:spacing w:after="0"/>
              <w:rPr>
                <w:sz w:val="14"/>
                <w:szCs w:val="14"/>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3.50%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0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Total Healthcare Equipment - 3.03%*</w:t>
            </w: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15,038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15,350</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-3146425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-3146425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-2597785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-2597785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-1226185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-1226185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-677545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-677545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-128905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-128905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-8890</wp:posOffset>
            </wp:positionV>
            <wp:extent cx="13716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3"/>
                <w:szCs w:val="13"/>
                <w:color w:val="auto"/>
              </w:rPr>
            </w:pPr>
          </w:p>
        </w:tc>
        <w:tc>
          <w:tcPr>
            <w:tcW w:w="196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4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gridSpan w:val="2"/>
          </w:tcPr>
          <w:p>
            <w:pPr>
              <w:jc w:val="right"/>
              <w:ind w:right="168"/>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9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9"/>
        </w:trPr>
        <w:tc>
          <w:tcPr>
            <w:tcW w:w="194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20" w:type="dxa"/>
            <w:vAlign w:val="bottom"/>
          </w:tcPr>
          <w:p>
            <w:pPr>
              <w:spacing w:after="0"/>
              <w:rPr>
                <w:sz w:val="16"/>
                <w:szCs w:val="16"/>
                <w:color w:val="auto"/>
              </w:rPr>
            </w:pPr>
          </w:p>
        </w:tc>
        <w:tc>
          <w:tcPr>
            <w:tcW w:w="1960" w:type="dxa"/>
            <w:vAlign w:val="bottom"/>
            <w:tcBorders>
              <w:bottom w:val="single" w:sz="8" w:color="auto"/>
            </w:tcBorders>
          </w:tcPr>
          <w:p>
            <w:pPr>
              <w:ind w:left="460"/>
              <w:spacing w:after="0" w:line="189" w:lineRule="exact"/>
              <w:rPr>
                <w:sz w:val="20"/>
                <w:szCs w:val="20"/>
                <w:color w:val="auto"/>
              </w:rPr>
            </w:pPr>
            <w:r>
              <w:rPr>
                <w:rFonts w:ascii="Times New Roman" w:cs="Times New Roman" w:eastAsia="Times New Roman" w:hAnsi="Times New Roman"/>
                <w:sz w:val="14"/>
                <w:szCs w:val="14"/>
                <w:b w:val="1"/>
                <w:bCs w:val="1"/>
                <w:color w:val="auto"/>
              </w:rPr>
              <w:t>Description</w:t>
            </w:r>
            <w:r>
              <w:rPr>
                <w:rFonts w:ascii="Times New Roman" w:cs="Times New Roman" w:eastAsia="Times New Roman" w:hAnsi="Times New Roman"/>
                <w:sz w:val="19"/>
                <w:szCs w:val="19"/>
                <w:b w:val="1"/>
                <w:bCs w:val="1"/>
                <w:color w:val="auto"/>
                <w:vertAlign w:val="superscript"/>
              </w:rPr>
              <w:t>(1)(2)(4)</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Shares</w:t>
            </w:r>
          </w:p>
        </w:tc>
        <w:tc>
          <w:tcPr>
            <w:tcW w:w="2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ind w:right="68"/>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Value ($) </w:t>
            </w:r>
            <w:r>
              <w:rPr>
                <w:rFonts w:ascii="Times New Roman" w:cs="Times New Roman" w:eastAsia="Times New Roman" w:hAnsi="Times New Roman"/>
                <w:sz w:val="19"/>
                <w:szCs w:val="19"/>
                <w:b w:val="1"/>
                <w:bCs w:val="1"/>
                <w:color w:val="auto"/>
                <w:vertAlign w:val="superscript"/>
              </w:rPr>
              <w:t>(3)</w:t>
            </w:r>
          </w:p>
        </w:tc>
        <w:tc>
          <w:tcPr>
            <w:tcW w:w="22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960" w:type="dxa"/>
            <w:vAlign w:val="bottom"/>
            <w:gridSpan w:val="5"/>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 Investments</w:t>
            </w:r>
          </w:p>
        </w:tc>
        <w:tc>
          <w:tcPr>
            <w:tcW w:w="120" w:type="dxa"/>
            <w:vAlign w:val="bottom"/>
            <w:shd w:val="clear" w:color="auto" w:fill="CFF0FC"/>
          </w:tcPr>
          <w:p>
            <w:pPr>
              <w:spacing w:after="0"/>
              <w:rPr>
                <w:sz w:val="12"/>
                <w:szCs w:val="12"/>
                <w:color w:val="auto"/>
              </w:rPr>
            </w:pPr>
          </w:p>
        </w:tc>
        <w:tc>
          <w:tcPr>
            <w:tcW w:w="1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19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Debt Investments</w:t>
            </w:r>
          </w:p>
        </w:tc>
        <w:tc>
          <w:tcPr>
            <w:tcW w:w="1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5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9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66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96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6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Healthcare Technology</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92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EBR Systems, Inc.</w:t>
            </w:r>
          </w:p>
        </w:tc>
        <w:tc>
          <w:tcPr>
            <w:tcW w:w="120" w:type="dxa"/>
            <w:vAlign w:val="bottom"/>
          </w:tcPr>
          <w:p>
            <w:pPr>
              <w:spacing w:after="0"/>
              <w:rPr>
                <w:sz w:val="12"/>
                <w:szCs w:val="12"/>
                <w:color w:val="auto"/>
              </w:rPr>
            </w:pPr>
          </w:p>
        </w:tc>
        <w:tc>
          <w:tcPr>
            <w:tcW w:w="90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20" w:type="dxa"/>
            <w:vAlign w:val="bottom"/>
          </w:tcPr>
          <w:p>
            <w:pPr>
              <w:spacing w:after="0"/>
              <w:rPr>
                <w:sz w:val="12"/>
                <w:szCs w:val="12"/>
                <w:color w:val="auto"/>
              </w:rPr>
            </w:pPr>
          </w:p>
        </w:tc>
        <w:tc>
          <w:tcPr>
            <w:tcW w:w="1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PRIME+4.90%, 8.90%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6/30/2022</w:t>
            </w:r>
          </w:p>
        </w:tc>
        <w:tc>
          <w:tcPr>
            <w:tcW w:w="96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6/15/2027</w:t>
            </w:r>
          </w:p>
        </w:tc>
        <w:tc>
          <w:tcPr>
            <w:tcW w:w="7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40,000</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39,900</w:t>
            </w:r>
          </w:p>
        </w:tc>
        <w:tc>
          <w:tcPr>
            <w:tcW w:w="1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40,067</w:t>
            </w:r>
          </w:p>
        </w:tc>
        <w:tc>
          <w:tcPr>
            <w:tcW w:w="48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w w:val="94"/>
              </w:rPr>
              <w:t>(11)</w:t>
            </w:r>
          </w:p>
        </w:tc>
        <w:tc>
          <w:tcPr>
            <w:tcW w:w="6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(12) (16)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4.50%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192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Mingle Healthcare</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20" w:type="dxa"/>
            <w:vAlign w:val="bottom"/>
            <w:shd w:val="clear" w:color="auto" w:fill="CFF0FC"/>
          </w:tcPr>
          <w:p>
            <w:pPr>
              <w:spacing w:after="0"/>
              <w:rPr>
                <w:sz w:val="12"/>
                <w:szCs w:val="12"/>
                <w:color w:val="auto"/>
              </w:rPr>
            </w:pPr>
          </w:p>
        </w:tc>
        <w:tc>
          <w:tcPr>
            <w:tcW w:w="19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SOFR+9.75%, 12.26%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8/15/2018</w:t>
            </w:r>
          </w:p>
        </w:tc>
        <w:tc>
          <w:tcPr>
            <w:tcW w:w="96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12/15/2026</w:t>
            </w:r>
          </w:p>
        </w:tc>
        <w:tc>
          <w:tcPr>
            <w:tcW w:w="7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4,322</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4,952</w:t>
            </w:r>
          </w:p>
        </w:tc>
        <w:tc>
          <w:tcPr>
            <w:tcW w:w="12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2,609</w:t>
            </w:r>
          </w:p>
        </w:tc>
        <w:tc>
          <w:tcPr>
            <w:tcW w:w="48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w w:val="94"/>
              </w:rPr>
              <w:t>(11)</w:t>
            </w:r>
          </w:p>
        </w:tc>
        <w:tc>
          <w:tcPr>
            <w:tcW w:w="6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(13) (27)</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1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Solutions, Inc.</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10.50%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92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Nalu Medical, Inc.</w:t>
            </w:r>
          </w:p>
        </w:tc>
        <w:tc>
          <w:tcPr>
            <w:tcW w:w="120" w:type="dxa"/>
            <w:vAlign w:val="bottom"/>
          </w:tcPr>
          <w:p>
            <w:pPr>
              <w:spacing w:after="0"/>
              <w:rPr>
                <w:sz w:val="12"/>
                <w:szCs w:val="12"/>
                <w:color w:val="auto"/>
              </w:rPr>
            </w:pPr>
          </w:p>
        </w:tc>
        <w:tc>
          <w:tcPr>
            <w:tcW w:w="90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20" w:type="dxa"/>
            <w:vAlign w:val="bottom"/>
          </w:tcPr>
          <w:p>
            <w:pPr>
              <w:spacing w:after="0"/>
              <w:rPr>
                <w:sz w:val="12"/>
                <w:szCs w:val="12"/>
                <w:color w:val="auto"/>
              </w:rPr>
            </w:pPr>
          </w:p>
        </w:tc>
        <w:tc>
          <w:tcPr>
            <w:tcW w:w="1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PRIME+2.70%, 6.70%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10/12/2022</w:t>
            </w:r>
          </w:p>
        </w:tc>
        <w:tc>
          <w:tcPr>
            <w:tcW w:w="96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10/12/2027</w:t>
            </w:r>
          </w:p>
        </w:tc>
        <w:tc>
          <w:tcPr>
            <w:tcW w:w="7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20,797</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20,884</w:t>
            </w:r>
          </w:p>
        </w:tc>
        <w:tc>
          <w:tcPr>
            <w:tcW w:w="1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21,355</w:t>
            </w:r>
          </w:p>
        </w:tc>
        <w:tc>
          <w:tcPr>
            <w:tcW w:w="1100" w:type="dxa"/>
            <w:vAlign w:val="bottom"/>
            <w:gridSpan w:val="3"/>
          </w:tcPr>
          <w:p>
            <w:pPr>
              <w:ind w:left="240"/>
              <w:spacing w:after="0" w:line="139" w:lineRule="exact"/>
              <w:rPr>
                <w:sz w:val="20"/>
                <w:szCs w:val="20"/>
                <w:color w:val="auto"/>
              </w:rPr>
            </w:pPr>
            <w:r>
              <w:rPr>
                <w:rFonts w:ascii="Times New Roman" w:cs="Times New Roman" w:eastAsia="Times New Roman" w:hAnsi="Times New Roman"/>
                <w:sz w:val="14"/>
                <w:szCs w:val="14"/>
                <w:color w:val="auto"/>
              </w:rPr>
              <w:t>(10) (11) (12)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 PIK, 4.50%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192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Onward Medical, N.V.</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20" w:type="dxa"/>
            <w:vAlign w:val="bottom"/>
            <w:shd w:val="clear" w:color="auto" w:fill="CFF0FC"/>
          </w:tcPr>
          <w:p>
            <w:pPr>
              <w:spacing w:after="0"/>
              <w:rPr>
                <w:sz w:val="12"/>
                <w:szCs w:val="12"/>
                <w:color w:val="auto"/>
              </w:rPr>
            </w:pPr>
          </w:p>
        </w:tc>
        <w:tc>
          <w:tcPr>
            <w:tcW w:w="19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SOFR+6.50%, 10.75%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6/28/2024</w:t>
            </w:r>
          </w:p>
        </w:tc>
        <w:tc>
          <w:tcPr>
            <w:tcW w:w="96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6/15/2028</w:t>
            </w:r>
          </w:p>
        </w:tc>
        <w:tc>
          <w:tcPr>
            <w:tcW w:w="7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17,088</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16,630</w:t>
            </w:r>
          </w:p>
        </w:tc>
        <w:tc>
          <w:tcPr>
            <w:tcW w:w="12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16,630</w:t>
            </w:r>
          </w:p>
        </w:tc>
        <w:tc>
          <w:tcPr>
            <w:tcW w:w="1100" w:type="dxa"/>
            <w:vAlign w:val="bottom"/>
            <w:gridSpan w:val="3"/>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(8) (11) (12)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2.50%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1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92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Route 92 Medical, Inc.</w:t>
            </w:r>
          </w:p>
        </w:tc>
        <w:tc>
          <w:tcPr>
            <w:tcW w:w="120" w:type="dxa"/>
            <w:vAlign w:val="bottom"/>
          </w:tcPr>
          <w:p>
            <w:pPr>
              <w:spacing w:after="0"/>
              <w:rPr>
                <w:sz w:val="12"/>
                <w:szCs w:val="12"/>
                <w:color w:val="auto"/>
              </w:rPr>
            </w:pPr>
          </w:p>
        </w:tc>
        <w:tc>
          <w:tcPr>
            <w:tcW w:w="90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20" w:type="dxa"/>
            <w:vAlign w:val="bottom"/>
          </w:tcPr>
          <w:p>
            <w:pPr>
              <w:spacing w:after="0"/>
              <w:rPr>
                <w:sz w:val="12"/>
                <w:szCs w:val="12"/>
                <w:color w:val="auto"/>
              </w:rPr>
            </w:pPr>
          </w:p>
        </w:tc>
        <w:tc>
          <w:tcPr>
            <w:tcW w:w="1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SOFR+8.48%, 8.98%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8/17/2021</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7/1/2026</w:t>
            </w:r>
          </w:p>
        </w:tc>
        <w:tc>
          <w:tcPr>
            <w:tcW w:w="7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35,000</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34,787</w:t>
            </w:r>
          </w:p>
        </w:tc>
        <w:tc>
          <w:tcPr>
            <w:tcW w:w="1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35,664</w:t>
            </w:r>
          </w:p>
        </w:tc>
        <w:tc>
          <w:tcPr>
            <w:tcW w:w="48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w w:val="94"/>
              </w:rPr>
              <w:t>(11)</w:t>
            </w:r>
          </w:p>
        </w:tc>
        <w:tc>
          <w:tcPr>
            <w:tcW w:w="6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3.95%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192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SetPoint Medical</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20" w:type="dxa"/>
            <w:vAlign w:val="bottom"/>
            <w:shd w:val="clear" w:color="auto" w:fill="CFF0FC"/>
          </w:tcPr>
          <w:p>
            <w:pPr>
              <w:spacing w:after="0"/>
              <w:rPr>
                <w:sz w:val="12"/>
                <w:szCs w:val="12"/>
                <w:color w:val="auto"/>
              </w:rPr>
            </w:pPr>
          </w:p>
        </w:tc>
        <w:tc>
          <w:tcPr>
            <w:tcW w:w="19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SOFR+5.75%, 9.00%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12/29/2022</w:t>
            </w:r>
          </w:p>
        </w:tc>
        <w:tc>
          <w:tcPr>
            <w:tcW w:w="96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12/1/2027</w:t>
            </w:r>
          </w:p>
        </w:tc>
        <w:tc>
          <w:tcPr>
            <w:tcW w:w="7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25,000</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25,180</w:t>
            </w:r>
          </w:p>
        </w:tc>
        <w:tc>
          <w:tcPr>
            <w:tcW w:w="12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25,760</w:t>
            </w:r>
          </w:p>
        </w:tc>
        <w:tc>
          <w:tcPr>
            <w:tcW w:w="48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w w:val="94"/>
              </w:rPr>
              <w:t>(11)</w:t>
            </w:r>
          </w:p>
        </w:tc>
        <w:tc>
          <w:tcPr>
            <w:tcW w:w="6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19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Corporation</w:t>
            </w:r>
          </w:p>
        </w:tc>
        <w:tc>
          <w:tcPr>
            <w:tcW w:w="1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4.00%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Total Healthcare Technology - 28.00%*</w:t>
            </w: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142,333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142,085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040" w:type="dxa"/>
            <w:vAlign w:val="bottom"/>
            <w:gridSpan w:val="2"/>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Human Resource &amp; Employment Services</w:t>
            </w:r>
          </w:p>
        </w:tc>
        <w:tc>
          <w:tcPr>
            <w:tcW w:w="1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192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Snagajob.com, Inc.</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20" w:type="dxa"/>
            <w:vAlign w:val="bottom"/>
            <w:shd w:val="clear" w:color="auto" w:fill="CFF0FC"/>
          </w:tcPr>
          <w:p>
            <w:pPr>
              <w:spacing w:after="0"/>
              <w:rPr>
                <w:sz w:val="12"/>
                <w:szCs w:val="12"/>
                <w:color w:val="auto"/>
              </w:rPr>
            </w:pPr>
          </w:p>
        </w:tc>
        <w:tc>
          <w:tcPr>
            <w:tcW w:w="19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SOFR+8.50% PIK, 9.00%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9/29/2021</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9/1/2025</w:t>
            </w:r>
          </w:p>
        </w:tc>
        <w:tc>
          <w:tcPr>
            <w:tcW w:w="7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42,297</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42,739</w:t>
            </w:r>
          </w:p>
        </w:tc>
        <w:tc>
          <w:tcPr>
            <w:tcW w:w="12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37,325</w:t>
            </w:r>
          </w:p>
        </w:tc>
        <w:tc>
          <w:tcPr>
            <w:tcW w:w="1100" w:type="dxa"/>
            <w:vAlign w:val="bottom"/>
            <w:gridSpan w:val="3"/>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(10) (11) (13)</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1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2.75%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CFF0FC"/>
            </w:tcBorders>
            <w:gridSpan w:val="3"/>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Total Human Resource &amp; Employment Services - 7.36%*</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42,739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37,325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040" w:type="dxa"/>
            <w:vAlign w:val="bottom"/>
            <w:gridSpan w:val="2"/>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Internet &amp; Direct Marketing Retail</w:t>
            </w:r>
          </w:p>
        </w:tc>
        <w:tc>
          <w:tcPr>
            <w:tcW w:w="1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192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Madison Reed, Inc.</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20" w:type="dxa"/>
            <w:vAlign w:val="bottom"/>
            <w:shd w:val="clear" w:color="auto" w:fill="CFF0FC"/>
          </w:tcPr>
          <w:p>
            <w:pPr>
              <w:spacing w:after="0"/>
              <w:rPr>
                <w:sz w:val="12"/>
                <w:szCs w:val="12"/>
                <w:color w:val="auto"/>
              </w:rPr>
            </w:pPr>
          </w:p>
        </w:tc>
        <w:tc>
          <w:tcPr>
            <w:tcW w:w="19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PRIME+4.75%, 11.00%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12/16/2022</w:t>
            </w:r>
          </w:p>
        </w:tc>
        <w:tc>
          <w:tcPr>
            <w:tcW w:w="96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12/16/2026</w:t>
            </w:r>
          </w:p>
        </w:tc>
        <w:tc>
          <w:tcPr>
            <w:tcW w:w="7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16,159</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16,089</w:t>
            </w:r>
          </w:p>
        </w:tc>
        <w:tc>
          <w:tcPr>
            <w:tcW w:w="12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16,210</w:t>
            </w:r>
          </w:p>
        </w:tc>
        <w:tc>
          <w:tcPr>
            <w:tcW w:w="1100" w:type="dxa"/>
            <w:vAlign w:val="bottom"/>
            <w:gridSpan w:val="3"/>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(10) (11) (12)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11.00% cash cap, 3.00%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92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Marley Spoon SE</w:t>
            </w:r>
          </w:p>
        </w:tc>
        <w:tc>
          <w:tcPr>
            <w:tcW w:w="120" w:type="dxa"/>
            <w:vAlign w:val="bottom"/>
          </w:tcPr>
          <w:p>
            <w:pPr>
              <w:spacing w:after="0"/>
              <w:rPr>
                <w:sz w:val="12"/>
                <w:szCs w:val="12"/>
                <w:color w:val="auto"/>
              </w:rPr>
            </w:pPr>
          </w:p>
        </w:tc>
        <w:tc>
          <w:tcPr>
            <w:tcW w:w="90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20" w:type="dxa"/>
            <w:vAlign w:val="bottom"/>
          </w:tcPr>
          <w:p>
            <w:pPr>
              <w:spacing w:after="0"/>
              <w:rPr>
                <w:sz w:val="12"/>
                <w:szCs w:val="12"/>
                <w:color w:val="auto"/>
              </w:rPr>
            </w:pPr>
          </w:p>
        </w:tc>
        <w:tc>
          <w:tcPr>
            <w:tcW w:w="1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SOFR+7.50%, 8.26%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6/30/2021</w:t>
            </w:r>
          </w:p>
        </w:tc>
        <w:tc>
          <w:tcPr>
            <w:tcW w:w="96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6/15/2027</w:t>
            </w:r>
          </w:p>
        </w:tc>
        <w:tc>
          <w:tcPr>
            <w:tcW w:w="7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38,295</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38,258</w:t>
            </w:r>
          </w:p>
        </w:tc>
        <w:tc>
          <w:tcPr>
            <w:tcW w:w="1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36,753</w:t>
            </w:r>
          </w:p>
        </w:tc>
        <w:tc>
          <w:tcPr>
            <w:tcW w:w="1100" w:type="dxa"/>
            <w:vAlign w:val="bottom"/>
            <w:gridSpan w:val="3"/>
          </w:tcPr>
          <w:p>
            <w:pPr>
              <w:ind w:left="240"/>
              <w:spacing w:after="0" w:line="139" w:lineRule="exact"/>
              <w:rPr>
                <w:sz w:val="20"/>
                <w:szCs w:val="20"/>
                <w:color w:val="auto"/>
              </w:rPr>
            </w:pPr>
            <w:r>
              <w:rPr>
                <w:rFonts w:ascii="Times New Roman" w:cs="Times New Roman" w:eastAsia="Times New Roman" w:hAnsi="Times New Roman"/>
                <w:sz w:val="14"/>
                <w:szCs w:val="14"/>
                <w:color w:val="auto"/>
              </w:rPr>
              <w:t>(6) (9) (10)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1.25% PIK, 1.00% ETP</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w w:val="94"/>
              </w:rPr>
              <w:t>(11)</w:t>
            </w: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5020" w:type="dxa"/>
            <w:vAlign w:val="bottom"/>
            <w:gridSpan w:val="6"/>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Total Internet &amp; Direct Marketing Retail - 10.44%*</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54,347</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52,963</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040" w:type="dxa"/>
            <w:vAlign w:val="bottom"/>
            <w:tcBorders>
              <w:top w:val="single" w:sz="8" w:color="CFF0FC"/>
            </w:tcBorders>
            <w:gridSpan w:val="2"/>
          </w:tcPr>
          <w:p>
            <w:pPr>
              <w:spacing w:after="0"/>
              <w:rPr>
                <w:sz w:val="14"/>
                <w:szCs w:val="14"/>
                <w:color w:val="auto"/>
              </w:rPr>
            </w:pPr>
          </w:p>
        </w:tc>
        <w:tc>
          <w:tcPr>
            <w:tcW w:w="360" w:type="dxa"/>
            <w:vAlign w:val="bottom"/>
            <w:tcBorders>
              <w:top w:val="single" w:sz="8" w:color="CFF0FC"/>
            </w:tcBorders>
          </w:tcPr>
          <w:p>
            <w:pPr>
              <w:spacing w:after="0"/>
              <w:rPr>
                <w:sz w:val="14"/>
                <w:szCs w:val="14"/>
                <w:color w:val="auto"/>
              </w:rPr>
            </w:pPr>
          </w:p>
        </w:tc>
        <w:tc>
          <w:tcPr>
            <w:tcW w:w="5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9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66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6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94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Internet Software and Services</w:t>
            </w:r>
          </w:p>
        </w:tc>
        <w:tc>
          <w:tcPr>
            <w:tcW w:w="12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92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Bombora, Inc.</w:t>
            </w:r>
          </w:p>
        </w:tc>
        <w:tc>
          <w:tcPr>
            <w:tcW w:w="120" w:type="dxa"/>
            <w:vAlign w:val="bottom"/>
          </w:tcPr>
          <w:p>
            <w:pPr>
              <w:spacing w:after="0"/>
              <w:rPr>
                <w:sz w:val="12"/>
                <w:szCs w:val="12"/>
                <w:color w:val="auto"/>
              </w:rPr>
            </w:pPr>
          </w:p>
        </w:tc>
        <w:tc>
          <w:tcPr>
            <w:tcW w:w="90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20" w:type="dxa"/>
            <w:vAlign w:val="bottom"/>
          </w:tcPr>
          <w:p>
            <w:pPr>
              <w:spacing w:after="0"/>
              <w:rPr>
                <w:sz w:val="12"/>
                <w:szCs w:val="12"/>
                <w:color w:val="auto"/>
              </w:rPr>
            </w:pPr>
          </w:p>
        </w:tc>
        <w:tc>
          <w:tcPr>
            <w:tcW w:w="1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SOFR+4.75%, 6.75%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12/26/2023</w:t>
            </w:r>
          </w:p>
        </w:tc>
        <w:tc>
          <w:tcPr>
            <w:tcW w:w="96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1/15/2028</w:t>
            </w:r>
          </w:p>
        </w:tc>
        <w:tc>
          <w:tcPr>
            <w:tcW w:w="7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28,674</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28,620</w:t>
            </w:r>
          </w:p>
        </w:tc>
        <w:tc>
          <w:tcPr>
            <w:tcW w:w="1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28,413</w:t>
            </w:r>
          </w:p>
        </w:tc>
        <w:tc>
          <w:tcPr>
            <w:tcW w:w="1100" w:type="dxa"/>
            <w:vAlign w:val="bottom"/>
            <w:gridSpan w:val="3"/>
          </w:tcPr>
          <w:p>
            <w:pPr>
              <w:ind w:left="240"/>
              <w:spacing w:after="0" w:line="139" w:lineRule="exact"/>
              <w:rPr>
                <w:sz w:val="20"/>
                <w:szCs w:val="20"/>
                <w:color w:val="auto"/>
              </w:rPr>
            </w:pPr>
            <w:r>
              <w:rPr>
                <w:rFonts w:ascii="Times New Roman" w:cs="Times New Roman" w:eastAsia="Times New Roman" w:hAnsi="Times New Roman"/>
                <w:sz w:val="14"/>
                <w:szCs w:val="14"/>
                <w:color w:val="auto"/>
              </w:rPr>
              <w:t>(10) (11) (12)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3.25% PIK, 0.96%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192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CarNow, Inc.</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20" w:type="dxa"/>
            <w:vAlign w:val="bottom"/>
            <w:shd w:val="clear" w:color="auto" w:fill="CFF0FC"/>
          </w:tcPr>
          <w:p>
            <w:pPr>
              <w:spacing w:after="0"/>
              <w:rPr>
                <w:sz w:val="12"/>
                <w:szCs w:val="12"/>
                <w:color w:val="auto"/>
              </w:rPr>
            </w:pPr>
          </w:p>
        </w:tc>
        <w:tc>
          <w:tcPr>
            <w:tcW w:w="19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SOFR+7.25%, 11.75%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3/22/2024</w:t>
            </w:r>
          </w:p>
        </w:tc>
        <w:tc>
          <w:tcPr>
            <w:tcW w:w="96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3/22/2029</w:t>
            </w:r>
          </w:p>
        </w:tc>
        <w:tc>
          <w:tcPr>
            <w:tcW w:w="7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20,000</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17,619</w:t>
            </w:r>
          </w:p>
        </w:tc>
        <w:tc>
          <w:tcPr>
            <w:tcW w:w="12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17,698</w:t>
            </w:r>
          </w:p>
        </w:tc>
        <w:tc>
          <w:tcPr>
            <w:tcW w:w="48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w w:val="94"/>
              </w:rPr>
              <w:t>(11)</w:t>
            </w:r>
          </w:p>
        </w:tc>
        <w:tc>
          <w:tcPr>
            <w:tcW w:w="6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1.60%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92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Skillshare, Inc.</w:t>
            </w:r>
          </w:p>
        </w:tc>
        <w:tc>
          <w:tcPr>
            <w:tcW w:w="120" w:type="dxa"/>
            <w:vAlign w:val="bottom"/>
          </w:tcPr>
          <w:p>
            <w:pPr>
              <w:spacing w:after="0"/>
              <w:rPr>
                <w:sz w:val="12"/>
                <w:szCs w:val="12"/>
                <w:color w:val="auto"/>
              </w:rPr>
            </w:pPr>
          </w:p>
        </w:tc>
        <w:tc>
          <w:tcPr>
            <w:tcW w:w="90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20" w:type="dxa"/>
            <w:vAlign w:val="bottom"/>
          </w:tcPr>
          <w:p>
            <w:pPr>
              <w:spacing w:after="0"/>
              <w:rPr>
                <w:sz w:val="12"/>
                <w:szCs w:val="12"/>
                <w:color w:val="auto"/>
              </w:rPr>
            </w:pPr>
          </w:p>
        </w:tc>
        <w:tc>
          <w:tcPr>
            <w:tcW w:w="1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SOFR+6.50%, 10.72%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11/8/2022</w:t>
            </w:r>
          </w:p>
        </w:tc>
        <w:tc>
          <w:tcPr>
            <w:tcW w:w="96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11/8/2026</w:t>
            </w:r>
          </w:p>
        </w:tc>
        <w:tc>
          <w:tcPr>
            <w:tcW w:w="7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30,000</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30,144</w:t>
            </w:r>
          </w:p>
        </w:tc>
        <w:tc>
          <w:tcPr>
            <w:tcW w:w="1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29,502</w:t>
            </w:r>
          </w:p>
        </w:tc>
        <w:tc>
          <w:tcPr>
            <w:tcW w:w="48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w w:val="94"/>
              </w:rPr>
              <w:t>(11)</w:t>
            </w:r>
          </w:p>
        </w:tc>
        <w:tc>
          <w:tcPr>
            <w:tcW w:w="6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3.00%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192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Synack, Inc.</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20" w:type="dxa"/>
            <w:vAlign w:val="bottom"/>
            <w:shd w:val="clear" w:color="auto" w:fill="CFF0FC"/>
          </w:tcPr>
          <w:p>
            <w:pPr>
              <w:spacing w:after="0"/>
              <w:rPr>
                <w:sz w:val="12"/>
                <w:szCs w:val="12"/>
                <w:color w:val="auto"/>
              </w:rPr>
            </w:pPr>
          </w:p>
        </w:tc>
        <w:tc>
          <w:tcPr>
            <w:tcW w:w="19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SOFR+7.00%, 11.07%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12/29/2023</w:t>
            </w:r>
          </w:p>
        </w:tc>
        <w:tc>
          <w:tcPr>
            <w:tcW w:w="96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12/29/2028</w:t>
            </w:r>
          </w:p>
        </w:tc>
        <w:tc>
          <w:tcPr>
            <w:tcW w:w="7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40,000</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39,844</w:t>
            </w:r>
          </w:p>
        </w:tc>
        <w:tc>
          <w:tcPr>
            <w:tcW w:w="12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39,893</w:t>
            </w:r>
          </w:p>
        </w:tc>
        <w:tc>
          <w:tcPr>
            <w:tcW w:w="48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w w:val="94"/>
              </w:rPr>
              <w:t>(11)</w:t>
            </w:r>
          </w:p>
        </w:tc>
        <w:tc>
          <w:tcPr>
            <w:tcW w:w="6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1.00%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92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Zinnia Corporate Holdings,</w:t>
            </w:r>
          </w:p>
        </w:tc>
        <w:tc>
          <w:tcPr>
            <w:tcW w:w="120" w:type="dxa"/>
            <w:vAlign w:val="bottom"/>
          </w:tcPr>
          <w:p>
            <w:pPr>
              <w:spacing w:after="0"/>
              <w:rPr>
                <w:sz w:val="12"/>
                <w:szCs w:val="12"/>
                <w:color w:val="auto"/>
              </w:rPr>
            </w:pPr>
          </w:p>
        </w:tc>
        <w:tc>
          <w:tcPr>
            <w:tcW w:w="90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20" w:type="dxa"/>
            <w:vAlign w:val="bottom"/>
          </w:tcPr>
          <w:p>
            <w:pPr>
              <w:spacing w:after="0"/>
              <w:rPr>
                <w:sz w:val="12"/>
                <w:szCs w:val="12"/>
                <w:color w:val="auto"/>
              </w:rPr>
            </w:pPr>
          </w:p>
        </w:tc>
        <w:tc>
          <w:tcPr>
            <w:tcW w:w="1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SOFR+8.00%, 10.00%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9/23/2024</w:t>
            </w:r>
          </w:p>
        </w:tc>
        <w:tc>
          <w:tcPr>
            <w:tcW w:w="96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9/21/2029</w:t>
            </w:r>
          </w:p>
        </w:tc>
        <w:tc>
          <w:tcPr>
            <w:tcW w:w="7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40,000</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39,202</w:t>
            </w:r>
          </w:p>
        </w:tc>
        <w:tc>
          <w:tcPr>
            <w:tcW w:w="1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39,202</w:t>
            </w:r>
          </w:p>
        </w:tc>
        <w:tc>
          <w:tcPr>
            <w:tcW w:w="1100" w:type="dxa"/>
            <w:vAlign w:val="bottom"/>
            <w:gridSpan w:val="3"/>
          </w:tcPr>
          <w:p>
            <w:pPr>
              <w:ind w:left="24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LLC</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5020" w:type="dxa"/>
            <w:vAlign w:val="bottom"/>
            <w:gridSpan w:val="6"/>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Total Internet Software and Services - 30.49%*</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155,429</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154,708</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040" w:type="dxa"/>
            <w:vAlign w:val="bottom"/>
            <w:tcBorders>
              <w:top w:val="single" w:sz="8" w:color="CFF0FC"/>
            </w:tcBorders>
            <w:gridSpan w:val="2"/>
          </w:tcPr>
          <w:p>
            <w:pPr>
              <w:spacing w:after="0"/>
              <w:rPr>
                <w:sz w:val="14"/>
                <w:szCs w:val="14"/>
                <w:color w:val="auto"/>
              </w:rPr>
            </w:pPr>
          </w:p>
        </w:tc>
        <w:tc>
          <w:tcPr>
            <w:tcW w:w="360" w:type="dxa"/>
            <w:vAlign w:val="bottom"/>
            <w:tcBorders>
              <w:top w:val="single" w:sz="8" w:color="CFF0FC"/>
            </w:tcBorders>
          </w:tcPr>
          <w:p>
            <w:pPr>
              <w:spacing w:after="0"/>
              <w:rPr>
                <w:sz w:val="14"/>
                <w:szCs w:val="14"/>
                <w:color w:val="auto"/>
              </w:rPr>
            </w:pPr>
          </w:p>
        </w:tc>
        <w:tc>
          <w:tcPr>
            <w:tcW w:w="5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9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66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6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94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Property &amp; Casualty Insurance</w:t>
            </w:r>
          </w:p>
        </w:tc>
        <w:tc>
          <w:tcPr>
            <w:tcW w:w="12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92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Kin Insurance, Inc.</w:t>
            </w:r>
          </w:p>
        </w:tc>
        <w:tc>
          <w:tcPr>
            <w:tcW w:w="120" w:type="dxa"/>
            <w:vAlign w:val="bottom"/>
          </w:tcPr>
          <w:p>
            <w:pPr>
              <w:spacing w:after="0"/>
              <w:rPr>
                <w:sz w:val="12"/>
                <w:szCs w:val="12"/>
                <w:color w:val="auto"/>
              </w:rPr>
            </w:pPr>
          </w:p>
        </w:tc>
        <w:tc>
          <w:tcPr>
            <w:tcW w:w="90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20" w:type="dxa"/>
            <w:vAlign w:val="bottom"/>
          </w:tcPr>
          <w:p>
            <w:pPr>
              <w:spacing w:after="0"/>
              <w:rPr>
                <w:sz w:val="12"/>
                <w:szCs w:val="12"/>
                <w:color w:val="auto"/>
              </w:rPr>
            </w:pPr>
          </w:p>
        </w:tc>
        <w:tc>
          <w:tcPr>
            <w:tcW w:w="1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PRIME+6.25%, 12.50%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9/26/2022</w:t>
            </w:r>
          </w:p>
        </w:tc>
        <w:tc>
          <w:tcPr>
            <w:tcW w:w="96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9/15/2026</w:t>
            </w:r>
          </w:p>
        </w:tc>
        <w:tc>
          <w:tcPr>
            <w:tcW w:w="7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75,000</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75,675</w:t>
            </w:r>
          </w:p>
        </w:tc>
        <w:tc>
          <w:tcPr>
            <w:tcW w:w="1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76,125</w:t>
            </w:r>
          </w:p>
        </w:tc>
        <w:tc>
          <w:tcPr>
            <w:tcW w:w="48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w w:val="94"/>
              </w:rPr>
              <w:t>(11)</w:t>
            </w:r>
          </w:p>
        </w:tc>
        <w:tc>
          <w:tcPr>
            <w:tcW w:w="6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3.30% ETP</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5020" w:type="dxa"/>
            <w:vAlign w:val="bottom"/>
            <w:gridSpan w:val="6"/>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Total Property &amp; Casualty Insurance - 15.00%*</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75,675</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76,125</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1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60" w:type="dxa"/>
            <w:vAlign w:val="bottom"/>
            <w:tcBorders>
              <w:top w:val="single" w:sz="8" w:color="CFF0FC"/>
            </w:tcBorders>
          </w:tcPr>
          <w:p>
            <w:pPr>
              <w:spacing w:after="0"/>
              <w:rPr>
                <w:sz w:val="14"/>
                <w:szCs w:val="14"/>
                <w:color w:val="auto"/>
              </w:rPr>
            </w:pPr>
          </w:p>
        </w:tc>
        <w:tc>
          <w:tcPr>
            <w:tcW w:w="5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9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66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6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1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System Software</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92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3PL Central LLC (dba</w:t>
            </w:r>
          </w:p>
        </w:tc>
        <w:tc>
          <w:tcPr>
            <w:tcW w:w="120" w:type="dxa"/>
            <w:vAlign w:val="bottom"/>
          </w:tcPr>
          <w:p>
            <w:pPr>
              <w:spacing w:after="0"/>
              <w:rPr>
                <w:sz w:val="12"/>
                <w:szCs w:val="12"/>
                <w:color w:val="auto"/>
              </w:rPr>
            </w:pPr>
          </w:p>
        </w:tc>
        <w:tc>
          <w:tcPr>
            <w:tcW w:w="90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20" w:type="dxa"/>
            <w:vAlign w:val="bottom"/>
          </w:tcPr>
          <w:p>
            <w:pPr>
              <w:spacing w:after="0"/>
              <w:rPr>
                <w:sz w:val="12"/>
                <w:szCs w:val="12"/>
                <w:color w:val="auto"/>
              </w:rPr>
            </w:pPr>
          </w:p>
        </w:tc>
        <w:tc>
          <w:tcPr>
            <w:tcW w:w="1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SOFR+4.50%, 6.50%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11/9/2022</w:t>
            </w:r>
          </w:p>
        </w:tc>
        <w:tc>
          <w:tcPr>
            <w:tcW w:w="96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11/9/2027</w:t>
            </w:r>
          </w:p>
        </w:tc>
        <w:tc>
          <w:tcPr>
            <w:tcW w:w="7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71,751</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71,741</w:t>
            </w:r>
          </w:p>
        </w:tc>
        <w:tc>
          <w:tcPr>
            <w:tcW w:w="1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69,333</w:t>
            </w:r>
          </w:p>
        </w:tc>
        <w:tc>
          <w:tcPr>
            <w:tcW w:w="1100" w:type="dxa"/>
            <w:vAlign w:val="bottom"/>
            <w:gridSpan w:val="3"/>
          </w:tcPr>
          <w:p>
            <w:pPr>
              <w:ind w:left="240"/>
              <w:spacing w:after="0" w:line="139" w:lineRule="exact"/>
              <w:rPr>
                <w:sz w:val="20"/>
                <w:szCs w:val="20"/>
                <w:color w:val="auto"/>
              </w:rPr>
            </w:pPr>
            <w:r>
              <w:rPr>
                <w:rFonts w:ascii="Times New Roman" w:cs="Times New Roman" w:eastAsia="Times New Roman" w:hAnsi="Times New Roman"/>
                <w:sz w:val="14"/>
                <w:szCs w:val="14"/>
                <w:color w:val="auto"/>
              </w:rPr>
              <w:t>(10) (11) (12)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9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Extensiv)</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2.50% PIK, 2.34%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192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Linxup, LLC</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20" w:type="dxa"/>
            <w:vAlign w:val="bottom"/>
            <w:shd w:val="clear" w:color="auto" w:fill="CFF0FC"/>
          </w:tcPr>
          <w:p>
            <w:pPr>
              <w:spacing w:after="0"/>
              <w:rPr>
                <w:sz w:val="12"/>
                <w:szCs w:val="12"/>
                <w:color w:val="auto"/>
              </w:rPr>
            </w:pPr>
          </w:p>
        </w:tc>
        <w:tc>
          <w:tcPr>
            <w:tcW w:w="19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PRIME+3.25%, 11.75%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11/3/2023</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11/15/2027</w:t>
            </w:r>
          </w:p>
        </w:tc>
        <w:tc>
          <w:tcPr>
            <w:tcW w:w="7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30,000</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29,703</w:t>
            </w:r>
          </w:p>
        </w:tc>
        <w:tc>
          <w:tcPr>
            <w:tcW w:w="12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30,556</w:t>
            </w:r>
          </w:p>
        </w:tc>
        <w:tc>
          <w:tcPr>
            <w:tcW w:w="48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w w:val="94"/>
              </w:rPr>
              <w:t>(11)</w:t>
            </w:r>
          </w:p>
        </w:tc>
        <w:tc>
          <w:tcPr>
            <w:tcW w:w="6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2.25%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92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Dejero Labs Inc.</w:t>
            </w:r>
          </w:p>
        </w:tc>
        <w:tc>
          <w:tcPr>
            <w:tcW w:w="120" w:type="dxa"/>
            <w:vAlign w:val="bottom"/>
          </w:tcPr>
          <w:p>
            <w:pPr>
              <w:spacing w:after="0"/>
              <w:rPr>
                <w:sz w:val="12"/>
                <w:szCs w:val="12"/>
                <w:color w:val="auto"/>
              </w:rPr>
            </w:pPr>
          </w:p>
        </w:tc>
        <w:tc>
          <w:tcPr>
            <w:tcW w:w="9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Second Lien</w:t>
            </w:r>
          </w:p>
        </w:tc>
        <w:tc>
          <w:tcPr>
            <w:tcW w:w="120" w:type="dxa"/>
            <w:vAlign w:val="bottom"/>
          </w:tcPr>
          <w:p>
            <w:pPr>
              <w:spacing w:after="0"/>
              <w:rPr>
                <w:sz w:val="12"/>
                <w:szCs w:val="12"/>
                <w:color w:val="auto"/>
              </w:rPr>
            </w:pPr>
          </w:p>
        </w:tc>
        <w:tc>
          <w:tcPr>
            <w:tcW w:w="1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SOFR+8.00%, 8.50%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12/22/2021</w:t>
            </w:r>
          </w:p>
        </w:tc>
        <w:tc>
          <w:tcPr>
            <w:tcW w:w="96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12/22/2025</w:t>
            </w:r>
          </w:p>
        </w:tc>
        <w:tc>
          <w:tcPr>
            <w:tcW w:w="7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14,390</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14,590</w:t>
            </w:r>
          </w:p>
        </w:tc>
        <w:tc>
          <w:tcPr>
            <w:tcW w:w="1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14,501</w:t>
            </w:r>
          </w:p>
        </w:tc>
        <w:tc>
          <w:tcPr>
            <w:tcW w:w="1100" w:type="dxa"/>
            <w:vAlign w:val="bottom"/>
            <w:gridSpan w:val="3"/>
          </w:tcPr>
          <w:p>
            <w:pPr>
              <w:ind w:left="240"/>
              <w:spacing w:after="0" w:line="139" w:lineRule="exact"/>
              <w:rPr>
                <w:sz w:val="20"/>
                <w:szCs w:val="20"/>
                <w:color w:val="auto"/>
              </w:rPr>
            </w:pPr>
            <w:r>
              <w:rPr>
                <w:rFonts w:ascii="Times New Roman" w:cs="Times New Roman" w:eastAsia="Times New Roman" w:hAnsi="Times New Roman"/>
                <w:sz w:val="14"/>
                <w:szCs w:val="14"/>
                <w:color w:val="auto"/>
              </w:rPr>
              <w:t>(7) (9) (10)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 PIK, 3.00% ETP</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w w:val="94"/>
              </w:rPr>
              <w:t>(11)</w:t>
            </w: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94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Total System Software - 22.55%*</w:t>
            </w:r>
          </w:p>
        </w:tc>
        <w:tc>
          <w:tcPr>
            <w:tcW w:w="120" w:type="dxa"/>
            <w:vAlign w:val="bottom"/>
            <w:shd w:val="clear" w:color="auto" w:fill="CFF0FC"/>
          </w:tcPr>
          <w:p>
            <w:pPr>
              <w:spacing w:after="0"/>
              <w:rPr>
                <w:sz w:val="14"/>
                <w:szCs w:val="14"/>
                <w:color w:val="auto"/>
              </w:rPr>
            </w:pPr>
          </w:p>
        </w:tc>
        <w:tc>
          <w:tcPr>
            <w:tcW w:w="1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116,034</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114,390</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040" w:type="dxa"/>
            <w:vAlign w:val="bottom"/>
            <w:tcBorders>
              <w:top w:val="single" w:sz="8" w:color="CFF0FC"/>
            </w:tcBorders>
            <w:gridSpan w:val="2"/>
          </w:tcPr>
          <w:p>
            <w:pPr>
              <w:spacing w:after="0"/>
              <w:rPr>
                <w:sz w:val="14"/>
                <w:szCs w:val="14"/>
                <w:color w:val="auto"/>
              </w:rPr>
            </w:pPr>
          </w:p>
        </w:tc>
        <w:tc>
          <w:tcPr>
            <w:tcW w:w="360" w:type="dxa"/>
            <w:vAlign w:val="bottom"/>
            <w:tcBorders>
              <w:top w:val="single" w:sz="8" w:color="CFF0FC"/>
            </w:tcBorders>
          </w:tcPr>
          <w:p>
            <w:pPr>
              <w:spacing w:after="0"/>
              <w:rPr>
                <w:sz w:val="14"/>
                <w:szCs w:val="14"/>
                <w:color w:val="auto"/>
              </w:rPr>
            </w:pPr>
          </w:p>
        </w:tc>
        <w:tc>
          <w:tcPr>
            <w:tcW w:w="5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9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66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6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2940" w:type="dxa"/>
            <w:vAlign w:val="bottom"/>
            <w:tcBorders>
              <w:bottom w:val="single" w:sz="8" w:color="CFF0FC"/>
            </w:tcBorders>
            <w:gridSpan w:val="4"/>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Total Debt Investments - 192.73%*</w:t>
            </w:r>
          </w:p>
        </w:tc>
        <w:tc>
          <w:tcPr>
            <w:tcW w:w="120" w:type="dxa"/>
            <w:vAlign w:val="bottom"/>
            <w:tcBorders>
              <w:bottom w:val="single" w:sz="8" w:color="CFF0FC"/>
            </w:tcBorders>
            <w:shd w:val="clear" w:color="auto" w:fill="CFF0FC"/>
          </w:tcPr>
          <w:p>
            <w:pPr>
              <w:spacing w:after="0"/>
              <w:rPr>
                <w:sz w:val="15"/>
                <w:szCs w:val="15"/>
                <w:color w:val="auto"/>
              </w:rPr>
            </w:pPr>
          </w:p>
        </w:tc>
        <w:tc>
          <w:tcPr>
            <w:tcW w:w="19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1,001,304</w:t>
            </w:r>
          </w:p>
        </w:tc>
        <w:tc>
          <w:tcPr>
            <w:tcW w:w="2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977,845</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-4542790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-4542790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-3994150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-3994150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-3119755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-3119755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-1748155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-1748155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-1199515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-1199515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-239395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-239395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gridSpan w:val="2"/>
          </w:tcPr>
          <w:p>
            <w:pPr>
              <w:jc w:val="right"/>
              <w:ind w:right="168"/>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9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9"/>
        </w:trPr>
        <w:tc>
          <w:tcPr>
            <w:tcW w:w="206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0" w:type="dxa"/>
            <w:vAlign w:val="bottom"/>
          </w:tcPr>
          <w:p>
            <w:pPr>
              <w:spacing w:after="0"/>
              <w:rPr>
                <w:sz w:val="16"/>
                <w:szCs w:val="16"/>
                <w:color w:val="auto"/>
              </w:rPr>
            </w:pPr>
          </w:p>
        </w:tc>
        <w:tc>
          <w:tcPr>
            <w:tcW w:w="1880" w:type="dxa"/>
            <w:vAlign w:val="bottom"/>
            <w:tcBorders>
              <w:bottom w:val="single" w:sz="8" w:color="auto"/>
            </w:tcBorders>
          </w:tcPr>
          <w:p>
            <w:pPr>
              <w:ind w:left="420"/>
              <w:spacing w:after="0" w:line="189" w:lineRule="exact"/>
              <w:rPr>
                <w:sz w:val="20"/>
                <w:szCs w:val="20"/>
                <w:color w:val="auto"/>
              </w:rPr>
            </w:pPr>
            <w:r>
              <w:rPr>
                <w:rFonts w:ascii="Times New Roman" w:cs="Times New Roman" w:eastAsia="Times New Roman" w:hAnsi="Times New Roman"/>
                <w:sz w:val="14"/>
                <w:szCs w:val="14"/>
                <w:b w:val="1"/>
                <w:bCs w:val="1"/>
                <w:color w:val="auto"/>
              </w:rPr>
              <w:t>Description</w:t>
            </w:r>
            <w:r>
              <w:rPr>
                <w:rFonts w:ascii="Times New Roman" w:cs="Times New Roman" w:eastAsia="Times New Roman" w:hAnsi="Times New Roman"/>
                <w:sz w:val="19"/>
                <w:szCs w:val="19"/>
                <w:b w:val="1"/>
                <w:bCs w:val="1"/>
                <w:color w:val="auto"/>
                <w:vertAlign w:val="superscript"/>
              </w:rPr>
              <w:t>(1)(2)(4)</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Shares</w:t>
            </w:r>
          </w:p>
        </w:tc>
        <w:tc>
          <w:tcPr>
            <w:tcW w:w="2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ind w:right="68"/>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Value ($) </w:t>
            </w:r>
            <w:r>
              <w:rPr>
                <w:rFonts w:ascii="Times New Roman" w:cs="Times New Roman" w:eastAsia="Times New Roman" w:hAnsi="Times New Roman"/>
                <w:sz w:val="19"/>
                <w:szCs w:val="19"/>
                <w:b w:val="1"/>
                <w:bCs w:val="1"/>
                <w:color w:val="auto"/>
                <w:vertAlign w:val="superscript"/>
              </w:rPr>
              <w:t>(3)</w:t>
            </w:r>
          </w:p>
        </w:tc>
        <w:tc>
          <w:tcPr>
            <w:tcW w:w="22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80" w:type="dxa"/>
            <w:vAlign w:val="bottom"/>
            <w:gridSpan w:val="6"/>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 Investments</w:t>
            </w:r>
          </w:p>
        </w:tc>
        <w:tc>
          <w:tcPr>
            <w:tcW w:w="1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20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66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96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6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Minute Media Inc.</w:t>
            </w:r>
          </w:p>
        </w:tc>
        <w:tc>
          <w:tcPr>
            <w:tcW w:w="12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12/13/2023</w:t>
            </w: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(5) (13)</w:t>
            </w: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20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12/13/2023</w:t>
            </w:r>
          </w:p>
        </w:tc>
        <w:tc>
          <w:tcPr>
            <w:tcW w:w="1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7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100" w:type="dxa"/>
            <w:vAlign w:val="bottom"/>
            <w:tcBorders>
              <w:bottom w:val="single" w:sz="8" w:color="CFF0FC"/>
            </w:tcBorders>
            <w:gridSpan w:val="3"/>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(5) (13)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 Advertising - 0.02%*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Aria Systems, Inc.</w:t>
            </w:r>
          </w:p>
        </w:tc>
        <w:tc>
          <w:tcPr>
            <w:tcW w:w="12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G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7/10/2018</w:t>
            </w: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289,419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FiscalNote, Inc.</w:t>
            </w:r>
          </w:p>
        </w:tc>
        <w:tc>
          <w:tcPr>
            <w:tcW w:w="12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10/19/2020</w:t>
            </w: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230,881</w:t>
            </w:r>
          </w:p>
        </w:tc>
        <w:tc>
          <w:tcPr>
            <w:tcW w:w="2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20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 (19)</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160" w:type="dxa"/>
            <w:vAlign w:val="bottom"/>
            <w:gridSpan w:val="5"/>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Total Application Software - 0.11%*</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0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6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66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6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Healthcare Technology</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4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CareCloud, Inc.</w:t>
            </w:r>
          </w:p>
        </w:tc>
        <w:tc>
          <w:tcPr>
            <w:tcW w:w="120" w:type="dxa"/>
            <w:vAlign w:val="bottom"/>
          </w:tcPr>
          <w:p>
            <w:pPr>
              <w:spacing w:after="0"/>
              <w:rPr>
                <w:sz w:val="12"/>
                <w:szCs w:val="12"/>
                <w:color w:val="auto"/>
              </w:rPr>
            </w:pPr>
          </w:p>
        </w:tc>
        <w:tc>
          <w:tcPr>
            <w:tcW w:w="10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11% Series A Cumulative</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1/8/2020</w:t>
            </w:r>
          </w:p>
        </w:tc>
        <w:tc>
          <w:tcPr>
            <w:tcW w:w="120" w:type="dxa"/>
            <w:vAlign w:val="bottom"/>
          </w:tcPr>
          <w:p>
            <w:pPr>
              <w:spacing w:after="0"/>
              <w:rPr>
                <w:sz w:val="12"/>
                <w:szCs w:val="12"/>
                <w:color w:val="auto"/>
              </w:rPr>
            </w:pPr>
          </w:p>
        </w:tc>
        <w:tc>
          <w:tcPr>
            <w:tcW w:w="8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7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462,064</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12,132</w:t>
            </w:r>
          </w:p>
        </w:tc>
        <w:tc>
          <w:tcPr>
            <w:tcW w:w="1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5,526</w:t>
            </w:r>
          </w:p>
        </w:tc>
        <w:tc>
          <w:tcPr>
            <w:tcW w:w="50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(15) (19)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Redeemable Perpetual</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160" w:type="dxa"/>
            <w:vAlign w:val="bottom"/>
            <w:gridSpan w:val="5"/>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Total Healthcare Technology - 1.09%*</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12,132</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5,526</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160" w:type="dxa"/>
            <w:vAlign w:val="bottom"/>
            <w:tcBorders>
              <w:top w:val="single" w:sz="8" w:color="CFF0FC"/>
            </w:tcBorders>
            <w:gridSpan w:val="2"/>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6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66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6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160" w:type="dxa"/>
            <w:vAlign w:val="bottom"/>
            <w:gridSpan w:val="5"/>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Human Resource &amp; Employment Services</w:t>
            </w: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Snagajob.com, Inc.</w:t>
            </w:r>
          </w:p>
        </w:tc>
        <w:tc>
          <w:tcPr>
            <w:tcW w:w="12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Note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10/26/2023</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12/31/2026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2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20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5040" w:type="dxa"/>
            <w:vAlign w:val="bottom"/>
            <w:gridSpan w:val="6"/>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Total Human Resource &amp; Employment Services - 0.00%*</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160" w:type="dxa"/>
            <w:vAlign w:val="bottom"/>
            <w:tcBorders>
              <w:top w:val="single" w:sz="8" w:color="CFF0FC"/>
            </w:tcBorders>
            <w:gridSpan w:val="2"/>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6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66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6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160" w:type="dxa"/>
            <w:vAlign w:val="bottom"/>
            <w:gridSpan w:val="5"/>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Internet &amp; Direct Marketing Retail</w:t>
            </w: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4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Marley Spoon SE</w:t>
            </w:r>
          </w:p>
        </w:tc>
        <w:tc>
          <w:tcPr>
            <w:tcW w:w="120" w:type="dxa"/>
            <w:vAlign w:val="bottom"/>
          </w:tcPr>
          <w:p>
            <w:pPr>
              <w:spacing w:after="0"/>
              <w:rPr>
                <w:sz w:val="12"/>
                <w:szCs w:val="12"/>
                <w:color w:val="auto"/>
              </w:rPr>
            </w:pPr>
          </w:p>
        </w:tc>
        <w:tc>
          <w:tcPr>
            <w:tcW w:w="10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7/7/2023</w:t>
            </w:r>
          </w:p>
        </w:tc>
        <w:tc>
          <w:tcPr>
            <w:tcW w:w="120" w:type="dxa"/>
            <w:vAlign w:val="bottom"/>
          </w:tcPr>
          <w:p>
            <w:pPr>
              <w:spacing w:after="0"/>
              <w:rPr>
                <w:sz w:val="12"/>
                <w:szCs w:val="12"/>
                <w:color w:val="auto"/>
              </w:rPr>
            </w:pPr>
          </w:p>
        </w:tc>
        <w:tc>
          <w:tcPr>
            <w:tcW w:w="8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7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46,004</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410</w:t>
            </w:r>
          </w:p>
        </w:tc>
        <w:tc>
          <w:tcPr>
            <w:tcW w:w="1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60</w:t>
            </w:r>
          </w:p>
        </w:tc>
        <w:tc>
          <w:tcPr>
            <w:tcW w:w="1100" w:type="dxa"/>
            <w:vAlign w:val="bottom"/>
            <w:gridSpan w:val="3"/>
          </w:tcPr>
          <w:p>
            <w:pPr>
              <w:ind w:left="240"/>
              <w:spacing w:after="0" w:line="139" w:lineRule="exact"/>
              <w:rPr>
                <w:sz w:val="20"/>
                <w:szCs w:val="20"/>
                <w:color w:val="auto"/>
              </w:rPr>
            </w:pPr>
            <w:r>
              <w:rPr>
                <w:rFonts w:ascii="Times New Roman" w:cs="Times New Roman" w:eastAsia="Times New Roman" w:hAnsi="Times New Roman"/>
                <w:sz w:val="14"/>
                <w:szCs w:val="14"/>
                <w:color w:val="auto"/>
              </w:rPr>
              <w:t>(6) (13) (18)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(19)</w:t>
            </w: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5040" w:type="dxa"/>
            <w:vAlign w:val="bottom"/>
            <w:gridSpan w:val="6"/>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Total Internet &amp; Direct Marketing Retail - 0.01%*</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160" w:type="dxa"/>
            <w:vAlign w:val="bottom"/>
            <w:tcBorders>
              <w:top w:val="single" w:sz="8" w:color="CFF0FC"/>
            </w:tcBorders>
            <w:gridSpan w:val="2"/>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6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66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6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160" w:type="dxa"/>
            <w:vAlign w:val="bottom"/>
            <w:gridSpan w:val="5"/>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Technology Hardware, Storage &amp; Peripherals</w:t>
            </w: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4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Quantum Corporation</w:t>
            </w:r>
          </w:p>
        </w:tc>
        <w:tc>
          <w:tcPr>
            <w:tcW w:w="120" w:type="dxa"/>
            <w:vAlign w:val="bottom"/>
          </w:tcPr>
          <w:p>
            <w:pPr>
              <w:spacing w:after="0"/>
              <w:rPr>
                <w:sz w:val="12"/>
                <w:szCs w:val="12"/>
                <w:color w:val="auto"/>
              </w:rPr>
            </w:pPr>
          </w:p>
        </w:tc>
        <w:tc>
          <w:tcPr>
            <w:tcW w:w="10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8/13/2021</w:t>
            </w:r>
          </w:p>
        </w:tc>
        <w:tc>
          <w:tcPr>
            <w:tcW w:w="120" w:type="dxa"/>
            <w:vAlign w:val="bottom"/>
          </w:tcPr>
          <w:p>
            <w:pPr>
              <w:spacing w:after="0"/>
              <w:rPr>
                <w:sz w:val="12"/>
                <w:szCs w:val="12"/>
                <w:color w:val="auto"/>
              </w:rPr>
            </w:pPr>
          </w:p>
        </w:tc>
        <w:tc>
          <w:tcPr>
            <w:tcW w:w="8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7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22,986</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2,607</w:t>
            </w:r>
          </w:p>
        </w:tc>
        <w:tc>
          <w:tcPr>
            <w:tcW w:w="1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80</w:t>
            </w:r>
          </w:p>
        </w:tc>
        <w:tc>
          <w:tcPr>
            <w:tcW w:w="1100" w:type="dxa"/>
            <w:vAlign w:val="bottom"/>
            <w:gridSpan w:val="3"/>
          </w:tcPr>
          <w:p>
            <w:pPr>
              <w:ind w:left="240"/>
              <w:spacing w:after="0" w:line="139" w:lineRule="exact"/>
              <w:rPr>
                <w:sz w:val="20"/>
                <w:szCs w:val="20"/>
                <w:color w:val="auto"/>
              </w:rPr>
            </w:pPr>
            <w:r>
              <w:rPr>
                <w:rFonts w:ascii="Times New Roman" w:cs="Times New Roman" w:eastAsia="Times New Roman" w:hAnsi="Times New Roman"/>
                <w:sz w:val="14"/>
                <w:szCs w:val="14"/>
                <w:color w:val="auto"/>
              </w:rPr>
              <w:t>(9) (13) (15)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(19)</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04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zSpace, Inc.</w:t>
            </w:r>
          </w:p>
        </w:tc>
        <w:tc>
          <w:tcPr>
            <w:tcW w:w="120" w:type="dxa"/>
            <w:vAlign w:val="bottom"/>
            <w:shd w:val="clear" w:color="auto" w:fill="CFF0FC"/>
          </w:tcPr>
          <w:p>
            <w:pPr>
              <w:spacing w:after="0"/>
              <w:rPr>
                <w:sz w:val="12"/>
                <w:szCs w:val="12"/>
                <w:color w:val="auto"/>
              </w:rPr>
            </w:pPr>
          </w:p>
        </w:tc>
        <w:tc>
          <w:tcPr>
            <w:tcW w:w="1000" w:type="dxa"/>
            <w:vAlign w:val="bottom"/>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12/31/2020</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7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6,078,49</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1,119</w:t>
            </w: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(13)</w:t>
            </w:r>
          </w:p>
        </w:tc>
        <w:tc>
          <w:tcPr>
            <w:tcW w:w="6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0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Total Technology Hardware, Storage &amp; Peripherals - 0.02%*</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2160" w:type="dxa"/>
            <w:vAlign w:val="bottom"/>
            <w:tcBorders>
              <w:bottom w:val="single" w:sz="8" w:color="CFF0FC"/>
            </w:tcBorders>
            <w:gridSpan w:val="2"/>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top w:val="single" w:sz="8" w:color="auto"/>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Total Equity Investments - 1.25%*</w:t>
            </w: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18,788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6,351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4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3DNA Corp. (dba</w:t>
            </w:r>
          </w:p>
        </w:tc>
        <w:tc>
          <w:tcPr>
            <w:tcW w:w="120" w:type="dxa"/>
            <w:vAlign w:val="bottom"/>
          </w:tcPr>
          <w:p>
            <w:pPr>
              <w:spacing w:after="0"/>
              <w:rPr>
                <w:sz w:val="12"/>
                <w:szCs w:val="12"/>
                <w:color w:val="auto"/>
              </w:rPr>
            </w:pPr>
          </w:p>
        </w:tc>
        <w:tc>
          <w:tcPr>
            <w:tcW w:w="10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C-1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12/28/2018</w:t>
            </w:r>
          </w:p>
        </w:tc>
        <w:tc>
          <w:tcPr>
            <w:tcW w:w="9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12/28/2028</w:t>
            </w:r>
          </w:p>
        </w:tc>
        <w:tc>
          <w:tcPr>
            <w:tcW w:w="7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273,164</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104</w:t>
            </w:r>
          </w:p>
        </w:tc>
        <w:tc>
          <w:tcPr>
            <w:tcW w:w="200" w:type="dxa"/>
            <w:vAlign w:val="bottom"/>
          </w:tcPr>
          <w:p>
            <w:pPr>
              <w:spacing w:after="0"/>
              <w:rPr>
                <w:sz w:val="12"/>
                <w:szCs w:val="12"/>
                <w:color w:val="auto"/>
              </w:rPr>
            </w:pPr>
          </w:p>
        </w:tc>
        <w:tc>
          <w:tcPr>
            <w:tcW w:w="10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NationBuilder)</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Airship Group, Inc.</w:t>
            </w:r>
          </w:p>
        </w:tc>
        <w:tc>
          <w:tcPr>
            <w:tcW w:w="12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F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6/28/2024</w:t>
            </w:r>
          </w:p>
        </w:tc>
        <w:tc>
          <w:tcPr>
            <w:tcW w:w="9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6/28/2034</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519,313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4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Aria Systems, Inc.</w:t>
            </w:r>
          </w:p>
        </w:tc>
        <w:tc>
          <w:tcPr>
            <w:tcW w:w="120" w:type="dxa"/>
            <w:vAlign w:val="bottom"/>
          </w:tcPr>
          <w:p>
            <w:pPr>
              <w:spacing w:after="0"/>
              <w:rPr>
                <w:sz w:val="12"/>
                <w:szCs w:val="12"/>
                <w:color w:val="auto"/>
              </w:rPr>
            </w:pPr>
          </w:p>
        </w:tc>
        <w:tc>
          <w:tcPr>
            <w:tcW w:w="10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G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6/29/2018</w:t>
            </w:r>
          </w:p>
        </w:tc>
        <w:tc>
          <w:tcPr>
            <w:tcW w:w="9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6/29/2028</w:t>
            </w:r>
          </w:p>
        </w:tc>
        <w:tc>
          <w:tcPr>
            <w:tcW w:w="7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2,387,70</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1,048</w:t>
            </w:r>
          </w:p>
        </w:tc>
        <w:tc>
          <w:tcPr>
            <w:tcW w:w="1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1,133</w:t>
            </w:r>
          </w:p>
        </w:tc>
        <w:tc>
          <w:tcPr>
            <w:tcW w:w="50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Blueshift Labs, Inc.</w:t>
            </w:r>
          </w:p>
        </w:tc>
        <w:tc>
          <w:tcPr>
            <w:tcW w:w="12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12/19/2023</w:t>
            </w: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4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Circadence Corporation</w:t>
            </w:r>
          </w:p>
        </w:tc>
        <w:tc>
          <w:tcPr>
            <w:tcW w:w="120" w:type="dxa"/>
            <w:vAlign w:val="bottom"/>
          </w:tcPr>
          <w:p>
            <w:pPr>
              <w:spacing w:after="0"/>
              <w:rPr>
                <w:sz w:val="12"/>
                <w:szCs w:val="12"/>
                <w:color w:val="auto"/>
              </w:rPr>
            </w:pPr>
          </w:p>
        </w:tc>
        <w:tc>
          <w:tcPr>
            <w:tcW w:w="10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A-6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12/20/2018</w:t>
            </w:r>
          </w:p>
        </w:tc>
        <w:tc>
          <w:tcPr>
            <w:tcW w:w="9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12/20/2028</w:t>
            </w:r>
          </w:p>
        </w:tc>
        <w:tc>
          <w:tcPr>
            <w:tcW w:w="7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1,538,46</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3,630</w:t>
            </w:r>
          </w:p>
        </w:tc>
        <w:tc>
          <w:tcPr>
            <w:tcW w:w="1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229</w:t>
            </w:r>
          </w:p>
        </w:tc>
        <w:tc>
          <w:tcPr>
            <w:tcW w:w="50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A-6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10/31/2019</w:t>
            </w:r>
          </w:p>
        </w:tc>
        <w:tc>
          <w:tcPr>
            <w:tcW w:w="9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10/31/2029</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384,615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12/21/2023</w:t>
            </w: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Dtex Systems, Inc.</w:t>
            </w:r>
          </w:p>
        </w:tc>
        <w:tc>
          <w:tcPr>
            <w:tcW w:w="12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C-Prime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6/1/2018</w:t>
            </w:r>
          </w:p>
        </w:tc>
        <w:tc>
          <w:tcPr>
            <w:tcW w:w="940" w:type="dxa"/>
            <w:vAlign w:val="bottom"/>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6/1/2025</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C-Prime Preferred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7/11/2019</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7/11/2026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833,333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FiscalNote, Inc.</w:t>
            </w:r>
          </w:p>
        </w:tc>
        <w:tc>
          <w:tcPr>
            <w:tcW w:w="12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Earnout</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7/29/2022</w:t>
            </w:r>
          </w:p>
        </w:tc>
        <w:tc>
          <w:tcPr>
            <w:tcW w:w="9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7/29/2027</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(14) (21)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Snap! Mobile, Inc.</w:t>
            </w:r>
          </w:p>
        </w:tc>
        <w:tc>
          <w:tcPr>
            <w:tcW w:w="12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B Preferred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9/30/2024</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9/30/2034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19,140</w:t>
            </w:r>
          </w:p>
        </w:tc>
        <w:tc>
          <w:tcPr>
            <w:tcW w:w="2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20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160" w:type="dxa"/>
            <w:vAlign w:val="bottom"/>
            <w:gridSpan w:val="5"/>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Total Application Software - 0.92%*</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7,159</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4,652</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160" w:type="dxa"/>
            <w:vAlign w:val="bottom"/>
            <w:tcBorders>
              <w:top w:val="single" w:sz="8" w:color="CFF0FC"/>
            </w:tcBorders>
            <w:gridSpan w:val="2"/>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6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66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6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160" w:type="dxa"/>
            <w:vAlign w:val="bottom"/>
            <w:gridSpan w:val="5"/>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Asset Management &amp; Custody Banks</w:t>
            </w: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Betterment Holdings, Inc.</w:t>
            </w:r>
          </w:p>
        </w:tc>
        <w:tc>
          <w:tcPr>
            <w:tcW w:w="12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10/6/2023</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10/6/2033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7,680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20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10/6/2023</w:t>
            </w:r>
          </w:p>
        </w:tc>
        <w:tc>
          <w:tcPr>
            <w:tcW w:w="94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10/6/2033</w:t>
            </w:r>
          </w:p>
        </w:tc>
        <w:tc>
          <w:tcPr>
            <w:tcW w:w="7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9,818</w:t>
            </w:r>
          </w:p>
        </w:tc>
        <w:tc>
          <w:tcPr>
            <w:tcW w:w="2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5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04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Total Asset Management &amp; Custody Banks - 0.03%*</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-5897880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-5897880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-5203825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-5203825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-4560570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-4560570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-4097655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-4097655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-3549015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-3549015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-2914650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-2914650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-2674620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-2674620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-582930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-582930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-128905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-128905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-8890</wp:posOffset>
            </wp:positionV>
            <wp:extent cx="13716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gridSpan w:val="2"/>
          </w:tcPr>
          <w:p>
            <w:pPr>
              <w:jc w:val="right"/>
              <w:ind w:right="168"/>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9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9"/>
        </w:trPr>
        <w:tc>
          <w:tcPr>
            <w:tcW w:w="20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0" w:type="dxa"/>
            <w:vAlign w:val="bottom"/>
          </w:tcPr>
          <w:p>
            <w:pPr>
              <w:spacing w:after="0"/>
              <w:rPr>
                <w:sz w:val="16"/>
                <w:szCs w:val="16"/>
                <w:color w:val="auto"/>
              </w:rPr>
            </w:pPr>
          </w:p>
        </w:tc>
        <w:tc>
          <w:tcPr>
            <w:tcW w:w="1880" w:type="dxa"/>
            <w:vAlign w:val="bottom"/>
            <w:tcBorders>
              <w:bottom w:val="single" w:sz="8" w:color="auto"/>
            </w:tcBorders>
          </w:tcPr>
          <w:p>
            <w:pPr>
              <w:ind w:left="420"/>
              <w:spacing w:after="0" w:line="189" w:lineRule="exact"/>
              <w:rPr>
                <w:sz w:val="20"/>
                <w:szCs w:val="20"/>
                <w:color w:val="auto"/>
              </w:rPr>
            </w:pPr>
            <w:r>
              <w:rPr>
                <w:rFonts w:ascii="Times New Roman" w:cs="Times New Roman" w:eastAsia="Times New Roman" w:hAnsi="Times New Roman"/>
                <w:sz w:val="14"/>
                <w:szCs w:val="14"/>
                <w:b w:val="1"/>
                <w:bCs w:val="1"/>
                <w:color w:val="auto"/>
              </w:rPr>
              <w:t>Description</w:t>
            </w:r>
            <w:r>
              <w:rPr>
                <w:rFonts w:ascii="Times New Roman" w:cs="Times New Roman" w:eastAsia="Times New Roman" w:hAnsi="Times New Roman"/>
                <w:sz w:val="19"/>
                <w:szCs w:val="19"/>
                <w:b w:val="1"/>
                <w:bCs w:val="1"/>
                <w:color w:val="auto"/>
                <w:vertAlign w:val="superscript"/>
              </w:rPr>
              <w:t>(1)(2)(4)</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Shares</w:t>
            </w:r>
          </w:p>
        </w:tc>
        <w:tc>
          <w:tcPr>
            <w:tcW w:w="2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ind w:right="68"/>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Value ($) </w:t>
            </w:r>
            <w:r>
              <w:rPr>
                <w:rFonts w:ascii="Times New Roman" w:cs="Times New Roman" w:eastAsia="Times New Roman" w:hAnsi="Times New Roman"/>
                <w:sz w:val="19"/>
                <w:szCs w:val="19"/>
                <w:b w:val="1"/>
                <w:bCs w:val="1"/>
                <w:color w:val="auto"/>
                <w:vertAlign w:val="superscript"/>
              </w:rPr>
              <w:t>(3)</w:t>
            </w:r>
          </w:p>
        </w:tc>
        <w:tc>
          <w:tcPr>
            <w:tcW w:w="22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80" w:type="dxa"/>
            <w:vAlign w:val="bottom"/>
            <w:gridSpan w:val="6"/>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 Investments</w:t>
            </w:r>
          </w:p>
        </w:tc>
        <w:tc>
          <w:tcPr>
            <w:tcW w:w="1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21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40" w:type="dxa"/>
            <w:vAlign w:val="bottom"/>
            <w:tcBorders>
              <w:top w:val="single" w:sz="8" w:color="auto"/>
            </w:tcBorders>
          </w:tcPr>
          <w:p>
            <w:pPr>
              <w:spacing w:after="0"/>
              <w:rPr>
                <w:sz w:val="15"/>
                <w:szCs w:val="15"/>
                <w:color w:val="auto"/>
              </w:rPr>
            </w:pPr>
          </w:p>
        </w:tc>
        <w:tc>
          <w:tcPr>
            <w:tcW w:w="6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66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96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6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Biotechnology</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Mustang Bio, Inc.</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3/4/2022</w:t>
            </w:r>
          </w:p>
        </w:tc>
        <w:tc>
          <w:tcPr>
            <w:tcW w:w="9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3/4/2032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49,869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16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TRACON Pharmaceuticals,</w:t>
            </w:r>
          </w:p>
        </w:tc>
        <w:tc>
          <w:tcPr>
            <w:tcW w:w="1000" w:type="dxa"/>
            <w:vAlign w:val="bottom"/>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9/2/2022</w:t>
            </w:r>
          </w:p>
        </w:tc>
        <w:tc>
          <w:tcPr>
            <w:tcW w:w="940" w:type="dxa"/>
            <w:vAlign w:val="bottom"/>
            <w:gridSpan w:val="2"/>
            <w:shd w:val="clear" w:color="auto" w:fill="CFF0FC"/>
          </w:tcPr>
          <w:p>
            <w:pPr>
              <w:jc w:val="center"/>
              <w:ind w:left="28"/>
              <w:spacing w:after="0" w:line="139" w:lineRule="exact"/>
              <w:rPr>
                <w:sz w:val="20"/>
                <w:szCs w:val="20"/>
                <w:color w:val="auto"/>
              </w:rPr>
            </w:pPr>
            <w:r>
              <w:rPr>
                <w:rFonts w:ascii="Times New Roman" w:cs="Times New Roman" w:eastAsia="Times New Roman" w:hAnsi="Times New Roman"/>
                <w:sz w:val="14"/>
                <w:szCs w:val="14"/>
                <w:color w:val="auto"/>
              </w:rPr>
              <w:t>9/2/2032</w:t>
            </w:r>
          </w:p>
        </w:tc>
        <w:tc>
          <w:tcPr>
            <w:tcW w:w="7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7,538</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226</w:t>
            </w: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(13)</w:t>
            </w:r>
          </w:p>
        </w:tc>
        <w:tc>
          <w:tcPr>
            <w:tcW w:w="6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16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Inc.</w:t>
            </w:r>
          </w:p>
        </w:tc>
        <w:tc>
          <w:tcPr>
            <w:tcW w:w="24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 Biotechnology - 0.00%*</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Computer &amp; Electronics Retail</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216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Massdrop, Inc.</w:t>
            </w:r>
          </w:p>
        </w:tc>
        <w:tc>
          <w:tcPr>
            <w:tcW w:w="10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B Preferred Stock</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7/22/2019</w:t>
            </w:r>
          </w:p>
        </w:tc>
        <w:tc>
          <w:tcPr>
            <w:tcW w:w="94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7/22/2029</w:t>
            </w:r>
          </w:p>
        </w:tc>
        <w:tc>
          <w:tcPr>
            <w:tcW w:w="7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848,093</w:t>
            </w:r>
          </w:p>
        </w:tc>
        <w:tc>
          <w:tcPr>
            <w:tcW w:w="2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Total Computer &amp; Electronics Retail - 0.00%*</w:t>
            </w: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040" w:type="dxa"/>
            <w:vAlign w:val="bottom"/>
            <w:shd w:val="clear" w:color="auto" w:fill="CFF0FC"/>
          </w:tcPr>
          <w:p>
            <w:pPr>
              <w:spacing w:after="0"/>
              <w:rPr>
                <w:sz w:val="14"/>
                <w:szCs w:val="14"/>
                <w:color w:val="auto"/>
              </w:rPr>
            </w:pPr>
          </w:p>
        </w:tc>
        <w:tc>
          <w:tcPr>
            <w:tcW w:w="360" w:type="dxa"/>
            <w:vAlign w:val="bottom"/>
            <w:gridSpan w:val="2"/>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Data Processing &amp; Outsourced Services</w:t>
            </w: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Elevate Services, Inc.</w:t>
            </w:r>
          </w:p>
        </w:tc>
        <w:tc>
          <w:tcPr>
            <w:tcW w:w="1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C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7/10/2023</w:t>
            </w:r>
          </w:p>
        </w:tc>
        <w:tc>
          <w:tcPr>
            <w:tcW w:w="9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7/10/2033</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248,997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C Preferred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7/17/2024</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7/17/2034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74,700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Interactions Corporation</w:t>
            </w:r>
          </w:p>
        </w:tc>
        <w:tc>
          <w:tcPr>
            <w:tcW w:w="1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6/24/2022</w:t>
            </w:r>
          </w:p>
        </w:tc>
        <w:tc>
          <w:tcPr>
            <w:tcW w:w="9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6/24/2032</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189,408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16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Predactiv, Inc. (fka Sharethis,</w:t>
            </w:r>
          </w:p>
        </w:tc>
        <w:tc>
          <w:tcPr>
            <w:tcW w:w="10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D-3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12/3/2018</w:t>
            </w:r>
          </w:p>
        </w:tc>
        <w:tc>
          <w:tcPr>
            <w:tcW w:w="9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12/3/2028</w:t>
            </w:r>
          </w:p>
        </w:tc>
        <w:tc>
          <w:tcPr>
            <w:tcW w:w="7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647,615</w:t>
            </w:r>
          </w:p>
        </w:tc>
        <w:tc>
          <w:tcPr>
            <w:tcW w:w="11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2,162</w:t>
            </w:r>
          </w:p>
        </w:tc>
        <w:tc>
          <w:tcPr>
            <w:tcW w:w="12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132</w:t>
            </w:r>
          </w:p>
        </w:tc>
        <w:tc>
          <w:tcPr>
            <w:tcW w:w="50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Inc.)</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5040" w:type="dxa"/>
            <w:vAlign w:val="bottom"/>
            <w:gridSpan w:val="6"/>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Total Data Processing &amp; Outsourced Services - 0.14%*</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040" w:type="dxa"/>
            <w:vAlign w:val="bottom"/>
            <w:tcBorders>
              <w:top w:val="single" w:sz="8" w:color="CFF0FC"/>
            </w:tcBorders>
          </w:tcPr>
          <w:p>
            <w:pPr>
              <w:spacing w:after="0"/>
              <w:rPr>
                <w:sz w:val="14"/>
                <w:szCs w:val="14"/>
                <w:color w:val="auto"/>
              </w:rPr>
            </w:pPr>
          </w:p>
        </w:tc>
        <w:tc>
          <w:tcPr>
            <w:tcW w:w="360" w:type="dxa"/>
            <w:vAlign w:val="bottom"/>
            <w:tcBorders>
              <w:top w:val="single" w:sz="8" w:color="CFF0FC"/>
            </w:tcBorders>
            <w:gridSpan w:val="2"/>
          </w:tcPr>
          <w:p>
            <w:pPr>
              <w:spacing w:after="0"/>
              <w:rPr>
                <w:sz w:val="14"/>
                <w:szCs w:val="14"/>
                <w:color w:val="auto"/>
              </w:rPr>
            </w:pPr>
          </w:p>
        </w:tc>
        <w:tc>
          <w:tcPr>
            <w:tcW w:w="6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66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6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160" w:type="dxa"/>
            <w:vAlign w:val="bottom"/>
            <w:gridSpan w:val="5"/>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Electronic Equipment &amp; Instruments</w:t>
            </w: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Brivo, Inc.</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A-2 Preferred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10/20/2022</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10/20/2032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216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Epic IO Technologies, Inc.</w:t>
            </w:r>
          </w:p>
        </w:tc>
        <w:tc>
          <w:tcPr>
            <w:tcW w:w="10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12/17/2021</w:t>
            </w:r>
          </w:p>
        </w:tc>
        <w:tc>
          <w:tcPr>
            <w:tcW w:w="94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12/17/2028</w:t>
            </w: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2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5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Total Electronic Equipment &amp; Instruments - 0.10%*</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Healthcare Equipment</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Moximed, Inc.</w:t>
            </w:r>
          </w:p>
        </w:tc>
        <w:tc>
          <w:tcPr>
            <w:tcW w:w="1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C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6/24/2022</w:t>
            </w:r>
          </w:p>
        </w:tc>
        <w:tc>
          <w:tcPr>
            <w:tcW w:w="9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6/24/2032</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214,285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Revelle Aesthetics, Inc.</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A-2 Preferred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3/30/2022</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3/30/2032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115,591</w:t>
            </w:r>
          </w:p>
        </w:tc>
        <w:tc>
          <w:tcPr>
            <w:tcW w:w="2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0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160" w:type="dxa"/>
            <w:vAlign w:val="bottom"/>
            <w:gridSpan w:val="5"/>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Total Healthcare Equipment - 0.01%*</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0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6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66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6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Healthcare Technology</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Allurion Technologies, Inc.</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3/30/2021</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3/30/2031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132,979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 (28)</w:t>
            </w: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6/14/2022</w:t>
            </w:r>
          </w:p>
        </w:tc>
        <w:tc>
          <w:tcPr>
            <w:tcW w:w="9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3/30/2031</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46,256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(14) (28)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9/15/2022</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9/15/2032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46,256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 (28)</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Earnout</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8/2/2023</w:t>
            </w:r>
          </w:p>
        </w:tc>
        <w:tc>
          <w:tcPr>
            <w:tcW w:w="940" w:type="dxa"/>
            <w:vAlign w:val="bottom"/>
            <w:gridSpan w:val="2"/>
            <w:shd w:val="clear" w:color="auto" w:fill="CFF0FC"/>
          </w:tcPr>
          <w:p>
            <w:pPr>
              <w:jc w:val="center"/>
              <w:ind w:left="28"/>
              <w:spacing w:after="0" w:line="139" w:lineRule="exact"/>
              <w:rPr>
                <w:sz w:val="20"/>
                <w:szCs w:val="20"/>
                <w:color w:val="auto"/>
              </w:rPr>
            </w:pPr>
            <w:r>
              <w:rPr>
                <w:rFonts w:ascii="Times New Roman" w:cs="Times New Roman" w:eastAsia="Times New Roman" w:hAnsi="Times New Roman"/>
                <w:sz w:val="14"/>
                <w:szCs w:val="14"/>
                <w:color w:val="auto"/>
              </w:rPr>
              <w:t>8/1/2028</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N/A</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w:t>
            </w:r>
          </w:p>
        </w:tc>
        <w:tc>
          <w:tcPr>
            <w:tcW w:w="5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(13)</w:t>
            </w:r>
          </w:p>
        </w:tc>
        <w:tc>
          <w:tcPr>
            <w:tcW w:w="6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(14) (21)</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(28)</w:t>
            </w:r>
          </w:p>
        </w:tc>
        <w:tc>
          <w:tcPr>
            <w:tcW w:w="6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EBR Systems, Inc.</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6/30/2022</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6/30/2032</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(16) (21)</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16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Mingle Healthcare Solutions,</w:t>
            </w:r>
          </w:p>
        </w:tc>
        <w:tc>
          <w:tcPr>
            <w:tcW w:w="1000" w:type="dxa"/>
            <w:vAlign w:val="bottom"/>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CC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8/15/2018</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8/15/2028</w:t>
            </w:r>
          </w:p>
        </w:tc>
        <w:tc>
          <w:tcPr>
            <w:tcW w:w="7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1,770,97</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492</w:t>
            </w: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(13)</w:t>
            </w:r>
          </w:p>
        </w:tc>
        <w:tc>
          <w:tcPr>
            <w:tcW w:w="6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Inc.</w:t>
            </w: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Nalu Medical, Inc.</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D-2 Preferred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10/12/2022</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10/12/2032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91,717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16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Onward Medical, N.V.</w:t>
            </w:r>
          </w:p>
        </w:tc>
        <w:tc>
          <w:tcPr>
            <w:tcW w:w="1000" w:type="dxa"/>
            <w:vAlign w:val="bottom"/>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6/28/2024</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9/26/2034</w:t>
            </w:r>
          </w:p>
        </w:tc>
        <w:tc>
          <w:tcPr>
            <w:tcW w:w="7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165,338</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340</w:t>
            </w:r>
          </w:p>
        </w:tc>
        <w:tc>
          <w:tcPr>
            <w:tcW w:w="12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376</w:t>
            </w:r>
          </w:p>
        </w:tc>
        <w:tc>
          <w:tcPr>
            <w:tcW w:w="1100" w:type="dxa"/>
            <w:vAlign w:val="bottom"/>
            <w:gridSpan w:val="3"/>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(8) (13) (17)</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(22)</w:t>
            </w:r>
          </w:p>
        </w:tc>
        <w:tc>
          <w:tcPr>
            <w:tcW w:w="6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Route 92 Medical, Inc.</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8/17/2021</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8/17/2031</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SetPoint Medical Corporation</w:t>
            </w:r>
          </w:p>
        </w:tc>
        <w:tc>
          <w:tcPr>
            <w:tcW w:w="1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B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6/29/2021</w:t>
            </w:r>
          </w:p>
        </w:tc>
        <w:tc>
          <w:tcPr>
            <w:tcW w:w="9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6/29/2031</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B Preferred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12/29/2022</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12/29/2032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216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VERO Biotech LLC</w:t>
            </w:r>
          </w:p>
        </w:tc>
        <w:tc>
          <w:tcPr>
            <w:tcW w:w="10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12/29/2020</w:t>
            </w:r>
          </w:p>
        </w:tc>
        <w:tc>
          <w:tcPr>
            <w:tcW w:w="94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12/29/2025</w:t>
            </w: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2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5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Total Healthcare Technology - 0.50%*</w:t>
            </w: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3,477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040" w:type="dxa"/>
            <w:vAlign w:val="bottom"/>
            <w:shd w:val="clear" w:color="auto" w:fill="CFF0FC"/>
          </w:tcPr>
          <w:p>
            <w:pPr>
              <w:spacing w:after="0"/>
              <w:rPr>
                <w:sz w:val="14"/>
                <w:szCs w:val="14"/>
                <w:color w:val="auto"/>
              </w:rPr>
            </w:pPr>
          </w:p>
        </w:tc>
        <w:tc>
          <w:tcPr>
            <w:tcW w:w="360" w:type="dxa"/>
            <w:vAlign w:val="bottom"/>
            <w:gridSpan w:val="2"/>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Human Resource &amp; Employment Services</w:t>
            </w: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CloudPay, Inc.</w:t>
            </w:r>
          </w:p>
        </w:tc>
        <w:tc>
          <w:tcPr>
            <w:tcW w:w="1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B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6/30/2020</w:t>
            </w:r>
          </w:p>
        </w:tc>
        <w:tc>
          <w:tcPr>
            <w:tcW w:w="9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6/30/2030</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11,273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11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(5) (9) (13)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D Preferred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8/17/2021</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8/17/2031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(5) (9) (13)</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D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9/26/2022</w:t>
            </w:r>
          </w:p>
        </w:tc>
        <w:tc>
          <w:tcPr>
            <w:tcW w:w="9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9/26/2032</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1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(5) (9) (13)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Snagajob.com, Inc.</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B-1 Preferred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9/29/2021</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9/29/2031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763,269</w:t>
            </w:r>
          </w:p>
        </w:tc>
        <w:tc>
          <w:tcPr>
            <w:tcW w:w="2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20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5040" w:type="dxa"/>
            <w:vAlign w:val="bottom"/>
            <w:tcBorders>
              <w:bottom w:val="single" w:sz="8" w:color="CFF0FC"/>
            </w:tcBorders>
            <w:gridSpan w:val="6"/>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Total Human Resource &amp; Employment Services - 0.30%*</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20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2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-5391150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-5391150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-4928870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-4928870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-3925570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-3925570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-3471545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-3471545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-2776855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-2776855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-925195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-925195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20" w:type="dxa"/>
            <w:vAlign w:val="bottom"/>
          </w:tcPr>
          <w:p>
            <w:pPr>
              <w:spacing w:after="0"/>
              <w:rPr>
                <w:sz w:val="13"/>
                <w:szCs w:val="13"/>
                <w:color w:val="auto"/>
              </w:rPr>
            </w:pPr>
          </w:p>
        </w:tc>
        <w:tc>
          <w:tcPr>
            <w:tcW w:w="1560" w:type="dxa"/>
            <w:vAlign w:val="bottom"/>
            <w:vMerge w:val="restart"/>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gridSpan w:val="2"/>
          </w:tcPr>
          <w:p>
            <w:pPr>
              <w:jc w:val="right"/>
              <w:ind w:right="168"/>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9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48"/>
              <w:spacing w:after="0" w:line="189" w:lineRule="exact"/>
              <w:rPr>
                <w:sz w:val="20"/>
                <w:szCs w:val="20"/>
                <w:color w:val="auto"/>
              </w:rPr>
            </w:pPr>
            <w:r>
              <w:rPr>
                <w:rFonts w:ascii="Times New Roman" w:cs="Times New Roman" w:eastAsia="Times New Roman" w:hAnsi="Times New Roman"/>
                <w:sz w:val="14"/>
                <w:szCs w:val="14"/>
                <w:b w:val="1"/>
                <w:bCs w:val="1"/>
                <w:color w:val="auto"/>
                <w:w w:val="91"/>
              </w:rPr>
              <w:t>Description</w:t>
            </w:r>
            <w:r>
              <w:rPr>
                <w:rFonts w:ascii="Times New Roman" w:cs="Times New Roman" w:eastAsia="Times New Roman" w:hAnsi="Times New Roman"/>
                <w:sz w:val="19"/>
                <w:szCs w:val="19"/>
                <w:b w:val="1"/>
                <w:bCs w:val="1"/>
                <w:color w:val="auto"/>
                <w:w w:val="91"/>
                <w:vertAlign w:val="superscript"/>
              </w:rPr>
              <w:t>(1)(2)(4)</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Shares</w:t>
            </w:r>
          </w:p>
        </w:tc>
        <w:tc>
          <w:tcPr>
            <w:tcW w:w="2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ind w:right="68"/>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Value ($) </w:t>
            </w:r>
            <w:r>
              <w:rPr>
                <w:rFonts w:ascii="Times New Roman" w:cs="Times New Roman" w:eastAsia="Times New Roman" w:hAnsi="Times New Roman"/>
                <w:sz w:val="19"/>
                <w:szCs w:val="19"/>
                <w:b w:val="1"/>
                <w:bCs w:val="1"/>
                <w:color w:val="auto"/>
                <w:vertAlign w:val="superscript"/>
              </w:rPr>
              <w:t>(3)</w:t>
            </w:r>
          </w:p>
        </w:tc>
        <w:tc>
          <w:tcPr>
            <w:tcW w:w="22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3160" w:type="dxa"/>
            <w:vAlign w:val="bottom"/>
            <w:gridSpan w:val="5"/>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 Investments</w:t>
            </w:r>
          </w:p>
        </w:tc>
        <w:tc>
          <w:tcPr>
            <w:tcW w:w="32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21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40" w:type="dxa"/>
            <w:vAlign w:val="bottom"/>
            <w:tcBorders>
              <w:top w:val="single" w:sz="8" w:color="auto"/>
            </w:tcBorders>
          </w:tcPr>
          <w:p>
            <w:pPr>
              <w:spacing w:after="0"/>
              <w:rPr>
                <w:sz w:val="15"/>
                <w:szCs w:val="15"/>
                <w:color w:val="auto"/>
              </w:rPr>
            </w:pPr>
          </w:p>
        </w:tc>
        <w:tc>
          <w:tcPr>
            <w:tcW w:w="6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15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66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96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160" w:type="dxa"/>
            <w:vAlign w:val="bottom"/>
            <w:gridSpan w:val="5"/>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Internet &amp; Direct Marketing Retail</w:t>
            </w:r>
          </w:p>
        </w:tc>
        <w:tc>
          <w:tcPr>
            <w:tcW w:w="32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Madison Reed, Inc.</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12/16/2022</w:t>
            </w: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20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 (21)</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5040" w:type="dxa"/>
            <w:vAlign w:val="bottom"/>
            <w:gridSpan w:val="7"/>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Total Internet &amp; Direct Marketing Retail - 0.03%*</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0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6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20" w:type="dxa"/>
            <w:vAlign w:val="bottom"/>
            <w:tcBorders>
              <w:top w:val="single" w:sz="8" w:color="CFF0FC"/>
            </w:tcBorders>
          </w:tcPr>
          <w:p>
            <w:pPr>
              <w:spacing w:after="0"/>
              <w:rPr>
                <w:sz w:val="14"/>
                <w:szCs w:val="14"/>
                <w:color w:val="auto"/>
              </w:rPr>
            </w:pPr>
          </w:p>
        </w:tc>
        <w:tc>
          <w:tcPr>
            <w:tcW w:w="15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66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Internet Software and Services</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Bombora, Inc.</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3/31/2021</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3/31/2031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121,581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12/26/2023</w:t>
            </w:r>
          </w:p>
        </w:tc>
        <w:tc>
          <w:tcPr>
            <w:tcW w:w="9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12/26/2033</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48,632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1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CarNow, Inc.</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3/22/2024</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3/22/2034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Fidelis Cybersecurity, Inc.</w:t>
            </w:r>
          </w:p>
        </w:tc>
        <w:tc>
          <w:tcPr>
            <w:tcW w:w="1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3/25/2022</w:t>
            </w:r>
          </w:p>
        </w:tc>
        <w:tc>
          <w:tcPr>
            <w:tcW w:w="9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3/25/2032</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 (20)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INRIX, Inc.</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7/26/2019</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7/26/2029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150,804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16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Longtail Ad Solutions, Inc.</w:t>
            </w:r>
          </w:p>
        </w:tc>
        <w:tc>
          <w:tcPr>
            <w:tcW w:w="1000" w:type="dxa"/>
            <w:vAlign w:val="bottom"/>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12/12/2019</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12/12/2029</w:t>
            </w:r>
          </w:p>
        </w:tc>
        <w:tc>
          <w:tcPr>
            <w:tcW w:w="7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387,596</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47</w:t>
            </w:r>
          </w:p>
        </w:tc>
        <w:tc>
          <w:tcPr>
            <w:tcW w:w="12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315</w:t>
            </w:r>
          </w:p>
        </w:tc>
        <w:tc>
          <w:tcPr>
            <w:tcW w:w="11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(dba JW Player)</w:t>
            </w: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Skillshare, Inc.</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11/8/2022</w:t>
            </w: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 (21)</w:t>
            </w: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216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Synack, Inc.</w:t>
            </w:r>
          </w:p>
        </w:tc>
        <w:tc>
          <w:tcPr>
            <w:tcW w:w="10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12/29/2023</w:t>
            </w:r>
          </w:p>
        </w:tc>
        <w:tc>
          <w:tcPr>
            <w:tcW w:w="94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6/30/2032</w:t>
            </w:r>
          </w:p>
        </w:tc>
        <w:tc>
          <w:tcPr>
            <w:tcW w:w="7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116,908</w:t>
            </w:r>
          </w:p>
        </w:tc>
        <w:tc>
          <w:tcPr>
            <w:tcW w:w="2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1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Total Internet Software and Services - 0.82%*</w:t>
            </w: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4,150</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040" w:type="dxa"/>
            <w:vAlign w:val="bottom"/>
            <w:shd w:val="clear" w:color="auto" w:fill="CFF0FC"/>
          </w:tcPr>
          <w:p>
            <w:pPr>
              <w:spacing w:after="0"/>
              <w:rPr>
                <w:sz w:val="14"/>
                <w:szCs w:val="14"/>
                <w:color w:val="auto"/>
              </w:rPr>
            </w:pPr>
          </w:p>
        </w:tc>
        <w:tc>
          <w:tcPr>
            <w:tcW w:w="360" w:type="dxa"/>
            <w:vAlign w:val="bottom"/>
            <w:gridSpan w:val="2"/>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Property &amp; Casualty Insurance</w:t>
            </w:r>
          </w:p>
        </w:tc>
        <w:tc>
          <w:tcPr>
            <w:tcW w:w="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Kin Insurance, Inc.</w:t>
            </w:r>
          </w:p>
        </w:tc>
        <w:tc>
          <w:tcPr>
            <w:tcW w:w="1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D-3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9/26/2022</w:t>
            </w:r>
          </w:p>
        </w:tc>
        <w:tc>
          <w:tcPr>
            <w:tcW w:w="9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9/26/2032</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41,576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1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Series D-3 Preferred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5/5/2023</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9/26/2032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11,549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20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D-3 Preferred Stock</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8/25/2023</w:t>
            </w:r>
          </w:p>
        </w:tc>
        <w:tc>
          <w:tcPr>
            <w:tcW w:w="94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9/26/2032</w:t>
            </w:r>
          </w:p>
        </w:tc>
        <w:tc>
          <w:tcPr>
            <w:tcW w:w="7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9,239</w:t>
            </w:r>
          </w:p>
        </w:tc>
        <w:tc>
          <w:tcPr>
            <w:tcW w:w="2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1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Total Property &amp; Casualty Insurance - 0.10%*</w:t>
            </w: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Specialized Consumer Services</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AllClear ID, Inc.</w:t>
            </w:r>
          </w:p>
        </w:tc>
        <w:tc>
          <w:tcPr>
            <w:tcW w:w="1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8/31/2017</w:t>
            </w:r>
          </w:p>
        </w:tc>
        <w:tc>
          <w:tcPr>
            <w:tcW w:w="9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8/31/2027</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523,893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10/17/2018</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8/31/2027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346,621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216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Credit Sesame, Inc.</w:t>
            </w:r>
          </w:p>
        </w:tc>
        <w:tc>
          <w:tcPr>
            <w:tcW w:w="10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1/7/2020</w:t>
            </w:r>
          </w:p>
        </w:tc>
        <w:tc>
          <w:tcPr>
            <w:tcW w:w="940" w:type="dxa"/>
            <w:vAlign w:val="bottom"/>
            <w:tcBorders>
              <w:bottom w:val="single" w:sz="8" w:color="CFF0FC"/>
            </w:tcBorders>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1/7/2030</w:t>
            </w:r>
          </w:p>
        </w:tc>
        <w:tc>
          <w:tcPr>
            <w:tcW w:w="7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191,601</w:t>
            </w:r>
          </w:p>
        </w:tc>
        <w:tc>
          <w:tcPr>
            <w:tcW w:w="2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2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1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Total Specialized Consumer Services - 0.07%*</w:t>
            </w: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System Software</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Dejero Labs Inc.</w:t>
            </w:r>
          </w:p>
        </w:tc>
        <w:tc>
          <w:tcPr>
            <w:tcW w:w="1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5/31/2019</w:t>
            </w:r>
          </w:p>
        </w:tc>
        <w:tc>
          <w:tcPr>
            <w:tcW w:w="9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5/31/2029</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333,621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1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(7) (9) (13)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Linxup, LLC</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11/3/2023</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11/3/2033</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 (21)</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16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Scale Computing, Inc.</w:t>
            </w:r>
          </w:p>
        </w:tc>
        <w:tc>
          <w:tcPr>
            <w:tcW w:w="1000" w:type="dxa"/>
            <w:vAlign w:val="bottom"/>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3/29/2019</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3/29/2029</w:t>
            </w:r>
          </w:p>
        </w:tc>
        <w:tc>
          <w:tcPr>
            <w:tcW w:w="7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9,665,66</w:t>
            </w:r>
          </w:p>
        </w:tc>
        <w:tc>
          <w:tcPr>
            <w:tcW w:w="11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346</w:t>
            </w: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0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CFF0FC"/>
            </w:tcBorders>
            <w:shd w:val="clear" w:color="auto" w:fill="CFF0FC"/>
          </w:tcPr>
          <w:p>
            <w:pPr>
              <w:spacing w:after="0"/>
              <w:rPr>
                <w:sz w:val="14"/>
                <w:szCs w:val="14"/>
                <w:color w:val="auto"/>
              </w:rPr>
            </w:pPr>
          </w:p>
        </w:tc>
        <w:tc>
          <w:tcPr>
            <w:tcW w:w="15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Total System Software - 0.10%*</w:t>
            </w: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040" w:type="dxa"/>
            <w:vAlign w:val="bottom"/>
            <w:shd w:val="clear" w:color="auto" w:fill="CFF0FC"/>
          </w:tcPr>
          <w:p>
            <w:pPr>
              <w:spacing w:after="0"/>
              <w:rPr>
                <w:sz w:val="14"/>
                <w:szCs w:val="14"/>
                <w:color w:val="auto"/>
              </w:rPr>
            </w:pPr>
          </w:p>
        </w:tc>
        <w:tc>
          <w:tcPr>
            <w:tcW w:w="360" w:type="dxa"/>
            <w:vAlign w:val="bottom"/>
            <w:gridSpan w:val="2"/>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Technology Hardware, Storage &amp; Peripherals</w:t>
            </w:r>
          </w:p>
        </w:tc>
        <w:tc>
          <w:tcPr>
            <w:tcW w:w="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RealWear, Inc.</w:t>
            </w:r>
          </w:p>
        </w:tc>
        <w:tc>
          <w:tcPr>
            <w:tcW w:w="1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10/5/2018</w:t>
            </w:r>
          </w:p>
        </w:tc>
        <w:tc>
          <w:tcPr>
            <w:tcW w:w="9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10/5/2028</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112,451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1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12/28/2018</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12/28/2028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22,491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20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6/27/2019</w:t>
            </w:r>
          </w:p>
        </w:tc>
        <w:tc>
          <w:tcPr>
            <w:tcW w:w="94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6/27/2029</w:t>
            </w:r>
          </w:p>
        </w:tc>
        <w:tc>
          <w:tcPr>
            <w:tcW w:w="7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123,894</w:t>
            </w:r>
          </w:p>
        </w:tc>
        <w:tc>
          <w:tcPr>
            <w:tcW w:w="2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2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1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Total Technology Hardware, Storage &amp; Peripherals - 0.08%*</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20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CFF0FC"/>
            </w:tcBorders>
            <w:shd w:val="clear" w:color="auto" w:fill="CFF0FC"/>
          </w:tcPr>
          <w:p>
            <w:pPr>
              <w:spacing w:after="0"/>
              <w:rPr>
                <w:sz w:val="14"/>
                <w:szCs w:val="14"/>
                <w:color w:val="auto"/>
              </w:rPr>
            </w:pPr>
          </w:p>
        </w:tc>
        <w:tc>
          <w:tcPr>
            <w:tcW w:w="15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top w:val="single" w:sz="8" w:color="auto"/>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 Warrants - 3.20%*</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23,930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16,209</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204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gridSpan w:val="2"/>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CFF0FC"/>
            </w:tcBorders>
            <w:gridSpan w:val="2"/>
            <w:shd w:val="clear" w:color="auto" w:fill="CFF0FC"/>
          </w:tcPr>
          <w:p>
            <w:pPr>
              <w:spacing w:after="0"/>
              <w:rPr>
                <w:sz w:val="14"/>
                <w:szCs w:val="14"/>
                <w:color w:val="auto"/>
              </w:rPr>
            </w:pPr>
          </w:p>
        </w:tc>
        <w:tc>
          <w:tcPr>
            <w:tcW w:w="15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top w:val="single" w:sz="8" w:color="auto"/>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gridSpan w:val="7"/>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Non-Control/Non-Affiliate Investments - 197.18%*</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1,044,022</w:t>
            </w:r>
          </w:p>
        </w:tc>
        <w:tc>
          <w:tcPr>
            <w:tcW w:w="1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1,000,405</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-4653915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-4653915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-3436620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-3436620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-2750820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-2750820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-2065020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-2065020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-1293495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-1293495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-607695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-607695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-367665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-367665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-128270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-128270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3"/>
                <w:szCs w:val="13"/>
                <w:color w:val="auto"/>
              </w:rPr>
            </w:pPr>
          </w:p>
        </w:tc>
        <w:tc>
          <w:tcPr>
            <w:tcW w:w="17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106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9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0" w:type="dxa"/>
            <w:vAlign w:val="bottom"/>
            <w:gridSpan w:val="2"/>
          </w:tcPr>
          <w:p>
            <w:pPr>
              <w:jc w:val="right"/>
              <w:ind w:right="188"/>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9"/>
        </w:trPr>
        <w:tc>
          <w:tcPr>
            <w:tcW w:w="1940" w:type="dxa"/>
            <w:vAlign w:val="bottom"/>
            <w:tcBorders>
              <w:bottom w:val="single" w:sz="8" w:color="auto"/>
            </w:tcBorders>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60" w:type="dxa"/>
            <w:vAlign w:val="bottom"/>
          </w:tcPr>
          <w:p>
            <w:pPr>
              <w:spacing w:after="0"/>
              <w:rPr>
                <w:sz w:val="16"/>
                <w:szCs w:val="16"/>
                <w:color w:val="auto"/>
              </w:rPr>
            </w:pPr>
          </w:p>
        </w:tc>
        <w:tc>
          <w:tcPr>
            <w:tcW w:w="1720" w:type="dxa"/>
            <w:vAlign w:val="bottom"/>
            <w:tcBorders>
              <w:bottom w:val="single" w:sz="8" w:color="auto"/>
            </w:tcBorders>
          </w:tcPr>
          <w:p>
            <w:pPr>
              <w:ind w:left="340"/>
              <w:spacing w:after="0" w:line="189" w:lineRule="exact"/>
              <w:rPr>
                <w:sz w:val="20"/>
                <w:szCs w:val="20"/>
                <w:color w:val="auto"/>
              </w:rPr>
            </w:pPr>
            <w:r>
              <w:rPr>
                <w:rFonts w:ascii="Times New Roman" w:cs="Times New Roman" w:eastAsia="Times New Roman" w:hAnsi="Times New Roman"/>
                <w:sz w:val="14"/>
                <w:szCs w:val="14"/>
                <w:b w:val="1"/>
                <w:bCs w:val="1"/>
                <w:color w:val="auto"/>
              </w:rPr>
              <w:t>Description</w:t>
            </w:r>
            <w:r>
              <w:rPr>
                <w:rFonts w:ascii="Times New Roman" w:cs="Times New Roman" w:eastAsia="Times New Roman" w:hAnsi="Times New Roman"/>
                <w:sz w:val="19"/>
                <w:szCs w:val="19"/>
                <w:b w:val="1"/>
                <w:bCs w:val="1"/>
                <w:color w:val="auto"/>
                <w:vertAlign w:val="superscript"/>
              </w:rPr>
              <w:t>(1)(2)(4)</w:t>
            </w:r>
          </w:p>
        </w:tc>
        <w:tc>
          <w:tcPr>
            <w:tcW w:w="1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Shares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line="189" w:lineRule="exact"/>
              <w:rPr>
                <w:sz w:val="20"/>
                <w:szCs w:val="20"/>
                <w:color w:val="auto"/>
              </w:rPr>
            </w:pPr>
            <w:r>
              <w:rPr>
                <w:rFonts w:ascii="Times New Roman" w:cs="Times New Roman" w:eastAsia="Times New Roman" w:hAnsi="Times New Roman"/>
                <w:sz w:val="14"/>
                <w:szCs w:val="14"/>
                <w:b w:val="1"/>
                <w:bCs w:val="1"/>
                <w:color w:val="auto"/>
                <w:w w:val="95"/>
              </w:rPr>
              <w:t xml:space="preserve">Value ($) </w:t>
            </w:r>
            <w:r>
              <w:rPr>
                <w:rFonts w:ascii="Times New Roman" w:cs="Times New Roman" w:eastAsia="Times New Roman" w:hAnsi="Times New Roman"/>
                <w:sz w:val="19"/>
                <w:szCs w:val="19"/>
                <w:b w:val="1"/>
                <w:bCs w:val="1"/>
                <w:color w:val="auto"/>
                <w:w w:val="95"/>
                <w:vertAlign w:val="superscript"/>
              </w:rPr>
              <w:t>(3)</w:t>
            </w:r>
          </w:p>
        </w:tc>
        <w:tc>
          <w:tcPr>
            <w:tcW w:w="22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1920" w:type="dxa"/>
            <w:vAlign w:val="bottom"/>
            <w:gridSpan w:val="4"/>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Affiliate Investments</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12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Debt Investments</w:t>
            </w:r>
          </w:p>
        </w:tc>
        <w:tc>
          <w:tcPr>
            <w:tcW w:w="640" w:type="dxa"/>
            <w:vAlign w:val="bottom"/>
            <w:tcBorders>
              <w:top w:val="single" w:sz="8" w:color="CFF0FC"/>
            </w:tcBorders>
            <w:gridSpan w:val="2"/>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66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7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68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92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Healthcare Technology</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920" w:type="dxa"/>
            <w:vAlign w:val="bottom"/>
            <w:gridSpan w:val="4"/>
          </w:tcPr>
          <w:p>
            <w:pPr>
              <w:ind w:left="240"/>
              <w:spacing w:after="0" w:line="139" w:lineRule="exact"/>
              <w:rPr>
                <w:sz w:val="20"/>
                <w:szCs w:val="20"/>
                <w:color w:val="auto"/>
              </w:rPr>
            </w:pPr>
            <w:r>
              <w:rPr>
                <w:rFonts w:ascii="Times New Roman" w:cs="Times New Roman" w:eastAsia="Times New Roman" w:hAnsi="Times New Roman"/>
                <w:sz w:val="14"/>
                <w:szCs w:val="14"/>
                <w:color w:val="auto"/>
              </w:rPr>
              <w:t>Gynesonics, Inc.</w:t>
            </w:r>
          </w:p>
        </w:tc>
        <w:tc>
          <w:tcPr>
            <w:tcW w:w="120" w:type="dxa"/>
            <w:vAlign w:val="bottom"/>
          </w:tcPr>
          <w:p>
            <w:pPr>
              <w:spacing w:after="0"/>
              <w:rPr>
                <w:sz w:val="12"/>
                <w:szCs w:val="12"/>
                <w:color w:val="auto"/>
              </w:rPr>
            </w:pPr>
          </w:p>
        </w:tc>
        <w:tc>
          <w:tcPr>
            <w:tcW w:w="9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60" w:type="dxa"/>
            <w:vAlign w:val="bottom"/>
          </w:tcPr>
          <w:p>
            <w:pPr>
              <w:spacing w:after="0"/>
              <w:rPr>
                <w:sz w:val="12"/>
                <w:szCs w:val="12"/>
                <w:color w:val="auto"/>
              </w:rPr>
            </w:pPr>
          </w:p>
        </w:tc>
        <w:tc>
          <w:tcPr>
            <w:tcW w:w="17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SOFR+8.75%, 8.00%</w:t>
            </w:r>
          </w:p>
        </w:tc>
        <w:tc>
          <w:tcPr>
            <w:tcW w:w="10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3/1/2023</w:t>
            </w:r>
          </w:p>
        </w:tc>
        <w:tc>
          <w:tcPr>
            <w:tcW w:w="98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11/30/2026</w:t>
            </w:r>
          </w:p>
        </w:tc>
        <w:tc>
          <w:tcPr>
            <w:tcW w:w="8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25,595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26,147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26,041</w:t>
            </w:r>
          </w:p>
        </w:tc>
        <w:tc>
          <w:tcPr>
            <w:tcW w:w="112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(11) (12)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ceiling, 5.00% ETP</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2940" w:type="dxa"/>
            <w:vAlign w:val="bottom"/>
            <w:tcBorders>
              <w:bottom w:val="single" w:sz="8" w:color="CFF0FC"/>
            </w:tcBorders>
            <w:gridSpan w:val="8"/>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Total Healthcare Technology - 5.13%*</w:t>
            </w:r>
          </w:p>
        </w:tc>
        <w:tc>
          <w:tcPr>
            <w:tcW w:w="160" w:type="dxa"/>
            <w:vAlign w:val="bottom"/>
            <w:tcBorders>
              <w:bottom w:val="single" w:sz="8" w:color="CFF0FC"/>
            </w:tcBorders>
            <w:shd w:val="clear" w:color="auto" w:fill="CFF0FC"/>
          </w:tcPr>
          <w:p>
            <w:pPr>
              <w:spacing w:after="0"/>
              <w:rPr>
                <w:sz w:val="14"/>
                <w:szCs w:val="14"/>
                <w:color w:val="auto"/>
              </w:rPr>
            </w:pPr>
          </w:p>
        </w:tc>
        <w:tc>
          <w:tcPr>
            <w:tcW w:w="17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26,147</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26,041</w:t>
            </w:r>
          </w:p>
        </w:tc>
        <w:tc>
          <w:tcPr>
            <w:tcW w:w="2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2940" w:type="dxa"/>
            <w:vAlign w:val="bottom"/>
            <w:tcBorders>
              <w:bottom w:val="single" w:sz="8" w:color="CFF0FC"/>
            </w:tcBorders>
            <w:gridSpan w:val="8"/>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Total Debt Investments - 5.13%*</w:t>
            </w:r>
          </w:p>
        </w:tc>
        <w:tc>
          <w:tcPr>
            <w:tcW w:w="160" w:type="dxa"/>
            <w:vAlign w:val="bottom"/>
            <w:tcBorders>
              <w:bottom w:val="single" w:sz="8" w:color="CFF0FC"/>
            </w:tcBorders>
            <w:shd w:val="clear" w:color="auto" w:fill="CFF0FC"/>
          </w:tcPr>
          <w:p>
            <w:pPr>
              <w:spacing w:after="0"/>
              <w:rPr>
                <w:sz w:val="15"/>
                <w:szCs w:val="15"/>
                <w:color w:val="auto"/>
              </w:rPr>
            </w:pPr>
          </w:p>
        </w:tc>
        <w:tc>
          <w:tcPr>
            <w:tcW w:w="17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26,147</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26,041</w:t>
            </w:r>
          </w:p>
        </w:tc>
        <w:tc>
          <w:tcPr>
            <w:tcW w:w="2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920" w:type="dxa"/>
            <w:vAlign w:val="bottom"/>
            <w:gridSpan w:val="4"/>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1920" w:type="dxa"/>
            <w:vAlign w:val="bottom"/>
            <w:gridSpan w:val="4"/>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Coginiti Corp</w:t>
            </w:r>
          </w:p>
        </w:tc>
        <w:tc>
          <w:tcPr>
            <w:tcW w:w="120" w:type="dxa"/>
            <w:vAlign w:val="bottom"/>
            <w:shd w:val="clear" w:color="auto" w:fill="CFF0FC"/>
          </w:tcPr>
          <w:p>
            <w:pPr>
              <w:spacing w:after="0"/>
              <w:rPr>
                <w:sz w:val="12"/>
                <w:szCs w:val="12"/>
                <w:color w:val="auto"/>
              </w:rPr>
            </w:pPr>
          </w:p>
        </w:tc>
        <w:tc>
          <w:tcPr>
            <w:tcW w:w="900" w:type="dxa"/>
            <w:vAlign w:val="bottom"/>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60" w:type="dxa"/>
            <w:vAlign w:val="bottom"/>
            <w:shd w:val="clear" w:color="auto" w:fill="CFF0FC"/>
          </w:tcPr>
          <w:p>
            <w:pPr>
              <w:spacing w:after="0"/>
              <w:rPr>
                <w:sz w:val="12"/>
                <w:szCs w:val="12"/>
                <w:color w:val="auto"/>
              </w:rPr>
            </w:pPr>
          </w:p>
        </w:tc>
        <w:tc>
          <w:tcPr>
            <w:tcW w:w="17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3/9/2020</w:t>
            </w: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rPr>
              <w:t>N/A</w:t>
            </w:r>
          </w:p>
        </w:tc>
        <w:tc>
          <w:tcPr>
            <w:tcW w:w="8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1,040,16</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4,551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104</w:t>
            </w:r>
          </w:p>
        </w:tc>
        <w:tc>
          <w:tcPr>
            <w:tcW w:w="112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126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7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40" w:type="dxa"/>
            <w:vAlign w:val="bottom"/>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Total Application Software - 0.02%*</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4,551</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Healthcare Technology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1920" w:type="dxa"/>
            <w:vAlign w:val="bottom"/>
            <w:gridSpan w:val="4"/>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Gynesonics, Inc.</w:t>
            </w:r>
          </w:p>
        </w:tc>
        <w:tc>
          <w:tcPr>
            <w:tcW w:w="120" w:type="dxa"/>
            <w:vAlign w:val="bottom"/>
            <w:shd w:val="clear" w:color="auto" w:fill="CFF0FC"/>
          </w:tcPr>
          <w:p>
            <w:pPr>
              <w:spacing w:after="0"/>
              <w:rPr>
                <w:sz w:val="12"/>
                <w:szCs w:val="12"/>
                <w:color w:val="auto"/>
              </w:rPr>
            </w:pPr>
          </w:p>
        </w:tc>
        <w:tc>
          <w:tcPr>
            <w:tcW w:w="900" w:type="dxa"/>
            <w:vAlign w:val="bottom"/>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60" w:type="dxa"/>
            <w:vAlign w:val="bottom"/>
            <w:shd w:val="clear" w:color="auto" w:fill="CFF0FC"/>
          </w:tcPr>
          <w:p>
            <w:pPr>
              <w:spacing w:after="0"/>
              <w:rPr>
                <w:sz w:val="12"/>
                <w:szCs w:val="12"/>
                <w:color w:val="auto"/>
              </w:rPr>
            </w:pPr>
          </w:p>
        </w:tc>
        <w:tc>
          <w:tcPr>
            <w:tcW w:w="17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A-2 Preferred Stock</w:t>
            </w:r>
          </w:p>
        </w:tc>
        <w:tc>
          <w:tcPr>
            <w:tcW w:w="10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3/1/2023</w:t>
            </w: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rPr>
              <w:t>N/A</w:t>
            </w:r>
          </w:p>
        </w:tc>
        <w:tc>
          <w:tcPr>
            <w:tcW w:w="8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3,266,66</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25,000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23,969</w:t>
            </w:r>
          </w:p>
        </w:tc>
        <w:tc>
          <w:tcPr>
            <w:tcW w:w="112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(13) (29)</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60" w:type="dxa"/>
            <w:vAlign w:val="bottom"/>
          </w:tcPr>
          <w:p>
            <w:pPr>
              <w:spacing w:after="0"/>
              <w:rPr>
                <w:sz w:val="12"/>
                <w:szCs w:val="12"/>
                <w:color w:val="auto"/>
              </w:rPr>
            </w:pPr>
          </w:p>
        </w:tc>
        <w:tc>
          <w:tcPr>
            <w:tcW w:w="17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A-1 Preferred Stock</w:t>
            </w:r>
          </w:p>
        </w:tc>
        <w:tc>
          <w:tcPr>
            <w:tcW w:w="10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10/24/2023</w:t>
            </w:r>
          </w:p>
        </w:tc>
        <w:tc>
          <w:tcPr>
            <w:tcW w:w="120" w:type="dxa"/>
            <w:vAlign w:val="bottom"/>
          </w:tcPr>
          <w:p>
            <w:pPr>
              <w:spacing w:after="0"/>
              <w:rPr>
                <w:sz w:val="12"/>
                <w:szCs w:val="12"/>
                <w:color w:val="auto"/>
              </w:rPr>
            </w:pPr>
          </w:p>
        </w:tc>
        <w:tc>
          <w:tcPr>
            <w:tcW w:w="8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N/A</w:t>
            </w:r>
          </w:p>
        </w:tc>
        <w:tc>
          <w:tcPr>
            <w:tcW w:w="8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3,100,00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3,100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8,328</w:t>
            </w:r>
          </w:p>
        </w:tc>
        <w:tc>
          <w:tcPr>
            <w:tcW w:w="112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(13) (29)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2940" w:type="dxa"/>
            <w:vAlign w:val="bottom"/>
            <w:tcBorders>
              <w:bottom w:val="single" w:sz="8" w:color="CFF0FC"/>
            </w:tcBorders>
            <w:gridSpan w:val="8"/>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Total Healthcare Technology - 6.37%*</w:t>
            </w:r>
          </w:p>
        </w:tc>
        <w:tc>
          <w:tcPr>
            <w:tcW w:w="160" w:type="dxa"/>
            <w:vAlign w:val="bottom"/>
            <w:tcBorders>
              <w:bottom w:val="single" w:sz="8" w:color="CFF0FC"/>
            </w:tcBorders>
            <w:shd w:val="clear" w:color="auto" w:fill="CFF0FC"/>
          </w:tcPr>
          <w:p>
            <w:pPr>
              <w:spacing w:after="0"/>
              <w:rPr>
                <w:sz w:val="14"/>
                <w:szCs w:val="14"/>
                <w:color w:val="auto"/>
              </w:rPr>
            </w:pPr>
          </w:p>
        </w:tc>
        <w:tc>
          <w:tcPr>
            <w:tcW w:w="17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28,100</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32,297</w:t>
            </w:r>
          </w:p>
        </w:tc>
        <w:tc>
          <w:tcPr>
            <w:tcW w:w="2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2940" w:type="dxa"/>
            <w:vAlign w:val="bottom"/>
            <w:tcBorders>
              <w:bottom w:val="single" w:sz="8" w:color="CFF0FC"/>
            </w:tcBorders>
            <w:gridSpan w:val="8"/>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Total Equity Investments - 6.39%*</w:t>
            </w:r>
          </w:p>
        </w:tc>
        <w:tc>
          <w:tcPr>
            <w:tcW w:w="160" w:type="dxa"/>
            <w:vAlign w:val="bottom"/>
            <w:tcBorders>
              <w:bottom w:val="single" w:sz="8" w:color="CFF0FC"/>
            </w:tcBorders>
            <w:shd w:val="clear" w:color="auto" w:fill="CFF0FC"/>
          </w:tcPr>
          <w:p>
            <w:pPr>
              <w:spacing w:after="0"/>
              <w:rPr>
                <w:sz w:val="14"/>
                <w:szCs w:val="14"/>
                <w:color w:val="auto"/>
              </w:rPr>
            </w:pPr>
          </w:p>
        </w:tc>
        <w:tc>
          <w:tcPr>
            <w:tcW w:w="17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32,651</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32,401</w:t>
            </w:r>
          </w:p>
        </w:tc>
        <w:tc>
          <w:tcPr>
            <w:tcW w:w="2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1920" w:type="dxa"/>
            <w:vAlign w:val="bottom"/>
            <w:gridSpan w:val="4"/>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1920" w:type="dxa"/>
            <w:vAlign w:val="bottom"/>
            <w:tcBorders>
              <w:bottom w:val="single" w:sz="8" w:color="CFF0FC"/>
            </w:tcBorders>
            <w:gridSpan w:val="4"/>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Coginiti Corp</w:t>
            </w: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60" w:type="dxa"/>
            <w:vAlign w:val="bottom"/>
            <w:tcBorders>
              <w:bottom w:val="single" w:sz="8" w:color="CFF0FC"/>
            </w:tcBorders>
            <w:shd w:val="clear" w:color="auto" w:fill="CFF0FC"/>
          </w:tcPr>
          <w:p>
            <w:pPr>
              <w:spacing w:after="0"/>
              <w:rPr>
                <w:sz w:val="15"/>
                <w:szCs w:val="15"/>
                <w:color w:val="auto"/>
              </w:rPr>
            </w:pPr>
          </w:p>
        </w:tc>
        <w:tc>
          <w:tcPr>
            <w:tcW w:w="1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6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3/9/2020</w:t>
            </w:r>
          </w:p>
        </w:tc>
        <w:tc>
          <w:tcPr>
            <w:tcW w:w="98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3/9/2030</w:t>
            </w: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811,770</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12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40" w:type="dxa"/>
            <w:vAlign w:val="bottom"/>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Total Application Software - 0.01%*</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Healthcare Technology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92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Gynesonics, Inc.</w:t>
            </w:r>
          </w:p>
        </w:tc>
        <w:tc>
          <w:tcPr>
            <w:tcW w:w="120" w:type="dxa"/>
            <w:vAlign w:val="bottom"/>
            <w:shd w:val="clear" w:color="auto" w:fill="CFF0FC"/>
          </w:tcPr>
          <w:p>
            <w:pPr>
              <w:spacing w:after="0"/>
              <w:rPr>
                <w:sz w:val="15"/>
                <w:szCs w:val="15"/>
                <w:color w:val="auto"/>
              </w:rPr>
            </w:pPr>
          </w:p>
        </w:tc>
        <w:tc>
          <w:tcPr>
            <w:tcW w:w="9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60" w:type="dxa"/>
            <w:vAlign w:val="bottom"/>
            <w:shd w:val="clear" w:color="auto" w:fill="CFF0FC"/>
          </w:tcPr>
          <w:p>
            <w:pPr>
              <w:spacing w:after="0"/>
              <w:rPr>
                <w:sz w:val="15"/>
                <w:szCs w:val="15"/>
                <w:color w:val="auto"/>
              </w:rPr>
            </w:pPr>
          </w:p>
        </w:tc>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3/1/2023</w:t>
            </w:r>
          </w:p>
        </w:tc>
        <w:tc>
          <w:tcPr>
            <w:tcW w:w="98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3/1/2030</w:t>
            </w:r>
          </w:p>
        </w:tc>
        <w:tc>
          <w:tcPr>
            <w:tcW w:w="120" w:type="dxa"/>
            <w:vAlign w:val="bottom"/>
            <w:shd w:val="clear" w:color="auto" w:fill="CFF0FC"/>
          </w:tcPr>
          <w:p>
            <w:pPr>
              <w:spacing w:after="0"/>
              <w:rPr>
                <w:sz w:val="15"/>
                <w:szCs w:val="15"/>
                <w:color w:val="auto"/>
              </w:rPr>
            </w:pPr>
          </w:p>
        </w:tc>
        <w:tc>
          <w:tcPr>
            <w:tcW w:w="1060" w:type="dxa"/>
            <w:vAlign w:val="bottom"/>
            <w:gridSpan w:val="3"/>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1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(13) (21)</w:t>
            </w: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940" w:type="dxa"/>
            <w:vAlign w:val="bottom"/>
            <w:tcBorders>
              <w:top w:val="single" w:sz="8" w:color="CFF0FC"/>
            </w:tcBorders>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Total Healthcare Technology - 0.09%*</w:t>
            </w:r>
          </w:p>
        </w:tc>
        <w:tc>
          <w:tcPr>
            <w:tcW w:w="160" w:type="dxa"/>
            <w:vAlign w:val="bottom"/>
            <w:tcBorders>
              <w:top w:val="single" w:sz="8" w:color="CFF0FC"/>
            </w:tcBorders>
          </w:tcPr>
          <w:p>
            <w:pPr>
              <w:spacing w:after="0"/>
              <w:rPr>
                <w:sz w:val="14"/>
                <w:szCs w:val="14"/>
                <w:color w:val="auto"/>
              </w:rPr>
            </w:pPr>
          </w:p>
        </w:tc>
        <w:tc>
          <w:tcPr>
            <w:tcW w:w="17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2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2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Total Warrants - 0.10%*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126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gridSpan w:val="2"/>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7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gridSpan w:val="9"/>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Affiliate Investments - 11.62%*</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59,111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58,969</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Control Investments</w:t>
            </w:r>
          </w:p>
        </w:tc>
        <w:tc>
          <w:tcPr>
            <w:tcW w:w="66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1920" w:type="dxa"/>
            <w:vAlign w:val="bottom"/>
            <w:gridSpan w:val="4"/>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40" w:type="dxa"/>
            <w:vAlign w:val="bottom"/>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Data Processing &amp; Outsourced Services</w:t>
            </w: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92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Pivot3, Inc.</w:t>
            </w:r>
          </w:p>
        </w:tc>
        <w:tc>
          <w:tcPr>
            <w:tcW w:w="120" w:type="dxa"/>
            <w:vAlign w:val="bottom"/>
            <w:shd w:val="clear" w:color="auto" w:fill="CFF0FC"/>
          </w:tcPr>
          <w:p>
            <w:pPr>
              <w:spacing w:after="0"/>
              <w:rPr>
                <w:sz w:val="15"/>
                <w:szCs w:val="15"/>
                <w:color w:val="auto"/>
              </w:rPr>
            </w:pPr>
          </w:p>
        </w:tc>
        <w:tc>
          <w:tcPr>
            <w:tcW w:w="9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shd w:val="clear" w:color="auto" w:fill="CFF0FC"/>
          </w:tcPr>
          <w:p>
            <w:pPr>
              <w:spacing w:after="0"/>
              <w:rPr>
                <w:sz w:val="15"/>
                <w:szCs w:val="15"/>
                <w:color w:val="auto"/>
              </w:rPr>
            </w:pPr>
          </w:p>
        </w:tc>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Interest</w:t>
            </w:r>
          </w:p>
        </w:tc>
        <w:tc>
          <w:tcPr>
            <w:tcW w:w="10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12/31/2023</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FF0FC"/>
          </w:tcPr>
          <w:p>
            <w:pPr>
              <w:spacing w:after="0"/>
              <w:rPr>
                <w:sz w:val="15"/>
                <w:szCs w:val="15"/>
                <w:color w:val="auto"/>
              </w:rPr>
            </w:pPr>
          </w:p>
        </w:tc>
        <w:tc>
          <w:tcPr>
            <w:tcW w:w="1060" w:type="dxa"/>
            <w:vAlign w:val="bottom"/>
            <w:gridSpan w:val="3"/>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11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4820" w:type="dxa"/>
            <w:vAlign w:val="bottom"/>
            <w:tcBorders>
              <w:top w:val="single" w:sz="8" w:color="CFF0FC"/>
            </w:tcBorders>
            <w:gridSpan w:val="10"/>
          </w:tcPr>
          <w:p>
            <w:pPr>
              <w:ind w:left="240"/>
              <w:spacing w:after="0"/>
              <w:rPr>
                <w:sz w:val="20"/>
                <w:szCs w:val="20"/>
                <w:color w:val="auto"/>
              </w:rPr>
            </w:pPr>
            <w:r>
              <w:rPr>
                <w:rFonts w:ascii="Times New Roman" w:cs="Times New Roman" w:eastAsia="Times New Roman" w:hAnsi="Times New Roman"/>
                <w:sz w:val="14"/>
                <w:szCs w:val="14"/>
                <w:b w:val="1"/>
                <w:bCs w:val="1"/>
                <w:color w:val="auto"/>
              </w:rPr>
              <w:t>Total Data Processing &amp; Outsourced Services - 0.24%*</w:t>
            </w:r>
          </w:p>
        </w:tc>
        <w:tc>
          <w:tcPr>
            <w:tcW w:w="120" w:type="dxa"/>
            <w:vAlign w:val="bottom"/>
            <w:tcBorders>
              <w:top w:val="single" w:sz="8" w:color="CFF0FC"/>
            </w:tcBorders>
          </w:tcPr>
          <w:p>
            <w:pPr>
              <w:spacing w:after="0"/>
              <w:rPr>
                <w:sz w:val="14"/>
                <w:szCs w:val="14"/>
                <w:color w:val="auto"/>
              </w:rPr>
            </w:pPr>
          </w:p>
        </w:tc>
        <w:tc>
          <w:tcPr>
            <w:tcW w:w="9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2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Multi-Sector Holdings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92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Runway-Cadma I LLC</w:t>
            </w:r>
          </w:p>
        </w:tc>
        <w:tc>
          <w:tcPr>
            <w:tcW w:w="120" w:type="dxa"/>
            <w:vAlign w:val="bottom"/>
            <w:shd w:val="clear" w:color="auto" w:fill="CFF0FC"/>
          </w:tcPr>
          <w:p>
            <w:pPr>
              <w:spacing w:after="0"/>
              <w:rPr>
                <w:sz w:val="15"/>
                <w:szCs w:val="15"/>
                <w:color w:val="auto"/>
              </w:rPr>
            </w:pPr>
          </w:p>
        </w:tc>
        <w:tc>
          <w:tcPr>
            <w:tcW w:w="9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shd w:val="clear" w:color="auto" w:fill="CFF0FC"/>
          </w:tcPr>
          <w:p>
            <w:pPr>
              <w:spacing w:after="0"/>
              <w:rPr>
                <w:sz w:val="15"/>
                <w:szCs w:val="15"/>
                <w:color w:val="auto"/>
              </w:rPr>
            </w:pPr>
          </w:p>
        </w:tc>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Interest</w:t>
            </w:r>
          </w:p>
        </w:tc>
        <w:tc>
          <w:tcPr>
            <w:tcW w:w="10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3/6/2024</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FF0FC"/>
          </w:tcPr>
          <w:p>
            <w:pPr>
              <w:spacing w:after="0"/>
              <w:rPr>
                <w:sz w:val="15"/>
                <w:szCs w:val="15"/>
                <w:color w:val="auto"/>
              </w:rPr>
            </w:pPr>
          </w:p>
        </w:tc>
        <w:tc>
          <w:tcPr>
            <w:tcW w:w="1060" w:type="dxa"/>
            <w:vAlign w:val="bottom"/>
            <w:gridSpan w:val="3"/>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N/A</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5,600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5,528</w:t>
            </w:r>
          </w:p>
        </w:tc>
        <w:tc>
          <w:tcPr>
            <w:tcW w:w="11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940" w:type="dxa"/>
            <w:vAlign w:val="bottom"/>
            <w:tcBorders>
              <w:top w:val="single" w:sz="8" w:color="CFF0FC"/>
            </w:tcBorders>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Total Multi-Sector Holdings - 1.09%*</w:t>
            </w:r>
          </w:p>
        </w:tc>
        <w:tc>
          <w:tcPr>
            <w:tcW w:w="160" w:type="dxa"/>
            <w:vAlign w:val="bottom"/>
            <w:tcBorders>
              <w:top w:val="single" w:sz="8" w:color="CFF0FC"/>
            </w:tcBorders>
          </w:tcPr>
          <w:p>
            <w:pPr>
              <w:spacing w:after="0"/>
              <w:rPr>
                <w:sz w:val="14"/>
                <w:szCs w:val="14"/>
                <w:color w:val="auto"/>
              </w:rPr>
            </w:pPr>
          </w:p>
        </w:tc>
        <w:tc>
          <w:tcPr>
            <w:tcW w:w="17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5,600</w:t>
            </w:r>
          </w:p>
        </w:tc>
        <w:tc>
          <w:tcPr>
            <w:tcW w:w="22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5,528</w:t>
            </w:r>
          </w:p>
        </w:tc>
        <w:tc>
          <w:tcPr>
            <w:tcW w:w="2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126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gridSpan w:val="2"/>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7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4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Total Equity Investments - 1.33%*</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6,550</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6,726</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126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gridSpan w:val="2"/>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7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gridSpan w:val="9"/>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Control Investments - 1.33%*</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6,550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6,726</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20" w:type="dxa"/>
            <w:vAlign w:val="bottom"/>
            <w:gridSpan w:val="4"/>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Investments - 210.13%*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gridSpan w:val="3"/>
          </w:tcPr>
          <w:p>
            <w:pPr>
              <w:spacing w:after="0"/>
              <w:rPr>
                <w:sz w:val="16"/>
                <w:szCs w:val="16"/>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1,109,683</w:t>
            </w:r>
          </w:p>
        </w:tc>
        <w:tc>
          <w:tcPr>
            <w:tcW w:w="22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1,066,100</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-5288280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-5288280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-5057140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-5057140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-4516755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-4516755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-3642360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-3642360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-3402330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-3402330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-2948305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-2948305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-2485390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-2485390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-2013585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-2013585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-1327785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-1327785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-865505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-865505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-624840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-624840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-384810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-384810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(1)</w:t>
      </w:r>
    </w:p>
    <w:p>
      <w:pPr>
        <w:ind w:left="880" w:right="20"/>
        <w:spacing w:after="0" w:line="202" w:lineRule="auto"/>
        <w:rPr>
          <w:sz w:val="20"/>
          <w:szCs w:val="20"/>
          <w:color w:val="auto"/>
        </w:rPr>
      </w:pPr>
      <w:r>
        <w:rPr>
          <w:rFonts w:ascii="Times New Roman" w:cs="Times New Roman" w:eastAsia="Times New Roman" w:hAnsi="Times New Roman"/>
          <w:sz w:val="14"/>
          <w:szCs w:val="14"/>
          <w:color w:val="auto"/>
        </w:rPr>
        <w:t>Disclosures of interest rates on notes include cash interest rates and payment-in-kind ("PIK") interest rates, as applicable. Unless otherwise indicated, all of the Company's variable interest debt instruments bear interest at a rate determined by reference to the U.S. Prime Rate or the 1-month or 3-month Secured Overnight Financing Rate ("SOFR"). At September 30, 2024, the U.S. Prime Rate was 8.00%, the 1-Month SOFR was 4.85%, and the 3-Month SOFR was 4.59%.</w:t>
      </w:r>
    </w:p>
    <w:p>
      <w:pPr>
        <w:ind w:left="20"/>
        <w:spacing w:after="0" w:line="196" w:lineRule="auto"/>
        <w:rPr>
          <w:sz w:val="20"/>
          <w:szCs w:val="20"/>
          <w:color w:val="auto"/>
        </w:rPr>
      </w:pPr>
      <w:r>
        <w:rPr>
          <w:rFonts w:ascii="Times New Roman" w:cs="Times New Roman" w:eastAsia="Times New Roman" w:hAnsi="Times New Roman"/>
          <w:sz w:val="7"/>
          <w:szCs w:val="7"/>
          <w:color w:val="auto"/>
        </w:rPr>
        <w:t>(2)</w:t>
      </w:r>
    </w:p>
    <w:p>
      <w:pPr>
        <w:jc w:val="both"/>
        <w:ind w:left="880" w:right="360"/>
        <w:spacing w:after="0" w:line="202" w:lineRule="auto"/>
        <w:rPr>
          <w:sz w:val="20"/>
          <w:szCs w:val="20"/>
          <w:color w:val="auto"/>
        </w:rPr>
      </w:pPr>
      <w:r>
        <w:rPr>
          <w:rFonts w:ascii="Times New Roman" w:cs="Times New Roman" w:eastAsia="Times New Roman" w:hAnsi="Times New Roman"/>
          <w:sz w:val="14"/>
          <w:szCs w:val="14"/>
          <w:color w:val="auto"/>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Board of Directors (as defined in "Note 2 – Summary of Significant Accounting Policies").</w:t>
      </w:r>
    </w:p>
    <w:p>
      <w:pPr>
        <w:ind w:left="20"/>
        <w:spacing w:after="0" w:line="196" w:lineRule="auto"/>
        <w:rPr>
          <w:sz w:val="20"/>
          <w:szCs w:val="20"/>
          <w:color w:val="auto"/>
        </w:rPr>
      </w:pPr>
      <w:r>
        <w:rPr>
          <w:rFonts w:ascii="Times New Roman" w:cs="Times New Roman" w:eastAsia="Times New Roman" w:hAnsi="Times New Roman"/>
          <w:sz w:val="7"/>
          <w:szCs w:val="7"/>
          <w:color w:val="auto"/>
        </w:rPr>
        <w:t>(3)</w:t>
      </w:r>
    </w:p>
    <w:p>
      <w:pPr>
        <w:ind w:left="880"/>
        <w:spacing w:after="0" w:line="191" w:lineRule="auto"/>
        <w:rPr>
          <w:sz w:val="20"/>
          <w:szCs w:val="20"/>
          <w:color w:val="auto"/>
        </w:rPr>
      </w:pPr>
      <w:r>
        <w:rPr>
          <w:rFonts w:ascii="Times New Roman" w:cs="Times New Roman" w:eastAsia="Times New Roman" w:hAnsi="Times New Roman"/>
          <w:sz w:val="12"/>
          <w:szCs w:val="12"/>
          <w:color w:val="auto"/>
        </w:rPr>
        <w:t>Investments are held at Fair Value net of the Fair Value of Unfunded Commitments. Refer to "Note 8 – Commitments and Contingencies" for additional detail.</w:t>
      </w:r>
    </w:p>
    <w:p>
      <w:pPr>
        <w:ind w:left="20"/>
        <w:spacing w:after="0" w:line="196" w:lineRule="auto"/>
        <w:rPr>
          <w:sz w:val="20"/>
          <w:szCs w:val="20"/>
          <w:color w:val="auto"/>
        </w:rPr>
      </w:pPr>
      <w:r>
        <w:rPr>
          <w:rFonts w:ascii="Times New Roman" w:cs="Times New Roman" w:eastAsia="Times New Roman" w:hAnsi="Times New Roman"/>
          <w:sz w:val="7"/>
          <w:szCs w:val="7"/>
          <w:color w:val="auto"/>
        </w:rPr>
        <w:t>(4)</w:t>
      </w:r>
    </w:p>
    <w:p>
      <w:pPr>
        <w:ind w:left="880"/>
        <w:spacing w:after="0" w:line="191" w:lineRule="auto"/>
        <w:rPr>
          <w:sz w:val="20"/>
          <w:szCs w:val="20"/>
          <w:color w:val="auto"/>
        </w:rPr>
      </w:pPr>
      <w:r>
        <w:rPr>
          <w:rFonts w:ascii="Times New Roman" w:cs="Times New Roman" w:eastAsia="Times New Roman" w:hAnsi="Times New Roman"/>
          <w:sz w:val="12"/>
          <w:szCs w:val="12"/>
          <w:color w:val="auto"/>
        </w:rPr>
        <w:t>All portfolio companies are domiciled in the United States, unless otherwise noted.</w:t>
      </w:r>
    </w:p>
    <w:p>
      <w:pPr>
        <w:ind w:left="20"/>
        <w:spacing w:after="0" w:line="196" w:lineRule="auto"/>
        <w:rPr>
          <w:sz w:val="20"/>
          <w:szCs w:val="20"/>
          <w:color w:val="auto"/>
        </w:rPr>
      </w:pPr>
      <w:r>
        <w:rPr>
          <w:rFonts w:ascii="Times New Roman" w:cs="Times New Roman" w:eastAsia="Times New Roman" w:hAnsi="Times New Roman"/>
          <w:sz w:val="7"/>
          <w:szCs w:val="7"/>
          <w:color w:val="auto"/>
        </w:rPr>
        <w:t>(5)</w:t>
      </w:r>
    </w:p>
    <w:p>
      <w:pPr>
        <w:ind w:left="880"/>
        <w:spacing w:after="0" w:line="191" w:lineRule="auto"/>
        <w:rPr>
          <w:sz w:val="20"/>
          <w:szCs w:val="20"/>
          <w:color w:val="auto"/>
        </w:rPr>
      </w:pPr>
      <w:r>
        <w:rPr>
          <w:rFonts w:ascii="Times New Roman" w:cs="Times New Roman" w:eastAsia="Times New Roman" w:hAnsi="Times New Roman"/>
          <w:sz w:val="12"/>
          <w:szCs w:val="12"/>
          <w:color w:val="auto"/>
        </w:rPr>
        <w:t>Portfolio company is domiciled in the United Kingdom. Fair value of United-Kingdom-domiciled investments represents 0.33% of net assets.</w:t>
      </w:r>
    </w:p>
    <w:p>
      <w:pPr>
        <w:ind w:left="20"/>
        <w:spacing w:after="0" w:line="196" w:lineRule="auto"/>
        <w:rPr>
          <w:sz w:val="20"/>
          <w:szCs w:val="20"/>
          <w:color w:val="auto"/>
        </w:rPr>
      </w:pPr>
      <w:r>
        <w:rPr>
          <w:rFonts w:ascii="Times New Roman" w:cs="Times New Roman" w:eastAsia="Times New Roman" w:hAnsi="Times New Roman"/>
          <w:sz w:val="7"/>
          <w:szCs w:val="7"/>
          <w:color w:val="auto"/>
        </w:rPr>
        <w:t>(6)</w:t>
      </w:r>
    </w:p>
    <w:p>
      <w:pPr>
        <w:ind w:left="880"/>
        <w:spacing w:after="0" w:line="191" w:lineRule="auto"/>
        <w:rPr>
          <w:sz w:val="20"/>
          <w:szCs w:val="20"/>
          <w:color w:val="auto"/>
        </w:rPr>
      </w:pPr>
      <w:r>
        <w:rPr>
          <w:rFonts w:ascii="Times New Roman" w:cs="Times New Roman" w:eastAsia="Times New Roman" w:hAnsi="Times New Roman"/>
          <w:sz w:val="12"/>
          <w:szCs w:val="12"/>
          <w:color w:val="auto"/>
        </w:rPr>
        <w:t>Portfolio company is domiciled in Germany. Fair value of Germany-domiciled investments represents 7.26% of net assets.</w:t>
      </w:r>
    </w:p>
    <w:p>
      <w:pPr>
        <w:ind w:left="20"/>
        <w:spacing w:after="0" w:line="196" w:lineRule="auto"/>
        <w:rPr>
          <w:sz w:val="20"/>
          <w:szCs w:val="20"/>
          <w:color w:val="auto"/>
        </w:rPr>
      </w:pPr>
      <w:r>
        <w:rPr>
          <w:rFonts w:ascii="Times New Roman" w:cs="Times New Roman" w:eastAsia="Times New Roman" w:hAnsi="Times New Roman"/>
          <w:sz w:val="7"/>
          <w:szCs w:val="7"/>
          <w:color w:val="auto"/>
        </w:rPr>
        <w:t>(7)</w:t>
      </w:r>
    </w:p>
    <w:p>
      <w:pPr>
        <w:ind w:left="880"/>
        <w:spacing w:after="0" w:line="191" w:lineRule="auto"/>
        <w:rPr>
          <w:sz w:val="20"/>
          <w:szCs w:val="20"/>
          <w:color w:val="auto"/>
        </w:rPr>
      </w:pPr>
      <w:r>
        <w:rPr>
          <w:rFonts w:ascii="Times New Roman" w:cs="Times New Roman" w:eastAsia="Times New Roman" w:hAnsi="Times New Roman"/>
          <w:sz w:val="12"/>
          <w:szCs w:val="12"/>
          <w:color w:val="auto"/>
        </w:rPr>
        <w:t>Portfolio company is domiciled in Canada. Fair value of Canadian-domiciled investments represents 2.91% of net assets.</w:t>
      </w:r>
    </w:p>
    <w:p>
      <w:pPr>
        <w:ind w:left="20"/>
        <w:spacing w:after="0" w:line="196" w:lineRule="auto"/>
        <w:rPr>
          <w:sz w:val="20"/>
          <w:szCs w:val="20"/>
          <w:color w:val="auto"/>
        </w:rPr>
      </w:pPr>
      <w:r>
        <w:rPr>
          <w:rFonts w:ascii="Times New Roman" w:cs="Times New Roman" w:eastAsia="Times New Roman" w:hAnsi="Times New Roman"/>
          <w:sz w:val="7"/>
          <w:szCs w:val="7"/>
          <w:color w:val="auto"/>
        </w:rPr>
        <w:t>(8)</w:t>
      </w:r>
    </w:p>
    <w:p>
      <w:pPr>
        <w:ind w:left="880"/>
        <w:spacing w:after="0" w:line="191" w:lineRule="auto"/>
        <w:rPr>
          <w:sz w:val="20"/>
          <w:szCs w:val="20"/>
          <w:color w:val="auto"/>
        </w:rPr>
      </w:pPr>
      <w:r>
        <w:rPr>
          <w:rFonts w:ascii="Times New Roman" w:cs="Times New Roman" w:eastAsia="Times New Roman" w:hAnsi="Times New Roman"/>
          <w:sz w:val="12"/>
          <w:szCs w:val="12"/>
          <w:color w:val="auto"/>
        </w:rPr>
        <w:t>Portfolio company is domiciled in the Netherlands. Fair value of Dutch-domiciled investments represents 3.35% of net assets.</w:t>
      </w:r>
    </w:p>
    <w:p>
      <w:pPr>
        <w:ind w:left="20"/>
        <w:spacing w:after="0" w:line="195" w:lineRule="auto"/>
        <w:rPr>
          <w:sz w:val="20"/>
          <w:szCs w:val="20"/>
          <w:color w:val="auto"/>
        </w:rPr>
      </w:pPr>
      <w:r>
        <w:rPr>
          <w:rFonts w:ascii="Times New Roman" w:cs="Times New Roman" w:eastAsia="Times New Roman" w:hAnsi="Times New Roman"/>
          <w:sz w:val="7"/>
          <w:szCs w:val="7"/>
          <w:color w:val="auto"/>
        </w:rPr>
        <w:t>(9)</w:t>
      </w:r>
    </w:p>
    <w:p>
      <w:pPr>
        <w:ind w:left="880" w:right="100"/>
        <w:spacing w:after="0" w:line="206" w:lineRule="auto"/>
        <w:rPr>
          <w:sz w:val="20"/>
          <w:szCs w:val="20"/>
          <w:color w:val="auto"/>
        </w:rPr>
      </w:pPr>
      <w:r>
        <w:rPr>
          <w:rFonts w:ascii="Times New Roman" w:cs="Times New Roman" w:eastAsia="Times New Roman" w:hAnsi="Times New Roman"/>
          <w:sz w:val="14"/>
          <w:szCs w:val="14"/>
          <w:color w:val="auto"/>
        </w:rPr>
        <w:t>Investment is not a qualifying investment as defined under Section 55(a) of the Investment Company Act of 1940, as amended. The fair value of non-qualifying assets represents 7.05% of total assets as of September 30, 2024.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p>
      <w:pPr>
        <w:ind w:left="20"/>
        <w:spacing w:after="0" w:line="203" w:lineRule="auto"/>
        <w:rPr>
          <w:sz w:val="20"/>
          <w:szCs w:val="20"/>
          <w:color w:val="auto"/>
        </w:rPr>
      </w:pPr>
      <w:r>
        <w:rPr>
          <w:rFonts w:ascii="Times New Roman" w:cs="Times New Roman" w:eastAsia="Times New Roman" w:hAnsi="Times New Roman"/>
          <w:sz w:val="7"/>
          <w:szCs w:val="7"/>
          <w:color w:val="auto"/>
        </w:rPr>
        <w:t>(10)</w:t>
      </w:r>
    </w:p>
    <w:p>
      <w:pPr>
        <w:ind w:left="880" w:right="420"/>
        <w:spacing w:after="0" w:line="192" w:lineRule="auto"/>
        <w:rPr>
          <w:sz w:val="20"/>
          <w:szCs w:val="20"/>
          <w:color w:val="auto"/>
        </w:rPr>
      </w:pPr>
      <w:r>
        <w:rPr>
          <w:rFonts w:ascii="Times New Roman" w:cs="Times New Roman" w:eastAsia="Times New Roman" w:hAnsi="Times New Roman"/>
          <w:sz w:val="14"/>
          <w:szCs w:val="14"/>
          <w:color w:val="auto"/>
        </w:rPr>
        <w:t>Represents a PIK security. PIK interest will be accrued and paid at maturity. For any investments denoting a "cash cap", any interest above such cap will be recorded as PIK interest.</w:t>
      </w:r>
    </w:p>
    <w:p>
      <w:pPr>
        <w:ind w:left="20"/>
        <w:spacing w:after="0" w:line="198" w:lineRule="auto"/>
        <w:rPr>
          <w:sz w:val="20"/>
          <w:szCs w:val="20"/>
          <w:color w:val="auto"/>
        </w:rPr>
      </w:pPr>
      <w:r>
        <w:rPr>
          <w:rFonts w:ascii="Times New Roman" w:cs="Times New Roman" w:eastAsia="Times New Roman" w:hAnsi="Times New Roman"/>
          <w:sz w:val="7"/>
          <w:szCs w:val="7"/>
          <w:color w:val="auto"/>
        </w:rPr>
        <w:t>(11)</w:t>
      </w:r>
    </w:p>
    <w:p>
      <w:pPr>
        <w:ind w:left="880"/>
        <w:spacing w:after="0" w:line="191" w:lineRule="auto"/>
        <w:rPr>
          <w:sz w:val="20"/>
          <w:szCs w:val="20"/>
          <w:color w:val="auto"/>
        </w:rPr>
      </w:pPr>
      <w:r>
        <w:rPr>
          <w:rFonts w:ascii="Times New Roman" w:cs="Times New Roman" w:eastAsia="Times New Roman" w:hAnsi="Times New Roman"/>
          <w:sz w:val="12"/>
          <w:szCs w:val="12"/>
          <w:color w:val="auto"/>
        </w:rPr>
        <w:t>Disclosures of end-of-term payments ("ETP") are one-time payments stated as a percentage of original principal amount.</w:t>
      </w:r>
    </w:p>
    <w:p>
      <w:pPr>
        <w:ind w:left="20"/>
        <w:spacing w:after="0" w:line="195" w:lineRule="auto"/>
        <w:rPr>
          <w:sz w:val="20"/>
          <w:szCs w:val="20"/>
          <w:color w:val="auto"/>
        </w:rPr>
      </w:pPr>
      <w:r>
        <w:rPr>
          <w:rFonts w:ascii="Times New Roman" w:cs="Times New Roman" w:eastAsia="Times New Roman" w:hAnsi="Times New Roman"/>
          <w:sz w:val="7"/>
          <w:szCs w:val="7"/>
          <w:color w:val="auto"/>
        </w:rPr>
        <w:t>(12)</w:t>
      </w:r>
    </w:p>
    <w:p>
      <w:pPr>
        <w:ind w:left="880"/>
        <w:spacing w:after="0" w:line="191" w:lineRule="auto"/>
        <w:rPr>
          <w:sz w:val="20"/>
          <w:szCs w:val="20"/>
          <w:color w:val="auto"/>
        </w:rPr>
      </w:pPr>
      <w:r>
        <w:rPr>
          <w:rFonts w:ascii="Times New Roman" w:cs="Times New Roman" w:eastAsia="Times New Roman" w:hAnsi="Times New Roman"/>
          <w:sz w:val="12"/>
          <w:szCs w:val="12"/>
          <w:color w:val="auto"/>
        </w:rPr>
        <w:t>The investment is an eligible loan investment in the collateral under the Credit Facility (as defined in "Note 7 – Borrowings").</w:t>
      </w:r>
    </w:p>
    <w:p>
      <w:pPr>
        <w:ind w:left="20"/>
        <w:spacing w:after="0" w:line="196" w:lineRule="auto"/>
        <w:rPr>
          <w:sz w:val="20"/>
          <w:szCs w:val="20"/>
          <w:color w:val="auto"/>
        </w:rPr>
      </w:pPr>
      <w:r>
        <w:rPr>
          <w:rFonts w:ascii="Times New Roman" w:cs="Times New Roman" w:eastAsia="Times New Roman" w:hAnsi="Times New Roman"/>
          <w:sz w:val="7"/>
          <w:szCs w:val="7"/>
          <w:color w:val="auto"/>
        </w:rPr>
        <w:t>(13)</w:t>
      </w:r>
    </w:p>
    <w:p>
      <w:pPr>
        <w:ind w:left="880"/>
        <w:spacing w:after="0" w:line="191" w:lineRule="auto"/>
        <w:rPr>
          <w:sz w:val="20"/>
          <w:szCs w:val="20"/>
          <w:color w:val="auto"/>
        </w:rPr>
      </w:pPr>
      <w:r>
        <w:rPr>
          <w:rFonts w:ascii="Times New Roman" w:cs="Times New Roman" w:eastAsia="Times New Roman" w:hAnsi="Times New Roman"/>
          <w:sz w:val="12"/>
          <w:szCs w:val="12"/>
          <w:color w:val="auto"/>
        </w:rPr>
        <w:t>Investments are non-income producing.</w:t>
      </w:r>
    </w:p>
    <w:p>
      <w:pPr>
        <w:ind w:left="20"/>
        <w:spacing w:after="0" w:line="196" w:lineRule="auto"/>
        <w:rPr>
          <w:sz w:val="20"/>
          <w:szCs w:val="20"/>
          <w:color w:val="auto"/>
        </w:rPr>
      </w:pPr>
      <w:r>
        <w:rPr>
          <w:rFonts w:ascii="Times New Roman" w:cs="Times New Roman" w:eastAsia="Times New Roman" w:hAnsi="Times New Roman"/>
          <w:sz w:val="7"/>
          <w:szCs w:val="7"/>
          <w:color w:val="auto"/>
        </w:rPr>
        <w:t>(14)</w:t>
      </w:r>
    </w:p>
    <w:p>
      <w:pPr>
        <w:ind w:left="880"/>
        <w:spacing w:after="0" w:line="191" w:lineRule="auto"/>
        <w:rPr>
          <w:sz w:val="20"/>
          <w:szCs w:val="20"/>
          <w:color w:val="auto"/>
        </w:rPr>
      </w:pPr>
      <w:r>
        <w:rPr>
          <w:rFonts w:ascii="Times New Roman" w:cs="Times New Roman" w:eastAsia="Times New Roman" w:hAnsi="Times New Roman"/>
          <w:sz w:val="12"/>
          <w:szCs w:val="12"/>
          <w:color w:val="auto"/>
        </w:rPr>
        <w:t>Portfolio company is publicly traded and listed on NYSE.</w:t>
      </w:r>
    </w:p>
    <w:p>
      <w:pPr>
        <w:ind w:left="20"/>
        <w:spacing w:after="0" w:line="196" w:lineRule="auto"/>
        <w:rPr>
          <w:sz w:val="20"/>
          <w:szCs w:val="20"/>
          <w:color w:val="auto"/>
        </w:rPr>
      </w:pPr>
      <w:r>
        <w:rPr>
          <w:rFonts w:ascii="Times New Roman" w:cs="Times New Roman" w:eastAsia="Times New Roman" w:hAnsi="Times New Roman"/>
          <w:sz w:val="7"/>
          <w:szCs w:val="7"/>
          <w:color w:val="auto"/>
        </w:rPr>
        <w:t>(15)</w:t>
      </w:r>
    </w:p>
    <w:p>
      <w:pPr>
        <w:ind w:left="880"/>
        <w:spacing w:after="0" w:line="191" w:lineRule="auto"/>
        <w:rPr>
          <w:sz w:val="20"/>
          <w:szCs w:val="20"/>
          <w:color w:val="auto"/>
        </w:rPr>
      </w:pPr>
      <w:r>
        <w:rPr>
          <w:rFonts w:ascii="Times New Roman" w:cs="Times New Roman" w:eastAsia="Times New Roman" w:hAnsi="Times New Roman"/>
          <w:sz w:val="12"/>
          <w:szCs w:val="12"/>
          <w:color w:val="auto"/>
        </w:rPr>
        <w:t>Portfolio company is publicly traded and listed on NASDAQ.</w:t>
      </w:r>
    </w:p>
    <w:p>
      <w:pPr>
        <w:ind w:left="20"/>
        <w:spacing w:after="0" w:line="196" w:lineRule="auto"/>
        <w:rPr>
          <w:sz w:val="20"/>
          <w:szCs w:val="20"/>
          <w:color w:val="auto"/>
        </w:rPr>
      </w:pPr>
      <w:r>
        <w:rPr>
          <w:rFonts w:ascii="Times New Roman" w:cs="Times New Roman" w:eastAsia="Times New Roman" w:hAnsi="Times New Roman"/>
          <w:sz w:val="7"/>
          <w:szCs w:val="7"/>
          <w:color w:val="auto"/>
        </w:rPr>
        <w:t>(16)</w:t>
      </w:r>
    </w:p>
    <w:p>
      <w:pPr>
        <w:ind w:left="880"/>
        <w:spacing w:after="0" w:line="191" w:lineRule="auto"/>
        <w:rPr>
          <w:sz w:val="20"/>
          <w:szCs w:val="20"/>
          <w:color w:val="auto"/>
        </w:rPr>
      </w:pPr>
      <w:r>
        <w:rPr>
          <w:rFonts w:ascii="Times New Roman" w:cs="Times New Roman" w:eastAsia="Times New Roman" w:hAnsi="Times New Roman"/>
          <w:sz w:val="12"/>
          <w:szCs w:val="12"/>
          <w:color w:val="auto"/>
        </w:rPr>
        <w:t>Portfolio company is publicly traded and listed on ASX.</w:t>
      </w:r>
    </w:p>
    <w:p>
      <w:pPr>
        <w:ind w:left="20"/>
        <w:spacing w:after="0" w:line="196" w:lineRule="auto"/>
        <w:rPr>
          <w:sz w:val="20"/>
          <w:szCs w:val="20"/>
          <w:color w:val="auto"/>
        </w:rPr>
      </w:pPr>
      <w:r>
        <w:rPr>
          <w:rFonts w:ascii="Times New Roman" w:cs="Times New Roman" w:eastAsia="Times New Roman" w:hAnsi="Times New Roman"/>
          <w:sz w:val="7"/>
          <w:szCs w:val="7"/>
          <w:color w:val="auto"/>
        </w:rPr>
        <w:t>(17)</w:t>
      </w:r>
    </w:p>
    <w:p>
      <w:pPr>
        <w:ind w:left="880"/>
        <w:spacing w:after="0" w:line="191" w:lineRule="auto"/>
        <w:rPr>
          <w:sz w:val="20"/>
          <w:szCs w:val="20"/>
          <w:color w:val="auto"/>
        </w:rPr>
      </w:pPr>
      <w:r>
        <w:rPr>
          <w:rFonts w:ascii="Times New Roman" w:cs="Times New Roman" w:eastAsia="Times New Roman" w:hAnsi="Times New Roman"/>
          <w:sz w:val="12"/>
          <w:szCs w:val="12"/>
          <w:color w:val="auto"/>
        </w:rPr>
        <w:t>Portfolio company is publicly traded and listed on Euronext.</w:t>
      </w:r>
    </w:p>
    <w:p>
      <w:pPr>
        <w:ind w:left="20"/>
        <w:spacing w:after="0" w:line="195" w:lineRule="auto"/>
        <w:rPr>
          <w:sz w:val="20"/>
          <w:szCs w:val="20"/>
          <w:color w:val="auto"/>
        </w:rPr>
      </w:pPr>
      <w:r>
        <w:rPr>
          <w:rFonts w:ascii="Times New Roman" w:cs="Times New Roman" w:eastAsia="Times New Roman" w:hAnsi="Times New Roman"/>
          <w:sz w:val="7"/>
          <w:szCs w:val="7"/>
          <w:color w:val="auto"/>
        </w:rPr>
        <w:t>(18)</w:t>
      </w:r>
    </w:p>
    <w:p>
      <w:pPr>
        <w:ind w:left="880"/>
        <w:spacing w:after="0" w:line="191" w:lineRule="auto"/>
        <w:rPr>
          <w:sz w:val="20"/>
          <w:szCs w:val="20"/>
          <w:color w:val="auto"/>
        </w:rPr>
      </w:pPr>
      <w:r>
        <w:rPr>
          <w:rFonts w:ascii="Times New Roman" w:cs="Times New Roman" w:eastAsia="Times New Roman" w:hAnsi="Times New Roman"/>
          <w:sz w:val="12"/>
          <w:szCs w:val="12"/>
          <w:color w:val="auto"/>
        </w:rPr>
        <w:t>Portfolio company is publicly traded and listed on ETR.</w:t>
      </w:r>
    </w:p>
    <w:p>
      <w:pPr>
        <w:ind w:left="20"/>
        <w:spacing w:after="0" w:line="196" w:lineRule="auto"/>
        <w:rPr>
          <w:sz w:val="20"/>
          <w:szCs w:val="20"/>
          <w:color w:val="auto"/>
        </w:rPr>
      </w:pPr>
      <w:r>
        <w:rPr>
          <w:rFonts w:ascii="Times New Roman" w:cs="Times New Roman" w:eastAsia="Times New Roman" w:hAnsi="Times New Roman"/>
          <w:sz w:val="7"/>
          <w:szCs w:val="7"/>
          <w:color w:val="auto"/>
        </w:rPr>
        <w:t>(19)</w:t>
      </w:r>
    </w:p>
    <w:p>
      <w:pPr>
        <w:ind w:left="880"/>
        <w:spacing w:after="0" w:line="191" w:lineRule="auto"/>
        <w:rPr>
          <w:sz w:val="20"/>
          <w:szCs w:val="20"/>
          <w:color w:val="auto"/>
        </w:rPr>
      </w:pPr>
      <w:r>
        <w:rPr>
          <w:rFonts w:ascii="Times New Roman" w:cs="Times New Roman" w:eastAsia="Times New Roman" w:hAnsi="Times New Roman"/>
          <w:sz w:val="12"/>
          <w:szCs w:val="12"/>
          <w:color w:val="auto"/>
        </w:rPr>
        <w:t>Investment is not a "restricted security" under the Securities Act.</w:t>
      </w:r>
    </w:p>
    <w:p>
      <w:pPr>
        <w:ind w:left="20"/>
        <w:spacing w:after="0" w:line="196" w:lineRule="auto"/>
        <w:rPr>
          <w:sz w:val="20"/>
          <w:szCs w:val="20"/>
          <w:color w:val="auto"/>
        </w:rPr>
      </w:pPr>
      <w:r>
        <w:rPr>
          <w:rFonts w:ascii="Times New Roman" w:cs="Times New Roman" w:eastAsia="Times New Roman" w:hAnsi="Times New Roman"/>
          <w:sz w:val="7"/>
          <w:szCs w:val="7"/>
          <w:color w:val="auto"/>
        </w:rPr>
        <w:t>(20)</w:t>
      </w:r>
    </w:p>
    <w:p>
      <w:pPr>
        <w:ind w:left="880"/>
        <w:spacing w:after="0" w:line="191" w:lineRule="auto"/>
        <w:rPr>
          <w:sz w:val="20"/>
          <w:szCs w:val="20"/>
          <w:color w:val="auto"/>
        </w:rPr>
      </w:pPr>
      <w:r>
        <w:rPr>
          <w:rFonts w:ascii="Times New Roman" w:cs="Times New Roman" w:eastAsia="Times New Roman" w:hAnsi="Times New Roman"/>
          <w:sz w:val="12"/>
          <w:szCs w:val="12"/>
          <w:color w:val="auto"/>
        </w:rPr>
        <w:t>The warrant count is based upon a percentage of ownership of Fidelis Cybersecurity, Inc.</w:t>
      </w:r>
    </w:p>
    <w:p>
      <w:pPr>
        <w:ind w:left="20"/>
        <w:spacing w:after="0" w:line="196" w:lineRule="auto"/>
        <w:rPr>
          <w:sz w:val="20"/>
          <w:szCs w:val="20"/>
          <w:color w:val="auto"/>
        </w:rPr>
      </w:pPr>
      <w:r>
        <w:rPr>
          <w:rFonts w:ascii="Times New Roman" w:cs="Times New Roman" w:eastAsia="Times New Roman" w:hAnsi="Times New Roman"/>
          <w:sz w:val="7"/>
          <w:szCs w:val="7"/>
          <w:color w:val="auto"/>
        </w:rPr>
        <w:t>(21)</w:t>
      </w:r>
    </w:p>
    <w:p>
      <w:pPr>
        <w:ind w:left="880"/>
        <w:spacing w:after="0" w:line="191" w:lineRule="auto"/>
        <w:rPr>
          <w:sz w:val="20"/>
          <w:szCs w:val="20"/>
          <w:color w:val="auto"/>
        </w:rPr>
      </w:pPr>
      <w:r>
        <w:rPr>
          <w:rFonts w:ascii="Times New Roman" w:cs="Times New Roman" w:eastAsia="Times New Roman" w:hAnsi="Times New Roman"/>
          <w:sz w:val="12"/>
          <w:szCs w:val="12"/>
          <w:color w:val="auto"/>
        </w:rPr>
        <w:t>Investment is either a cash success fee payable or earnout of shares based on the consummation of certain trigger events.</w:t>
      </w:r>
    </w:p>
    <w:p>
      <w:pPr>
        <w:ind w:left="20"/>
        <w:spacing w:after="0" w:line="196" w:lineRule="auto"/>
        <w:rPr>
          <w:sz w:val="20"/>
          <w:szCs w:val="20"/>
          <w:color w:val="auto"/>
        </w:rPr>
      </w:pPr>
      <w:r>
        <w:rPr>
          <w:rFonts w:ascii="Times New Roman" w:cs="Times New Roman" w:eastAsia="Times New Roman" w:hAnsi="Times New Roman"/>
          <w:sz w:val="7"/>
          <w:szCs w:val="7"/>
          <w:color w:val="auto"/>
        </w:rPr>
        <w:t>(22)</w:t>
      </w:r>
    </w:p>
    <w:p>
      <w:pPr>
        <w:ind w:left="880" w:right="300"/>
        <w:spacing w:after="0" w:line="202" w:lineRule="auto"/>
        <w:rPr>
          <w:sz w:val="20"/>
          <w:szCs w:val="20"/>
          <w:color w:val="auto"/>
        </w:rPr>
      </w:pPr>
      <w:r>
        <w:rPr>
          <w:rFonts w:ascii="Times New Roman" w:cs="Times New Roman" w:eastAsia="Times New Roman" w:hAnsi="Times New Roman"/>
          <w:sz w:val="14"/>
          <w:szCs w:val="14"/>
          <w:color w:val="auto"/>
        </w:rPr>
        <w:t>Investment is denominated in a foreign currency. At each balance sheet date, portfolio company investments denominated in foreign currencies are translated into U.S. dollars using the spot exchange rate on the last business day of the period. Transactions of foreign portfolio company investments, and income related from such investments, are translated into U.S. dollars using relevant rates of exchange on the respective dates of such transactions.</w:t>
      </w:r>
    </w:p>
    <w:p>
      <w:pPr>
        <w:ind w:left="20"/>
        <w:spacing w:after="0" w:line="196" w:lineRule="auto"/>
        <w:rPr>
          <w:sz w:val="20"/>
          <w:szCs w:val="20"/>
          <w:color w:val="auto"/>
        </w:rPr>
      </w:pPr>
      <w:r>
        <w:rPr>
          <w:rFonts w:ascii="Times New Roman" w:cs="Times New Roman" w:eastAsia="Times New Roman" w:hAnsi="Times New Roman"/>
          <w:sz w:val="7"/>
          <w:szCs w:val="7"/>
          <w:color w:val="auto"/>
        </w:rPr>
        <w:t>(23)</w:t>
      </w:r>
    </w:p>
    <w:p>
      <w:pPr>
        <w:ind w:left="880" w:right="20"/>
        <w:spacing w:after="0" w:line="192" w:lineRule="auto"/>
        <w:rPr>
          <w:sz w:val="20"/>
          <w:szCs w:val="20"/>
          <w:color w:val="auto"/>
        </w:rPr>
      </w:pPr>
      <w:r>
        <w:rPr>
          <w:rFonts w:ascii="Times New Roman" w:cs="Times New Roman" w:eastAsia="Times New Roman" w:hAnsi="Times New Roman"/>
          <w:sz w:val="14"/>
          <w:szCs w:val="14"/>
          <w:color w:val="auto"/>
        </w:rPr>
        <w:t>Convertible notes represent investments that are redeemable by the Company upon occurrence of contingent events. There are no principal or interest payments to be made against the note.</w:t>
      </w:r>
    </w:p>
    <w:p>
      <w:pPr>
        <w:ind w:left="20"/>
        <w:spacing w:after="0" w:line="198" w:lineRule="auto"/>
        <w:rPr>
          <w:sz w:val="20"/>
          <w:szCs w:val="20"/>
          <w:color w:val="auto"/>
        </w:rPr>
      </w:pPr>
      <w:r>
        <w:rPr>
          <w:rFonts w:ascii="Times New Roman" w:cs="Times New Roman" w:eastAsia="Times New Roman" w:hAnsi="Times New Roman"/>
          <w:sz w:val="7"/>
          <w:szCs w:val="7"/>
          <w:color w:val="auto"/>
        </w:rPr>
        <w:t>(24)</w:t>
      </w:r>
    </w:p>
    <w:p>
      <w:pPr>
        <w:ind w:left="880" w:right="200"/>
        <w:spacing w:after="0" w:line="192" w:lineRule="auto"/>
        <w:rPr>
          <w:sz w:val="20"/>
          <w:szCs w:val="20"/>
          <w:color w:val="auto"/>
        </w:rPr>
      </w:pPr>
      <w:r>
        <w:rPr>
          <w:rFonts w:ascii="Times New Roman" w:cs="Times New Roman" w:eastAsia="Times New Roman" w:hAnsi="Times New Roman"/>
          <w:sz w:val="14"/>
          <w:szCs w:val="14"/>
          <w:color w:val="auto"/>
        </w:rPr>
        <w:t>The assets recovered on the senior secured term loan to Pivot 3, Inc. was contributed to P3 Holdco LLC by the Company, a wholly owned subsidiary of the Company. For more information, refer to "Note 2 — Summary of Significant Accounting Policies, Principles of Consolidation".</w:t>
      </w:r>
    </w:p>
    <w:p>
      <w:pPr>
        <w:ind w:left="20"/>
        <w:spacing w:after="0" w:line="198" w:lineRule="auto"/>
        <w:rPr>
          <w:sz w:val="20"/>
          <w:szCs w:val="20"/>
          <w:color w:val="auto"/>
        </w:rPr>
      </w:pPr>
      <w:r>
        <w:rPr>
          <w:rFonts w:ascii="Times New Roman" w:cs="Times New Roman" w:eastAsia="Times New Roman" w:hAnsi="Times New Roman"/>
          <w:sz w:val="7"/>
          <w:szCs w:val="7"/>
          <w:color w:val="auto"/>
        </w:rPr>
        <w:t>(25)</w:t>
      </w:r>
    </w:p>
    <w:p>
      <w:pPr>
        <w:ind w:left="880" w:right="200"/>
        <w:spacing w:after="0" w:line="192" w:lineRule="auto"/>
        <w:rPr>
          <w:sz w:val="20"/>
          <w:szCs w:val="20"/>
          <w:color w:val="auto"/>
        </w:rPr>
      </w:pPr>
      <w:r>
        <w:rPr>
          <w:rFonts w:ascii="Times New Roman" w:cs="Times New Roman" w:eastAsia="Times New Roman" w:hAnsi="Times New Roman"/>
          <w:sz w:val="14"/>
          <w:szCs w:val="14"/>
          <w:color w:val="auto"/>
        </w:rPr>
        <w:t>Affiliate portfolio company as defined under the 1940 Act in which the Company owns between 5% and 25% (inclusive) of the investment's voting securities and does not have rights to maintain greater than 50% representation on the board.</w:t>
      </w:r>
    </w:p>
    <w:p>
      <w:pPr>
        <w:ind w:left="20"/>
        <w:spacing w:after="0" w:line="198" w:lineRule="auto"/>
        <w:rPr>
          <w:sz w:val="20"/>
          <w:szCs w:val="20"/>
          <w:color w:val="auto"/>
        </w:rPr>
      </w:pPr>
      <w:r>
        <w:rPr>
          <w:rFonts w:ascii="Times New Roman" w:cs="Times New Roman" w:eastAsia="Times New Roman" w:hAnsi="Times New Roman"/>
          <w:sz w:val="7"/>
          <w:szCs w:val="7"/>
          <w:color w:val="auto"/>
        </w:rPr>
        <w:t>(26)</w:t>
      </w:r>
    </w:p>
    <w:p>
      <w:pPr>
        <w:ind w:left="880"/>
        <w:spacing w:after="0" w:line="192" w:lineRule="auto"/>
        <w:rPr>
          <w:sz w:val="20"/>
          <w:szCs w:val="20"/>
          <w:color w:val="auto"/>
        </w:rPr>
      </w:pPr>
      <w:r>
        <w:rPr>
          <w:rFonts w:ascii="Times New Roman" w:cs="Times New Roman" w:eastAsia="Times New Roman" w:hAnsi="Times New Roman"/>
          <w:sz w:val="14"/>
          <w:szCs w:val="14"/>
          <w:color w:val="auto"/>
        </w:rPr>
        <w:t>Control portfolio company, as defined under the 1940 Act, in which the Company owns more than 25% of the investment’s voting securities or has greater than 50% representation on its board.</w:t>
      </w:r>
    </w:p>
    <w:p>
      <w:pPr>
        <w:ind w:left="20"/>
        <w:spacing w:after="0" w:line="198" w:lineRule="auto"/>
        <w:rPr>
          <w:sz w:val="20"/>
          <w:szCs w:val="20"/>
          <w:color w:val="auto"/>
        </w:rPr>
      </w:pPr>
      <w:r>
        <w:rPr>
          <w:rFonts w:ascii="Times New Roman" w:cs="Times New Roman" w:eastAsia="Times New Roman" w:hAnsi="Times New Roman"/>
          <w:sz w:val="7"/>
          <w:szCs w:val="7"/>
          <w:color w:val="auto"/>
        </w:rPr>
        <w:t>(27)</w:t>
      </w:r>
    </w:p>
    <w:p>
      <w:pPr>
        <w:ind w:left="880"/>
        <w:spacing w:after="0" w:line="191" w:lineRule="auto"/>
        <w:rPr>
          <w:sz w:val="20"/>
          <w:szCs w:val="20"/>
          <w:color w:val="auto"/>
        </w:rPr>
      </w:pPr>
      <w:r>
        <w:rPr>
          <w:rFonts w:ascii="Times New Roman" w:cs="Times New Roman" w:eastAsia="Times New Roman" w:hAnsi="Times New Roman"/>
          <w:sz w:val="12"/>
          <w:szCs w:val="12"/>
          <w:color w:val="auto"/>
        </w:rPr>
        <w:t>Investment is on non-accrual status as of September 30, 2024 and is therefore considered non-income producing.</w:t>
      </w:r>
    </w:p>
    <w:p>
      <w:pPr>
        <w:ind w:left="20"/>
        <w:spacing w:after="0" w:line="195" w:lineRule="auto"/>
        <w:rPr>
          <w:sz w:val="20"/>
          <w:szCs w:val="20"/>
          <w:color w:val="auto"/>
        </w:rPr>
      </w:pPr>
      <w:r>
        <w:rPr>
          <w:rFonts w:ascii="Times New Roman" w:cs="Times New Roman" w:eastAsia="Times New Roman" w:hAnsi="Times New Roman"/>
          <w:sz w:val="7"/>
          <w:szCs w:val="7"/>
          <w:color w:val="auto"/>
        </w:rPr>
        <w:t>(28)</w:t>
      </w:r>
    </w:p>
    <w:p>
      <w:pPr>
        <w:ind w:left="880"/>
        <w:spacing w:after="0" w:line="191" w:lineRule="auto"/>
        <w:rPr>
          <w:sz w:val="20"/>
          <w:szCs w:val="20"/>
          <w:color w:val="auto"/>
        </w:rPr>
      </w:pPr>
      <w:r>
        <w:rPr>
          <w:rFonts w:ascii="Times New Roman" w:cs="Times New Roman" w:eastAsia="Times New Roman" w:hAnsi="Times New Roman"/>
          <w:sz w:val="12"/>
          <w:szCs w:val="12"/>
          <w:color w:val="auto"/>
        </w:rPr>
        <w:t>Sale of equity security is subject to a lock-up period until January 22, 2025.</w:t>
      </w:r>
    </w:p>
    <w:p>
      <w:pPr>
        <w:ind w:left="20"/>
        <w:spacing w:after="0" w:line="196" w:lineRule="auto"/>
        <w:rPr>
          <w:sz w:val="20"/>
          <w:szCs w:val="20"/>
          <w:color w:val="auto"/>
        </w:rPr>
      </w:pPr>
      <w:r>
        <w:rPr>
          <w:rFonts w:ascii="Times New Roman" w:cs="Times New Roman" w:eastAsia="Times New Roman" w:hAnsi="Times New Roman"/>
          <w:sz w:val="7"/>
          <w:szCs w:val="7"/>
          <w:color w:val="auto"/>
        </w:rPr>
        <w:t>(29)</w:t>
      </w:r>
    </w:p>
    <w:p>
      <w:pPr>
        <w:ind w:left="880"/>
        <w:spacing w:after="0" w:line="191" w:lineRule="auto"/>
        <w:rPr>
          <w:sz w:val="20"/>
          <w:szCs w:val="20"/>
          <w:color w:val="auto"/>
        </w:rPr>
      </w:pPr>
      <w:r>
        <w:rPr>
          <w:rFonts w:ascii="Times New Roman" w:cs="Times New Roman" w:eastAsia="Times New Roman" w:hAnsi="Times New Roman"/>
          <w:sz w:val="12"/>
          <w:szCs w:val="12"/>
          <w:color w:val="auto"/>
        </w:rPr>
        <w:t>Gynesonics, Inc. has the right of first refusal on sale of preferred stock.</w:t>
      </w:r>
    </w:p>
    <w:p>
      <w:pPr>
        <w:ind w:left="20"/>
        <w:spacing w:after="0" w:line="196" w:lineRule="auto"/>
        <w:rPr>
          <w:sz w:val="20"/>
          <w:szCs w:val="20"/>
          <w:color w:val="auto"/>
        </w:rPr>
      </w:pPr>
      <w:r>
        <w:rPr>
          <w:rFonts w:ascii="Times New Roman" w:cs="Times New Roman" w:eastAsia="Times New Roman" w:hAnsi="Times New Roman"/>
          <w:sz w:val="7"/>
          <w:szCs w:val="7"/>
          <w:color w:val="auto"/>
        </w:rPr>
        <w:t>*</w:t>
      </w:r>
    </w:p>
    <w:p>
      <w:pPr>
        <w:ind w:left="880"/>
        <w:spacing w:after="0"/>
        <w:rPr>
          <w:sz w:val="20"/>
          <w:szCs w:val="20"/>
          <w:color w:val="auto"/>
        </w:rPr>
      </w:pPr>
      <w:r>
        <w:rPr>
          <w:rFonts w:ascii="Times New Roman" w:cs="Times New Roman" w:eastAsia="Times New Roman" w:hAnsi="Times New Roman"/>
          <w:sz w:val="14"/>
          <w:szCs w:val="14"/>
          <w:color w:val="auto"/>
        </w:rPr>
        <w:t>Fair value as a percentage of net assets.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Investment Description</w:t>
            </w:r>
            <w:r>
              <w:rPr>
                <w:rFonts w:ascii="Times New Roman" w:cs="Times New Roman" w:eastAsia="Times New Roman" w:hAnsi="Times New Roman"/>
                <w:sz w:val="19"/>
                <w:szCs w:val="19"/>
                <w:b w:val="1"/>
                <w:bCs w:val="1"/>
                <w:color w:val="auto"/>
                <w:w w:val="95"/>
                <w:vertAlign w:val="superscript"/>
              </w:rPr>
              <w:t>(1),(2),(4)</w:t>
            </w:r>
          </w:p>
        </w:tc>
        <w:tc>
          <w:tcPr>
            <w:tcW w:w="12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Value ($) </w:t>
            </w:r>
            <w:r>
              <w:rPr>
                <w:rFonts w:ascii="Times New Roman" w:cs="Times New Roman" w:eastAsia="Times New Roman" w:hAnsi="Times New Roman"/>
                <w:sz w:val="19"/>
                <w:szCs w:val="19"/>
                <w:b w:val="1"/>
                <w:bCs w:val="1"/>
                <w:color w:val="auto"/>
                <w:vertAlign w:val="superscript"/>
              </w:rPr>
              <w:t>(3)</w:t>
            </w:r>
          </w:p>
        </w:tc>
        <w:tc>
          <w:tcPr>
            <w:tcW w:w="2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 Investments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FF0FC"/>
            </w:tcBorders>
          </w:tcPr>
          <w:p>
            <w:pPr>
              <w:spacing w:after="0"/>
              <w:rPr>
                <w:sz w:val="15"/>
                <w:szCs w:val="15"/>
                <w:color w:val="auto"/>
              </w:rPr>
            </w:pPr>
          </w:p>
        </w:tc>
        <w:tc>
          <w:tcPr>
            <w:tcW w:w="2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Debt Investments</w:t>
            </w:r>
          </w:p>
        </w:tc>
        <w:tc>
          <w:tcPr>
            <w:tcW w:w="12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18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Blueshift Labs, Inc.</w:t>
            </w:r>
          </w:p>
        </w:tc>
        <w:tc>
          <w:tcPr>
            <w:tcW w:w="1060" w:type="dxa"/>
            <w:vAlign w:val="bottom"/>
            <w:gridSpan w:val="3"/>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SOFR+6.25%, 11.25%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12/19/2023</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12/15/2028</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25,500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25,083</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25,083</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2.00% PIK, 1.50%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Circadence Corporation</w:t>
            </w:r>
          </w:p>
        </w:tc>
        <w:tc>
          <w:tcPr>
            <w:tcW w:w="1060" w:type="dxa"/>
            <w:vAlign w:val="bottom"/>
            <w:gridSpan w:val="3"/>
            <w:shd w:val="clear" w:color="auto" w:fill="CFF0FC"/>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SOFR+9.50%, 12.26%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12/20/2018</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3/15/2024</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23,147</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24,281</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19,028</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10.00% cash cap, 7.50%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FiscalNote, Inc.</w:t>
            </w:r>
          </w:p>
        </w:tc>
        <w:tc>
          <w:tcPr>
            <w:tcW w:w="1060" w:type="dxa"/>
            <w:vAlign w:val="bottom"/>
            <w:gridSpan w:val="3"/>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PRIME+5.00%, 9.00%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10/19/2020</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7/15/2027</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65,916</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65,868</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64,615</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1.00% PIK, 5.75%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VTX Intermediate Holdings, Inc.</w:t>
            </w:r>
          </w:p>
        </w:tc>
        <w:tc>
          <w:tcPr>
            <w:tcW w:w="1060" w:type="dxa"/>
            <w:vAlign w:val="bottom"/>
            <w:gridSpan w:val="3"/>
            <w:shd w:val="clear" w:color="auto" w:fill="CFF0FC"/>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SOFR+9.00%, 9.50%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12/28/2021</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12/28/2026</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87,971</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88,747</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87,814</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52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(dba VertexOne)</w:t>
            </w: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10.00% cash cap, 4.50%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Application Software - 35.92%*</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203,979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196,540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Asset Management &amp; Custody Banks</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252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Betterment Holdings, Inc.</w:t>
            </w:r>
          </w:p>
        </w:tc>
        <w:tc>
          <w:tcPr>
            <w:tcW w:w="1060" w:type="dxa"/>
            <w:vAlign w:val="bottom"/>
            <w:tcBorders>
              <w:bottom w:val="single" w:sz="8" w:color="CFF0FC"/>
            </w:tcBorders>
            <w:gridSpan w:val="3"/>
            <w:shd w:val="clear" w:color="auto" w:fill="CFF0FC"/>
          </w:tcPr>
          <w:p>
            <w:pPr>
              <w:jc w:val="center"/>
              <w:ind w:right="180"/>
              <w:spacing w:after="0"/>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PRIME+4.50%, 8.50% floor</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10/6/2023</w:t>
            </w:r>
          </w:p>
        </w:tc>
        <w:tc>
          <w:tcPr>
            <w:tcW w:w="96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10/6/2027</w:t>
            </w: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7,888</w:t>
            </w: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7,860</w:t>
            </w:r>
          </w:p>
        </w:tc>
        <w:tc>
          <w:tcPr>
            <w:tcW w:w="9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Asset Management &amp; Custody Banks - 1.44%*</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7,888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7,860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Data Processing &amp; Outsourced Services</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Elevate Services, Inc.</w:t>
            </w:r>
          </w:p>
        </w:tc>
        <w:tc>
          <w:tcPr>
            <w:tcW w:w="1060" w:type="dxa"/>
            <w:vAlign w:val="bottom"/>
            <w:gridSpan w:val="3"/>
            <w:shd w:val="clear" w:color="auto" w:fill="CFF0FC"/>
          </w:tcPr>
          <w:p>
            <w:pPr>
              <w:jc w:val="center"/>
              <w:ind w:right="180"/>
              <w:spacing w:after="0"/>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SOFR+7.50%, 12.78% floor</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7/10/2023</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7/10/2027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19,424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19,424</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Interactions Corporation</w:t>
            </w:r>
          </w:p>
        </w:tc>
        <w:tc>
          <w:tcPr>
            <w:tcW w:w="1060" w:type="dxa"/>
            <w:vAlign w:val="bottom"/>
            <w:gridSpan w:val="3"/>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SOFR+9.26%, 9.76%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6/24/2022</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6/15/2027</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40,000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39,907</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39,945</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3.4375%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ShareThis, Inc.</w:t>
            </w:r>
          </w:p>
        </w:tc>
        <w:tc>
          <w:tcPr>
            <w:tcW w:w="1060" w:type="dxa"/>
            <w:vAlign w:val="bottom"/>
            <w:gridSpan w:val="3"/>
            <w:shd w:val="clear" w:color="auto" w:fill="CFF0FC"/>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SOFR+9.25%, 11.86%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12/3/2018</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9/30/2024</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19,950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20,503</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19,895</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3.00%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SOFR+8.25%, 10.86%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8/18/2020</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9/30/2024</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950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978</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947</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3.00%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Vesta Payment Solutions, Inc.</w:t>
            </w:r>
          </w:p>
        </w:tc>
        <w:tc>
          <w:tcPr>
            <w:tcW w:w="1060" w:type="dxa"/>
            <w:vAlign w:val="bottom"/>
            <w:gridSpan w:val="3"/>
            <w:shd w:val="clear" w:color="auto" w:fill="CFF0FC"/>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SOFR+7.00%, 9.00% floor,</w:t>
            </w:r>
          </w:p>
        </w:tc>
        <w:tc>
          <w:tcPr>
            <w:tcW w:w="102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11/29/2022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11/15/2026</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25,000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24,769</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24,370</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3.00%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Total Data Processing &amp; Outsourced Services - 19.12%*</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105,581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104,581</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Education Services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Turning Tech Intermediate, Inc.</w:t>
            </w:r>
          </w:p>
        </w:tc>
        <w:tc>
          <w:tcPr>
            <w:tcW w:w="1060" w:type="dxa"/>
            <w:vAlign w:val="bottom"/>
            <w:gridSpan w:val="3"/>
            <w:shd w:val="clear" w:color="auto" w:fill="CFF0FC"/>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SOFR+8.50%, 9.00%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6/22/2021</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12/14/2025</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25,218</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25,702</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25,796</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52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(dba Echo 360, Inc.)</w:t>
            </w: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13.00% cash cap, 3.00%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 Education Services - 4.72%*</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25,702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25,796</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Electronic Equipment &amp; Instruments</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Brivo, Inc.</w:t>
            </w:r>
          </w:p>
        </w:tc>
        <w:tc>
          <w:tcPr>
            <w:tcW w:w="1060" w:type="dxa"/>
            <w:vAlign w:val="bottom"/>
            <w:gridSpan w:val="3"/>
            <w:shd w:val="clear" w:color="auto" w:fill="CFF0FC"/>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SOFR+6.85%, 10.89%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10/20/2022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10/20/2027</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26,293</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26,323</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26,790</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3.00%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Electronic Equipment &amp; Instruments - 4.90%*</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26,323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26,790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Healthcare Equipment</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Moximed, Inc.</w:t>
            </w:r>
          </w:p>
        </w:tc>
        <w:tc>
          <w:tcPr>
            <w:tcW w:w="1060" w:type="dxa"/>
            <w:vAlign w:val="bottom"/>
            <w:gridSpan w:val="3"/>
            <w:shd w:val="clear" w:color="auto" w:fill="CFF0FC"/>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PRIME+5.25%, 8.75%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6/24/2022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7/1/2027</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15,000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14,919</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15,284</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3.50%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Healthcare Equipment - 2.79%*</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14,919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15,284</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Healthcare Technology</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EBR Systems, Inc.</w:t>
            </w:r>
          </w:p>
        </w:tc>
        <w:tc>
          <w:tcPr>
            <w:tcW w:w="1060" w:type="dxa"/>
            <w:vAlign w:val="bottom"/>
            <w:gridSpan w:val="3"/>
            <w:shd w:val="clear" w:color="auto" w:fill="CFF0FC"/>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PRIME+4.90%, 8.90%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6/30/2022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6/15/2027</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40,000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39,496</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40,337</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4.50%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Mingle Healthcare Solutions, Inc.</w:t>
            </w:r>
          </w:p>
        </w:tc>
        <w:tc>
          <w:tcPr>
            <w:tcW w:w="1060" w:type="dxa"/>
            <w:vAlign w:val="bottom"/>
            <w:gridSpan w:val="3"/>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SOFR+9.75%, 12.26%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8/15/2018</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12/15/2026</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4,322</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4,952</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3,791</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10.50%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Nalu Medical, Inc.</w:t>
            </w:r>
          </w:p>
        </w:tc>
        <w:tc>
          <w:tcPr>
            <w:tcW w:w="1060" w:type="dxa"/>
            <w:vAlign w:val="bottom"/>
            <w:gridSpan w:val="3"/>
            <w:shd w:val="clear" w:color="auto" w:fill="CFF0FC"/>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PRIME+2.70%, 6.70%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10/12/2022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10/12/2027</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20,482</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20,395</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21,191</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2.00% PIK, 4.50%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Route 92 Medical, Inc.</w:t>
            </w:r>
          </w:p>
        </w:tc>
        <w:tc>
          <w:tcPr>
            <w:tcW w:w="1060" w:type="dxa"/>
            <w:vAlign w:val="bottom"/>
            <w:gridSpan w:val="3"/>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SOFR+8.48%, 8.98%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8/17/2021</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7/1/2026</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35,000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34,239</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35,435</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3.95%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SetPoint Medical Corporation</w:t>
            </w:r>
          </w:p>
        </w:tc>
        <w:tc>
          <w:tcPr>
            <w:tcW w:w="1060" w:type="dxa"/>
            <w:vAlign w:val="bottom"/>
            <w:gridSpan w:val="3"/>
            <w:shd w:val="clear" w:color="auto" w:fill="CFF0FC"/>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SOFR+5.75%, 9.00%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12/29/2022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12/1/2027</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25,000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25,014</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25,450</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4.00%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Healthcare Technology - 23.06%*</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124,096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126,204</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-4886325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-4886325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-4423410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-4423410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-3146425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-3146425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-2597785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-2597785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-2049145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-2049145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-1500505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-1500505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-128905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-128905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-8890</wp:posOffset>
            </wp:positionV>
            <wp:extent cx="11315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Consolidated Schedule of Investments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5"/>
              </w:rPr>
              <w:t>Investment Description</w:t>
            </w:r>
            <w:r>
              <w:rPr>
                <w:rFonts w:ascii="Times New Roman" w:cs="Times New Roman" w:eastAsia="Times New Roman" w:hAnsi="Times New Roman"/>
                <w:sz w:val="19"/>
                <w:szCs w:val="19"/>
                <w:b w:val="1"/>
                <w:bCs w:val="1"/>
                <w:color w:val="auto"/>
                <w:w w:val="95"/>
                <w:vertAlign w:val="superscript"/>
              </w:rPr>
              <w:t>(1),(2),(4)</w:t>
            </w:r>
          </w:p>
        </w:tc>
        <w:tc>
          <w:tcPr>
            <w:tcW w:w="12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2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Value ($) </w:t>
            </w:r>
            <w:r>
              <w:rPr>
                <w:rFonts w:ascii="Times New Roman" w:cs="Times New Roman" w:eastAsia="Times New Roman" w:hAnsi="Times New Roman"/>
                <w:sz w:val="19"/>
                <w:szCs w:val="19"/>
                <w:b w:val="1"/>
                <w:bCs w:val="1"/>
                <w:color w:val="auto"/>
                <w:vertAlign w:val="superscript"/>
              </w:rPr>
              <w:t>(3)</w:t>
            </w:r>
          </w:p>
        </w:tc>
        <w:tc>
          <w:tcPr>
            <w:tcW w:w="2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 Investments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FF0FC"/>
            </w:tcBorders>
          </w:tcPr>
          <w:p>
            <w:pPr>
              <w:spacing w:after="0"/>
              <w:rPr>
                <w:sz w:val="15"/>
                <w:szCs w:val="15"/>
                <w:color w:val="auto"/>
              </w:rPr>
            </w:pPr>
          </w:p>
        </w:tc>
        <w:tc>
          <w:tcPr>
            <w:tcW w:w="2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Debt Investments</w:t>
            </w:r>
          </w:p>
        </w:tc>
        <w:tc>
          <w:tcPr>
            <w:tcW w:w="12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Human Resource &amp; Employment Services</w:t>
            </w: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CloudPay, Inc.</w:t>
            </w: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PRIME+6.25%, 10.25%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9/26/2022</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8/17/2027</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75,000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74,939</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75,465</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(5) (8) (10)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Snagajob.com, Inc.</w:t>
            </w:r>
          </w:p>
        </w:tc>
        <w:tc>
          <w:tcPr>
            <w:tcW w:w="1040" w:type="dxa"/>
            <w:vAlign w:val="bottom"/>
            <w:gridSpan w:val="2"/>
            <w:shd w:val="clear" w:color="auto" w:fill="CFF0FC"/>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SOFR+8.50% PIK, 9.00%</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9/29/2021</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9/1/2025</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40,825</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41,170</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36,541</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floor, 2.75%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Human Resource &amp; Employment Services - 20.47%*</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116,109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112,006</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Internet &amp; Direct Marketing Retail</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Madison Reed, Inc.</w:t>
            </w:r>
          </w:p>
        </w:tc>
        <w:tc>
          <w:tcPr>
            <w:tcW w:w="1040" w:type="dxa"/>
            <w:vAlign w:val="bottom"/>
            <w:gridSpan w:val="2"/>
            <w:shd w:val="clear" w:color="auto" w:fill="CFF0FC"/>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PRIME+4.75%, 11.00%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12/16/2022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12/16/2026</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10,913</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10,784</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10,847</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11.00% cash cap, 3.00%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Marley Spoon SE</w:t>
            </w: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SOFR+7.50%, 8.26%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6/30/2021</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6/15/2026</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44,983</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44,836</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44,462</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(6) (8) (9)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1.25% PIK</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Internet &amp; Direct Marketing Retail - 10.11%*</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55,620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55,309</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Internet Software and Services</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Bombora, Inc.</w:t>
            </w: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SOFR+4.75%, 6.75%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12/26/2023</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1/15/2028</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28,000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27,879</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27,879</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3.25% PIK, 0.96%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Skillshare, Inc.</w:t>
            </w:r>
          </w:p>
        </w:tc>
        <w:tc>
          <w:tcPr>
            <w:tcW w:w="1040" w:type="dxa"/>
            <w:vAlign w:val="bottom"/>
            <w:gridSpan w:val="2"/>
            <w:shd w:val="clear" w:color="auto" w:fill="CFF0FC"/>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SOFR+6.50%, 10.72%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11/8/2022</w:t>
            </w:r>
          </w:p>
        </w:tc>
        <w:tc>
          <w:tcPr>
            <w:tcW w:w="96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11/8/2026</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30,000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29,765</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29,183</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3.00%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Synack, Inc.</w:t>
            </w: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SOFR+7.00%, 11.07%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12/29/2023</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12/29/2028</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40,000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39,758</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39,758</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 ETP</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Internet Software and Services - 17.70%*</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97,402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96,820</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Property &amp; Casualty Insurance</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Kin Insurance, Inc.</w:t>
            </w: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PRIME+6.25%, 12.50%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9/26/2022</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9/15/2026</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75,000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74,877</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74,767</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3.00% ETP</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Property &amp; Casualty Insurance - 13.67%*</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74,877</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74,767</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System Software</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3PL Central LLC (dba Extensiv)</w:t>
            </w: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SOFR+4.50%, 6.50%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11/9/2022</w:t>
            </w:r>
          </w:p>
        </w:tc>
        <w:tc>
          <w:tcPr>
            <w:tcW w:w="96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11/9/2027</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70,395</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70,064</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69,066</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2.50% PIK, 2.00%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Linxup, LLC</w:t>
            </w:r>
          </w:p>
        </w:tc>
        <w:tc>
          <w:tcPr>
            <w:tcW w:w="1040" w:type="dxa"/>
            <w:vAlign w:val="bottom"/>
            <w:gridSpan w:val="2"/>
            <w:shd w:val="clear" w:color="auto" w:fill="CFF0FC"/>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PRIME+3.25%, 11.75%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11/3/2023</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11/15/2027</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30,000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29,490</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29,490</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2.25%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Dejero Labs Inc.</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Second Lien</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SOFR+8.00%, 8.50%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12/22/2021</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12/22/2025</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14,172</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14,278</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14,399</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(7) (8) (9)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 PIK, 3.00% ETP</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System Software - 20.64%*</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113,832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112,955</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25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rPr>
              <w:t>Total Debt Investments - 174.54%*</w:t>
            </w: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966,328</w:t>
            </w: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954,912</w:t>
            </w:r>
          </w:p>
        </w:tc>
        <w:tc>
          <w:tcPr>
            <w:tcW w:w="2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-3582670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-3582670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-2708275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-2708275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-1748155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-1748155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-1199515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-1199515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-239395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-239395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Consolidated Schedule of Investments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5"/>
              </w:rPr>
              <w:t>Investment Description</w:t>
            </w:r>
            <w:r>
              <w:rPr>
                <w:rFonts w:ascii="Times New Roman" w:cs="Times New Roman" w:eastAsia="Times New Roman" w:hAnsi="Times New Roman"/>
                <w:sz w:val="19"/>
                <w:szCs w:val="19"/>
                <w:b w:val="1"/>
                <w:bCs w:val="1"/>
                <w:color w:val="auto"/>
                <w:w w:val="95"/>
                <w:vertAlign w:val="superscript"/>
              </w:rPr>
              <w:t>(1),(2),(4)</w:t>
            </w:r>
          </w:p>
        </w:tc>
        <w:tc>
          <w:tcPr>
            <w:tcW w:w="12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Value ($) </w:t>
            </w:r>
            <w:r>
              <w:rPr>
                <w:rFonts w:ascii="Times New Roman" w:cs="Times New Roman" w:eastAsia="Times New Roman" w:hAnsi="Times New Roman"/>
                <w:sz w:val="19"/>
                <w:szCs w:val="19"/>
                <w:b w:val="1"/>
                <w:bCs w:val="1"/>
                <w:color w:val="auto"/>
                <w:vertAlign w:val="superscript"/>
              </w:rPr>
              <w:t>(3)</w:t>
            </w:r>
          </w:p>
        </w:tc>
        <w:tc>
          <w:tcPr>
            <w:tcW w:w="2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 Investments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FF0FC"/>
            </w:tcBorders>
          </w:tcPr>
          <w:p>
            <w:pPr>
              <w:spacing w:after="0"/>
              <w:rPr>
                <w:sz w:val="15"/>
                <w:szCs w:val="15"/>
                <w:color w:val="auto"/>
              </w:rPr>
            </w:pPr>
          </w:p>
        </w:tc>
        <w:tc>
          <w:tcPr>
            <w:tcW w:w="2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12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Minute Media Inc.</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12/13/2023</w:t>
            </w:r>
          </w:p>
        </w:tc>
        <w:tc>
          <w:tcPr>
            <w:tcW w:w="1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(5) (12)</w:t>
            </w: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24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Equity</w:t>
            </w: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12/13/2023</w:t>
            </w:r>
          </w:p>
        </w:tc>
        <w:tc>
          <w:tcPr>
            <w:tcW w:w="1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9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(5) (12)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 Advertising - 0.03%*</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Aria Systems, Inc.</w:t>
            </w:r>
          </w:p>
        </w:tc>
        <w:tc>
          <w:tcPr>
            <w:tcW w:w="104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G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7/10/2018</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289,41</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250</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127</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FiscalNote, Inc.</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10/19/2020</w:t>
            </w:r>
          </w:p>
        </w:tc>
        <w:tc>
          <w:tcPr>
            <w:tcW w:w="12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230,88</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438</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263</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 (13)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Application Software - 0.07%*</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Healthcare Technology</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CareCloud, Inc.</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11% Series A Cumulative</w:t>
            </w:r>
          </w:p>
        </w:tc>
        <w:tc>
          <w:tcPr>
            <w:tcW w:w="102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1/8/2020</w:t>
            </w:r>
          </w:p>
        </w:tc>
        <w:tc>
          <w:tcPr>
            <w:tcW w:w="12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462,06</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12,132</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3,553</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(14) (16)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Redeemable Perpetual</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Healthcare Technology - 0.65%*</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12,132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3,553</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040" w:type="dxa"/>
            <w:vAlign w:val="bottom"/>
            <w:tcBorders>
              <w:top w:val="single" w:sz="8" w:color="CFF0FC"/>
            </w:tcBorders>
            <w:gridSpan w:val="2"/>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Human Resource &amp; Employment Services</w:t>
            </w: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Snagajob.com, Inc.</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Note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10/26/2023</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12/31/2026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5440" w:type="dxa"/>
            <w:vAlign w:val="bottom"/>
            <w:gridSpan w:val="5"/>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Human Resource &amp; Employment Services - 0.25%*</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Internet &amp; Direct Marketing Retail</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Marley Spoon SE</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7/7/2023</w:t>
            </w:r>
          </w:p>
        </w:tc>
        <w:tc>
          <w:tcPr>
            <w:tcW w:w="1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46,004</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(6) (12) (19)</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Internet &amp; Direct Marketing Retail - 0.02%*</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040" w:type="dxa"/>
            <w:vAlign w:val="bottom"/>
            <w:tcBorders>
              <w:top w:val="single" w:sz="8" w:color="CFF0FC"/>
            </w:tcBorders>
            <w:gridSpan w:val="2"/>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Technology Hardware, Storage &amp; Peripherals</w:t>
            </w: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Quantum Corporation</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8/13/2021</w:t>
            </w:r>
          </w:p>
        </w:tc>
        <w:tc>
          <w:tcPr>
            <w:tcW w:w="12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459,72</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2,607</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160</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(8) (12) (14)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zSpace, Inc.</w:t>
            </w:r>
          </w:p>
        </w:tc>
        <w:tc>
          <w:tcPr>
            <w:tcW w:w="104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12/31/2020</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6,078,4</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1,119</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Technology Hardware, Storage &amp; Peripherals - 0.03%*</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 Equity Investments - 1.05%*</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18,449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5,721</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3DNA Corp. (dba NationBuilder)</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C-1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12/28/2018</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12/28/2028</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273,16</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104</w:t>
            </w:r>
          </w:p>
        </w:tc>
        <w:tc>
          <w:tcPr>
            <w:tcW w:w="22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Aria Systems, Inc.</w:t>
            </w:r>
          </w:p>
        </w:tc>
        <w:tc>
          <w:tcPr>
            <w:tcW w:w="104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G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6/29/2018</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6/29/2028</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2,387,7</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1,048</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1,048</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Blueshift Labs, Inc.</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12/19/2023</w:t>
            </w:r>
          </w:p>
        </w:tc>
        <w:tc>
          <w:tcPr>
            <w:tcW w:w="1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Circadence Corporation</w:t>
            </w:r>
          </w:p>
        </w:tc>
        <w:tc>
          <w:tcPr>
            <w:tcW w:w="104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A-6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12/20/2018</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12/20/2028</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1,538,4</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3,630</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48</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A-6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10/31/2019</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10/31/2029</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384,61</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846</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12/21/2023</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Dtex Systems, Inc.</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C-Prime Preferred Stock</w:t>
            </w:r>
          </w:p>
        </w:tc>
        <w:tc>
          <w:tcPr>
            <w:tcW w:w="102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6/1/2018</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6/1/2025</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500,00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59</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233</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C-Prime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7/11/2019</w:t>
            </w:r>
          </w:p>
        </w:tc>
        <w:tc>
          <w:tcPr>
            <w:tcW w:w="96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7/11/2026</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833,33</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115</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389</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FiscalNote, Inc.</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Earnout</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7/29/2022</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7/29/2027</w:t>
            </w:r>
          </w:p>
        </w:tc>
        <w:tc>
          <w:tcPr>
            <w:tcW w:w="12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127</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16</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 (13)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Application Software - 0.40%*</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6,400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2,196</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040" w:type="dxa"/>
            <w:vAlign w:val="bottom"/>
            <w:tcBorders>
              <w:top w:val="single" w:sz="8" w:color="CFF0FC"/>
            </w:tcBorders>
            <w:gridSpan w:val="2"/>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Asset Management &amp; Custody Banks</w:t>
            </w: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Betterment Holdings, Inc.</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10/6/2023</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10/6/2033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7,680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24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10/6/2023</w:t>
            </w:r>
          </w:p>
        </w:tc>
        <w:tc>
          <w:tcPr>
            <w:tcW w:w="96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10/6/2033</w:t>
            </w: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9,818</w:t>
            </w: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9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5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Total Asset Management &amp; Custody Banks - 0.03%*</w:t>
            </w: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-6137910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-6137910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-5263515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-5263515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-4620895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-4620895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-4157980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-4157980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-3695065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-3695065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-3060700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-3060700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-2820670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-2820670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-582930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-582930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-128905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-128905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-8890</wp:posOffset>
            </wp:positionV>
            <wp:extent cx="11315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769" w:right="33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Consolidated Schedule of Investments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Investment Description</w:t>
            </w:r>
            <w:r>
              <w:rPr>
                <w:rFonts w:ascii="Times New Roman" w:cs="Times New Roman" w:eastAsia="Times New Roman" w:hAnsi="Times New Roman"/>
                <w:sz w:val="19"/>
                <w:szCs w:val="19"/>
                <w:b w:val="1"/>
                <w:bCs w:val="1"/>
                <w:color w:val="auto"/>
                <w:w w:val="95"/>
                <w:vertAlign w:val="superscript"/>
              </w:rPr>
              <w:t>(1),(2),(4)</w:t>
            </w:r>
          </w:p>
        </w:tc>
        <w:tc>
          <w:tcPr>
            <w:tcW w:w="12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Value ($) </w:t>
            </w:r>
            <w:r>
              <w:rPr>
                <w:rFonts w:ascii="Times New Roman" w:cs="Times New Roman" w:eastAsia="Times New Roman" w:hAnsi="Times New Roman"/>
                <w:sz w:val="19"/>
                <w:szCs w:val="19"/>
                <w:b w:val="1"/>
                <w:bCs w:val="1"/>
                <w:color w:val="auto"/>
                <w:vertAlign w:val="superscript"/>
              </w:rPr>
              <w:t>(3)</w:t>
            </w:r>
          </w:p>
        </w:tc>
        <w:tc>
          <w:tcPr>
            <w:tcW w:w="2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 Investments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2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18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Biotechnology</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Mustang Bio, Inc.</w:t>
            </w:r>
          </w:p>
        </w:tc>
        <w:tc>
          <w:tcPr>
            <w:tcW w:w="10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3/4/2022</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3/4/2032</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748,03</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315</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39</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 (14)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TRACON Pharmaceuticals,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9/2/2022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9/2/2032</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150,75</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226</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 (14)</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 Biotechnology - 0.01%*</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Computer &amp; Electronics Retail</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Massdrop,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Series B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7/22/2019</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7/22/2029</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848,09</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183</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Computer &amp; Electronics Retail - 0.00%*</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Data Processing &amp; Outsourced Services</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Elevate Services,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Series C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7/10/2023</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7/10/2033</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248,99</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447</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384</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Interactions Corporation</w:t>
            </w:r>
          </w:p>
        </w:tc>
        <w:tc>
          <w:tcPr>
            <w:tcW w:w="10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6/24/2022</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6/24/2032</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189,40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219</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67</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ShareThis,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Series D-3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12/3/2018</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12/3/2028</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647,61</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2,162</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803</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Total Data Processing &amp; Outsourced Services - 0.23%*</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Electronic Equipment &amp; Instruments</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Brivo,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Series A-2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10/20/2022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10/20/2032</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201,00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98</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322</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Epic IO Technologies, Inc.</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12/17/2021</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12/17/2028</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80" w:type="dxa"/>
            <w:vAlign w:val="bottom"/>
            <w:gridSpan w:val="5"/>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Electronic Equipment &amp; Instruments - 0.14%*</w:t>
            </w: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18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Healthcare Equipment</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Moximed, Inc.</w:t>
            </w:r>
          </w:p>
        </w:tc>
        <w:tc>
          <w:tcPr>
            <w:tcW w:w="10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Series C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6/24/2022</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6/24/2032</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214,28</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175</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138</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Revelle Aesthetics,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Series A-2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3/30/2022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3/30/2032</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115,59</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126</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102</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Healthcare Equipment - 0.04%*</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Healthcare Technology</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Allurion Technologies,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3/30/2021</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1/22/2025</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132,97</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282</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15</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 (13)</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6/14/2022</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1/22/2025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46,256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 (13)</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9/15/2022</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1/22/2025</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46,256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 (13)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Earnout</w:t>
            </w:r>
          </w:p>
        </w:tc>
        <w:tc>
          <w:tcPr>
            <w:tcW w:w="102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8/2/2023</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8/1/2028</w:t>
            </w:r>
          </w:p>
        </w:tc>
        <w:tc>
          <w:tcPr>
            <w:tcW w:w="12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spacing w:after="0"/>
              <w:rPr>
                <w:sz w:val="12"/>
                <w:szCs w:val="12"/>
                <w:color w:val="auto"/>
              </w:rPr>
            </w:pP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77</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 (13)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EBR Systems,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6/30/2022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6/30/2032</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605</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690</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 (15)</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Mingle Healthcare Solutions, Inc.</w:t>
            </w:r>
          </w:p>
        </w:tc>
        <w:tc>
          <w:tcPr>
            <w:tcW w:w="10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Series CC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8/15/2018</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8/15/2028</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1,770,9</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492</w:t>
            </w:r>
          </w:p>
        </w:tc>
        <w:tc>
          <w:tcPr>
            <w:tcW w:w="22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Nalu Medical, Inc.</w:t>
            </w:r>
          </w:p>
        </w:tc>
        <w:tc>
          <w:tcPr>
            <w:tcW w:w="10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D-2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10/12/2022</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10/12/2032</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91,717</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Route 92 Medical, Inc.</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8/17/2021</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8/17/2031</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SetPoint Medical Corporation</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Series B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6/29/2021</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6/29/2031</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400,00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14</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133</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Series B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12/29/2022</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12/29/2032</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600,00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74</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199</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252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VERO Biotech LLC</w:t>
            </w:r>
          </w:p>
        </w:tc>
        <w:tc>
          <w:tcPr>
            <w:tcW w:w="10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12/29/2020</w:t>
            </w:r>
          </w:p>
        </w:tc>
        <w:tc>
          <w:tcPr>
            <w:tcW w:w="96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12/29/2025</w:t>
            </w:r>
          </w:p>
        </w:tc>
        <w:tc>
          <w:tcPr>
            <w:tcW w:w="12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9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Healthcare Technology - 0.46%*</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3,137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2,506</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Human Resource &amp; Employment Services</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CloudPay, Inc.</w:t>
            </w:r>
          </w:p>
        </w:tc>
        <w:tc>
          <w:tcPr>
            <w:tcW w:w="10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B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6/30/2020</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6/30/2030</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11,273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(5) (8) (12)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Series D Preferred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8/17/2021</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8/17/2031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(5) (8) (12)</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D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9/26/2022</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9/26/2032</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(5) (8) (12)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Snagajob.com, Inc.</w:t>
            </w:r>
          </w:p>
        </w:tc>
        <w:tc>
          <w:tcPr>
            <w:tcW w:w="10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Warrant for Series B-1</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9/29/2021</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9/29/2031</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763,26</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343</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Preferred Stock</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5440" w:type="dxa"/>
            <w:vAlign w:val="bottom"/>
            <w:tcBorders>
              <w:bottom w:val="single" w:sz="8" w:color="CFF0FC"/>
            </w:tcBorders>
            <w:gridSpan w:val="6"/>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Human Resource &amp; Employment Services - 0.23%*</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-6085840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-6085840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-5537200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-5537200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-4577080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-4577080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-3788410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-3788410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-3154045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-3154045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-1010920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-1010920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769"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Consolidated Schedule of Investments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5"/>
              </w:rPr>
              <w:t>Investment Description</w:t>
            </w:r>
            <w:r>
              <w:rPr>
                <w:rFonts w:ascii="Times New Roman" w:cs="Times New Roman" w:eastAsia="Times New Roman" w:hAnsi="Times New Roman"/>
                <w:sz w:val="19"/>
                <w:szCs w:val="19"/>
                <w:b w:val="1"/>
                <w:bCs w:val="1"/>
                <w:color w:val="auto"/>
                <w:w w:val="95"/>
                <w:vertAlign w:val="superscript"/>
              </w:rPr>
              <w:t>(1),(2),(4)</w:t>
            </w:r>
          </w:p>
        </w:tc>
        <w:tc>
          <w:tcPr>
            <w:tcW w:w="12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0" w:type="dxa"/>
            <w:vAlign w:val="bottom"/>
            <w:gridSpan w:val="2"/>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Value ($) </w:t>
            </w:r>
            <w:r>
              <w:rPr>
                <w:rFonts w:ascii="Times New Roman" w:cs="Times New Roman" w:eastAsia="Times New Roman" w:hAnsi="Times New Roman"/>
                <w:sz w:val="19"/>
                <w:szCs w:val="19"/>
                <w:b w:val="1"/>
                <w:bCs w:val="1"/>
                <w:color w:val="auto"/>
                <w:vertAlign w:val="superscript"/>
              </w:rPr>
              <w:t>(3)</w:t>
            </w:r>
          </w:p>
        </w:tc>
        <w:tc>
          <w:tcPr>
            <w:tcW w:w="2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 Investments</w:t>
            </w:r>
          </w:p>
        </w:tc>
        <w:tc>
          <w:tcPr>
            <w:tcW w:w="9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2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8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Internet &amp; Direct Marketing Retail</w:t>
            </w:r>
          </w:p>
        </w:tc>
        <w:tc>
          <w:tcPr>
            <w:tcW w:w="9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Madison Reed, Inc.</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12/16/2022</w:t>
            </w:r>
          </w:p>
        </w:tc>
        <w:tc>
          <w:tcPr>
            <w:tcW w:w="1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5"/>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Internet &amp; Direct Marketing Retail - 0.03%*</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Internet Software and Services</w:t>
            </w:r>
          </w:p>
        </w:tc>
        <w:tc>
          <w:tcPr>
            <w:tcW w:w="9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Bombora, Inc.</w:t>
            </w:r>
          </w:p>
        </w:tc>
        <w:tc>
          <w:tcPr>
            <w:tcW w:w="104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3/31/2021</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3/31/2031</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121,58</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174</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104</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12/26/2023</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12/26/2033</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48,632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Fidelis Cybersecurity, Inc.</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3/25/2022</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3/25/2032</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 (17)</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INRIX, Inc.</w:t>
            </w:r>
          </w:p>
        </w:tc>
        <w:tc>
          <w:tcPr>
            <w:tcW w:w="104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7/26/2019</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7/26/2029</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150,80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522</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735</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Longtail Ad Solutions, Inc. (dba</w:t>
            </w:r>
          </w:p>
        </w:tc>
        <w:tc>
          <w:tcPr>
            <w:tcW w:w="104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12/12/2019</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12/12/2029</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387,59</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47</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321</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JW Player)</w:t>
            </w: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Skillshare, Inc.</w:t>
            </w:r>
          </w:p>
        </w:tc>
        <w:tc>
          <w:tcPr>
            <w:tcW w:w="1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11/8/2022</w:t>
            </w:r>
          </w:p>
        </w:tc>
        <w:tc>
          <w:tcPr>
            <w:tcW w:w="96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11/8/2026</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Synack, Inc.</w:t>
            </w:r>
          </w:p>
        </w:tc>
        <w:tc>
          <w:tcPr>
            <w:tcW w:w="104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12/29/2023</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6/30/2032</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116,90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147</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147</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5"/>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Internet Software and Services - 0.30%*</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Property &amp; Casualty Insurance</w:t>
            </w:r>
          </w:p>
        </w:tc>
        <w:tc>
          <w:tcPr>
            <w:tcW w:w="9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Kin Insurance, Inc.</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D-3 Preferred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9/26/2022</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9/26/2032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41,576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D-3 Preferred Stock</w:t>
            </w:r>
          </w:p>
        </w:tc>
        <w:tc>
          <w:tcPr>
            <w:tcW w:w="102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5/5/2023</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9/26/2032</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11,549</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D-3 Preferred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8/25/2023</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9/26/2032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9,239</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5"/>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Property &amp; Casualty Insurance - 0.08%*</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Specialized Consumer Services</w:t>
            </w:r>
          </w:p>
        </w:tc>
        <w:tc>
          <w:tcPr>
            <w:tcW w:w="9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AllClear ID, Inc.</w:t>
            </w:r>
          </w:p>
        </w:tc>
        <w:tc>
          <w:tcPr>
            <w:tcW w:w="104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8/31/2017</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8/31/2027</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523,89</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1,053</w:t>
            </w:r>
          </w:p>
        </w:tc>
        <w:tc>
          <w:tcPr>
            <w:tcW w:w="22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10/17/2018</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8/31/2027</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346,62</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697</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Credit Sesame, Inc.</w:t>
            </w:r>
          </w:p>
        </w:tc>
        <w:tc>
          <w:tcPr>
            <w:tcW w:w="104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1/7/2020</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1/7/2030</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191,60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425</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373</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5"/>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Specialized Consumer Services - 0.07%*</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System Software</w:t>
            </w:r>
          </w:p>
        </w:tc>
        <w:tc>
          <w:tcPr>
            <w:tcW w:w="9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Dejero Labs Inc.</w:t>
            </w:r>
          </w:p>
        </w:tc>
        <w:tc>
          <w:tcPr>
            <w:tcW w:w="104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5/31/2019</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5/31/2029</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333,62</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192</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268</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(7) (8) (12)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Linxup, LLC</w:t>
            </w:r>
          </w:p>
        </w:tc>
        <w:tc>
          <w:tcPr>
            <w:tcW w:w="1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11/3/2023</w:t>
            </w:r>
          </w:p>
        </w:tc>
        <w:tc>
          <w:tcPr>
            <w:tcW w:w="96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11/3/2033</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Scale Computing, Inc.</w:t>
            </w:r>
          </w:p>
        </w:tc>
        <w:tc>
          <w:tcPr>
            <w:tcW w:w="104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3/29/2019</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3/29/2029</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9,665,6</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346</w:t>
            </w:r>
          </w:p>
        </w:tc>
        <w:tc>
          <w:tcPr>
            <w:tcW w:w="22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System Software - 0.10%*</w:t>
            </w:r>
          </w:p>
        </w:tc>
        <w:tc>
          <w:tcPr>
            <w:tcW w:w="9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040" w:type="dxa"/>
            <w:vAlign w:val="bottom"/>
            <w:tcBorders>
              <w:top w:val="single" w:sz="8" w:color="CFF0FC"/>
            </w:tcBorders>
            <w:gridSpan w:val="2"/>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560" w:type="dxa"/>
            <w:vAlign w:val="bottom"/>
            <w:gridSpan w:val="5"/>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Technology Hardware, Storage &amp; Peripherals</w:t>
            </w: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RealWear, Inc.</w:t>
            </w:r>
          </w:p>
        </w:tc>
        <w:tc>
          <w:tcPr>
            <w:tcW w:w="104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10/5/2018</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10/5/2028</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112,45</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136</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178</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12/28/2018</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12/28/2028</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22,491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6/27/2019</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6/27/2029</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123,89</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381</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196</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5440" w:type="dxa"/>
            <w:vAlign w:val="bottom"/>
            <w:gridSpan w:val="6"/>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Technology Hardware, Storage &amp; Peripherals - 0.07%*</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rPr>
              <w:t>Total Warrants - 2.19%*</w:t>
            </w:r>
          </w:p>
        </w:tc>
        <w:tc>
          <w:tcPr>
            <w:tcW w:w="9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20,247</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11,971</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040" w:type="dxa"/>
            <w:vAlign w:val="bottom"/>
            <w:tcBorders>
              <w:top w:val="single" w:sz="8" w:color="CFF0FC"/>
            </w:tcBorders>
            <w:gridSpan w:val="2"/>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gridSpan w:val="6"/>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Non-Control/Non-Affiliate Investments - 177.78%*</w:t>
            </w:r>
          </w:p>
        </w:tc>
        <w:tc>
          <w:tcPr>
            <w:tcW w:w="1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1,005,0</w:t>
            </w:r>
          </w:p>
        </w:tc>
        <w:tc>
          <w:tcPr>
            <w:tcW w:w="10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972,604</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2400" w:type="dxa"/>
            <w:vAlign w:val="bottom"/>
            <w:tcBorders>
              <w:top w:val="single" w:sz="8" w:color="auto"/>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CFF0FC"/>
            </w:tcBorders>
            <w:shd w:val="clear" w:color="auto" w:fill="CFF0FC"/>
          </w:tcPr>
          <w:p>
            <w:pPr>
              <w:spacing w:after="0"/>
              <w:rPr>
                <w:sz w:val="13"/>
                <w:szCs w:val="13"/>
                <w:color w:val="auto"/>
              </w:rPr>
            </w:pPr>
          </w:p>
        </w:tc>
        <w:tc>
          <w:tcPr>
            <w:tcW w:w="920" w:type="dxa"/>
            <w:vAlign w:val="bottom"/>
            <w:tcBorders>
              <w:top w:val="single" w:sz="8" w:color="auto"/>
              <w:bottom w:val="single" w:sz="8" w:color="CFF0FC"/>
            </w:tcBorders>
            <w:shd w:val="clear" w:color="auto" w:fill="CFF0FC"/>
          </w:tcPr>
          <w:p>
            <w:pPr>
              <w:spacing w:after="0"/>
              <w:rPr>
                <w:sz w:val="13"/>
                <w:szCs w:val="13"/>
                <w:color w:val="auto"/>
              </w:rPr>
            </w:pPr>
          </w:p>
        </w:tc>
        <w:tc>
          <w:tcPr>
            <w:tcW w:w="40" w:type="dxa"/>
            <w:vAlign w:val="bottom"/>
            <w:tcBorders>
              <w:top w:val="single" w:sz="8" w:color="auto"/>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8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9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70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740" w:type="dxa"/>
            <w:vAlign w:val="bottom"/>
            <w:tcBorders>
              <w:top w:val="single" w:sz="8" w:color="CFF0FC"/>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20" w:type="dxa"/>
            <w:vAlign w:val="bottom"/>
            <w:tcBorders>
              <w:top w:val="single" w:sz="8" w:color="CFF0FC"/>
              <w:bottom w:val="single" w:sz="8" w:color="auto"/>
            </w:tcBorders>
            <w:shd w:val="clear" w:color="auto" w:fill="CFF0FC"/>
          </w:tcPr>
          <w:p>
            <w:pPr>
              <w:spacing w:after="0"/>
              <w:rPr>
                <w:sz w:val="13"/>
                <w:szCs w:val="13"/>
                <w:color w:val="auto"/>
              </w:rPr>
            </w:pP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-5459730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-5459730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-3959860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-3959860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-3274060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-3274060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-2313940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-2313940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-1447800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-1447800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-582295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-582295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-342265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-342265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ind w:left="4900" w:right="3580" w:hanging="1308"/>
        <w:spacing w:after="0" w:line="250" w:lineRule="auto"/>
        <w:tabs>
          <w:tab w:leader="none" w:pos="368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Schedule of Investments – (continued) December 31,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74"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238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Investment Description</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0" w:type="dxa"/>
            <w:vAlign w:val="bottom"/>
          </w:tcPr>
          <w:p>
            <w:pPr>
              <w:spacing w:after="0"/>
              <w:rPr>
                <w:sz w:val="18"/>
                <w:szCs w:val="18"/>
                <w:color w:val="auto"/>
              </w:rPr>
            </w:pP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48"/>
        </w:trPr>
        <w:tc>
          <w:tcPr>
            <w:tcW w:w="2380" w:type="dxa"/>
            <w:vAlign w:val="bottom"/>
            <w:tcBorders>
              <w:bottom w:val="single" w:sz="8" w:color="auto"/>
            </w:tcBorders>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Type</w:t>
            </w:r>
          </w:p>
        </w:tc>
        <w:tc>
          <w:tcPr>
            <w:tcW w:w="140" w:type="dxa"/>
            <w:vAlign w:val="bottom"/>
          </w:tcPr>
          <w:p>
            <w:pPr>
              <w:spacing w:after="0"/>
              <w:rPr>
                <w:sz w:val="12"/>
                <w:szCs w:val="12"/>
                <w:color w:val="auto"/>
              </w:rPr>
            </w:pPr>
          </w:p>
        </w:tc>
        <w:tc>
          <w:tcPr>
            <w:tcW w:w="168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0"/>
                <w:szCs w:val="10"/>
                <w:b w:val="1"/>
                <w:bCs w:val="1"/>
                <w:color w:val="auto"/>
              </w:rPr>
              <w:t>(2),(4)</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 Date</w:t>
            </w:r>
          </w:p>
        </w:tc>
        <w:tc>
          <w:tcPr>
            <w:tcW w:w="12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 Shares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bottom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7"/>
                <w:szCs w:val="17"/>
                <w:b w:val="1"/>
                <w:bCs w:val="1"/>
                <w:color w:val="auto"/>
                <w:vertAlign w:val="superscript"/>
              </w:rPr>
              <w:t>(3)</w:t>
            </w:r>
          </w:p>
        </w:tc>
        <w:tc>
          <w:tcPr>
            <w:tcW w:w="220" w:type="dxa"/>
            <w:vAlign w:val="bottom"/>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Borders>
              <w:left w:val="single" w:sz="8" w:color="CFF0FC"/>
            </w:tcBorders>
            <w:gridSpan w:val="7"/>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Affiliate Investments</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ind w:left="240"/>
              <w:spacing w:after="0" w:line="142"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7"/>
        </w:trPr>
        <w:tc>
          <w:tcPr>
            <w:tcW w:w="860" w:type="dxa"/>
            <w:vAlign w:val="bottom"/>
            <w:tcBorders>
              <w:left w:val="single" w:sz="8" w:color="CFF0FC"/>
            </w:tcBorders>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5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38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Debt Investments</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tcBorders>
              <w:left w:val="single" w:sz="8" w:color="CFF0FC"/>
            </w:tcBorders>
            <w:gridSpan w:val="7"/>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Healthcare Technology</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380" w:type="dxa"/>
            <w:vAlign w:val="bottom"/>
            <w:gridSpan w:val="7"/>
          </w:tcPr>
          <w:p>
            <w:pPr>
              <w:ind w:left="380"/>
              <w:spacing w:after="0" w:line="139" w:lineRule="exact"/>
              <w:rPr>
                <w:sz w:val="20"/>
                <w:szCs w:val="20"/>
                <w:color w:val="auto"/>
              </w:rPr>
            </w:pPr>
            <w:r>
              <w:rPr>
                <w:rFonts w:ascii="Times New Roman" w:cs="Times New Roman" w:eastAsia="Times New Roman" w:hAnsi="Times New Roman"/>
                <w:sz w:val="14"/>
                <w:szCs w:val="14"/>
                <w:color w:val="auto"/>
              </w:rPr>
              <w:t>Gynesonics, Inc.</w:t>
            </w:r>
          </w:p>
        </w:tc>
        <w:tc>
          <w:tcPr>
            <w:tcW w:w="120" w:type="dxa"/>
            <w:vAlign w:val="bottom"/>
          </w:tcPr>
          <w:p>
            <w:pPr>
              <w:spacing w:after="0"/>
              <w:rPr>
                <w:sz w:val="12"/>
                <w:szCs w:val="12"/>
                <w:color w:val="auto"/>
              </w:rPr>
            </w:pPr>
          </w:p>
        </w:tc>
        <w:tc>
          <w:tcPr>
            <w:tcW w:w="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40" w:type="dxa"/>
            <w:vAlign w:val="bottom"/>
          </w:tcPr>
          <w:p>
            <w:pPr>
              <w:spacing w:after="0"/>
              <w:rPr>
                <w:sz w:val="12"/>
                <w:szCs w:val="12"/>
                <w:color w:val="auto"/>
              </w:rPr>
            </w:pPr>
          </w:p>
        </w:tc>
        <w:tc>
          <w:tcPr>
            <w:tcW w:w="168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SOFR+8.75%, 8.00%</w:t>
            </w:r>
          </w:p>
        </w:tc>
        <w:tc>
          <w:tcPr>
            <w:tcW w:w="12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3/1/2023</w:t>
            </w:r>
          </w:p>
        </w:tc>
        <w:tc>
          <w:tcPr>
            <w:tcW w:w="920" w:type="dxa"/>
            <w:vAlign w:val="bottom"/>
            <w:gridSpan w:val="2"/>
          </w:tcPr>
          <w:p>
            <w:pPr>
              <w:jc w:val="center"/>
              <w:ind w:left="28"/>
              <w:spacing w:after="0" w:line="139" w:lineRule="exact"/>
              <w:rPr>
                <w:sz w:val="20"/>
                <w:szCs w:val="20"/>
                <w:color w:val="auto"/>
              </w:rPr>
            </w:pPr>
            <w:r>
              <w:rPr>
                <w:rFonts w:ascii="Times New Roman" w:cs="Times New Roman" w:eastAsia="Times New Roman" w:hAnsi="Times New Roman"/>
                <w:sz w:val="14"/>
                <w:szCs w:val="14"/>
                <w:color w:val="auto"/>
              </w:rPr>
              <w:t>11/30/2026</w:t>
            </w:r>
          </w:p>
        </w:tc>
        <w:tc>
          <w:tcPr>
            <w:tcW w:w="8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25,595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25,897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23,586</w:t>
            </w:r>
          </w:p>
        </w:tc>
        <w:tc>
          <w:tcPr>
            <w:tcW w:w="98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ceiling, 5.00% ETP</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tcBorders>
              <w:left w:val="single" w:sz="8" w:color="CFF0FC"/>
              <w:bottom w:val="single" w:sz="8" w:color="CFF0FC"/>
            </w:tcBorders>
            <w:gridSpan w:val="9"/>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 Healthcare Technology - 4.31%*</w:t>
            </w: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5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25,897</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23,586</w:t>
            </w: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80" w:type="dxa"/>
            <w:vAlign w:val="bottom"/>
            <w:tcBorders>
              <w:left w:val="single" w:sz="8" w:color="CFF0FC"/>
              <w:bottom w:val="single" w:sz="8" w:color="CFF0FC"/>
            </w:tcBorders>
            <w:gridSpan w:val="7"/>
            <w:shd w:val="clear" w:color="auto" w:fill="CFF0FC"/>
          </w:tcPr>
          <w:p>
            <w:pPr>
              <w:ind w:left="260"/>
              <w:spacing w:after="0"/>
              <w:rPr>
                <w:sz w:val="20"/>
                <w:szCs w:val="20"/>
                <w:color w:val="auto"/>
              </w:rPr>
            </w:pPr>
            <w:r>
              <w:rPr>
                <w:rFonts w:ascii="Times New Roman" w:cs="Times New Roman" w:eastAsia="Times New Roman" w:hAnsi="Times New Roman"/>
                <w:sz w:val="14"/>
                <w:szCs w:val="14"/>
                <w:b w:val="1"/>
                <w:bCs w:val="1"/>
                <w:color w:val="auto"/>
              </w:rPr>
              <w:t>Total Debt Investments - 4.31%*</w:t>
            </w: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5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25,897</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23,586</w:t>
            </w:r>
          </w:p>
        </w:tc>
        <w:tc>
          <w:tcPr>
            <w:tcW w:w="2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80" w:type="dxa"/>
            <w:vAlign w:val="bottom"/>
            <w:tcBorders>
              <w:left w:val="single" w:sz="8" w:color="CFF0FC"/>
            </w:tcBorders>
            <w:gridSpan w:val="7"/>
            <w:shd w:val="clear" w:color="auto" w:fill="CFF0FC"/>
          </w:tcPr>
          <w:p>
            <w:pPr>
              <w:ind w:left="26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380" w:type="dxa"/>
            <w:vAlign w:val="bottom"/>
            <w:tcBorders>
              <w:left w:val="single" w:sz="8" w:color="CFF0FC"/>
            </w:tcBorders>
            <w:gridSpan w:val="7"/>
            <w:shd w:val="clear" w:color="auto" w:fill="CFF0FC"/>
          </w:tcPr>
          <w:p>
            <w:pPr>
              <w:ind w:left="380"/>
              <w:spacing w:after="0" w:line="139" w:lineRule="exact"/>
              <w:rPr>
                <w:sz w:val="20"/>
                <w:szCs w:val="20"/>
                <w:color w:val="auto"/>
              </w:rPr>
            </w:pPr>
            <w:r>
              <w:rPr>
                <w:rFonts w:ascii="Times New Roman" w:cs="Times New Roman" w:eastAsia="Times New Roman" w:hAnsi="Times New Roman"/>
                <w:sz w:val="14"/>
                <w:szCs w:val="14"/>
                <w:color w:val="auto"/>
              </w:rPr>
              <w:t>Coginiti Corp</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4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2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3/9/2020</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1,040,16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4,551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856</w:t>
            </w:r>
          </w:p>
        </w:tc>
        <w:tc>
          <w:tcPr>
            <w:tcW w:w="98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860" w:type="dxa"/>
            <w:vAlign w:val="bottom"/>
            <w:tcBorders>
              <w:left w:val="single" w:sz="8" w:color="CFF0FC"/>
              <w:bottom w:val="single" w:sz="8" w:color="CFF0FC"/>
            </w:tcBorders>
            <w:shd w:val="clear" w:color="auto" w:fill="CFF0FC"/>
          </w:tcPr>
          <w:p>
            <w:pPr>
              <w:spacing w:after="0"/>
              <w:rPr>
                <w:sz w:val="14"/>
                <w:szCs w:val="14"/>
                <w:color w:val="auto"/>
              </w:rPr>
            </w:pPr>
          </w:p>
        </w:tc>
        <w:tc>
          <w:tcPr>
            <w:tcW w:w="440" w:type="dxa"/>
            <w:vAlign w:val="bottom"/>
            <w:tcBorders>
              <w:bottom w:val="single" w:sz="8" w:color="CFF0FC"/>
              <w:right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5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gridSpan w:val="9"/>
          </w:tcPr>
          <w:p>
            <w:pPr>
              <w:ind w:left="380"/>
              <w:spacing w:after="0"/>
              <w:rPr>
                <w:sz w:val="20"/>
                <w:szCs w:val="20"/>
                <w:color w:val="auto"/>
              </w:rPr>
            </w:pPr>
            <w:r>
              <w:rPr>
                <w:rFonts w:ascii="Times New Roman" w:cs="Times New Roman" w:eastAsia="Times New Roman" w:hAnsi="Times New Roman"/>
                <w:sz w:val="14"/>
                <w:szCs w:val="14"/>
                <w:b w:val="1"/>
                <w:bCs w:val="1"/>
                <w:color w:val="auto"/>
              </w:rPr>
              <w:t>Total Application Software - 0.16%*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Borders>
              <w:left w:val="single" w:sz="8" w:color="CFF0FC"/>
            </w:tcBorders>
            <w:shd w:val="clear" w:color="auto" w:fill="CFF0FC"/>
          </w:tcPr>
          <w:p>
            <w:pPr>
              <w:spacing w:after="0"/>
              <w:rPr>
                <w:sz w:val="14"/>
                <w:szCs w:val="14"/>
                <w:color w:val="auto"/>
              </w:rPr>
            </w:pPr>
          </w:p>
        </w:tc>
        <w:tc>
          <w:tcPr>
            <w:tcW w:w="440" w:type="dxa"/>
            <w:vAlign w:val="bottom"/>
            <w:tcBorders>
              <w:right w:val="single" w:sz="8" w:color="CFF0FC"/>
            </w:tcBorders>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Healthcare Technology</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380" w:type="dxa"/>
            <w:vAlign w:val="bottom"/>
            <w:tcBorders>
              <w:left w:val="single" w:sz="8" w:color="CFF0FC"/>
            </w:tcBorders>
            <w:gridSpan w:val="7"/>
            <w:shd w:val="clear" w:color="auto" w:fill="CFF0FC"/>
          </w:tcPr>
          <w:p>
            <w:pPr>
              <w:ind w:left="380"/>
              <w:spacing w:after="0" w:line="139" w:lineRule="exact"/>
              <w:rPr>
                <w:sz w:val="20"/>
                <w:szCs w:val="20"/>
                <w:color w:val="auto"/>
              </w:rPr>
            </w:pPr>
            <w:r>
              <w:rPr>
                <w:rFonts w:ascii="Times New Roman" w:cs="Times New Roman" w:eastAsia="Times New Roman" w:hAnsi="Times New Roman"/>
                <w:sz w:val="14"/>
                <w:szCs w:val="14"/>
                <w:color w:val="auto"/>
              </w:rPr>
              <w:t>Gynesonics, Inc.</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4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Series A-2 Preferred Stock</w:t>
            </w:r>
          </w:p>
        </w:tc>
        <w:tc>
          <w:tcPr>
            <w:tcW w:w="12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3/1/2023</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3,266,66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25,000</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21,461</w:t>
            </w:r>
          </w:p>
        </w:tc>
        <w:tc>
          <w:tcPr>
            <w:tcW w:w="98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860" w:type="dxa"/>
            <w:vAlign w:val="bottom"/>
            <w:tcBorders>
              <w:left w:val="single" w:sz="8" w:color="CFF0FC"/>
            </w:tcBorders>
            <w:shd w:val="clear" w:color="auto" w:fill="CFF0FC"/>
          </w:tcPr>
          <w:p>
            <w:pPr>
              <w:spacing w:after="0"/>
              <w:rPr>
                <w:sz w:val="16"/>
                <w:szCs w:val="16"/>
                <w:color w:val="auto"/>
              </w:rPr>
            </w:pPr>
          </w:p>
        </w:tc>
        <w:tc>
          <w:tcPr>
            <w:tcW w:w="440" w:type="dxa"/>
            <w:vAlign w:val="bottom"/>
            <w:tcBorders>
              <w:right w:val="single" w:sz="8" w:color="CFF0FC"/>
            </w:tcBorders>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40" w:type="dxa"/>
            <w:vAlign w:val="bottom"/>
          </w:tcPr>
          <w:p>
            <w:pPr>
              <w:spacing w:after="0"/>
              <w:rPr>
                <w:sz w:val="12"/>
                <w:szCs w:val="12"/>
                <w:color w:val="auto"/>
              </w:rPr>
            </w:pPr>
          </w:p>
        </w:tc>
        <w:tc>
          <w:tcPr>
            <w:tcW w:w="168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Series A-1 Preferred Stock</w:t>
            </w:r>
          </w:p>
        </w:tc>
        <w:tc>
          <w:tcPr>
            <w:tcW w:w="12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10/24/2023</w:t>
            </w:r>
          </w:p>
        </w:tc>
        <w:tc>
          <w:tcPr>
            <w:tcW w:w="12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3,100,00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3,100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4,577</w:t>
            </w:r>
          </w:p>
        </w:tc>
        <w:tc>
          <w:tcPr>
            <w:tcW w:w="98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tcBorders>
              <w:left w:val="single" w:sz="8" w:color="CFF0FC"/>
              <w:bottom w:val="single" w:sz="8" w:color="CFF0FC"/>
            </w:tcBorders>
            <w:gridSpan w:val="9"/>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 Healthcare Technology - 4.76%*</w:t>
            </w: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5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28,100</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26,038</w:t>
            </w: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80" w:type="dxa"/>
            <w:vAlign w:val="bottom"/>
            <w:tcBorders>
              <w:left w:val="single" w:sz="8" w:color="CFF0FC"/>
              <w:bottom w:val="single" w:sz="8" w:color="CFF0FC"/>
            </w:tcBorders>
            <w:gridSpan w:val="7"/>
            <w:shd w:val="clear" w:color="auto" w:fill="CFF0FC"/>
          </w:tcPr>
          <w:p>
            <w:pPr>
              <w:ind w:left="260"/>
              <w:spacing w:after="0"/>
              <w:rPr>
                <w:sz w:val="20"/>
                <w:szCs w:val="20"/>
                <w:color w:val="auto"/>
              </w:rPr>
            </w:pPr>
            <w:r>
              <w:rPr>
                <w:rFonts w:ascii="Times New Roman" w:cs="Times New Roman" w:eastAsia="Times New Roman" w:hAnsi="Times New Roman"/>
                <w:sz w:val="14"/>
                <w:szCs w:val="14"/>
                <w:b w:val="1"/>
                <w:bCs w:val="1"/>
                <w:color w:val="auto"/>
              </w:rPr>
              <w:t>Total Equity Investments - 4.92%*</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5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32,651</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26,894</w:t>
            </w: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tcBorders>
              <w:left w:val="single" w:sz="8" w:color="CFF0FC"/>
            </w:tcBorders>
            <w:gridSpan w:val="7"/>
            <w:shd w:val="clear" w:color="auto" w:fill="CFF0FC"/>
          </w:tcPr>
          <w:p>
            <w:pPr>
              <w:ind w:left="26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Borders>
              <w:left w:val="single" w:sz="8" w:color="CFF0FC"/>
              <w:bottom w:val="single" w:sz="8" w:color="CFF0FC"/>
            </w:tcBorders>
            <w:gridSpan w:val="7"/>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Coginiti Corp</w:t>
            </w: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40" w:type="dxa"/>
            <w:vAlign w:val="bottom"/>
            <w:tcBorders>
              <w:bottom w:val="single" w:sz="8" w:color="CFF0FC"/>
            </w:tcBorders>
            <w:shd w:val="clear" w:color="auto" w:fill="CFF0FC"/>
          </w:tcPr>
          <w:p>
            <w:pPr>
              <w:spacing w:after="0"/>
              <w:rPr>
                <w:sz w:val="15"/>
                <w:szCs w:val="15"/>
                <w:color w:val="auto"/>
              </w:rPr>
            </w:pPr>
          </w:p>
        </w:tc>
        <w:tc>
          <w:tcPr>
            <w:tcW w:w="16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26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3/9/2020</w:t>
            </w:r>
          </w:p>
        </w:tc>
        <w:tc>
          <w:tcPr>
            <w:tcW w:w="9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3/9/2030</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811,770</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98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9"/>
        </w:trPr>
        <w:tc>
          <w:tcPr>
            <w:tcW w:w="3400" w:type="dxa"/>
            <w:vAlign w:val="bottom"/>
            <w:gridSpan w:val="9"/>
          </w:tcPr>
          <w:p>
            <w:pPr>
              <w:ind w:left="380"/>
              <w:spacing w:after="0"/>
              <w:rPr>
                <w:sz w:val="20"/>
                <w:szCs w:val="20"/>
                <w:color w:val="auto"/>
              </w:rPr>
            </w:pPr>
            <w:r>
              <w:rPr>
                <w:rFonts w:ascii="Times New Roman" w:cs="Times New Roman" w:eastAsia="Times New Roman" w:hAnsi="Times New Roman"/>
                <w:sz w:val="14"/>
                <w:szCs w:val="14"/>
                <w:b w:val="1"/>
                <w:bCs w:val="1"/>
                <w:color w:val="auto"/>
              </w:rPr>
              <w:t>Total Application Software - 0.12%*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Borders>
              <w:left w:val="single" w:sz="8" w:color="CFF0FC"/>
            </w:tcBorders>
            <w:shd w:val="clear" w:color="auto" w:fill="CFF0FC"/>
          </w:tcPr>
          <w:p>
            <w:pPr>
              <w:spacing w:after="0"/>
              <w:rPr>
                <w:sz w:val="14"/>
                <w:szCs w:val="14"/>
                <w:color w:val="auto"/>
              </w:rPr>
            </w:pPr>
          </w:p>
        </w:tc>
        <w:tc>
          <w:tcPr>
            <w:tcW w:w="440" w:type="dxa"/>
            <w:vAlign w:val="bottom"/>
            <w:tcBorders>
              <w:right w:val="single" w:sz="8" w:color="CFF0FC"/>
            </w:tcBorders>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Healthcare Technology</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tcBorders>
              <w:left w:val="single" w:sz="8" w:color="CFF0FC"/>
            </w:tcBorders>
            <w:gridSpan w:val="7"/>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Gynesonics, Inc.</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4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Success fee</w:t>
            </w:r>
          </w:p>
        </w:tc>
        <w:tc>
          <w:tcPr>
            <w:tcW w:w="12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3/1/2023</w:t>
            </w:r>
          </w:p>
        </w:tc>
        <w:tc>
          <w:tcPr>
            <w:tcW w:w="9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3/1/2030</w:t>
            </w:r>
          </w:p>
        </w:tc>
        <w:tc>
          <w:tcPr>
            <w:tcW w:w="10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N/A</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9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69"/>
        </w:trPr>
        <w:tc>
          <w:tcPr>
            <w:tcW w:w="3400" w:type="dxa"/>
            <w:vAlign w:val="bottom"/>
            <w:tcBorders>
              <w:top w:val="single" w:sz="8" w:color="CFF0FC"/>
            </w:tcBorders>
            <w:gridSpan w:val="9"/>
          </w:tcPr>
          <w:p>
            <w:pPr>
              <w:ind w:left="380"/>
              <w:spacing w:after="0"/>
              <w:rPr>
                <w:sz w:val="20"/>
                <w:szCs w:val="20"/>
                <w:color w:val="auto"/>
              </w:rPr>
            </w:pPr>
            <w:r>
              <w:rPr>
                <w:rFonts w:ascii="Times New Roman" w:cs="Times New Roman" w:eastAsia="Times New Roman" w:hAnsi="Times New Roman"/>
                <w:sz w:val="14"/>
                <w:szCs w:val="14"/>
                <w:b w:val="1"/>
                <w:bCs w:val="1"/>
                <w:color w:val="auto"/>
              </w:rPr>
              <w:t>Total Healthcare Technology - 0.06%*</w:t>
            </w: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5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1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0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Borders>
              <w:left w:val="single" w:sz="8" w:color="CFF0FC"/>
            </w:tcBorders>
            <w:shd w:val="clear" w:color="auto" w:fill="CFF0FC"/>
          </w:tcPr>
          <w:p>
            <w:pPr>
              <w:spacing w:after="0"/>
              <w:rPr>
                <w:sz w:val="14"/>
                <w:szCs w:val="14"/>
                <w:color w:val="auto"/>
              </w:rPr>
            </w:pPr>
          </w:p>
        </w:tc>
        <w:tc>
          <w:tcPr>
            <w:tcW w:w="440" w:type="dxa"/>
            <w:vAlign w:val="bottom"/>
            <w:tcBorders>
              <w:right w:val="single" w:sz="8" w:color="CFF0FC"/>
            </w:tcBorders>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Total Warrants - 0.18%*</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60" w:type="dxa"/>
            <w:vAlign w:val="bottom"/>
            <w:tcBorders>
              <w:left w:val="single" w:sz="8" w:color="CFF0FC"/>
              <w:bottom w:val="single" w:sz="8" w:color="CFF0FC"/>
            </w:tcBorders>
            <w:shd w:val="clear" w:color="auto" w:fill="CFF0FC"/>
          </w:tcPr>
          <w:p>
            <w:pPr>
              <w:spacing w:after="0"/>
              <w:rPr>
                <w:sz w:val="14"/>
                <w:szCs w:val="14"/>
                <w:color w:val="auto"/>
              </w:rPr>
            </w:pPr>
          </w:p>
        </w:tc>
        <w:tc>
          <w:tcPr>
            <w:tcW w:w="440" w:type="dxa"/>
            <w:vAlign w:val="bottom"/>
            <w:tcBorders>
              <w:bottom w:val="single" w:sz="8" w:color="CFF0FC"/>
              <w:right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5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gridSpan w:val="7"/>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Affiliate Investments - 9.41%*</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58,861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51,456</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 w:type="dxa"/>
            <w:vAlign w:val="bottom"/>
            <w:tcBorders>
              <w:left w:val="single" w:sz="8" w:color="CFF0FC"/>
            </w:tcBorders>
            <w:shd w:val="clear" w:color="auto" w:fill="CFF0FC"/>
          </w:tcPr>
          <w:p>
            <w:pPr>
              <w:spacing w:after="0"/>
              <w:rPr>
                <w:sz w:val="13"/>
                <w:szCs w:val="13"/>
                <w:color w:val="auto"/>
              </w:rPr>
            </w:pPr>
          </w:p>
        </w:tc>
        <w:tc>
          <w:tcPr>
            <w:tcW w:w="440" w:type="dxa"/>
            <w:vAlign w:val="bottom"/>
            <w:tcBorders>
              <w:right w:val="single" w:sz="8" w:color="CFF0FC"/>
            </w:tcBorders>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Borders>
              <w:bottom w:val="single" w:sz="8" w:color="auto"/>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Control Investments</w:t>
            </w:r>
          </w:p>
        </w:tc>
        <w:tc>
          <w:tcPr>
            <w:tcW w:w="1080" w:type="dxa"/>
            <w:vAlign w:val="bottom"/>
            <w:gridSpan w:val="5"/>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75"/>
        </w:trPr>
        <w:tc>
          <w:tcPr>
            <w:tcW w:w="2380" w:type="dxa"/>
            <w:vAlign w:val="bottom"/>
            <w:tcBorders>
              <w:left w:val="single" w:sz="8" w:color="CFF0FC"/>
            </w:tcBorders>
            <w:gridSpan w:val="7"/>
            <w:shd w:val="clear" w:color="auto" w:fill="CFF0FC"/>
          </w:tcPr>
          <w:p>
            <w:pPr>
              <w:ind w:left="26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gridSpan w:val="9"/>
          </w:tcPr>
          <w:p>
            <w:pPr>
              <w:ind w:left="380"/>
              <w:spacing w:after="0"/>
              <w:rPr>
                <w:sz w:val="20"/>
                <w:szCs w:val="20"/>
                <w:color w:val="auto"/>
              </w:rPr>
            </w:pPr>
            <w:r>
              <w:rPr>
                <w:rFonts w:ascii="Times New Roman" w:cs="Times New Roman" w:eastAsia="Times New Roman" w:hAnsi="Times New Roman"/>
                <w:sz w:val="14"/>
                <w:szCs w:val="14"/>
                <w:b w:val="1"/>
                <w:bCs w:val="1"/>
                <w:color w:val="auto"/>
              </w:rPr>
              <w:t>Data Processing &amp; Outsourced Services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Borders>
              <w:left w:val="single" w:sz="8" w:color="CFF0FC"/>
            </w:tcBorders>
            <w:gridSpan w:val="7"/>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Pivot3, Inc.</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4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Equity Interest</w:t>
            </w:r>
          </w:p>
        </w:tc>
        <w:tc>
          <w:tcPr>
            <w:tcW w:w="12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12/31/2023</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N/A</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9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(12) (21)</w:t>
            </w:r>
          </w:p>
        </w:tc>
        <w:tc>
          <w:tcPr>
            <w:tcW w:w="0" w:type="dxa"/>
            <w:vAlign w:val="bottom"/>
          </w:tcPr>
          <w:p>
            <w:pPr>
              <w:spacing w:after="0"/>
              <w:rPr>
                <w:sz w:val="1"/>
                <w:szCs w:val="1"/>
                <w:color w:val="auto"/>
              </w:rPr>
            </w:pPr>
          </w:p>
        </w:tc>
      </w:tr>
      <w:tr>
        <w:trPr>
          <w:trHeight w:val="169"/>
        </w:trPr>
        <w:tc>
          <w:tcPr>
            <w:tcW w:w="5220" w:type="dxa"/>
            <w:vAlign w:val="bottom"/>
            <w:tcBorders>
              <w:top w:val="single" w:sz="8" w:color="CFF0FC"/>
            </w:tcBorders>
            <w:gridSpan w:val="12"/>
          </w:tcPr>
          <w:p>
            <w:pPr>
              <w:ind w:left="380"/>
              <w:spacing w:after="0"/>
              <w:rPr>
                <w:sz w:val="20"/>
                <w:szCs w:val="20"/>
                <w:color w:val="auto"/>
              </w:rPr>
            </w:pPr>
            <w:r>
              <w:rPr>
                <w:rFonts w:ascii="Times New Roman" w:cs="Times New Roman" w:eastAsia="Times New Roman" w:hAnsi="Times New Roman"/>
                <w:sz w:val="14"/>
                <w:szCs w:val="14"/>
                <w:b w:val="1"/>
                <w:bCs w:val="1"/>
                <w:color w:val="auto"/>
              </w:rPr>
              <w:t>Total Data Processing &amp; Outsourced Services - 0.17%*</w:t>
            </w:r>
          </w:p>
        </w:tc>
        <w:tc>
          <w:tcPr>
            <w:tcW w:w="120" w:type="dxa"/>
            <w:vAlign w:val="bottom"/>
            <w:tcBorders>
              <w:top w:val="single" w:sz="8" w:color="CFF0FC"/>
            </w:tcBorders>
          </w:tcPr>
          <w:p>
            <w:pPr>
              <w:spacing w:after="0"/>
              <w:rPr>
                <w:sz w:val="14"/>
                <w:szCs w:val="14"/>
                <w:color w:val="auto"/>
              </w:rPr>
            </w:pPr>
          </w:p>
        </w:tc>
        <w:tc>
          <w:tcPr>
            <w:tcW w:w="11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0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Borders>
              <w:left w:val="single" w:sz="8" w:color="CFF0FC"/>
              <w:bottom w:val="single" w:sz="8" w:color="CFF0FC"/>
            </w:tcBorders>
            <w:shd w:val="clear" w:color="auto" w:fill="CFF0FC"/>
          </w:tcPr>
          <w:p>
            <w:pPr>
              <w:spacing w:after="0"/>
              <w:rPr>
                <w:sz w:val="14"/>
                <w:szCs w:val="14"/>
                <w:color w:val="auto"/>
              </w:rPr>
            </w:pPr>
          </w:p>
        </w:tc>
        <w:tc>
          <w:tcPr>
            <w:tcW w:w="440" w:type="dxa"/>
            <w:vAlign w:val="bottom"/>
            <w:tcBorders>
              <w:bottom w:val="single" w:sz="8" w:color="CFF0FC"/>
              <w:right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5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8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Total Equity Investments - 0.17%*</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Borders>
              <w:left w:val="single" w:sz="8" w:color="CFF0FC"/>
              <w:bottom w:val="single" w:sz="8" w:color="CFF0FC"/>
            </w:tcBorders>
            <w:shd w:val="clear" w:color="auto" w:fill="CFF0FC"/>
          </w:tcPr>
          <w:p>
            <w:pPr>
              <w:spacing w:after="0"/>
              <w:rPr>
                <w:sz w:val="14"/>
                <w:szCs w:val="14"/>
                <w:color w:val="auto"/>
              </w:rPr>
            </w:pPr>
          </w:p>
        </w:tc>
        <w:tc>
          <w:tcPr>
            <w:tcW w:w="440" w:type="dxa"/>
            <w:vAlign w:val="bottom"/>
            <w:tcBorders>
              <w:bottom w:val="single" w:sz="8" w:color="CFF0FC"/>
              <w:right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5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gridSpan w:val="7"/>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Control Investments - 0.17%*</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950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950</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 w:type="dxa"/>
            <w:vAlign w:val="bottom"/>
            <w:tcBorders>
              <w:left w:val="single" w:sz="8" w:color="CFF0FC"/>
              <w:bottom w:val="single" w:sz="8" w:color="CFF0FC"/>
            </w:tcBorders>
            <w:shd w:val="clear" w:color="auto" w:fill="CFF0FC"/>
          </w:tcPr>
          <w:p>
            <w:pPr>
              <w:spacing w:after="0"/>
              <w:rPr>
                <w:sz w:val="13"/>
                <w:szCs w:val="13"/>
                <w:color w:val="auto"/>
              </w:rPr>
            </w:pPr>
          </w:p>
        </w:tc>
        <w:tc>
          <w:tcPr>
            <w:tcW w:w="440" w:type="dxa"/>
            <w:vAlign w:val="bottom"/>
            <w:tcBorders>
              <w:bottom w:val="single" w:sz="8" w:color="CFF0FC"/>
              <w:right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5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1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gridSpan w:val="4"/>
          </w:tcPr>
          <w:p>
            <w:pPr>
              <w:jc w:val="right"/>
              <w:ind w:right="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1,064,83</w:t>
            </w:r>
          </w:p>
        </w:tc>
        <w:tc>
          <w:tcPr>
            <w:tcW w:w="3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1,025,010</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220" w:type="dxa"/>
            <w:vAlign w:val="bottom"/>
            <w:gridSpan w:val="12"/>
          </w:tcPr>
          <w:p>
            <w:pPr>
              <w:ind w:left="20"/>
              <w:spacing w:after="0"/>
              <w:rPr>
                <w:sz w:val="20"/>
                <w:szCs w:val="20"/>
                <w:color w:val="auto"/>
              </w:rPr>
            </w:pPr>
            <w:r>
              <w:rPr>
                <w:rFonts w:ascii="Times New Roman" w:cs="Times New Roman" w:eastAsia="Times New Roman" w:hAnsi="Times New Roman"/>
                <w:sz w:val="14"/>
                <w:szCs w:val="14"/>
                <w:b w:val="1"/>
                <w:bCs w:val="1"/>
                <w:color w:val="auto"/>
              </w:rPr>
              <w:t>Total Investments, excluding U.S. Treasury Bills - 187.36%*</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60" w:type="dxa"/>
            <w:vAlign w:val="bottom"/>
            <w:tcBorders>
              <w:top w:val="single" w:sz="8" w:color="auto"/>
              <w:left w:val="single" w:sz="8" w:color="CFF0FC"/>
            </w:tcBorders>
            <w:shd w:val="clear" w:color="auto" w:fill="CFF0FC"/>
          </w:tcPr>
          <w:p>
            <w:pPr>
              <w:spacing w:after="0"/>
              <w:rPr>
                <w:sz w:val="15"/>
                <w:szCs w:val="15"/>
                <w:color w:val="auto"/>
              </w:rPr>
            </w:pPr>
          </w:p>
        </w:tc>
        <w:tc>
          <w:tcPr>
            <w:tcW w:w="440" w:type="dxa"/>
            <w:vAlign w:val="bottom"/>
            <w:tcBorders>
              <w:top w:val="single" w:sz="8" w:color="auto"/>
              <w:right w:val="single" w:sz="8" w:color="CFF0FC"/>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40" w:type="dxa"/>
            <w:vAlign w:val="bottom"/>
            <w:tcBorders>
              <w:top w:val="single" w:sz="8" w:color="auto"/>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380" w:type="dxa"/>
            <w:vAlign w:val="bottom"/>
            <w:gridSpan w:val="7"/>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U.S. Treasury</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60" w:type="dxa"/>
            <w:vAlign w:val="bottom"/>
            <w:tcBorders>
              <w:top w:val="single" w:sz="8" w:color="auto"/>
              <w:left w:val="single" w:sz="8" w:color="CFF0FC"/>
              <w:bottom w:val="single" w:sz="8" w:color="CFF0FC"/>
            </w:tcBorders>
            <w:shd w:val="clear" w:color="auto" w:fill="CFF0FC"/>
          </w:tcPr>
          <w:p>
            <w:pPr>
              <w:spacing w:after="0"/>
              <w:rPr>
                <w:sz w:val="15"/>
                <w:szCs w:val="15"/>
                <w:color w:val="auto"/>
              </w:rPr>
            </w:pPr>
          </w:p>
        </w:tc>
        <w:tc>
          <w:tcPr>
            <w:tcW w:w="440" w:type="dxa"/>
            <w:vAlign w:val="bottom"/>
            <w:tcBorders>
              <w:bottom w:val="single" w:sz="8" w:color="CFF0FC"/>
              <w:right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6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U.S. Treasury Bill, 4.324%</w:t>
            </w:r>
          </w:p>
        </w:tc>
        <w:tc>
          <w:tcPr>
            <w:tcW w:w="126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12/29/2023</w:t>
            </w:r>
          </w:p>
        </w:tc>
        <w:tc>
          <w:tcPr>
            <w:tcW w:w="9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1/4/2024</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42,029</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42,014</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41,999</w:t>
            </w:r>
          </w:p>
        </w:tc>
        <w:tc>
          <w:tcPr>
            <w:tcW w:w="2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gridSpan w:val="7"/>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U.S. Treasury - 7.68%*</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42,014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41,999</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 w:type="dxa"/>
            <w:vAlign w:val="bottom"/>
            <w:tcBorders>
              <w:left w:val="single" w:sz="8" w:color="CFF0FC"/>
              <w:bottom w:val="single" w:sz="8" w:color="CFF0FC"/>
            </w:tcBorders>
            <w:shd w:val="clear" w:color="auto" w:fill="CFF0FC"/>
          </w:tcPr>
          <w:p>
            <w:pPr>
              <w:spacing w:after="0"/>
              <w:rPr>
                <w:sz w:val="13"/>
                <w:szCs w:val="13"/>
                <w:color w:val="auto"/>
              </w:rPr>
            </w:pPr>
          </w:p>
        </w:tc>
        <w:tc>
          <w:tcPr>
            <w:tcW w:w="440" w:type="dxa"/>
            <w:vAlign w:val="bottom"/>
            <w:tcBorders>
              <w:bottom w:val="single" w:sz="8" w:color="CFF0FC"/>
              <w:right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5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1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1,106,84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3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Total Investments - 195.04%*</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1,067,009</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-5716905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-5716905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-5485765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-5485765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-4945380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-4945380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-4071620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-4071620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-3830955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-3830955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-3376930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-3376930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-2914015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-2914015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-2442845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-2442845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-1757045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-1757045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-1517015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-1517015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-1276350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-1276350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-1036320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-1036320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-479425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-479425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-239395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-239395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ind w:left="4900" w:right="3560" w:hanging="1308"/>
        <w:spacing w:after="0" w:line="260" w:lineRule="auto"/>
        <w:tabs>
          <w:tab w:leader="none" w:pos="368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Schedule of Investments – (continued) December 31, 2023</w:t>
      </w:r>
    </w:p>
    <w:p>
      <w:pPr>
        <w:ind w:left="20"/>
        <w:spacing w:after="0" w:line="205" w:lineRule="auto"/>
        <w:rPr>
          <w:sz w:val="20"/>
          <w:szCs w:val="20"/>
          <w:color w:val="auto"/>
        </w:rPr>
      </w:pPr>
      <w:r>
        <w:rPr>
          <w:rFonts w:ascii="Times New Roman" w:cs="Times New Roman" w:eastAsia="Times New Roman" w:hAnsi="Times New Roman"/>
          <w:sz w:val="10"/>
          <w:szCs w:val="10"/>
          <w:color w:val="auto"/>
        </w:rPr>
        <w:t>(1)</w:t>
      </w:r>
    </w:p>
    <w:p>
      <w:pPr>
        <w:jc w:val="both"/>
        <w:ind w:left="360" w:right="60"/>
        <w:spacing w:after="0" w:line="202" w:lineRule="auto"/>
        <w:rPr>
          <w:sz w:val="20"/>
          <w:szCs w:val="20"/>
          <w:color w:val="auto"/>
        </w:rPr>
      </w:pPr>
      <w:r>
        <w:rPr>
          <w:rFonts w:ascii="Times New Roman" w:cs="Times New Roman" w:eastAsia="Times New Roman" w:hAnsi="Times New Roman"/>
          <w:sz w:val="14"/>
          <w:szCs w:val="14"/>
          <w:color w:val="auto"/>
        </w:rPr>
        <w:t>Disclosures of interest rates on notes include cash interest rates and payment-in-kind ("PIK") interest rates, as applicable. Unless otherwise indicated, all of the Company's variable interest debt instruments bear interest at a rate determined by reference to the U.S. Prime Rate or the 1-month or 3-month Secured Overnight Financing Rate ("SOFR"). At December 31, 2023, the U.S. Prime Rate was 8.50% the 1-Month SOFR was 5.35%. and the 3-Month SOFR was 5.35%.</w:t>
      </w:r>
    </w:p>
    <w:p>
      <w:pPr>
        <w:ind w:left="20"/>
        <w:spacing w:after="0" w:line="196" w:lineRule="auto"/>
        <w:rPr>
          <w:sz w:val="20"/>
          <w:szCs w:val="20"/>
          <w:color w:val="auto"/>
        </w:rPr>
      </w:pPr>
      <w:r>
        <w:rPr>
          <w:rFonts w:ascii="Times New Roman" w:cs="Times New Roman" w:eastAsia="Times New Roman" w:hAnsi="Times New Roman"/>
          <w:sz w:val="7"/>
          <w:szCs w:val="7"/>
          <w:color w:val="auto"/>
        </w:rPr>
        <w:t>(2)</w:t>
      </w:r>
    </w:p>
    <w:p>
      <w:pPr>
        <w:ind w:left="360" w:right="60"/>
        <w:spacing w:after="0" w:line="202" w:lineRule="auto"/>
        <w:rPr>
          <w:sz w:val="20"/>
          <w:szCs w:val="20"/>
          <w:color w:val="auto"/>
        </w:rPr>
      </w:pPr>
      <w:r>
        <w:rPr>
          <w:rFonts w:ascii="Times New Roman" w:cs="Times New Roman" w:eastAsia="Times New Roman" w:hAnsi="Times New Roman"/>
          <w:sz w:val="14"/>
          <w:szCs w:val="14"/>
          <w:color w:val="auto"/>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Board of Directors (as defined in "Note 2 – Summary of Significant Accounting Policies").</w:t>
      </w:r>
    </w:p>
    <w:p>
      <w:pPr>
        <w:ind w:left="20"/>
        <w:spacing w:after="0" w:line="196" w:lineRule="auto"/>
        <w:rPr>
          <w:sz w:val="20"/>
          <w:szCs w:val="20"/>
          <w:color w:val="auto"/>
        </w:rPr>
      </w:pPr>
      <w:r>
        <w:rPr>
          <w:rFonts w:ascii="Times New Roman" w:cs="Times New Roman" w:eastAsia="Times New Roman" w:hAnsi="Times New Roman"/>
          <w:sz w:val="7"/>
          <w:szCs w:val="7"/>
          <w:color w:val="auto"/>
        </w:rPr>
        <w:t>(3)</w:t>
      </w:r>
    </w:p>
    <w:p>
      <w:pPr>
        <w:ind w:left="360"/>
        <w:spacing w:after="0" w:line="191" w:lineRule="auto"/>
        <w:rPr>
          <w:sz w:val="20"/>
          <w:szCs w:val="20"/>
          <w:color w:val="auto"/>
        </w:rPr>
      </w:pPr>
      <w:r>
        <w:rPr>
          <w:rFonts w:ascii="Times New Roman" w:cs="Times New Roman" w:eastAsia="Times New Roman" w:hAnsi="Times New Roman"/>
          <w:sz w:val="12"/>
          <w:szCs w:val="12"/>
          <w:color w:val="auto"/>
        </w:rPr>
        <w:t>Investments are held at Fair Value net of the Fair Value of Unfunded Commitments. Refer to "Note 8 – Commitments and Contingencies" for additional detail.</w:t>
      </w:r>
    </w:p>
    <w:p>
      <w:pPr>
        <w:ind w:left="20"/>
        <w:spacing w:after="0" w:line="196" w:lineRule="auto"/>
        <w:rPr>
          <w:sz w:val="20"/>
          <w:szCs w:val="20"/>
          <w:color w:val="auto"/>
        </w:rPr>
      </w:pPr>
      <w:r>
        <w:rPr>
          <w:rFonts w:ascii="Times New Roman" w:cs="Times New Roman" w:eastAsia="Times New Roman" w:hAnsi="Times New Roman"/>
          <w:sz w:val="7"/>
          <w:szCs w:val="7"/>
          <w:color w:val="auto"/>
        </w:rPr>
        <w:t>(4)</w:t>
      </w:r>
    </w:p>
    <w:p>
      <w:pPr>
        <w:ind w:left="360"/>
        <w:spacing w:after="0" w:line="191" w:lineRule="auto"/>
        <w:rPr>
          <w:sz w:val="20"/>
          <w:szCs w:val="20"/>
          <w:color w:val="auto"/>
        </w:rPr>
      </w:pPr>
      <w:r>
        <w:rPr>
          <w:rFonts w:ascii="Times New Roman" w:cs="Times New Roman" w:eastAsia="Times New Roman" w:hAnsi="Times New Roman"/>
          <w:sz w:val="12"/>
          <w:szCs w:val="12"/>
          <w:color w:val="auto"/>
        </w:rPr>
        <w:t>All portfolio companies are domiciled in the United States, unless otherwise noted.</w:t>
      </w:r>
    </w:p>
    <w:p>
      <w:pPr>
        <w:ind w:left="20"/>
        <w:spacing w:after="0" w:line="196" w:lineRule="auto"/>
        <w:rPr>
          <w:sz w:val="20"/>
          <w:szCs w:val="20"/>
          <w:color w:val="auto"/>
        </w:rPr>
      </w:pPr>
      <w:r>
        <w:rPr>
          <w:rFonts w:ascii="Times New Roman" w:cs="Times New Roman" w:eastAsia="Times New Roman" w:hAnsi="Times New Roman"/>
          <w:sz w:val="7"/>
          <w:szCs w:val="7"/>
          <w:color w:val="auto"/>
        </w:rPr>
        <w:t>(5)</w:t>
      </w:r>
    </w:p>
    <w:p>
      <w:pPr>
        <w:ind w:left="360"/>
        <w:spacing w:after="0" w:line="191" w:lineRule="auto"/>
        <w:rPr>
          <w:sz w:val="20"/>
          <w:szCs w:val="20"/>
          <w:color w:val="auto"/>
        </w:rPr>
      </w:pPr>
      <w:r>
        <w:rPr>
          <w:rFonts w:ascii="Times New Roman" w:cs="Times New Roman" w:eastAsia="Times New Roman" w:hAnsi="Times New Roman"/>
          <w:sz w:val="12"/>
          <w:szCs w:val="12"/>
          <w:color w:val="auto"/>
        </w:rPr>
        <w:t>Portfolio company is domiciled in the United Kingdom. Fair value of United-Kingdom-domiciled investments represents 14.05% of net assets.</w:t>
      </w:r>
    </w:p>
    <w:p>
      <w:pPr>
        <w:ind w:left="20"/>
        <w:spacing w:after="0" w:line="196" w:lineRule="auto"/>
        <w:rPr>
          <w:sz w:val="20"/>
          <w:szCs w:val="20"/>
          <w:color w:val="auto"/>
        </w:rPr>
      </w:pPr>
      <w:r>
        <w:rPr>
          <w:rFonts w:ascii="Times New Roman" w:cs="Times New Roman" w:eastAsia="Times New Roman" w:hAnsi="Times New Roman"/>
          <w:sz w:val="7"/>
          <w:szCs w:val="7"/>
          <w:color w:val="auto"/>
        </w:rPr>
        <w:t>(6)</w:t>
      </w:r>
    </w:p>
    <w:p>
      <w:pPr>
        <w:ind w:left="360"/>
        <w:spacing w:after="0" w:line="191" w:lineRule="auto"/>
        <w:rPr>
          <w:sz w:val="20"/>
          <w:szCs w:val="20"/>
          <w:color w:val="auto"/>
        </w:rPr>
      </w:pPr>
      <w:r>
        <w:rPr>
          <w:rFonts w:ascii="Times New Roman" w:cs="Times New Roman" w:eastAsia="Times New Roman" w:hAnsi="Times New Roman"/>
          <w:sz w:val="12"/>
          <w:szCs w:val="12"/>
          <w:color w:val="auto"/>
        </w:rPr>
        <w:t>Portfolio company is domiciled in Germany. Fair value of Germany-domiciled investments represents 8.15% of net assets.</w:t>
      </w:r>
    </w:p>
    <w:p>
      <w:pPr>
        <w:ind w:left="20"/>
        <w:spacing w:after="0" w:line="196" w:lineRule="auto"/>
        <w:rPr>
          <w:sz w:val="20"/>
          <w:szCs w:val="20"/>
          <w:color w:val="auto"/>
        </w:rPr>
      </w:pPr>
      <w:r>
        <w:rPr>
          <w:rFonts w:ascii="Times New Roman" w:cs="Times New Roman" w:eastAsia="Times New Roman" w:hAnsi="Times New Roman"/>
          <w:sz w:val="7"/>
          <w:szCs w:val="7"/>
          <w:color w:val="auto"/>
        </w:rPr>
        <w:t>(7)</w:t>
      </w:r>
    </w:p>
    <w:p>
      <w:pPr>
        <w:ind w:left="360"/>
        <w:spacing w:after="0" w:line="191" w:lineRule="auto"/>
        <w:rPr>
          <w:sz w:val="20"/>
          <w:szCs w:val="20"/>
          <w:color w:val="auto"/>
        </w:rPr>
      </w:pPr>
      <w:r>
        <w:rPr>
          <w:rFonts w:ascii="Times New Roman" w:cs="Times New Roman" w:eastAsia="Times New Roman" w:hAnsi="Times New Roman"/>
          <w:sz w:val="12"/>
          <w:szCs w:val="12"/>
          <w:color w:val="auto"/>
        </w:rPr>
        <w:t>Portfolio company is domiciled in Canada. Fair value of Canadian-domiciled investments represents 2.68% of net assets.</w:t>
      </w:r>
    </w:p>
    <w:p>
      <w:pPr>
        <w:ind w:left="20"/>
        <w:spacing w:after="0" w:line="196" w:lineRule="auto"/>
        <w:rPr>
          <w:sz w:val="20"/>
          <w:szCs w:val="20"/>
          <w:color w:val="auto"/>
        </w:rPr>
      </w:pPr>
      <w:r>
        <w:rPr>
          <w:rFonts w:ascii="Times New Roman" w:cs="Times New Roman" w:eastAsia="Times New Roman" w:hAnsi="Times New Roman"/>
          <w:sz w:val="7"/>
          <w:szCs w:val="7"/>
          <w:color w:val="auto"/>
        </w:rPr>
        <w:t>(8)</w:t>
      </w:r>
    </w:p>
    <w:p>
      <w:pPr>
        <w:jc w:val="both"/>
        <w:ind w:left="360"/>
        <w:spacing w:after="0" w:line="206" w:lineRule="auto"/>
        <w:rPr>
          <w:sz w:val="20"/>
          <w:szCs w:val="20"/>
          <w:color w:val="auto"/>
        </w:rPr>
      </w:pPr>
      <w:r>
        <w:rPr>
          <w:rFonts w:ascii="Times New Roman" w:cs="Times New Roman" w:eastAsia="Times New Roman" w:hAnsi="Times New Roman"/>
          <w:sz w:val="14"/>
          <w:szCs w:val="14"/>
          <w:color w:val="auto"/>
        </w:rPr>
        <w:t>Investment is not a qualifying investment as defined under Section 55(a) of the Investment Company Act of 1940, as amended. The fair value of non-qualifying assets represents 12.63% of total assets as of December 31, 2023.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p>
      <w:pPr>
        <w:ind w:left="20"/>
        <w:spacing w:after="0" w:line="203" w:lineRule="auto"/>
        <w:rPr>
          <w:sz w:val="20"/>
          <w:szCs w:val="20"/>
          <w:color w:val="auto"/>
        </w:rPr>
      </w:pPr>
      <w:r>
        <w:rPr>
          <w:rFonts w:ascii="Times New Roman" w:cs="Times New Roman" w:eastAsia="Times New Roman" w:hAnsi="Times New Roman"/>
          <w:sz w:val="7"/>
          <w:szCs w:val="7"/>
          <w:color w:val="auto"/>
        </w:rPr>
        <w:t>(9)</w:t>
      </w:r>
    </w:p>
    <w:p>
      <w:pPr>
        <w:ind w:left="360"/>
        <w:spacing w:after="0" w:line="191" w:lineRule="auto"/>
        <w:rPr>
          <w:sz w:val="20"/>
          <w:szCs w:val="20"/>
          <w:color w:val="auto"/>
        </w:rPr>
      </w:pPr>
      <w:r>
        <w:rPr>
          <w:rFonts w:ascii="Times New Roman" w:cs="Times New Roman" w:eastAsia="Times New Roman" w:hAnsi="Times New Roman"/>
          <w:sz w:val="12"/>
          <w:szCs w:val="12"/>
          <w:color w:val="auto"/>
        </w:rPr>
        <w:t>Represents a PIK security. PIK interest will be accrued and paid at maturity.</w:t>
      </w:r>
    </w:p>
    <w:p>
      <w:pPr>
        <w:ind w:left="20"/>
        <w:spacing w:after="0" w:line="196" w:lineRule="auto"/>
        <w:rPr>
          <w:sz w:val="20"/>
          <w:szCs w:val="20"/>
          <w:color w:val="auto"/>
        </w:rPr>
      </w:pPr>
      <w:r>
        <w:rPr>
          <w:rFonts w:ascii="Times New Roman" w:cs="Times New Roman" w:eastAsia="Times New Roman" w:hAnsi="Times New Roman"/>
          <w:sz w:val="7"/>
          <w:szCs w:val="7"/>
          <w:color w:val="auto"/>
        </w:rPr>
        <w:t>(10)</w:t>
      </w:r>
    </w:p>
    <w:p>
      <w:pPr>
        <w:ind w:left="360"/>
        <w:spacing w:after="0" w:line="191" w:lineRule="auto"/>
        <w:rPr>
          <w:sz w:val="20"/>
          <w:szCs w:val="20"/>
          <w:color w:val="auto"/>
        </w:rPr>
      </w:pPr>
      <w:r>
        <w:rPr>
          <w:rFonts w:ascii="Times New Roman" w:cs="Times New Roman" w:eastAsia="Times New Roman" w:hAnsi="Times New Roman"/>
          <w:sz w:val="12"/>
          <w:szCs w:val="12"/>
          <w:color w:val="auto"/>
        </w:rPr>
        <w:t>Disclosures of end-of-term payments ("ETP") are one-time payments stated as a percentage of original principal amount.</w:t>
      </w:r>
    </w:p>
    <w:p>
      <w:pPr>
        <w:ind w:left="20"/>
        <w:spacing w:after="0" w:line="196" w:lineRule="auto"/>
        <w:rPr>
          <w:sz w:val="20"/>
          <w:szCs w:val="20"/>
          <w:color w:val="auto"/>
        </w:rPr>
      </w:pPr>
      <w:r>
        <w:rPr>
          <w:rFonts w:ascii="Times New Roman" w:cs="Times New Roman" w:eastAsia="Times New Roman" w:hAnsi="Times New Roman"/>
          <w:sz w:val="7"/>
          <w:szCs w:val="7"/>
          <w:color w:val="auto"/>
        </w:rPr>
        <w:t>(11)</w:t>
      </w:r>
    </w:p>
    <w:p>
      <w:pPr>
        <w:ind w:left="360"/>
        <w:spacing w:after="0" w:line="191" w:lineRule="auto"/>
        <w:rPr>
          <w:sz w:val="20"/>
          <w:szCs w:val="20"/>
          <w:color w:val="auto"/>
        </w:rPr>
      </w:pPr>
      <w:r>
        <w:rPr>
          <w:rFonts w:ascii="Times New Roman" w:cs="Times New Roman" w:eastAsia="Times New Roman" w:hAnsi="Times New Roman"/>
          <w:sz w:val="12"/>
          <w:szCs w:val="12"/>
          <w:color w:val="auto"/>
        </w:rPr>
        <w:t>The investment is an eligible loan investment in the collateral under the Credit Facility (as defined in "Note 7 – Borrowings").</w:t>
      </w:r>
    </w:p>
    <w:p>
      <w:pPr>
        <w:ind w:left="20"/>
        <w:spacing w:after="0" w:line="196" w:lineRule="auto"/>
        <w:rPr>
          <w:sz w:val="20"/>
          <w:szCs w:val="20"/>
          <w:color w:val="auto"/>
        </w:rPr>
      </w:pPr>
      <w:r>
        <w:rPr>
          <w:rFonts w:ascii="Times New Roman" w:cs="Times New Roman" w:eastAsia="Times New Roman" w:hAnsi="Times New Roman"/>
          <w:sz w:val="7"/>
          <w:szCs w:val="7"/>
          <w:color w:val="auto"/>
        </w:rPr>
        <w:t>(12)</w:t>
      </w:r>
    </w:p>
    <w:p>
      <w:pPr>
        <w:ind w:left="360"/>
        <w:spacing w:after="0" w:line="191" w:lineRule="auto"/>
        <w:rPr>
          <w:sz w:val="20"/>
          <w:szCs w:val="20"/>
          <w:color w:val="auto"/>
        </w:rPr>
      </w:pPr>
      <w:r>
        <w:rPr>
          <w:rFonts w:ascii="Times New Roman" w:cs="Times New Roman" w:eastAsia="Times New Roman" w:hAnsi="Times New Roman"/>
          <w:sz w:val="12"/>
          <w:szCs w:val="12"/>
          <w:color w:val="auto"/>
        </w:rPr>
        <w:t>Investments are non-income producing.</w:t>
      </w:r>
    </w:p>
    <w:p>
      <w:pPr>
        <w:ind w:left="20"/>
        <w:spacing w:after="0" w:line="195" w:lineRule="auto"/>
        <w:rPr>
          <w:sz w:val="20"/>
          <w:szCs w:val="20"/>
          <w:color w:val="auto"/>
        </w:rPr>
      </w:pPr>
      <w:r>
        <w:rPr>
          <w:rFonts w:ascii="Times New Roman" w:cs="Times New Roman" w:eastAsia="Times New Roman" w:hAnsi="Times New Roman"/>
          <w:sz w:val="7"/>
          <w:szCs w:val="7"/>
          <w:color w:val="auto"/>
        </w:rPr>
        <w:t>(13)</w:t>
      </w:r>
    </w:p>
    <w:p>
      <w:pPr>
        <w:ind w:left="360"/>
        <w:spacing w:after="0" w:line="191" w:lineRule="auto"/>
        <w:rPr>
          <w:sz w:val="20"/>
          <w:szCs w:val="20"/>
          <w:color w:val="auto"/>
        </w:rPr>
      </w:pPr>
      <w:r>
        <w:rPr>
          <w:rFonts w:ascii="Times New Roman" w:cs="Times New Roman" w:eastAsia="Times New Roman" w:hAnsi="Times New Roman"/>
          <w:sz w:val="12"/>
          <w:szCs w:val="12"/>
          <w:color w:val="auto"/>
        </w:rPr>
        <w:t>Portfolio company is publicly traded and listed on NYSE.</w:t>
      </w:r>
    </w:p>
    <w:p>
      <w:pPr>
        <w:ind w:left="20"/>
        <w:spacing w:after="0" w:line="196" w:lineRule="auto"/>
        <w:rPr>
          <w:sz w:val="20"/>
          <w:szCs w:val="20"/>
          <w:color w:val="auto"/>
        </w:rPr>
      </w:pPr>
      <w:r>
        <w:rPr>
          <w:rFonts w:ascii="Times New Roman" w:cs="Times New Roman" w:eastAsia="Times New Roman" w:hAnsi="Times New Roman"/>
          <w:sz w:val="7"/>
          <w:szCs w:val="7"/>
          <w:color w:val="auto"/>
        </w:rPr>
        <w:t>(14)</w:t>
      </w:r>
    </w:p>
    <w:p>
      <w:pPr>
        <w:ind w:left="360"/>
        <w:spacing w:after="0" w:line="191" w:lineRule="auto"/>
        <w:rPr>
          <w:sz w:val="20"/>
          <w:szCs w:val="20"/>
          <w:color w:val="auto"/>
        </w:rPr>
      </w:pPr>
      <w:r>
        <w:rPr>
          <w:rFonts w:ascii="Times New Roman" w:cs="Times New Roman" w:eastAsia="Times New Roman" w:hAnsi="Times New Roman"/>
          <w:sz w:val="12"/>
          <w:szCs w:val="12"/>
          <w:color w:val="auto"/>
        </w:rPr>
        <w:t>Portfolio company is publicly traded and listed on NASDAQ.</w:t>
      </w:r>
    </w:p>
    <w:p>
      <w:pPr>
        <w:ind w:left="20"/>
        <w:spacing w:after="0" w:line="196" w:lineRule="auto"/>
        <w:rPr>
          <w:sz w:val="20"/>
          <w:szCs w:val="20"/>
          <w:color w:val="auto"/>
        </w:rPr>
      </w:pPr>
      <w:r>
        <w:rPr>
          <w:rFonts w:ascii="Times New Roman" w:cs="Times New Roman" w:eastAsia="Times New Roman" w:hAnsi="Times New Roman"/>
          <w:sz w:val="7"/>
          <w:szCs w:val="7"/>
          <w:color w:val="auto"/>
        </w:rPr>
        <w:t>(15)</w:t>
      </w:r>
    </w:p>
    <w:p>
      <w:pPr>
        <w:ind w:left="360"/>
        <w:spacing w:after="0" w:line="191" w:lineRule="auto"/>
        <w:rPr>
          <w:sz w:val="20"/>
          <w:szCs w:val="20"/>
          <w:color w:val="auto"/>
        </w:rPr>
      </w:pPr>
      <w:r>
        <w:rPr>
          <w:rFonts w:ascii="Times New Roman" w:cs="Times New Roman" w:eastAsia="Times New Roman" w:hAnsi="Times New Roman"/>
          <w:sz w:val="12"/>
          <w:szCs w:val="12"/>
          <w:color w:val="auto"/>
        </w:rPr>
        <w:t>Portfolio company is publicly traded and listed on ASX.</w:t>
      </w:r>
    </w:p>
    <w:p>
      <w:pPr>
        <w:ind w:left="20"/>
        <w:spacing w:after="0" w:line="196" w:lineRule="auto"/>
        <w:rPr>
          <w:sz w:val="20"/>
          <w:szCs w:val="20"/>
          <w:color w:val="auto"/>
        </w:rPr>
      </w:pPr>
      <w:r>
        <w:rPr>
          <w:rFonts w:ascii="Times New Roman" w:cs="Times New Roman" w:eastAsia="Times New Roman" w:hAnsi="Times New Roman"/>
          <w:sz w:val="7"/>
          <w:szCs w:val="7"/>
          <w:color w:val="auto"/>
        </w:rPr>
        <w:t>(16)</w:t>
      </w:r>
    </w:p>
    <w:p>
      <w:pPr>
        <w:ind w:left="360"/>
        <w:spacing w:after="0" w:line="191" w:lineRule="auto"/>
        <w:rPr>
          <w:sz w:val="20"/>
          <w:szCs w:val="20"/>
          <w:color w:val="auto"/>
        </w:rPr>
      </w:pPr>
      <w:r>
        <w:rPr>
          <w:rFonts w:ascii="Times New Roman" w:cs="Times New Roman" w:eastAsia="Times New Roman" w:hAnsi="Times New Roman"/>
          <w:sz w:val="12"/>
          <w:szCs w:val="12"/>
          <w:color w:val="auto"/>
        </w:rPr>
        <w:t>Investment is not a "restricted security" under the Securities Act.</w:t>
      </w:r>
    </w:p>
    <w:p>
      <w:pPr>
        <w:ind w:left="20"/>
        <w:spacing w:after="0" w:line="196" w:lineRule="auto"/>
        <w:rPr>
          <w:sz w:val="20"/>
          <w:szCs w:val="20"/>
          <w:color w:val="auto"/>
        </w:rPr>
      </w:pPr>
      <w:r>
        <w:rPr>
          <w:rFonts w:ascii="Times New Roman" w:cs="Times New Roman" w:eastAsia="Times New Roman" w:hAnsi="Times New Roman"/>
          <w:sz w:val="7"/>
          <w:szCs w:val="7"/>
          <w:color w:val="auto"/>
        </w:rPr>
        <w:t>(17)</w:t>
      </w:r>
    </w:p>
    <w:p>
      <w:pPr>
        <w:ind w:left="360"/>
        <w:spacing w:after="0" w:line="191" w:lineRule="auto"/>
        <w:rPr>
          <w:sz w:val="20"/>
          <w:szCs w:val="20"/>
          <w:color w:val="auto"/>
        </w:rPr>
      </w:pPr>
      <w:r>
        <w:rPr>
          <w:rFonts w:ascii="Times New Roman" w:cs="Times New Roman" w:eastAsia="Times New Roman" w:hAnsi="Times New Roman"/>
          <w:sz w:val="12"/>
          <w:szCs w:val="12"/>
          <w:color w:val="auto"/>
        </w:rPr>
        <w:t>The warrant count is based upon a percentage of ownership of Fidelis Cybersecurity, Inc.</w:t>
      </w:r>
    </w:p>
    <w:p>
      <w:pPr>
        <w:ind w:left="20"/>
        <w:spacing w:after="0" w:line="196" w:lineRule="auto"/>
        <w:rPr>
          <w:sz w:val="20"/>
          <w:szCs w:val="20"/>
          <w:color w:val="auto"/>
        </w:rPr>
      </w:pPr>
      <w:r>
        <w:rPr>
          <w:rFonts w:ascii="Times New Roman" w:cs="Times New Roman" w:eastAsia="Times New Roman" w:hAnsi="Times New Roman"/>
          <w:sz w:val="7"/>
          <w:szCs w:val="7"/>
          <w:color w:val="auto"/>
        </w:rPr>
        <w:t>(18)</w:t>
      </w:r>
    </w:p>
    <w:p>
      <w:pPr>
        <w:ind w:left="360"/>
        <w:spacing w:after="0" w:line="191" w:lineRule="auto"/>
        <w:rPr>
          <w:sz w:val="20"/>
          <w:szCs w:val="20"/>
          <w:color w:val="auto"/>
        </w:rPr>
      </w:pPr>
      <w:r>
        <w:rPr>
          <w:rFonts w:ascii="Times New Roman" w:cs="Times New Roman" w:eastAsia="Times New Roman" w:hAnsi="Times New Roman"/>
          <w:sz w:val="12"/>
          <w:szCs w:val="12"/>
          <w:color w:val="auto"/>
        </w:rPr>
        <w:t>Investment is either a cash success fee payable or earnout of shares based on the consummation of certain trigger events.</w:t>
      </w:r>
    </w:p>
    <w:p>
      <w:pPr>
        <w:ind w:left="20"/>
        <w:spacing w:after="0" w:line="195" w:lineRule="auto"/>
        <w:rPr>
          <w:sz w:val="20"/>
          <w:szCs w:val="20"/>
          <w:color w:val="auto"/>
        </w:rPr>
      </w:pPr>
      <w:r>
        <w:rPr>
          <w:rFonts w:ascii="Times New Roman" w:cs="Times New Roman" w:eastAsia="Times New Roman" w:hAnsi="Times New Roman"/>
          <w:sz w:val="7"/>
          <w:szCs w:val="7"/>
          <w:color w:val="auto"/>
        </w:rPr>
        <w:t>(19)</w:t>
      </w:r>
    </w:p>
    <w:p>
      <w:pPr>
        <w:ind w:left="360" w:right="40"/>
        <w:spacing w:after="0" w:line="202" w:lineRule="auto"/>
        <w:rPr>
          <w:sz w:val="20"/>
          <w:szCs w:val="20"/>
          <w:color w:val="auto"/>
        </w:rPr>
      </w:pPr>
      <w:r>
        <w:rPr>
          <w:rFonts w:ascii="Times New Roman" w:cs="Times New Roman" w:eastAsia="Times New Roman" w:hAnsi="Times New Roman"/>
          <w:sz w:val="14"/>
          <w:szCs w:val="14"/>
          <w:color w:val="auto"/>
        </w:rPr>
        <w:t>Investment is denominated in a foreign currency and is publicly traded on ETR. At each balance sheet date, portfolio company investments denominated in foreign currencies are translated into U.S. dollars using the spot exchange rate on the last business day of the period. Transactions of foreign portfolio company investments, and income related from such investments, are translated into U.S. dollars using relevant rates of exchange on the respective dates of such transactions.</w:t>
      </w:r>
    </w:p>
    <w:p>
      <w:pPr>
        <w:ind w:left="20"/>
        <w:spacing w:after="0" w:line="196" w:lineRule="auto"/>
        <w:rPr>
          <w:sz w:val="20"/>
          <w:szCs w:val="20"/>
          <w:color w:val="auto"/>
        </w:rPr>
      </w:pPr>
      <w:r>
        <w:rPr>
          <w:rFonts w:ascii="Times New Roman" w:cs="Times New Roman" w:eastAsia="Times New Roman" w:hAnsi="Times New Roman"/>
          <w:sz w:val="7"/>
          <w:szCs w:val="7"/>
          <w:color w:val="auto"/>
        </w:rPr>
        <w:t>(20)</w:t>
      </w:r>
    </w:p>
    <w:p>
      <w:pPr>
        <w:ind w:left="360"/>
        <w:spacing w:after="0" w:line="191" w:lineRule="auto"/>
        <w:rPr>
          <w:sz w:val="20"/>
          <w:szCs w:val="20"/>
          <w:color w:val="auto"/>
        </w:rPr>
      </w:pPr>
      <w:r>
        <w:rPr>
          <w:rFonts w:ascii="Times New Roman" w:cs="Times New Roman" w:eastAsia="Times New Roman" w:hAnsi="Times New Roman"/>
          <w:sz w:val="12"/>
          <w:szCs w:val="12"/>
          <w:color w:val="auto"/>
        </w:rPr>
        <w:t>Convertible notes represent investments that are redeemable by the Company upon occurrence of contingent events. There are no principal or interest payments to be made against the note.</w:t>
      </w:r>
    </w:p>
    <w:p>
      <w:pPr>
        <w:ind w:left="20"/>
        <w:spacing w:after="0" w:line="196" w:lineRule="auto"/>
        <w:rPr>
          <w:sz w:val="20"/>
          <w:szCs w:val="20"/>
          <w:color w:val="auto"/>
        </w:rPr>
      </w:pPr>
      <w:r>
        <w:rPr>
          <w:rFonts w:ascii="Times New Roman" w:cs="Times New Roman" w:eastAsia="Times New Roman" w:hAnsi="Times New Roman"/>
          <w:sz w:val="7"/>
          <w:szCs w:val="7"/>
          <w:color w:val="auto"/>
        </w:rPr>
        <w:t>(21)</w:t>
      </w:r>
    </w:p>
    <w:p>
      <w:pPr>
        <w:ind w:left="360" w:right="240"/>
        <w:spacing w:after="0" w:line="192" w:lineRule="auto"/>
        <w:rPr>
          <w:sz w:val="20"/>
          <w:szCs w:val="20"/>
          <w:color w:val="auto"/>
        </w:rPr>
      </w:pPr>
      <w:r>
        <w:rPr>
          <w:rFonts w:ascii="Times New Roman" w:cs="Times New Roman" w:eastAsia="Times New Roman" w:hAnsi="Times New Roman"/>
          <w:sz w:val="14"/>
          <w:szCs w:val="14"/>
          <w:color w:val="auto"/>
        </w:rPr>
        <w:t>The assets recovered on the senior secured term loan to Pivot 3, Inc. was contributed to P3 Holdco LLC by the Company, a wholly owned subsidiary of the BDC. For more information, refer to "Note 2 — Summary of Significant Accounting Policies, Principles of Consolidation".</w:t>
      </w:r>
    </w:p>
    <w:p>
      <w:pPr>
        <w:ind w:left="20"/>
        <w:spacing w:after="0" w:line="198" w:lineRule="auto"/>
        <w:rPr>
          <w:sz w:val="20"/>
          <w:szCs w:val="20"/>
          <w:color w:val="auto"/>
        </w:rPr>
      </w:pPr>
      <w:r>
        <w:rPr>
          <w:rFonts w:ascii="Times New Roman" w:cs="Times New Roman" w:eastAsia="Times New Roman" w:hAnsi="Times New Roman"/>
          <w:sz w:val="7"/>
          <w:szCs w:val="7"/>
          <w:color w:val="auto"/>
        </w:rPr>
        <w:t>(22)</w:t>
      </w:r>
    </w:p>
    <w:p>
      <w:pPr>
        <w:ind w:left="360" w:right="200"/>
        <w:spacing w:after="0" w:line="192" w:lineRule="auto"/>
        <w:rPr>
          <w:sz w:val="20"/>
          <w:szCs w:val="20"/>
          <w:color w:val="auto"/>
        </w:rPr>
      </w:pPr>
      <w:r>
        <w:rPr>
          <w:rFonts w:ascii="Times New Roman" w:cs="Times New Roman" w:eastAsia="Times New Roman" w:hAnsi="Times New Roman"/>
          <w:sz w:val="14"/>
          <w:szCs w:val="14"/>
          <w:color w:val="auto"/>
        </w:rPr>
        <w:t>Affiliate portfolio company as defined under the 1940 Act in which the Company owns between 5% and 25% (inclusive) of the investment's voting securities and does not have rights to maintain greater than 50% representation on the board.</w:t>
      </w:r>
    </w:p>
    <w:p>
      <w:pPr>
        <w:ind w:left="20"/>
        <w:spacing w:after="0" w:line="198" w:lineRule="auto"/>
        <w:rPr>
          <w:sz w:val="20"/>
          <w:szCs w:val="20"/>
          <w:color w:val="auto"/>
        </w:rPr>
      </w:pPr>
      <w:r>
        <w:rPr>
          <w:rFonts w:ascii="Times New Roman" w:cs="Times New Roman" w:eastAsia="Times New Roman" w:hAnsi="Times New Roman"/>
          <w:sz w:val="7"/>
          <w:szCs w:val="7"/>
          <w:color w:val="auto"/>
        </w:rPr>
        <w:t>(23)</w:t>
      </w:r>
    </w:p>
    <w:p>
      <w:pPr>
        <w:ind w:left="360" w:right="180"/>
        <w:spacing w:after="0" w:line="192" w:lineRule="auto"/>
        <w:rPr>
          <w:sz w:val="20"/>
          <w:szCs w:val="20"/>
          <w:color w:val="auto"/>
        </w:rPr>
      </w:pPr>
      <w:r>
        <w:rPr>
          <w:rFonts w:ascii="Times New Roman" w:cs="Times New Roman" w:eastAsia="Times New Roman" w:hAnsi="Times New Roman"/>
          <w:sz w:val="14"/>
          <w:szCs w:val="14"/>
          <w:color w:val="auto"/>
        </w:rPr>
        <w:t>Control portfolio company, as defined under the 1940 Act, in which the Company owns more than 25% of the investment’s voting securities or has greater than 50% representation on its board.</w:t>
      </w:r>
    </w:p>
    <w:p>
      <w:pPr>
        <w:ind w:left="20"/>
        <w:spacing w:after="0" w:line="198" w:lineRule="auto"/>
        <w:rPr>
          <w:sz w:val="20"/>
          <w:szCs w:val="20"/>
          <w:color w:val="auto"/>
        </w:rPr>
      </w:pPr>
      <w:r>
        <w:rPr>
          <w:rFonts w:ascii="Times New Roman" w:cs="Times New Roman" w:eastAsia="Times New Roman" w:hAnsi="Times New Roman"/>
          <w:sz w:val="7"/>
          <w:szCs w:val="7"/>
          <w:color w:val="auto"/>
        </w:rPr>
        <w:t>*</w:t>
      </w:r>
    </w:p>
    <w:p>
      <w:pPr>
        <w:ind w:left="360"/>
        <w:spacing w:after="0"/>
        <w:rPr>
          <w:sz w:val="20"/>
          <w:szCs w:val="20"/>
          <w:color w:val="auto"/>
        </w:rPr>
      </w:pPr>
      <w:r>
        <w:rPr>
          <w:rFonts w:ascii="Times New Roman" w:cs="Times New Roman" w:eastAsia="Times New Roman" w:hAnsi="Times New Roman"/>
          <w:sz w:val="14"/>
          <w:szCs w:val="14"/>
          <w:color w:val="auto"/>
        </w:rPr>
        <w:t>Fair value as a percentage of net assets.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Runway Growth Finance Corp. (the “Company”), is a Maryland corporation that was formed on August 31, 2015. On August 18, 2021, the Company changed its name to “Runway Growth Finance Corp.” from “Runway Growth Credit Fund Inc.” The Company is an externally managed, non-diversified, closed-end investment company that has elected to be regulated as a business development company (“BDC”) under the Investment Company Act of 1940, as amended (the “1940 Act”). In addition, the Company has elected to be treated, currently qualifies, and intends to continue to qualify annually as a regulated investment company (“RIC”) under Subchapter M of the Internal Revenue Code of 1986, as amended (the “Code”).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formed primarily to lend to, and selectively invest in, high growth-potential companies in technology, healthcare, business services, financial services, select consumer services and products in other high-growth industries in the United States. The Company’s investment objective is to maximize its total return to its stockholders primarily through current income on its loan portfolio, and secondarily through capital gain (loss)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25, 2021, the Company closed its initial public offering ("IPO"), issuing 6,850,000 shares of its common stock at a public offering price of $14.60 per share. Net of underwriting fees and offering costs, the Company received net proceeds of $93.0 million. The Company's common stock began trading on the Nasdaq Global Select Market LLC ("NASDAQ") on October 21, 2021, under the symbol “RWAY”.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The accompanying interim unaudited consolidated financial statements of the Company are prepared on the accrual basis of accounting in conformity with U.S. Generally Accepted Accounting Principles (“U.S. GAAP”) and pursuant to the requirements for reporting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in compliance with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 — Investment Companies.</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all of which were of a normal recurring nature, considered necessary for the fair presentation of financial statements for the interim period have been included. The results of operations for the current interim period are not necessarily indicative of results that ultimately may be achieved for any other interim period or for the year ending December 31, 2024. The interim unaudited consolidated financial statements and notes hereto should be read in conjunction with the audited consolidated financial statements and notes thereto contained in the Company’s annual report on Form 10-K for the year ended December 31, 2023, filed with the Securities and Exchange Commission (the "SEC") on March 7,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ASC 946, the Company is precluded from consolidating portfolio company investments, including those in which it has a controlling interest, unless the portfolio company is another investment company. An exception to this general principle occurs if the Company holds a controlling interest in an operating company that provides all or substantially all of its services directly to the Company or to its portfolio companies. None of the portfolio investments made by the Company qualify for this exception. Therefore, the Company’s investment portfolio is carried on the Consolidated Statements of Assets and Liabilities at fair value, as discussed further in “Note 4 — Investments,” with any adjustments to fair value recognized as "Net change in unrealized gain (loss) on investments” on the Consolidated Statements of Operations.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consolidated operations include the activities of its wholly owned subsidiary, P3 Holdco LLC ("P3 Holdco") and P3 Holdco’s wholly owned subsidiary Pivot3, Inc. The subsidiaries are consolidated and included in the Company’s consolidated financial statements and the assets of Pivot3, Inc. are recorded at fair value. All intercompany balances and transactions have been eliminated. Refer to the Schedule of Investments for the Company’s equity interest in Pivot3, Inc. as of September 30, 2024 and December 31,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follows the guidance in ASC 860, Transfers and Servicing ("ASC 860"), when accounting for transferred financial assets such as debt and equity assignments. Such guidance requires an assignment to meet the definition of a "participating interest", as defined in the guidance, and the following conditions to be met in order for sale treatment to be allowed:</w:t>
      </w:r>
    </w:p>
    <w:p>
      <w:pPr>
        <w:spacing w:after="0" w:line="176" w:lineRule="exact"/>
        <w:rPr>
          <w:sz w:val="20"/>
          <w:szCs w:val="20"/>
          <w:color w:val="auto"/>
        </w:rPr>
      </w:pPr>
    </w:p>
    <w:p>
      <w:pPr>
        <w:ind w:left="760" w:right="24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assigned investments have been isolated from the Company and put presumptively beyond the reach of the Company and its creditors, even in bankruptcy or other receivership;</w:t>
      </w:r>
    </w:p>
    <w:p>
      <w:pPr>
        <w:spacing w:after="0" w:line="53"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has the right to pledge or exchange the assigned investments it received, and no condition both constrains the participant from taking advantage of its right to pledge or exchange and provides more than a trivial benefit to the Company; and</w:t>
      </w:r>
    </w:p>
    <w:p>
      <w:pPr>
        <w:spacing w:after="0" w:line="53"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its consolidated affiliates or its agents do not maintain effective control over the assigned investments through either: (i) an agreement that entitles and/or obligates the Company to repurchase or redeem the assets before maturity, or (ii) the ability to unilaterally cause the holder to return the specific assets, other than through a cleanup call.</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Assignments and other partial debt or equity sales that do not meet the definition of a participating interest or the above conditions, should remain on the Company's Consolidated Statements of Assets and Liabilities and the proceeds recorded as a secured borrowing until the definition is met.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Runway-Cadma I LLC</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announced on March 7, 2024, effective March 6, 2024, the Company entered into a joint venture agreement with Cadma Capital Partners LLC ("Cadma") to create and co-manage Runway-Cadma I LLC (“Runway-Cadma LLC” or the “JV”). The JV may invest in secured loans to growth-stage companies that have been originated by the Company. The Company and Cadma have equal ownership of the JV and each committed to provide $35.0 million of the total $70.0 million in equity capital. All portfolio decisions and generally all other actions in respect of the JV must be approved by the board of managers of the JV, consisting of an equal number of representatives of the Company and Cadma. Capital contributions are called from the Company and Cadma on a pro-rata basis based on their total capital commitments. For more information, refer to "Note 3 – Related Parties."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permitted under Regulation S-X and consistent with the guidance in ASC 946-810-45-3, the Company will generally not consolidate its investment in a company other than an investment company subsidiary or a controlled operating company whose business consists of providing services to the Company. As the Company’s representatives do not comprise the majority of the board of managers of the JV and the Company does not hold a majority of the economic interests in the JV, the Company does not consolidate the JV in its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income and expense during the reporting period. Changes in the economic and regulatory environment, financial markets, the credit worthiness of the Company's portfolio companies, and any other parameters used in determining these estimates and assumptions could cause actual results to differ from these estimates and assumptions.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consists solely of funds deposited with financial institutions, while cash equivalents consist of short-term liquid investments in money market funds. Cash and cash equivalents are carried at cost, which approximates fair value. As of September 30, 2024, $3.0 million was invested in money market funds. As of December 31, 2023, the Company did not have any cash invested in money market funds. Interest earned in money market funds are recorded in "Other income" on the Consolidated Statements of Operations.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Deferred Financing Costs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debt of the Company is carried at amortized cost on the Consolidated Statements of Assets and Liabilities, which is comprised of the principal amount borrowed, net of unamortized debt financing costs. Debt financing costs ("DFC") are fees and other direct incremental costs incurred by the Company in relation to debt financing and are amortized over the life of the related debt instrument or the life of the cost respective service, if shorter, using the straight-line method, which closely approximates the effective yield method. Amortization of such debt financing costs and interest expense on the outstanding principal balance are recorded in "Interest and other debt financing expenses" on the Consolidated Statements of Operations. Debt financing costs that have not yet been amortized are recorded as "Unamortized deferred financing costs" on the Consolidated Statements of Assets and Liabilities. To the extent there are no outstanding borrowings, the deferred financing costs are presented as an asset on the Consolidated Statements of Assets and Liabilities. Accrued but unpaid interest is included within "Interest payable" on the Consolidated Statements of Assets and Liabilities. For more information, refer to “Note 7 – Borrowings.”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lends to and invests in portfolio companies in various industries. The Company separately evaluates the performance of each of its lending and investment relationships. However, because each of these loan and investment relationships has similar business and economic characteristics, they have been aggregated into a single reportable segment. All applicable segment disclosures are included in or can be derived from the Company’s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Transactions and Related Investment Income</w:t>
      </w:r>
    </w:p>
    <w:p>
      <w:pPr>
        <w:spacing w:after="0" w:line="202"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The Company’s investment portfolio generates interest, fee, and dividend income. The Company records interest income on an accrual basis, recognizing income as earned in accordance with the contractual terms of the loan agreement, to the extent that such amounts are expected to be collected. The cost of each debt investment is adjusted for any discounts, premiums, upfront fees, and carve-outs representing the value of detachable equity, warrants, or another asset obtained in conjunction with the acquisition of debt investments (collectively "OID"), as well as any contractual end of term payments ("ETP"). The OID and ETP are capitalized into the adjusted cost basis and recorded as interest income over the term of the loan as a yield enhancement following the effective interest method. Upon prepayment of a debt investment, any unamortized OID and ETP is recorded as interest income and any prepayment penalties are recorded as fee income. Upon amending terms of an existing investment, any amendment fees charged are recorded as fee income.</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currently holds, and expects to hold in the future, some investments in its portfolio with payment-in-kind ("PIK") interest provisions. PIK interest is computed at the contractual rate specified in each loan agreement and is added to the principal balance of the loan, rather than being paid to the Company in cash, and is recorded as interest income to the extent the amounts are expected to be collected. Thus, the actual collection of PIK interest may be deferred until the time of debt principal repayment. PIK interest, which is a non-cash source of income, is included in the Company’s taxable income and therefore affects the amount of income the Company is required to distribute to stockholders to maintain its qualification as a RIC for U.S. federal income tax purposes, even though the Company has not yet collected the cash. For the three and nine months ended September 30, 2024, approximately 7.5% and 8.4%, respectively, of the Company’s total investment income was attributable to non-cash PIK interest. For the three and nine months ended September 30, 2023, approximately 11.9% and 12.3%, respectively, of the Company’s total investment income was attributable to non-cash PIK interest.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 income is recorded on an accrual basis to the extent that such amounts are payable and expected to be collected. Dividend income is recorded on the record date for private portfolio companies and on the ex-dividend date for publicly traded portfolio companies. Interest income, if any, adjusted for amortization of market premium and accretion of OID, is recorded on an accrual basis to the extent that the Company expects to collect such amounts.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Security transactions, if any, are recorded on a trade-date basis. Realized gains or losses from the repayment or sale of investments are measured using the specific identification method. The Company reports changes from the prior period in fair value of investments that are measured at fair value as a component of "Net change in unrealized gain (loss) on investments" on the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Non-Accrual Investments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Debt investments are placed on non-accrual status when principal, interest, and other obligations become materially past due or when it is probable that principal, interest, or other obligations will not be collected in full. At the point of non-accrual, the Company will cease recognizing interest income on the debt investment until all principal and interest due have been paid or the Company believes the borrower has demonstrated the ability to repay its current and future contractual obligations. Additionally, any OID and ETP associated with the debt investment is no longer accreted to interest income as of the date the loan is placed on non-accrual status. Any payments received on non-accrual loans are first applied to principal prior to recovery of any foregone interest or end of term payment fees. Non-accrual loans are restored to accrual status when past due principal or interest are paid, and, in management’s judgment are likely to remain current. The Company may make exceptions to this policy if the investment has sufficient collateral value and is in the process of collection such that the Company will be made whole on the investment, inclusive of interest and end of term payment fees.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September 30, 2024, the Company had two senior secured term loans on non-accrual status; one loan to Mingle Healthcare Solutions, Inc. with a cost basis of $5.0 million and a fair value of $2.6 million, and one loan to Snagajob, Inc., with a cost basis of $42.7 million and a fair value of $37.3 million. As of September 30, 2024, the non-accrual loans represented 3.7% of the Company’s total investment portfolio at fair value. From being placed on non-accrual status through September 30, 2024, cumulative interest of $0.5 million would be receivable from Mingle Healthcare Solutions, Inc. and not recorded in "Interest income" on the Consolidated Statements of Operations. From being placed on non-accrual status through September 30, 2024, cumulative interest of $3.4 million would be receivable from Snagajob, Inc. and $0.2 million OID and ETP would be accreted into the cost basis, for a total of $3.6 million not recorded in "Interest income" on the Consolidated Statements of Operations. As of December 31, 2023, the Company did not have any loans on non-accrual status. As of September 30, 2024, the Company had reversed interest income of $0.3 million related to the senior secured term loans on non-accrual status. As of December 31, 2023, the Company had not reversed any accrued and uncollected interest income related to the senior secured term loans on non-accrual status.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Expected Credit Losses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current expected credit losses (“CECL”) for financial instruments held at amortized cost based on ASC 326, Financial Instruments</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Credit Losses (“ASC 326”). The Company adopted ASC 326 on January 1, 2020. ASC 326 introduces a new allowance for credit losses methodology and requires earlier recognition of credit losses, while also providing additional transparency about credit risk. The CECL methodology utilizes a lifetime “expected credit loss” methodology for the recognition of credit losses for receivables and loans subject to CECL at the time the financial asset is originated or based on historical experience and current conditions, as well as reasonable and supportable forecasts incorporating forward-looking information. The allowance for credit losses (the “CECL Reserve”) required under ASC 326 is deducted from the respective financial asset's amortized cost basis on the Company’s Consolidated Statements of Assets and Liabilities. The expected credit losses are adjusted each period for changes in expected lifetime credit losses through a provision for current expected credit losses recognized on the Consolidated Statements of Operations. As permitted by ASC 326, the Company has elected not to measure an allowance for credit losses on accrued interest receivable, but rather write off in a timely manner by reversing interest income that would likely be uncollectible.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the amortized cost basis of financial assets subject to CECL recorded within "Interest and fees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 on the Consolidated Statements of Assets and Liabilities was $0.4 million and $2.3 million, respectively. As of September 30, 2024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the Company's interest receivable excluded from the amortized cost basis of financial assets subject to CECL was $5.5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million, respectively. As of September 30, 2024 and December 31, 2023, the Company recorded a CECL reserve within "Interest and fees receivable"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Consolidated Statements of Assets and Liabilities of $0.2 million, and $0, 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measures the value of its financial instruments at fair value in accordance with ASC Topic 820, Fair Value Measurements and Disclosure (“ASC Topic 820”), issued by the FASB. Fair value is the price that would be received to sell an asset or paid to transfer a liability in an orderly transaction between market participants at the measurement date. The Company's investment portfolio is reported at fair value on the Consolidated Statements of Assets and Liabilities. All assets and liabilities approximate fair value on the Consolidated Statements of Assets and Liabilities, with the exception of the Company’s borrowings, which are reported at amortized cost. For more information on financial instruments reported at cost, refer to "Note 5 – Fair Value of Financial Instruments."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72"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are based on quoted prices in active markets for identical assets or liabilities that are accessible at the measurement date.</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 financial instrument’s level within the fair value hierarchy is based on the lowest level of observable or unobservable input that is significant to the fair value measurement. The assessment of the significance of a particular input to the fair value measurement in its entirety requires judgment and considers factors specific to the instrument.</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ASC Topic 820, the fair value measurement also assumes that the transaction to sell an asset or liability occurs in the principal market for the asset or liability or, in the absence of a principal market, the most advantageous market for the asset, which may be a hypothetical market, and excludes transaction costs. The principal market for any asset or liability is the market with the greatest volume and level of activity for such asset or liability in which the reporting entity would or could sell or transfer the asset or liability.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Rule 2a-5 under the 1940 Act established additional requirements for determining the fair value of a BDC's investments in good faith for purposes of the 1940 Act. Rule 2a-5 permits boards, in compliance with certain conditions, to designate certain parties to perform fair value determinations, subject to board oversight. Rule 2a-5 also defines when market quotations are "readily available" for purposes of the 1940 Act and the threshold for determining whether a fund must determine the fair value of a security. Rule 31a-4 under the 1940 Act established additional recordkeeping requirements related to fair value determinations. Although the Company adopted certain revisions to its valuation policies and procedures to comply with Rule 2a-5 and Rule 31a-4, the Company's board of directors (the "Board of Directors") has not elected to designate a valuation designee.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Valuation Techniques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 respect to investments for which market quotations are not readily available, the Company undertakes a multi-step valuation process each quarter, as described below:</w:t>
      </w:r>
    </w:p>
    <w:p>
      <w:pPr>
        <w:spacing w:after="0" w:line="54" w:lineRule="exact"/>
        <w:rPr>
          <w:sz w:val="20"/>
          <w:szCs w:val="20"/>
          <w:color w:val="auto"/>
        </w:rPr>
      </w:pPr>
    </w:p>
    <w:p>
      <w:pPr>
        <w:ind w:left="680" w:hanging="372"/>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valuation process begins with each portfolio company investment being initially valued by RGC’s investment professionals that are responsible for the portfolio investment;</w:t>
      </w:r>
    </w:p>
    <w:p>
      <w:pPr>
        <w:spacing w:after="0" w:line="53"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RGC’s senior investment team;</w:t>
      </w:r>
    </w:p>
    <w:p>
      <w:pPr>
        <w:spacing w:after="0" w:line="117" w:lineRule="exact"/>
        <w:rPr>
          <w:rFonts w:ascii="Times New Roman" w:cs="Times New Roman" w:eastAsia="Times New Roman" w:hAnsi="Times New Roman"/>
          <w:sz w:val="18"/>
          <w:szCs w:val="18"/>
          <w:color w:val="auto"/>
        </w:rPr>
      </w:pPr>
    </w:p>
    <w:p>
      <w:pPr>
        <w:jc w:val="both"/>
        <w:ind w:left="680" w:hanging="372"/>
        <w:spacing w:after="0" w:line="266"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once annually, the valuation for each portfolio investment is reviewed by an independent valuation firm. Certain investments, however, may not be evaluated annually by an independent valuation firm if the net asset value and other aspects of such investments in the aggregate do not exceed certain thresholds;</w:t>
      </w:r>
    </w:p>
    <w:p>
      <w:pPr>
        <w:spacing w:after="0" w:line="67" w:lineRule="exact"/>
        <w:rPr>
          <w:rFonts w:ascii="Times New Roman" w:cs="Times New Roman" w:eastAsia="Times New Roman" w:hAnsi="Times New Roman"/>
          <w:sz w:val="18"/>
          <w:szCs w:val="18"/>
          <w:color w:val="auto"/>
        </w:rPr>
      </w:pPr>
    </w:p>
    <w:p>
      <w:pPr>
        <w:ind w:left="680" w:hanging="372"/>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the Board of Directors (the "Audit Committee") then reviews these preliminary valuations from RGC and the independent valuation firm, if any, and makes a recommendation to the Board of Directors regarding such valuations; and</w:t>
      </w:r>
    </w:p>
    <w:p>
      <w:pPr>
        <w:spacing w:after="0" w:line="53" w:lineRule="exact"/>
        <w:rPr>
          <w:rFonts w:ascii="Times New Roman" w:cs="Times New Roman" w:eastAsia="Times New Roman" w:hAnsi="Times New Roman"/>
          <w:sz w:val="18"/>
          <w:szCs w:val="18"/>
          <w:color w:val="auto"/>
        </w:rPr>
      </w:pPr>
    </w:p>
    <w:p>
      <w:pPr>
        <w:ind w:left="680" w:right="20" w:hanging="372"/>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reviews the recommended preliminary valuations and determines the fair value of each investment in the Company’s portfolio, in good faith, based on the input of RGC, the independent valuation firm(s) and the Audit Committee.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investments are primarily loans made to and equity and warrants of small companies with potential for fast growth focused in technology, healthcare, business services, and other high-growth industries. These investments are considered Level 3 assets under ASC Topic 820 because there are no known or accessible market or market indices for these types of debt and equity instruments and, thus, RGC’s senior investment team must estimate the fair value of these investment securities based on models utilizing unobservable inputs.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 assists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Board of Directors, with the assistance of the Audit Committee, RGC and its senior investment team and independent valuation agents, is responsible for determining, in good faith, the fair value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senior investment team considers relevant.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Investments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determine the fair value of the Company’s debt investments, the Company compares the cost basis of the debt investment, which includes OID and ETP,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(decreases) in these unobservable inputs could result in significantly higher (lower) fair value measurements.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certain circumstances, the Company may use an alternative technique to value debt investments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of warrants is primarily determined using a Black Scholes option-pricing model. Privately held warrants and equity-related securities are valued based on an analysis of various factors including, but not limited to, the following:</w:t>
      </w:r>
    </w:p>
    <w:p>
      <w:pPr>
        <w:spacing w:after="0" w:line="54" w:lineRule="exact"/>
        <w:rPr>
          <w:sz w:val="20"/>
          <w:szCs w:val="20"/>
          <w:color w:val="auto"/>
        </w:rPr>
      </w:pPr>
    </w:p>
    <w:p>
      <w:pPr>
        <w:jc w:val="both"/>
        <w:ind w:left="760" w:hanging="378"/>
        <w:spacing w:after="0" w:line="254"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56"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3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spacing w:after="0" w:line="3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(decrease) in this unobservable input.</w:t>
      </w:r>
    </w:p>
    <w:p>
      <w:pPr>
        <w:spacing w:after="0" w:line="44"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Success fees are valued utilizing a scenario analysis. Fair value is determined based on the potential success fee proceeds under varied timing of liquidity events during the life of the success fee agreement. At each potential exit scenario, a probability is ascribed based on the current expectations of an exit event for the portfolio company. The probability weighted value at each respective exit date is discounted to a present value and summed together to arrive at the fair value.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Investments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an equity investment in a privately held company is initially the face value of the amount invested. The 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 Money market funds are valued based on the published net asset value per share on the day of valuation and are included in "Cash and cash equivalents" on the Consolidated Statements of Assets and Liabilities.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Denominated in Foreign Currency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each balance sheet date, portfolio company investments denominated in foreign currencies are translated into U.S. dollars using the spot exchange rate on the last business day of the period. Purchases and sales of foreign portfolio company investments, and any income from such investments, are translated into U.S. dollars using the rates of exchange prevailing on the respective dates of such transactions. As of September 30, 2024, the Company had two investments denominated in a foreign currency. As of December 31, 2023, the Company held one investment denominated in a foreign currency.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fair values of foreign portfolio company investments and the fluctuation in such fair values are translated into U.S. dollars using the applicable foreign exchange rates described above, the Company does not distinguish the portion of the change in fair value resulting from foreign currency exchange rate fluctuations from the change in fair value of the underlying investment. All fluctuations in fair value are included in "Net change in unrealized gain (loss) on investments" on the Company’s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Classification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classifies its investments by level of affiliation and control.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 representation on the investee company's board of directors.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Consolidated Statements of Assets and Liabilities.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elected to be treated as a RIC under Subchapter M of the Code beginning with its taxable year ended December 31, 2016, currently qualifies as a RIC,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consolidated financial statements of the Company. The Company intends to make sufficient distributions to maintain its RIC status each year and it does not anticipate paying any material U.S. federal income taxes in the future.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the Company may choose to carry forward such taxable income in excess of current year dividend distributions from such current year taxable income into the next tax year and pay a 4% excise tax on such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as required. If the Company determines that the estimated current year taxable income will exceed the estimated dividend distributions for the current year from such income, the Company accrues excise tax on estimated excess taxable income as such taxable income is earned. Differences between taxable income and net increase in net assets resulting from operations either can be temporary, meaning they will reverse in the future, or permanent. In accordance with Section 946-205-45-3 of the ASC, permanent tax differences are reclassified from accumulated undistributed earnings to paid-in-capital at the end of each year and have no impact on total net assets. For more information, refer to "Note 10 – Income Taxes."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 Share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and diluted earnings (loss) per common share is calculated using the weighted-average number of common shares outstanding for the period presented. For the three and nine months ended September 30, 2024 and 2023, basic and diluted earnings (loss) per share of common stock were the same because there were no potentially dilutive securities outstanding. Per share data is based on the weighted-average shares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reports all changes in comprehensive income in the Consolidated Statements of Operations. The Company did not have any other comprehensive income in 2024 or 2023. The Company’s comprehensive income is equal to its "Net increase (decrease) in net assets resulting from operations" on the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Distributions to common stockholders are recorded on the applicable record date. The amount, if any, to be distributed to common stockholders is determined by the Board of Directors each quarter and is generally based upon the Company's earnings estimated by management. Net realized capital gains, if any, are generally distributed at least annually. For more information, refer to "Note 9 – Net Assets."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Offering Costs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Organization costs include, among other things, the cost of organizing as a Maryland corporation, including the cost of legal services and other fees pertaining to the Company's organization, all of which are expensed as incurred. Offering costs include, among other things, legal fees and other costs pertaining to the preparation of the Company’s public and private offering materials as well as travel-related expenses related to the Company’s public and private offerings. Pursuant to the Advisory Agreement (as defined in "Note 3 – Related Party Agreements and Transactions"), the Company and RGC agreed that organization and offering costs incurred in connection with the Initial Private Offering (as defined in "Note 9 – Net Assets") would be borne by the Company up to a maximum amount of $1.0 million, provided that the amount of such costs in excess of $1.0 million would be paid by RGC. In 2016, the Company incurred the maximum amount of $1.0 million in organization and offering costs incurred in connection with the Initial Private Offering.</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Offering costs related to the Second Private Offering (as defined in "Note 9 – Net Assets") were accumulated and charged to additional paid in capital at the time of each closing beginning in 2019. These offering costs related to the Second Private Offering, exclusive of placement agent fees, were subject to a cap of $0.6 million. At the completion of the Second Private Offering, the Company had accumulated and recorded $0.7 million in offering costs and $0.2 million in placement agent fees related to the Second Private Offering. Under the terms of the Second Private Offering, offering costs in excess of $0.6 million, excluding placement agent fees, were reimbursed by RGC.</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accumulated and recorded $7.0 million of offering costs related to the IPO, which were charged to additional paid in capital at the time of closing in October 2021. The offering costs were fully born by the Company and included underwriting fees, legal fees, and other costs pertaining to the preparation of the Company’s offering materials as well as travel-related expenses.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2022, the FASB issued ASU 2022-03, "Fair Value Measurement (Topic 820) - Fair Value Measurement of Equity Securities Subject to Contractual Sale Restrictions", which was issued to (1)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The new guidance is effective for interim and annual periods beginning after December 15, 2023. The Company adopted the guidance on January 1, 2024, and its adoption did not have a material impact on the Company’s financial statements.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8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This change is intended to improve reportable segment disclosure requirements, primarily through enhanced disclosures about significant segment expenses, allowing financial statement users to better understand the components of a segment's profit or loss and assess potential future cash flows for each reportable segment and the entity as a whole. The amendments expand a public entity's segment disclosures by requiring disclosure of significant segment expenses that are regularly provided to the chief operating decision maker, clarifying when an entity may report one or more additional measures to assess segment performance, requiring enhanced interim disclosures and providing new disclosure requirements for entities with a single reportable segment, among other new disclosure requirements. The amendments are effective for fiscal years beginning after December 15, 2023, and interim periods within fiscal years beginning after December 15, 2024, and early adoption is permitted. Although the ASU only requires additional disclosure about the Company's operating segment, the Company is currently evaluating the impact of adopting this guidance with respect to the consolidated financial statements.</w:t>
      </w:r>
    </w:p>
    <w:p>
      <w:pPr>
        <w:spacing w:after="0" w:line="194" w:lineRule="exact"/>
        <w:rPr>
          <w:sz w:val="20"/>
          <w:szCs w:val="20"/>
          <w:color w:val="auto"/>
        </w:rPr>
      </w:pPr>
    </w:p>
    <w:p>
      <w:pPr>
        <w:jc w:val="both"/>
        <w:ind w:right="52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(Topics 740): Improvements to Income Tax Disclosures" to expand the disclosure requirements for income taxes, specifically related to the rate reconciliation and income taxes paid. ASU 2023-09 is effective for our annual periods beginning January 1, 2025, with early adoption permitted. We are currently evaluating the potential effect that the updated standard will have on our financial statement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 Agreements and Transactions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Amended and Restated Advisory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29, 2016, the Board of Directors approved an investment advisory agreement between RGC and the Company, under which RGC, subject to the overall supervision of the Board of Directors, manages the day-to-day operations of and provides investment advisory services to the Company (together with a subsequent amendment thereto, the “Prior Advisory Agreement”). On August 3, 2017, the Board of Directors approved certain amendments to the Prior Advisory Agreement (the “First Amended and Restated Advisory Agreement”) and recommended that the Company’s stockholders approve the First Amended and Restated Advisory Agreement. The First Amended and Restated Advisory Agreement became effective on September 12, 2017 upon approval by the stockholders at a special meeting of stockholders of the Company. On April 7, 2021, the Board of Directors approved certain additional amendments to the First Amended and Restated Advisory Agreement (the “Advisory Agreement”) at a virtual meeting and recommended that the Company’s stockholders approve the Advisory Agreement. In reliance upon certain exemptive relief granted by the SEC in connection with the global COVID-19 pandemic, the Board of Directors undertook to ratify the Advisory Agreement at its next in-person meeting which was held in July 2021. The Advisory Agreement became effective on May 27, 2021 upon approval by the stockholders at a special meeting of stockholders of the Company. The Advisory Agreement amended the First Amended and Restated Advisory Agreement to include certain revisions to the management and incentive fee calculation mechanisms and clarify language relating to liquidity events. On April 30, 2024, the Board of Directors renewed the Advisory Agreement for a period of twelve months commencing May 27, 2024. Under the terms of the Advisory Agreement, RGC:</w:t>
      </w:r>
    </w:p>
    <w:p>
      <w:pPr>
        <w:spacing w:after="0" w:line="160" w:lineRule="exact"/>
        <w:rPr>
          <w:sz w:val="20"/>
          <w:szCs w:val="20"/>
          <w:color w:val="auto"/>
        </w:rPr>
      </w:pPr>
    </w:p>
    <w:p>
      <w:pPr>
        <w:ind w:left="660" w:right="20" w:hanging="371"/>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the Company’s portfolio, the nature and timing of the changes to the portfolio and the manner of implementing such changes;</w:t>
      </w:r>
    </w:p>
    <w:p>
      <w:pPr>
        <w:spacing w:after="0" w:line="53"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the Company makes;</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executes, closes and monitors the investments the Company makes;</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securities and other assets that the Company will purchase, retain or sell;</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performs due diligence on prospective investments; and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ind w:left="680" w:right="20" w:hanging="372"/>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Company with other such investment advisory, research and related services as the Company may, from time to time, reasonably require for the investment of its funds.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Management Fee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base management fee is payable on the first day of each calendar quarter and is calculated on the Company's "Gross Assets" which, for purposes of the Advisory Agreement, is defined as the Company’s gross assets, including assets purchased with borrowed funds or other forms of leverage, as well as any PIK interest, as of the end of the most recently completed fiscal quarter. The base management fee will be an amount equal to 0.375% (1.50% annualized) of the Company’s average daily Gross Assets during the most recently completed calendar quarter, so long as the aggregate amount of the Company’s Gross Assets as of the end of the most recently completed calendar quarter is equal to or greater than $1.0 billion. If the aggregate amount of the Company’s Gross Assets as of the end of the most recently completed calendar quarter is less than $1.0 billion but equal to or greater than $500.0 million, the base management fee will be an amount equal to 0.40% (1.60% annualized) of the Company’s average daily Gross Assets during the most recently completed calendar quarter. If the aggregate amount of the Company’s Gross Assets as of the end of the most recently completed calendar quarter is less than $500.0 million, the base management fee will be an amount equal to 0.4375% (1.75% annualized) of the Company’s average daily Gross Assets during the most recently completed calendar quarter.</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RGC earned base management fees at a rate of 1.50% per annum, amounting to $3.9 million and $11.8 million, respectively. For the three and nine months ended September 30, 2023, RGC earned base management fees at a rate of 1.50% per annum, amounting to $4.3 million and $12.6 million,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Fee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investment-income component (the “Income Incentive Fee”), the Company pays RGC each quarter an incentive fee with respect to the Company’s pre-incentive fee net investment income ("Pre-Incentive Fee NII"). The Income Incentive Fee is calculated and payable quarterly in arrears based on the Pre-Incentive Fee NII for the immediately preceding fiscal quarter. Payments based on Pre-Incentive Fee NII will be based on the Pre-Incentive Fee NII earned for the quarter. For this purpose, Pre-Incentive Fee NII means interest income, dividend income and any other income (including any other fees, such as commitment, origination, structuring, diligence, managerial and consulting fees or other fees that the Company receives from portfolio companies) accrued by the Company during the fiscal quarter, minus the Company’s operating expenses for the quarter (including the base management fee, expenses payable under the amended and restated administration agreement with the Administrator, and any dividends paid on any issued and outstanding preferred stock, but excluding the incentive fee). Pre-Incentive Fee NII includes, in the case of investments with a deferred interest feature (such as OID and ETP accretion, debt instruments with PIK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NII does not include any realized or unrealized capital gains (losses).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Pre-Incentive Fee NII,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Pre-Incentive Fee NII in each calendar quarter as follows: (1) no Income Incentive Fee in any calendar quarter in which the Company’s Pre-Incentive Fee NII does not exceed the hurdle rate of 2.0%; (2) 80% of the Company’s Pre-Incentive Fee NII with respect to that portion of such Pre-Incentive Fee NII, if any, that exceeds the hurdle rate but is less than 2.667% in any calendar quarter (10.668% annualized) (the portion of the Company’s Pre-Incentive Fee NII that exceeds the hurdle but is less than 2.667% is referred to as the “catch-up”; the “catch-up” is meant to provide RGC with 20.0% of the Company’s Pre-Incentive Fee NII as if a hurdle did not apply if the Company’s Pre-Incentive Fee NII exceeds 2.667% in any calendar quarter (10.668% annualized)); and (3) 20.0% of the amount of the Company’s Pre-Incentive Fee NII, if any, that exceeds 2.667% in any calendar quarter (10.668% annualized) payable to RGC (once the hurdle is reached and the catch-up is achieved, 20.0% of all Pre-Incentive Fee NII thereafter is allocated to RGC).</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Until the consummation of a Spin-Off transaction (defined below), in the event that (a) the sum of the Company’s cumulative net realized losses since the date of the Company’s election to be regulated as a BDC exceeded 2.0% of the total non-control/non-affiliate investments made by the Company since the date of the Company’s election to be regulated as a BDC through the end of the quarter and (b) the Pre-Incentive Fee NII adjusted to include any realized capital gains and losses (“Adjusted Pre-Incentive Fee NII”), expressed as an annualized rate of return on the value of the Company’s average daily net assets (defined as total assets less liabilities), since the Company’s election to be regulated as a BDC through the end of the quarter was less than 10.0%, no Income Incentive Fee would be payable for such quarter until the first subsequent quarter in which either (x) the sum of the Company’s cumulative net realized losses since the date of the Company’s election to be regulated as a BDC was equal to or less than 2.0% of the total non-control/non-affiliate investments made by the Company since the date of the Company’s election to be regulated as a BDC through the end of such subsequent quarter or (y) the Adjusted Pre-Incentive Fee NII,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would any Income Incentive Fee be payable for any prior quarter after the three-year anniversary of the end of such quarter. For purposes of the Advisory Agreement, a “Spin-Off transaction” includes either a transaction whereby (a) the Company offers its stockholders the option to elect to either (i) retain their ownership of shares of the Company’s common stock, or (ii) exchange their shares of the Company’s common stock for shares of common stock in a newly formed entity (the “Public Fund”) that will elect to be regulated as a BDC under the 1940 Act and treated as a RIC under Subchapter M of the Code (the “Public Fund Spin Off”); or (b) the Company completes a listing of the Company’s securities on any securities exchange (an “Exchange Listing”).</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capital 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losses through the end of such year, less the aggregate amount of any previously paid Capital Gains Fee. For the foregoing purpose, the Company’s “aggregate cumulative realized capital gains” will not include any unrealized gains. If such amount is negative, then no Capital Gains Fee will be payable for such year.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2024, RGC earned incentive fees of $4.0 million and $12.3 million, respectively; $3.1 million and $9.6 million of which were payable in cash, respectively, and $0.9 million and $2.6 million were accrued and generated from deferred interest, respectively. For the three and nine months ended September 30, 2023, RGC earned incentive fees of $5.5 million and $15.0 million, respectively; of which $4.3 million and $11.6 million were payable in cash, respectively, and $1.2 million and $3.4 million were accrued and generated from deferred interest, respectively. All incentive fees accrued and generated from deferred interest (i.e., PIK and certain ETP accretion) are not payable until receipt of associated cash by the Company, at which time the incentive fees are recategorized from deferred incentive fees payable to cash incentive fees payable. All figures presented for the three and nine months ended September 30, 2024 and 2023 are net of such recategorizations during the respective period.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$3.1 million were payable in cash, and $11.8 million were deferred incentive fees payable, both of which are included in Incentive fees payable on the Statements of Assets and Liabilities. As of December 31, 2023, $3.3 million of incentive fees payable were payable in cash, and $9.2 million were deferred incentive fees payable, both of which are included in Incentive fees payable on the Consolidated Statements of Assets and Liabilities.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capital gains incentive fee consists of fees related to realized gains and losses and unrealized capital losses. With respect to the incentive fee expense accrual related to the capital gains incentive fee, U.S. GAAP requires that the capital gains incentive fee accrual consider the cumulative aggregate unrealized gains in the calculation, as a capital gains incentive fee would be payable if such unrealized gains were realized even though such unrealized gains are not permitted to be considered in calculating the fee actually payable under the Advisory Agreement. As of each of September 30, 2024 and December 31, 2023, there was no capital gains incentive fee accrued, earned or payable to RGC under the Advisory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Spin-Off Incentive Fee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Income Incentive Fee will be payable in connection with a Public Fund Spin-Off as follows. The Income Incentive Fee will be calculated as of the date of the completion of each Public Fund Spin-Off and will equal the amount of Income Incentive Fee that would be payable to RGC if (1) all of the Company’s investments were liquidated for their current value and any unamortized deferred portfolio investment-related fees would be deemed accelerated, (2) the proceeds from such liquidation were used to pay all of the Company’s outstanding liabilities, and (3) the remainder were distributed to the Company’s stockholders and paid as incentive fee in accordance with the Income Incentive Fee described in clauses (1) and (2) above for determining the amount of the Income Incentive Fee; provided, however, that in no event will the Income Incentive Fee paid in connection with the completion of the Public Fund Spin-Off (x) include the portion of the Income Incentive Fee attributable to deferred interest features of a particular investment that is not transferred pursuant to the Public Fund Spin-Off until such time as the deferred interest is received in cash, or (y) exceed 20.0% of the Company’s Pre-Incentive Fee NII accrued by the Company for the fiscal quarter as of the date of the completion of the Public Fund Spin-Off. The Company will make the payment of the Income Incentive Fee paid in connection with the completion of the Public Fund Spin-Off in cash on or immediately following the date of the completion of the Public Fund Spin-Off. After the Public Fund Spin-Off, all calculations relating to the incentive fee payable will be made beginning on the day immediately following the completion of the Public Fund Spin-Off without taking into account the exchanged shares of the Company’s common stock (or contributions, distributions or proceeds relating thereto).</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Gains Fee will be payable in respect of the exchanged shares of the Company’s common stock in connection with the Public Fund Spin-Off and will be calculated as of the date of the completion of the Public Fund Spin-Off as if such date were a calendar year-end for purposes of calculating and paying the Capital Gains Fee.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Income Incentive Fee or Capital Gains Fee will be payable in connection with the Public Fund Spin-Off unless, on the date of the completion of the Public Fund Spin-Off, the sum of the Company’s (i) Pre-Incentive Fee NII and (ii) realized capital gains less realized capital losses and unrealized capital losses from the date of the Company’s election to be regulated as a BDC through, and including, the date of the completion of the Public Fund Spin-Off, is greater than 8.0% of the cumulative net investments made by the Company since the Company’s election to be regulated as a BDC.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Administration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reimburses the Administrator for the allocable portion of overhead expenses incurred by the Administrator in performing its obligations under the amended and restated administration agreement with the Administrator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the Company’s Chief Financial Officer, Chief Compliance Officer and their respective support staff, as well as any expenses paid by the Administrator on the Company's behalf.</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the Company incurred $0.4 million of Administration Agreement expenses, of which $0.1 million was a third-party administrator expense and $0.3 million was overhead allocation expense, which are included in Administration agreement expenses on the Consolidated Statements of Operations. For the three months ended September 30, 2023, the Company incurred $0.4 million of Administration Agreement expenses, of which $0.1 million was payable to a third-party administrator and $0.3 million was overhead allocation expense.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the Company incurred $1.5 million of Administration Agreement expenses, of which $0.5 million was a third-party administrator expense and $1.0 million was overhead allocation expense, which are included in Administration agreement expenses on the Consolidated Statements of Operations. For the nine months ended September 30, 2023, the Company incurred $1.6 million of Administration Agreement expenses, of which $0.7 million was payable to a third-party administrator and $0.9 million was overhead allocation expense.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accrued a net payable to the Administrator of $0.4 million and a payable to the third-party administrator of $0.2 million, which are included in Accrued expenses and other liabilities on the Consolidated Statements of Assets and Liabilities. As of December 31, 2023, the Company had accrued a net payable to the Administrator of $0.4 million and a payable to the third-party administrator of $0.2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a license agreement with RGC (the “License Agreement”) pursuant to which RGC has granted the Company a personal, non-exclusive, royalty-free right and license to use the name “Runway Growth Finance.” Under the License Agreement, the Company has the right to use the “Runway Growth Finance” name, so long as RGC or one of its affiliates remains the Company’s investment adviser. Other than with respect to this limited license, the Company has no legal right to the “Runway Growth Finance” name.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Runway-Cadma I LLC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2024, the Company entered into a joint venture agreement with Cadma to create and co-manage Runway-Cadma LLC, also referred to as the JV. The Company paid $0.6 million of expenses in connection with the formation of JV, for which the JV reimbursed the Company in full during the nine months ended September 30, 2024. The JV entered into a senior secured revolving credit facility with Apollo Capital Management, L.P ("Apollo Credit Facility"), which provided the JV with a $40.0 million commitment, subject to borrowing base requirements. The Apollo Credit Facility is non-recourse to the Company and bears interest at three-month SOFR plus 4.15%. As of September 30, 2024, the JV has not drawn on the available commitment in the Apollo Credit Facility.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contributed $5.0 million and $5.6 million, respectively, of equity capital to the JV. As of September 30, 2024 , the Company's unfunded commitment to the JV was $29.4 million, and there were no receivables or payables between the Company and the JV as of September 30, 2024. The JV was not yet formed as of December 31, 2023, therefore there were no unfunded commitments, receivables nor payables.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the fair value of the Company's equity interest in the JV was $5.5 million and $0, respectively.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December 31, 2023, the JV had the following contributed capital and unfunded commitments from its members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00" w:type="dxa"/>
            <w:vAlign w:val="bottom"/>
          </w:tcPr>
          <w:p>
            <w:pPr>
              <w:spacing w:after="0"/>
              <w:rPr>
                <w:sz w:val="16"/>
                <w:szCs w:val="16"/>
                <w:color w:val="auto"/>
              </w:rPr>
            </w:pPr>
          </w:p>
        </w:tc>
        <w:tc>
          <w:tcPr>
            <w:tcW w:w="1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5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169"/>
        </w:trPr>
        <w:tc>
          <w:tcPr>
            <w:tcW w:w="6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Total contributed capital by Runway Growth Finance Corp.</w:t>
            </w:r>
          </w:p>
        </w:tc>
        <w:tc>
          <w:tcPr>
            <w:tcW w:w="1880" w:type="dxa"/>
            <w:vAlign w:val="bottom"/>
            <w:shd w:val="clear" w:color="auto" w:fill="CFF0FC"/>
          </w:tcPr>
          <w:p>
            <w:pPr>
              <w:jc w:val="right"/>
              <w:ind w:right="17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5,600</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2"/>
            <w:shd w:val="clear" w:color="auto" w:fill="CFF0FC"/>
          </w:tcPr>
          <w:p>
            <w:pPr>
              <w:ind w:left="186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contributed capital by all members</w:t>
            </w:r>
          </w:p>
        </w:tc>
        <w:tc>
          <w:tcPr>
            <w:tcW w:w="1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11,200</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gridSpan w:val="2"/>
          </w:tcPr>
          <w:p>
            <w:pPr>
              <w:ind w:left="186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Total unfunded commitments by Runway Growth Finance Corp.</w:t>
            </w:r>
          </w:p>
        </w:tc>
        <w:tc>
          <w:tcPr>
            <w:tcW w:w="18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29,400</w:t>
            </w: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120" w:type="dxa"/>
            <w:vAlign w:val="bottom"/>
            <w:gridSpan w:val="2"/>
            <w:shd w:val="clear" w:color="auto" w:fill="CFF0FC"/>
          </w:tcPr>
          <w:p>
            <w:pPr>
              <w:ind w:left="1860"/>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unfunded commitments by all members</w:t>
            </w:r>
          </w:p>
        </w:tc>
        <w:tc>
          <w:tcPr>
            <w:tcW w:w="18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58,800</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gridSpan w:val="2"/>
          </w:tcPr>
          <w:p>
            <w:pPr>
              <w:ind w:left="1860"/>
              <w:spacing w:after="0"/>
              <w:rPr>
                <w:sz w:val="20"/>
                <w:szCs w:val="20"/>
                <w:color w:val="auto"/>
              </w:rPr>
            </w:pPr>
            <w:r>
              <w:rPr>
                <w:rFonts w:ascii="Times New Roman" w:cs="Times New Roman" w:eastAsia="Times New Roman" w:hAnsi="Times New Roman"/>
                <w:sz w:val="14"/>
                <w:szCs w:val="14"/>
                <w:color w:val="auto"/>
              </w:rPr>
              <w:t>—</w:t>
            </w:r>
          </w:p>
        </w:tc>
      </w:tr>
    </w:tbl>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August 14, 2024, the Company assigned: (i) $10.0 million of its debt investment in Airship Group, Inc. and (ii) 107,296 shares of its warrant for Series F Preferred Stock of Airship Group, Inc., to Runway-Cadma I LLC, for an aggregate purchase price of $9.9 million, net of upfront fees. In accordance with ACS 860, this transaction met the criteria for a sale. As of September 30, 2024, the JV had one debt investment with a fair value of $9.9 million and one equity investment with a fair value of $0.1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Relationship</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2016, the Company and RGC entered into a strategic relationship with Oaktree Capital Management, L.P (“Oaktree”). In connection with the strategic relationship, OCM Growth Holdings ("OCM Growth"), an affiliate of Oaktree, purchased an aggregate of 14,571,334 shares of the Company's common stock for an aggregate purchase price of $219.3 million in the Company's Initial Private Offering and Second Private Offering. As of September 30, 2024, OCM Growth owned 10,779,668 shares, or approximately 28% of the Company's outstanding shares. Pursuant to an irrevocable proxy, certain shares held by OCM Growth must be voted in the same proportion that the Company's other stockholders vote their shares. Of the 10,779,668 shares of the Company’s common stock owned by OCM Growth, 10,294,926 shares, or approximately 27% of the Company’s outstanding shares, are subject to this proxy voting arrangement.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OCM Growth’s commitment, the Company entered into a stockholder agreement, dated December 15, 2016, with OCM Growth, pursuant to which OCM Growth has a right to nominate a member of the Board of Directors for election for so long as OCM Growth holds shares of the Company’s common stock in an amount equal to, in the aggregate, at least one-third (33%) of OCM Growth’s initial $125.0 million capital commitment. Gregory M. Share, Managing Director of Oaktree's Global Opportunities Group in Los Angeles, serves on the Board of Directors as OCM Growth’s director nominee and is considered an interested director. OCM Growth also holds a minority interest in RGC and has the right to appoint a member of RGC’s board of managers and a member of RGC’s investment committee. Mr. Share is OCM Growth’s appointee to RGC’s board of managers. Nicholas Basso, Managing Director of Oaktree's Opportunities Group in Los Angeles, is OCM Growth’s appointee to RGC’s investment committee.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 and Affiliate Investments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classifies its investment portfolio by level of affiliation and control in accordance with the requirements of the 1940 Act.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50.0% representation on the investee company's board of directors.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affiliate and control investments as of September 30, 2024, along with the transactions during the nine months ended September 30, 2024, are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1"/>
                <w:szCs w:val="11"/>
                <w:color w:val="auto"/>
              </w:rPr>
            </w:pPr>
          </w:p>
        </w:tc>
        <w:tc>
          <w:tcPr>
            <w:tcW w:w="880" w:type="dxa"/>
            <w:vAlign w:val="bottom"/>
          </w:tcPr>
          <w:p>
            <w:pPr>
              <w:jc w:val="center"/>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240" w:type="dxa"/>
            <w:vAlign w:val="bottom"/>
          </w:tcPr>
          <w:p>
            <w:pPr>
              <w:spacing w:after="0"/>
              <w:rPr>
                <w:sz w:val="11"/>
                <w:szCs w:val="11"/>
                <w:color w:val="auto"/>
              </w:rPr>
            </w:pPr>
          </w:p>
        </w:tc>
        <w:tc>
          <w:tcPr>
            <w:tcW w:w="10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Fair Value as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Realized</w:t>
            </w:r>
          </w:p>
        </w:tc>
        <w:tc>
          <w:tcPr>
            <w:tcW w:w="220" w:type="dxa"/>
            <w:vAlign w:val="bottom"/>
          </w:tcPr>
          <w:p>
            <w:pPr>
              <w:spacing w:after="0"/>
              <w:rPr>
                <w:sz w:val="11"/>
                <w:szCs w:val="11"/>
                <w:color w:val="auto"/>
              </w:rPr>
            </w:pPr>
          </w:p>
        </w:tc>
        <w:tc>
          <w:tcPr>
            <w:tcW w:w="118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Net Change in</w:t>
            </w:r>
          </w:p>
        </w:tc>
        <w:tc>
          <w:tcPr>
            <w:tcW w:w="9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Fair Value as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40" w:type="dxa"/>
            <w:vAlign w:val="bottom"/>
            <w:vMerge w:val="restart"/>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Income Earned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128"/>
              <w:spacing w:after="0" w:line="146"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60" w:type="dxa"/>
            <w:vAlign w:val="bottom"/>
            <w:gridSpan w:val="3"/>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of September</w:t>
            </w:r>
          </w:p>
        </w:tc>
        <w:tc>
          <w:tcPr>
            <w:tcW w:w="0" w:type="dxa"/>
            <w:vAlign w:val="bottom"/>
          </w:tcPr>
          <w:p>
            <w:pPr>
              <w:spacing w:after="0"/>
              <w:rPr>
                <w:sz w:val="1"/>
                <w:szCs w:val="1"/>
                <w:color w:val="auto"/>
              </w:rPr>
            </w:pPr>
          </w:p>
        </w:tc>
      </w:tr>
      <w:tr>
        <w:trPr>
          <w:trHeight w:val="189"/>
        </w:trPr>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
              <w:spacing w:after="0" w:line="189" w:lineRule="exact"/>
              <w:rPr>
                <w:sz w:val="20"/>
                <w:szCs w:val="20"/>
                <w:color w:val="auto"/>
              </w:rPr>
            </w:pPr>
            <w:r>
              <w:rPr>
                <w:rFonts w:ascii="Times New Roman" w:cs="Times New Roman" w:eastAsia="Times New Roman" w:hAnsi="Times New Roman"/>
                <w:sz w:val="14"/>
                <w:szCs w:val="14"/>
                <w:b w:val="1"/>
                <w:bCs w:val="1"/>
                <w:color w:val="auto"/>
                <w:w w:val="98"/>
              </w:rPr>
              <w:t>Additions</w:t>
            </w:r>
            <w:r>
              <w:rPr>
                <w:rFonts w:ascii="Times New Roman" w:cs="Times New Roman" w:eastAsia="Times New Roman" w:hAnsi="Times New Roman"/>
                <w:sz w:val="19"/>
                <w:szCs w:val="19"/>
                <w:b w:val="1"/>
                <w:bCs w:val="1"/>
                <w:color w:val="auto"/>
                <w:w w:val="98"/>
                <w:vertAlign w:val="superscript"/>
              </w:rPr>
              <w:t>(1)</w:t>
            </w:r>
          </w:p>
        </w:tc>
        <w:tc>
          <w:tcPr>
            <w:tcW w:w="200" w:type="dxa"/>
            <w:vAlign w:val="bottom"/>
          </w:tcPr>
          <w:p>
            <w:pPr>
              <w:spacing w:after="0"/>
              <w:rPr>
                <w:sz w:val="16"/>
                <w:szCs w:val="16"/>
                <w:color w:val="auto"/>
              </w:rPr>
            </w:pPr>
          </w:p>
        </w:tc>
        <w:tc>
          <w:tcPr>
            <w:tcW w:w="960" w:type="dxa"/>
            <w:vAlign w:val="bottom"/>
            <w:tcBorders>
              <w:bottom w:val="single" w:sz="8" w:color="auto"/>
            </w:tcBorders>
            <w:gridSpan w:val="2"/>
          </w:tcPr>
          <w:p>
            <w:pPr>
              <w:ind w:left="80"/>
              <w:spacing w:after="0" w:line="189" w:lineRule="exact"/>
              <w:rPr>
                <w:sz w:val="20"/>
                <w:szCs w:val="20"/>
                <w:color w:val="auto"/>
              </w:rPr>
            </w:pPr>
            <w:r>
              <w:rPr>
                <w:rFonts w:ascii="Times New Roman" w:cs="Times New Roman" w:eastAsia="Times New Roman" w:hAnsi="Times New Roman"/>
                <w:sz w:val="14"/>
                <w:szCs w:val="14"/>
                <w:b w:val="1"/>
                <w:bCs w:val="1"/>
                <w:color w:val="auto"/>
              </w:rPr>
              <w:t>Reductions</w:t>
            </w:r>
            <w:r>
              <w:rPr>
                <w:rFonts w:ascii="Times New Roman" w:cs="Times New Roman" w:eastAsia="Times New Roman" w:hAnsi="Times New Roman"/>
                <w:sz w:val="19"/>
                <w:szCs w:val="19"/>
                <w:b w:val="1"/>
                <w:bCs w:val="1"/>
                <w:color w:val="auto"/>
                <w:vertAlign w:val="superscript"/>
              </w:rPr>
              <w:t>(2)</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8"/>
              <w:spacing w:after="0" w:line="189" w:lineRule="exact"/>
              <w:rPr>
                <w:sz w:val="20"/>
                <w:szCs w:val="20"/>
                <w:color w:val="auto"/>
              </w:rPr>
            </w:pPr>
            <w:r>
              <w:rPr>
                <w:rFonts w:ascii="Times New Roman" w:cs="Times New Roman" w:eastAsia="Times New Roman" w:hAnsi="Times New Roman"/>
                <w:sz w:val="14"/>
                <w:szCs w:val="14"/>
                <w:b w:val="1"/>
                <w:bCs w:val="1"/>
                <w:color w:val="auto"/>
                <w:w w:val="97"/>
              </w:rPr>
              <w:t>30, 2024</w:t>
            </w:r>
            <w:r>
              <w:rPr>
                <w:rFonts w:ascii="Times New Roman" w:cs="Times New Roman" w:eastAsia="Times New Roman" w:hAnsi="Times New Roman"/>
                <w:sz w:val="19"/>
                <w:szCs w:val="19"/>
                <w:b w:val="1"/>
                <w:bCs w:val="1"/>
                <w:color w:val="auto"/>
                <w:w w:val="97"/>
                <w:vertAlign w:val="superscript"/>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Affiliate Investments</w:t>
            </w: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Debt Investments</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6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Gynesonics, Inc. -</w:t>
            </w:r>
          </w:p>
        </w:tc>
        <w:tc>
          <w:tcPr>
            <w:tcW w:w="122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SOFR+8.75%,</w:t>
            </w:r>
          </w:p>
        </w:tc>
        <w:tc>
          <w:tcPr>
            <w:tcW w:w="1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1,808</w:t>
            </w:r>
          </w:p>
        </w:tc>
        <w:tc>
          <w:tcPr>
            <w:tcW w:w="38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23,586</w:t>
            </w:r>
          </w:p>
        </w:tc>
        <w:tc>
          <w:tcPr>
            <w:tcW w:w="3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250</w:t>
            </w:r>
          </w:p>
        </w:tc>
        <w:tc>
          <w:tcPr>
            <w:tcW w:w="400" w:type="dxa"/>
            <w:vAlign w:val="bottom"/>
            <w:gridSpan w:val="2"/>
            <w:shd w:val="clear" w:color="auto" w:fill="CFF0FC"/>
          </w:tcPr>
          <w:p>
            <w:pPr>
              <w:jc w:val="right"/>
              <w:ind w:right="28"/>
              <w:spacing w:after="0" w:line="13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ind w:left="620"/>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ind w:left="68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2,205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26,041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Senior Secured</w:t>
            </w:r>
          </w:p>
        </w:tc>
        <w:tc>
          <w:tcPr>
            <w:tcW w:w="1220" w:type="dxa"/>
            <w:vAlign w:val="bottom"/>
            <w:gridSpan w:val="2"/>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8.00% ceiling,</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5.00% ETP, due</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0" w:type="dxa"/>
            <w:vAlign w:val="bottom"/>
            <w:tcBorders>
              <w:bottom w:val="single" w:sz="8" w:color="CFF0FC"/>
            </w:tcBorders>
            <w:shd w:val="clear" w:color="auto" w:fill="CFF0FC"/>
          </w:tcPr>
          <w:p>
            <w:pPr>
              <w:spacing w:after="0"/>
              <w:rPr>
                <w:sz w:val="14"/>
                <w:szCs w:val="14"/>
                <w:color w:val="auto"/>
              </w:rPr>
            </w:pPr>
          </w:p>
        </w:tc>
        <w:tc>
          <w:tcPr>
            <w:tcW w:w="14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11/30/2026</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Debt Investments</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1,808</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23,586</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6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Coginiti Corp -</w:t>
            </w:r>
          </w:p>
        </w:tc>
        <w:tc>
          <w:tcPr>
            <w:tcW w:w="122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856</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ind w:left="620"/>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ind w:left="68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(752 )</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6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60" w:type="dxa"/>
            <w:vAlign w:val="bottom"/>
          </w:tcPr>
          <w:p>
            <w:pPr>
              <w:spacing w:after="0"/>
              <w:rPr>
                <w:sz w:val="12"/>
                <w:szCs w:val="12"/>
                <w:color w:val="auto"/>
              </w:rPr>
            </w:pPr>
          </w:p>
        </w:tc>
        <w:tc>
          <w:tcPr>
            <w:tcW w:w="1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Gynesonics, Inc. -</w:t>
            </w:r>
          </w:p>
        </w:tc>
        <w:tc>
          <w:tcPr>
            <w:tcW w:w="12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A-2</w:t>
            </w: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21,461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ind w:left="620"/>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ind w:left="68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2,508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23,969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6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A-1</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4,577</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ind w:left="620"/>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ind w:left="68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3,751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8,328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0" w:type="dxa"/>
            <w:vAlign w:val="bottom"/>
            <w:tcBorders>
              <w:bottom w:val="single" w:sz="8" w:color="CFF0FC"/>
            </w:tcBorders>
            <w:shd w:val="clear" w:color="auto" w:fill="CFF0FC"/>
          </w:tcPr>
          <w:p>
            <w:pPr>
              <w:spacing w:after="0"/>
              <w:rPr>
                <w:sz w:val="14"/>
                <w:szCs w:val="14"/>
                <w:color w:val="auto"/>
              </w:rPr>
            </w:pPr>
          </w:p>
        </w:tc>
        <w:tc>
          <w:tcPr>
            <w:tcW w:w="14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1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Equity Investments</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26,894</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60" w:type="dxa"/>
            <w:vAlign w:val="bottom"/>
          </w:tcPr>
          <w:p>
            <w:pPr>
              <w:spacing w:after="0"/>
              <w:rPr>
                <w:sz w:val="12"/>
                <w:szCs w:val="12"/>
                <w:color w:val="auto"/>
              </w:rPr>
            </w:pPr>
          </w:p>
        </w:tc>
        <w:tc>
          <w:tcPr>
            <w:tcW w:w="1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Coginiti Corp -</w:t>
            </w:r>
          </w:p>
        </w:tc>
        <w:tc>
          <w:tcPr>
            <w:tcW w:w="12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663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ind w:left="620"/>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ind w:left="68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(584 )</w:t>
            </w:r>
          </w:p>
        </w:tc>
        <w:tc>
          <w:tcPr>
            <w:tcW w:w="1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6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Gynesonics, Inc. -</w:t>
            </w:r>
          </w:p>
        </w:tc>
        <w:tc>
          <w:tcPr>
            <w:tcW w:w="122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Success fee</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313</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ind w:left="620"/>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ind w:left="68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135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448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0" w:type="dxa"/>
            <w:vAlign w:val="bottom"/>
            <w:tcBorders>
              <w:bottom w:val="single" w:sz="8" w:color="CFF0FC"/>
            </w:tcBorders>
            <w:shd w:val="clear" w:color="auto" w:fill="CFF0FC"/>
          </w:tcPr>
          <w:p>
            <w:pPr>
              <w:spacing w:after="0"/>
              <w:rPr>
                <w:sz w:val="14"/>
                <w:szCs w:val="14"/>
                <w:color w:val="auto"/>
              </w:rPr>
            </w:pPr>
          </w:p>
        </w:tc>
        <w:tc>
          <w:tcPr>
            <w:tcW w:w="1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0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Warrants</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(449 )</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Affiliate Investments</w:t>
            </w:r>
          </w:p>
        </w:tc>
        <w:tc>
          <w:tcPr>
            <w:tcW w:w="10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1,808</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51,456</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7,263</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78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Control Investments</w:t>
            </w: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60" w:type="dxa"/>
            <w:vAlign w:val="bottom"/>
          </w:tcPr>
          <w:p>
            <w:pPr>
              <w:spacing w:after="0"/>
              <w:rPr>
                <w:sz w:val="12"/>
                <w:szCs w:val="12"/>
                <w:color w:val="auto"/>
              </w:rPr>
            </w:pPr>
          </w:p>
        </w:tc>
        <w:tc>
          <w:tcPr>
            <w:tcW w:w="1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Pivot3, Inc. -</w:t>
            </w:r>
          </w:p>
        </w:tc>
        <w:tc>
          <w:tcPr>
            <w:tcW w:w="12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Equity Interest</w:t>
            </w: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950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ind w:left="620"/>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ind w:left="68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248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1,198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6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Runway-Cadma I LLC -</w:t>
            </w:r>
          </w:p>
        </w:tc>
        <w:tc>
          <w:tcPr>
            <w:tcW w:w="122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Equity Interest</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5,600</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ind w:left="620"/>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ind w:left="68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(72 )</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5,528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0" w:type="dxa"/>
            <w:vAlign w:val="bottom"/>
            <w:tcBorders>
              <w:bottom w:val="single" w:sz="8" w:color="CFF0FC"/>
            </w:tcBorders>
            <w:shd w:val="clear" w:color="auto" w:fill="CFF0FC"/>
          </w:tcPr>
          <w:p>
            <w:pPr>
              <w:spacing w:after="0"/>
              <w:rPr>
                <w:sz w:val="14"/>
                <w:szCs w:val="14"/>
                <w:color w:val="auto"/>
              </w:rPr>
            </w:pPr>
          </w:p>
        </w:tc>
        <w:tc>
          <w:tcPr>
            <w:tcW w:w="1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0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Equity Investments</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5,600</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Control Investments</w:t>
            </w:r>
          </w:p>
        </w:tc>
        <w:tc>
          <w:tcPr>
            <w:tcW w:w="10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5,600</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-2759710</wp:posOffset>
            </wp:positionV>
            <wp:extent cx="768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-2759710</wp:posOffset>
            </wp:positionV>
            <wp:extent cx="774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-2759710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-2759710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-2759710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-2759710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-1799590</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-1799590</wp:posOffset>
            </wp:positionV>
            <wp:extent cx="774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-1799590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-1799590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-1799590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-1799590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-1156335</wp:posOffset>
            </wp:positionV>
            <wp:extent cx="768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-1156335</wp:posOffset>
            </wp:positionV>
            <wp:extent cx="774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-1156335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-1156335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-1156335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-1156335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-916305</wp:posOffset>
            </wp:positionV>
            <wp:extent cx="768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-899160</wp:posOffset>
            </wp:positionV>
            <wp:extent cx="768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-916305</wp:posOffset>
            </wp:positionV>
            <wp:extent cx="774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-899160</wp:posOffset>
            </wp:positionV>
            <wp:extent cx="774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-916305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-899160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-916305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-899160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-916305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-899160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-916305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-899160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-264795</wp:posOffset>
            </wp:positionV>
            <wp:extent cx="7683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-264795</wp:posOffset>
            </wp:positionV>
            <wp:extent cx="7747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-264795</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-264795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-264795</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-264795</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-24765</wp:posOffset>
            </wp:positionV>
            <wp:extent cx="7683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-7620</wp:posOffset>
            </wp:positionV>
            <wp:extent cx="768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-24765</wp:posOffset>
            </wp:positionV>
            <wp:extent cx="7747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wp:posOffset>
            </wp:positionV>
            <wp:extent cx="7747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 w:lineRule="exact"/>
        <w:rPr>
          <w:sz w:val="20"/>
          <w:szCs w:val="20"/>
          <w:color w:val="auto"/>
        </w:rPr>
      </w:pPr>
    </w:p>
    <w:p>
      <w:pPr>
        <w:ind w:left="760" w:hanging="374"/>
        <w:spacing w:after="0" w:line="197" w:lineRule="auto"/>
        <w:tabs>
          <w:tab w:leader="none" w:pos="7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Gross additions include increases in the basis of investments resulting from new portfolio investments, PIK interest, accretion of OID and ETP, the exchange of one or more existing investments for one or more new investments and the movement of an existing portfolio company into this category from a different category.</w:t>
      </w:r>
    </w:p>
    <w:p>
      <w:pPr>
        <w:spacing w:after="0" w:line="1" w:lineRule="exact"/>
        <w:rPr>
          <w:rFonts w:ascii="Times New Roman" w:cs="Times New Roman" w:eastAsia="Times New Roman" w:hAnsi="Times New Roman"/>
          <w:sz w:val="19"/>
          <w:szCs w:val="19"/>
          <w:color w:val="auto"/>
          <w:vertAlign w:val="superscript"/>
        </w:rPr>
      </w:pPr>
    </w:p>
    <w:p>
      <w:pPr>
        <w:ind w:left="760" w:hanging="374"/>
        <w:spacing w:after="0" w:line="187" w:lineRule="auto"/>
        <w:tabs>
          <w:tab w:leader="none" w:pos="7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spacing w:after="0" w:line="1" w:lineRule="exact"/>
        <w:rPr>
          <w:rFonts w:ascii="Times New Roman" w:cs="Times New Roman" w:eastAsia="Times New Roman" w:hAnsi="Times New Roman"/>
          <w:sz w:val="19"/>
          <w:szCs w:val="19"/>
          <w:color w:val="auto"/>
          <w:vertAlign w:val="superscript"/>
        </w:rPr>
      </w:pPr>
    </w:p>
    <w:p>
      <w:pPr>
        <w:ind w:left="760" w:hanging="374"/>
        <w:spacing w:after="0" w:line="202" w:lineRule="auto"/>
        <w:tabs>
          <w:tab w:leader="none" w:pos="7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investments in the portfolio companies, which as of September 30, 2024, represented 12.95% of the Company’s net assets, may be deemed to be restricted securities under the Securities Act, and were valued at fair value as determined in good faith by the Company’s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14230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affiliate and control investments as of December 31, 2023, along with the transactions during the year ended December 31, 2023, are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8"/>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Fair Value as</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Income Earned</w:t>
            </w:r>
          </w:p>
        </w:tc>
        <w:tc>
          <w:tcPr>
            <w:tcW w:w="24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12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Net Realized</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December</w:t>
            </w:r>
          </w:p>
        </w:tc>
        <w:tc>
          <w:tcPr>
            <w:tcW w:w="0" w:type="dxa"/>
            <w:vAlign w:val="bottom"/>
          </w:tcPr>
          <w:p>
            <w:pPr>
              <w:spacing w:after="0"/>
              <w:rPr>
                <w:sz w:val="1"/>
                <w:szCs w:val="1"/>
                <w:color w:val="auto"/>
              </w:rPr>
            </w:pPr>
          </w:p>
        </w:tc>
      </w:tr>
      <w:tr>
        <w:trPr>
          <w:trHeight w:val="255"/>
        </w:trPr>
        <w:tc>
          <w:tcPr>
            <w:tcW w:w="1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22"/>
                <w:szCs w:val="22"/>
                <w:color w:val="auto"/>
              </w:rPr>
            </w:pPr>
          </w:p>
        </w:tc>
        <w:tc>
          <w:tcPr>
            <w:tcW w:w="9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5"/>
              </w:rPr>
              <w:t>Additions</w:t>
            </w:r>
            <w:r>
              <w:rPr>
                <w:rFonts w:ascii="Times New Roman" w:cs="Times New Roman" w:eastAsia="Times New Roman" w:hAnsi="Times New Roman"/>
                <w:sz w:val="19"/>
                <w:szCs w:val="19"/>
                <w:b w:val="1"/>
                <w:bCs w:val="1"/>
                <w:color w:val="auto"/>
                <w:w w:val="95"/>
                <w:vertAlign w:val="superscript"/>
              </w:rPr>
              <w:t>(1)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249"/>
              <w:spacing w:after="0"/>
              <w:rPr>
                <w:sz w:val="20"/>
                <w:szCs w:val="20"/>
                <w:color w:val="auto"/>
              </w:rPr>
            </w:pPr>
            <w:r>
              <w:rPr>
                <w:rFonts w:ascii="Times New Roman" w:cs="Times New Roman" w:eastAsia="Times New Roman" w:hAnsi="Times New Roman"/>
                <w:sz w:val="10"/>
                <w:szCs w:val="10"/>
                <w:b w:val="1"/>
                <w:bCs w:val="1"/>
                <w:color w:val="auto"/>
              </w:rPr>
              <w:t>(2)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40" w:type="dxa"/>
            <w:vAlign w:val="bottom"/>
          </w:tcPr>
          <w:p>
            <w:pPr>
              <w:spacing w:after="0"/>
              <w:rPr>
                <w:sz w:val="22"/>
                <w:szCs w:val="22"/>
                <w:color w:val="auto"/>
              </w:rPr>
            </w:pPr>
          </w:p>
        </w:tc>
        <w:tc>
          <w:tcPr>
            <w:tcW w:w="8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4"/>
              </w:rPr>
              <w:t>31, 2023</w:t>
            </w:r>
            <w:r>
              <w:rPr>
                <w:rFonts w:ascii="Times New Roman" w:cs="Times New Roman" w:eastAsia="Times New Roman" w:hAnsi="Times New Roman"/>
                <w:sz w:val="19"/>
                <w:szCs w:val="19"/>
                <w:b w:val="1"/>
                <w:bCs w:val="1"/>
                <w:color w:val="auto"/>
                <w:w w:val="94"/>
                <w:vertAlign w:val="superscript"/>
              </w:rPr>
              <w:t>(3)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
        </w:trPr>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2"/>
                <w:szCs w:val="2"/>
                <w:color w:val="auto"/>
              </w:rPr>
            </w:pPr>
          </w:p>
        </w:tc>
        <w:tc>
          <w:tcPr>
            <w:tcW w:w="18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6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Affiliate Investments</w:t>
            </w:r>
          </w:p>
        </w:tc>
        <w:tc>
          <w:tcPr>
            <w:tcW w:w="1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Debt Investments</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6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Gynesonics, Inc. -</w:t>
            </w:r>
          </w:p>
        </w:tc>
        <w:tc>
          <w:tcPr>
            <w:tcW w:w="180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SOFR+8.75%, 8.00%</w:t>
            </w:r>
          </w:p>
        </w:tc>
        <w:tc>
          <w:tcPr>
            <w:tcW w:w="1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2,105</w:t>
            </w:r>
          </w:p>
        </w:tc>
        <w:tc>
          <w:tcPr>
            <w:tcW w:w="38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25,897</w:t>
            </w:r>
          </w:p>
        </w:tc>
        <w:tc>
          <w:tcPr>
            <w:tcW w:w="34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2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FF0FC"/>
          </w:tcPr>
          <w:p>
            <w:pPr>
              <w:jc w:val="right"/>
              <w:ind w:right="2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ind w:left="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40"/>
              <w:spacing w:after="0" w:line="139" w:lineRule="exact"/>
              <w:rPr>
                <w:sz w:val="20"/>
                <w:szCs w:val="20"/>
                <w:color w:val="auto"/>
              </w:rPr>
            </w:pPr>
            <w:r>
              <w:rPr>
                <w:rFonts w:ascii="Times New Roman" w:cs="Times New Roman" w:eastAsia="Times New Roman" w:hAnsi="Times New Roman"/>
                <w:sz w:val="14"/>
                <w:szCs w:val="14"/>
                <w:color w:val="auto"/>
              </w:rPr>
              <w:t>(2,311 )</w:t>
            </w:r>
          </w:p>
        </w:tc>
        <w:tc>
          <w:tcPr>
            <w:tcW w:w="1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23,586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Senior Secured</w:t>
            </w:r>
          </w:p>
        </w:tc>
        <w:tc>
          <w:tcPr>
            <w:tcW w:w="1800" w:type="dxa"/>
            <w:vAlign w:val="bottom"/>
            <w:gridSpan w:val="2"/>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ceiling, 5.00% ETP, due</w:t>
            </w: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0" w:type="dxa"/>
            <w:vAlign w:val="bottom"/>
            <w:tcBorders>
              <w:bottom w:val="single" w:sz="8" w:color="CFF0FC"/>
            </w:tcBorders>
            <w:shd w:val="clear" w:color="auto" w:fill="CFF0FC"/>
          </w:tcPr>
          <w:p>
            <w:pPr>
              <w:spacing w:after="0"/>
              <w:rPr>
                <w:sz w:val="14"/>
                <w:szCs w:val="14"/>
                <w:color w:val="auto"/>
              </w:rPr>
            </w:pPr>
          </w:p>
        </w:tc>
        <w:tc>
          <w:tcPr>
            <w:tcW w:w="15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11/30/2026</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Debt Investments</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(2,311 )</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6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Coginiti Corp -</w:t>
            </w:r>
          </w:p>
        </w:tc>
        <w:tc>
          <w:tcPr>
            <w:tcW w:w="180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1,174</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line="139" w:lineRule="exact"/>
              <w:rPr>
                <w:sz w:val="20"/>
                <w:szCs w:val="20"/>
                <w:color w:val="auto"/>
              </w:rPr>
            </w:pPr>
            <w:r>
              <w:rPr>
                <w:rFonts w:ascii="Times New Roman" w:cs="Times New Roman" w:eastAsia="Times New Roman" w:hAnsi="Times New Roman"/>
                <w:sz w:val="14"/>
                <w:szCs w:val="14"/>
                <w:color w:val="auto"/>
              </w:rPr>
              <w:t>(318 )</w:t>
            </w: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6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60" w:type="dxa"/>
            <w:vAlign w:val="bottom"/>
          </w:tcPr>
          <w:p>
            <w:pPr>
              <w:spacing w:after="0"/>
              <w:rPr>
                <w:sz w:val="12"/>
                <w:szCs w:val="12"/>
                <w:color w:val="auto"/>
              </w:rPr>
            </w:pPr>
          </w:p>
        </w:tc>
        <w:tc>
          <w:tcPr>
            <w:tcW w:w="1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Gynesonics, Inc. -</w:t>
            </w:r>
          </w:p>
        </w:tc>
        <w:tc>
          <w:tcPr>
            <w:tcW w:w="18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A-2 Preferred Stock</w:t>
            </w:r>
          </w:p>
        </w:tc>
        <w:tc>
          <w:tcPr>
            <w:tcW w:w="140" w:type="dxa"/>
            <w:vAlign w:val="bottom"/>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25,000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39" w:lineRule="exact"/>
              <w:rPr>
                <w:sz w:val="20"/>
                <w:szCs w:val="20"/>
                <w:color w:val="auto"/>
              </w:rPr>
            </w:pPr>
            <w:r>
              <w:rPr>
                <w:rFonts w:ascii="Times New Roman" w:cs="Times New Roman" w:eastAsia="Times New Roman" w:hAnsi="Times New Roman"/>
                <w:sz w:val="14"/>
                <w:szCs w:val="14"/>
                <w:color w:val="auto"/>
              </w:rPr>
              <w:t>(3,539 )</w:t>
            </w:r>
          </w:p>
        </w:tc>
        <w:tc>
          <w:tcPr>
            <w:tcW w:w="14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21,461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0" w:type="dxa"/>
            <w:vAlign w:val="bottom"/>
            <w:tcBorders>
              <w:bottom w:val="single" w:sz="8" w:color="CFF0FC"/>
            </w:tcBorders>
            <w:shd w:val="clear" w:color="auto" w:fill="CFF0FC"/>
          </w:tcPr>
          <w:p>
            <w:pPr>
              <w:spacing w:after="0"/>
              <w:rPr>
                <w:sz w:val="15"/>
                <w:szCs w:val="15"/>
                <w:color w:val="auto"/>
              </w:rPr>
            </w:pPr>
          </w:p>
        </w:tc>
        <w:tc>
          <w:tcPr>
            <w:tcW w:w="15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A-1 Preferred Stock</w:t>
            </w:r>
          </w:p>
        </w:tc>
        <w:tc>
          <w:tcPr>
            <w:tcW w:w="1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4,577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Equity Investments</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(2,380 )</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60" w:type="dxa"/>
            <w:vAlign w:val="bottom"/>
          </w:tcPr>
          <w:p>
            <w:pPr>
              <w:spacing w:after="0"/>
              <w:rPr>
                <w:sz w:val="12"/>
                <w:szCs w:val="12"/>
                <w:color w:val="auto"/>
              </w:rPr>
            </w:pPr>
          </w:p>
        </w:tc>
        <w:tc>
          <w:tcPr>
            <w:tcW w:w="1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Coginiti Corp -</w:t>
            </w:r>
          </w:p>
        </w:tc>
        <w:tc>
          <w:tcPr>
            <w:tcW w:w="18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910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39" w:lineRule="exact"/>
              <w:rPr>
                <w:sz w:val="20"/>
                <w:szCs w:val="20"/>
                <w:color w:val="auto"/>
              </w:rPr>
            </w:pPr>
            <w:r>
              <w:rPr>
                <w:rFonts w:ascii="Times New Roman" w:cs="Times New Roman" w:eastAsia="Times New Roman" w:hAnsi="Times New Roman"/>
                <w:sz w:val="14"/>
                <w:szCs w:val="14"/>
                <w:color w:val="auto"/>
              </w:rPr>
              <w:t>(247 )</w:t>
            </w:r>
          </w:p>
        </w:tc>
        <w:tc>
          <w:tcPr>
            <w:tcW w:w="14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663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6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Gynesonics, Inc. -</w:t>
            </w:r>
          </w:p>
        </w:tc>
        <w:tc>
          <w:tcPr>
            <w:tcW w:w="180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Success fee</w:t>
            </w: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313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0" w:type="dxa"/>
            <w:vAlign w:val="bottom"/>
            <w:tcBorders>
              <w:bottom w:val="single" w:sz="8" w:color="CFF0FC"/>
            </w:tcBorders>
            <w:shd w:val="clear" w:color="auto" w:fill="CFF0FC"/>
          </w:tcPr>
          <w:p>
            <w:pPr>
              <w:spacing w:after="0"/>
              <w:rPr>
                <w:sz w:val="14"/>
                <w:szCs w:val="14"/>
                <w:color w:val="auto"/>
              </w:rPr>
            </w:pPr>
          </w:p>
        </w:tc>
        <w:tc>
          <w:tcPr>
            <w:tcW w:w="1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6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Warrants</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(247 )</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Affiliate Investments</w:t>
            </w: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54,310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(4,938 )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780" w:type="dxa"/>
            <w:vAlign w:val="bottom"/>
            <w:tcBorders>
              <w:top w:val="single" w:sz="8" w:color="CFF0FC"/>
            </w:tcBorders>
            <w:gridSpan w:val="3"/>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Control Investments</w:t>
            </w:r>
          </w:p>
        </w:tc>
        <w:tc>
          <w:tcPr>
            <w:tcW w:w="168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Debt Investments</w:t>
            </w:r>
          </w:p>
        </w:tc>
        <w:tc>
          <w:tcPr>
            <w:tcW w:w="1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60" w:type="dxa"/>
            <w:vAlign w:val="bottom"/>
          </w:tcPr>
          <w:p>
            <w:pPr>
              <w:spacing w:after="0"/>
              <w:rPr>
                <w:sz w:val="12"/>
                <w:szCs w:val="12"/>
                <w:color w:val="auto"/>
              </w:rPr>
            </w:pPr>
          </w:p>
        </w:tc>
        <w:tc>
          <w:tcPr>
            <w:tcW w:w="1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Pivot3, Inc. -</w:t>
            </w:r>
          </w:p>
        </w:tc>
        <w:tc>
          <w:tcPr>
            <w:tcW w:w="18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LIBOR+8.50% PIK,</w:t>
            </w:r>
          </w:p>
        </w:tc>
        <w:tc>
          <w:tcPr>
            <w:tcW w:w="140" w:type="dxa"/>
            <w:vAlign w:val="bottom"/>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9,290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(2,158 )</w:t>
            </w:r>
          </w:p>
        </w:tc>
        <w:tc>
          <w:tcPr>
            <w:tcW w:w="120" w:type="dxa"/>
            <w:vAlign w:val="bottom"/>
          </w:tcPr>
          <w:p>
            <w:pPr>
              <w:spacing w:after="0"/>
              <w:rPr>
                <w:sz w:val="12"/>
                <w:szCs w:val="12"/>
                <w:color w:val="auto"/>
              </w:rPr>
            </w:pPr>
          </w:p>
        </w:tc>
        <w:tc>
          <w:tcPr>
            <w:tcW w:w="1080" w:type="dxa"/>
            <w:vAlign w:val="bottom"/>
            <w:gridSpan w:val="2"/>
          </w:tcPr>
          <w:p>
            <w:pPr>
              <w:jc w:val="right"/>
              <w:ind w:right="140"/>
              <w:spacing w:after="0" w:line="139" w:lineRule="exact"/>
              <w:rPr>
                <w:sz w:val="20"/>
                <w:szCs w:val="20"/>
                <w:color w:val="auto"/>
              </w:rPr>
            </w:pPr>
            <w:r>
              <w:rPr>
                <w:rFonts w:ascii="Times New Roman" w:cs="Times New Roman" w:eastAsia="Times New Roman" w:hAnsi="Times New Roman"/>
                <w:sz w:val="14"/>
                <w:szCs w:val="14"/>
                <w:color w:val="auto"/>
              </w:rPr>
              <w:t>(17,014 )</w:t>
            </w:r>
          </w:p>
        </w:tc>
        <w:tc>
          <w:tcPr>
            <w:tcW w:w="180" w:type="dxa"/>
            <w:vAlign w:val="bottom"/>
          </w:tcPr>
          <w:p>
            <w:pPr>
              <w:spacing w:after="0"/>
              <w:rPr>
                <w:sz w:val="12"/>
                <w:szCs w:val="12"/>
                <w:color w:val="auto"/>
              </w:rPr>
            </w:pPr>
          </w:p>
        </w:tc>
        <w:tc>
          <w:tcPr>
            <w:tcW w:w="5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9,882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6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Senior Secured</w:t>
            </w:r>
          </w:p>
        </w:tc>
        <w:tc>
          <w:tcPr>
            <w:tcW w:w="1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11.00% floor, 4.00% ETP,</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due 10/15/2023</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Debt Investments</w:t>
            </w:r>
          </w:p>
        </w:tc>
        <w:tc>
          <w:tcPr>
            <w:tcW w:w="1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9,290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(2,158 )</w:t>
            </w: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(17,014 )</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9,882</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160" w:type="dxa"/>
            <w:vAlign w:val="bottom"/>
            <w:tcBorders>
              <w:top w:val="single" w:sz="8" w:color="CFF0FC"/>
            </w:tcBorders>
          </w:tcPr>
          <w:p>
            <w:pPr>
              <w:spacing w:after="0"/>
              <w:rPr>
                <w:sz w:val="14"/>
                <w:szCs w:val="14"/>
                <w:color w:val="auto"/>
              </w:rPr>
            </w:pPr>
          </w:p>
        </w:tc>
        <w:tc>
          <w:tcPr>
            <w:tcW w:w="1620" w:type="dxa"/>
            <w:vAlign w:val="bottom"/>
            <w:tcBorders>
              <w:top w:val="single" w:sz="8" w:color="CFF0FC"/>
            </w:tcBorders>
            <w:gridSpan w:val="2"/>
          </w:tcPr>
          <w:p>
            <w:pPr>
              <w:spacing w:after="0"/>
              <w:rPr>
                <w:sz w:val="14"/>
                <w:szCs w:val="14"/>
                <w:color w:val="auto"/>
              </w:rPr>
            </w:pPr>
          </w:p>
        </w:tc>
        <w:tc>
          <w:tcPr>
            <w:tcW w:w="16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1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60" w:type="dxa"/>
            <w:vAlign w:val="bottom"/>
          </w:tcPr>
          <w:p>
            <w:pPr>
              <w:spacing w:after="0"/>
              <w:rPr>
                <w:sz w:val="12"/>
                <w:szCs w:val="12"/>
                <w:color w:val="auto"/>
              </w:rPr>
            </w:pPr>
          </w:p>
        </w:tc>
        <w:tc>
          <w:tcPr>
            <w:tcW w:w="1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Pivot3, Inc. -</w:t>
            </w:r>
          </w:p>
        </w:tc>
        <w:tc>
          <w:tcPr>
            <w:tcW w:w="18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Equity Interest</w:t>
            </w:r>
          </w:p>
        </w:tc>
        <w:tc>
          <w:tcPr>
            <w:tcW w:w="140" w:type="dxa"/>
            <w:vAlign w:val="bottom"/>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950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2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1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Equity Investments</w:t>
            </w:r>
          </w:p>
        </w:tc>
        <w:tc>
          <w:tcPr>
            <w:tcW w:w="16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Control Investments</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(2,158 )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(17,014 )</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9,882</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-3110865</wp:posOffset>
            </wp:positionV>
            <wp:extent cx="7683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-3110865</wp:posOffset>
            </wp:positionV>
            <wp:extent cx="7683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-3110865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-3110865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-3110865</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-3110865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-2236470</wp:posOffset>
            </wp:positionV>
            <wp:extent cx="768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-2236470</wp:posOffset>
            </wp:positionV>
            <wp:extent cx="768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-2236470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-2236470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-2236470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-2236470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-1593850</wp:posOffset>
            </wp:positionV>
            <wp:extent cx="768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-1593850</wp:posOffset>
            </wp:positionV>
            <wp:extent cx="768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-1593850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-1593850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-1593850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-1593850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-1353820</wp:posOffset>
            </wp:positionV>
            <wp:extent cx="7683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-1336675</wp:posOffset>
            </wp:positionV>
            <wp:extent cx="7683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-1353820</wp:posOffset>
            </wp:positionV>
            <wp:extent cx="7683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-1336675</wp:posOffset>
            </wp:positionV>
            <wp:extent cx="7683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-1353820</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-1336675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-1353820</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-1336675</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-1353820</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-1336675</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-1353820</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-1336675</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-693420</wp:posOffset>
            </wp:positionV>
            <wp:extent cx="768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-693420</wp:posOffset>
            </wp:positionV>
            <wp:extent cx="768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-693420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-693420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-693420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-693420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-145415</wp:posOffset>
            </wp:positionV>
            <wp:extent cx="7683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-145415</wp:posOffset>
            </wp:positionV>
            <wp:extent cx="7683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-145415</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-145415</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-145415</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-145415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 w:lineRule="exact"/>
        <w:rPr>
          <w:sz w:val="20"/>
          <w:szCs w:val="20"/>
          <w:color w:val="auto"/>
        </w:rPr>
      </w:pPr>
    </w:p>
    <w:p>
      <w:pPr>
        <w:ind w:left="760" w:hanging="374"/>
        <w:spacing w:after="0" w:line="197" w:lineRule="auto"/>
        <w:tabs>
          <w:tab w:leader="none" w:pos="7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Gross additions include increases in the basis of investments resulting from new portfolio investments, PIK interest, accretion of OID and ETP, the exchange of one or more existing investments for one or more new investments and the movement of an existing portfolio company into this category from a different category.</w:t>
      </w:r>
    </w:p>
    <w:p>
      <w:pPr>
        <w:spacing w:after="0" w:line="1" w:lineRule="exact"/>
        <w:rPr>
          <w:rFonts w:ascii="Times New Roman" w:cs="Times New Roman" w:eastAsia="Times New Roman" w:hAnsi="Times New Roman"/>
          <w:sz w:val="19"/>
          <w:szCs w:val="19"/>
          <w:color w:val="auto"/>
          <w:vertAlign w:val="superscript"/>
        </w:rPr>
      </w:pPr>
    </w:p>
    <w:p>
      <w:pPr>
        <w:ind w:left="760" w:hanging="374"/>
        <w:spacing w:after="0" w:line="187" w:lineRule="auto"/>
        <w:tabs>
          <w:tab w:leader="none" w:pos="7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spacing w:after="0" w:line="1" w:lineRule="exact"/>
        <w:rPr>
          <w:rFonts w:ascii="Times New Roman" w:cs="Times New Roman" w:eastAsia="Times New Roman" w:hAnsi="Times New Roman"/>
          <w:sz w:val="19"/>
          <w:szCs w:val="19"/>
          <w:color w:val="auto"/>
          <w:vertAlign w:val="superscript"/>
        </w:rPr>
      </w:pPr>
    </w:p>
    <w:p>
      <w:pPr>
        <w:ind w:left="760" w:right="20" w:hanging="374"/>
        <w:spacing w:after="0" w:line="202" w:lineRule="auto"/>
        <w:tabs>
          <w:tab w:leader="none" w:pos="7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investments in the portfolio company, which as of December 31, 2023, represented 9.58% of the Company’s net assets, may be deemed to be restricted securities under the Securities Act, and were valued at fair value as determined in good faith by the Company’s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14230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Composition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of the Company's portfolio of investments, excluding U.S. Treasury Bills, by geographic region as of September 30, 2024 and December 31, 2023:</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100" w:type="dxa"/>
            <w:vAlign w:val="bottom"/>
          </w:tcPr>
          <w:p>
            <w:pPr>
              <w:spacing w:after="0"/>
              <w:rPr>
                <w:sz w:val="11"/>
                <w:szCs w:val="11"/>
                <w:color w:val="auto"/>
              </w:rPr>
            </w:pPr>
          </w:p>
        </w:tc>
        <w:tc>
          <w:tcPr>
            <w:tcW w:w="1480" w:type="dxa"/>
            <w:vAlign w:val="bottom"/>
          </w:tcPr>
          <w:p>
            <w:pPr>
              <w:jc w:val="right"/>
              <w:ind w:right="188"/>
              <w:spacing w:after="0" w:line="131" w:lineRule="exact"/>
              <w:rPr>
                <w:sz w:val="20"/>
                <w:szCs w:val="20"/>
                <w:color w:val="auto"/>
              </w:rPr>
            </w:pPr>
            <w:r>
              <w:rPr>
                <w:rFonts w:ascii="Times New Roman" w:cs="Times New Roman" w:eastAsia="Times New Roman" w:hAnsi="Times New Roman"/>
                <w:sz w:val="14"/>
                <w:szCs w:val="14"/>
                <w:b w:val="1"/>
                <w:bCs w:val="1"/>
                <w:color w:val="auto"/>
              </w:rPr>
              <w:t>Investments at Fair</w:t>
            </w:r>
          </w:p>
        </w:tc>
        <w:tc>
          <w:tcPr>
            <w:tcW w:w="120" w:type="dxa"/>
            <w:vAlign w:val="bottom"/>
          </w:tcPr>
          <w:p>
            <w:pPr>
              <w:spacing w:after="0"/>
              <w:rPr>
                <w:sz w:val="11"/>
                <w:szCs w:val="11"/>
                <w:color w:val="auto"/>
              </w:rPr>
            </w:pPr>
          </w:p>
        </w:tc>
        <w:tc>
          <w:tcPr>
            <w:tcW w:w="1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Percentage of Net Assets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jc w:val="right"/>
              <w:ind w:right="168"/>
              <w:spacing w:after="0" w:line="131" w:lineRule="exact"/>
              <w:rPr>
                <w:sz w:val="20"/>
                <w:szCs w:val="20"/>
                <w:color w:val="auto"/>
              </w:rPr>
            </w:pPr>
            <w:r>
              <w:rPr>
                <w:rFonts w:ascii="Times New Roman" w:cs="Times New Roman" w:eastAsia="Times New Roman" w:hAnsi="Times New Roman"/>
                <w:sz w:val="14"/>
                <w:szCs w:val="14"/>
                <w:b w:val="1"/>
                <w:bCs w:val="1"/>
                <w:color w:val="auto"/>
              </w:rPr>
              <w:t>Investments at Fair</w:t>
            </w:r>
          </w:p>
        </w:tc>
        <w:tc>
          <w:tcPr>
            <w:tcW w:w="220" w:type="dxa"/>
            <w:vAlign w:val="bottom"/>
          </w:tcPr>
          <w:p>
            <w:pPr>
              <w:spacing w:after="0"/>
              <w:rPr>
                <w:sz w:val="11"/>
                <w:szCs w:val="11"/>
                <w:color w:val="auto"/>
              </w:rPr>
            </w:pPr>
          </w:p>
        </w:tc>
        <w:tc>
          <w:tcPr>
            <w:tcW w:w="17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Percentage of Net Assets</w:t>
            </w:r>
          </w:p>
        </w:tc>
        <w:tc>
          <w:tcPr>
            <w:tcW w:w="0" w:type="dxa"/>
            <w:vAlign w:val="bottom"/>
          </w:tcPr>
          <w:p>
            <w:pPr>
              <w:spacing w:after="0"/>
              <w:rPr>
                <w:sz w:val="1"/>
                <w:szCs w:val="1"/>
                <w:color w:val="auto"/>
              </w:rPr>
            </w:pPr>
          </w:p>
        </w:tc>
      </w:tr>
      <w:tr>
        <w:trPr>
          <w:trHeight w:val="187"/>
        </w:trPr>
        <w:tc>
          <w:tcPr>
            <w:tcW w:w="4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Western United States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441,234</w:t>
            </w:r>
          </w:p>
        </w:tc>
        <w:tc>
          <w:tcPr>
            <w:tcW w:w="15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86.97</w:t>
            </w:r>
          </w:p>
        </w:tc>
        <w:tc>
          <w:tcPr>
            <w:tcW w:w="3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404,541</w:t>
            </w:r>
          </w:p>
        </w:tc>
        <w:tc>
          <w:tcPr>
            <w:tcW w:w="16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73.94</w:t>
            </w:r>
          </w:p>
        </w:tc>
        <w:tc>
          <w:tcPr>
            <w:tcW w:w="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Northeastern United States</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220,654</w:t>
            </w:r>
          </w:p>
        </w:tc>
        <w:tc>
          <w:tcPr>
            <w:tcW w:w="15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43.49</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239,444</w:t>
            </w:r>
          </w:p>
        </w:tc>
        <w:tc>
          <w:tcPr>
            <w:tcW w:w="16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43.77</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Midwestern United States</w:t>
            </w: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146,613</w:t>
            </w:r>
          </w:p>
        </w:tc>
        <w:tc>
          <w:tcPr>
            <w:tcW w:w="15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28.90</w:t>
            </w: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130,784</w:t>
            </w:r>
          </w:p>
        </w:tc>
        <w:tc>
          <w:tcPr>
            <w:tcW w:w="16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23.91</w:t>
            </w:r>
          </w:p>
        </w:tc>
        <w:tc>
          <w:tcPr>
            <w:tcW w:w="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South Central United States</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89,313</w:t>
            </w:r>
          </w:p>
        </w:tc>
        <w:tc>
          <w:tcPr>
            <w:tcW w:w="15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17.60</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87,814</w:t>
            </w:r>
          </w:p>
        </w:tc>
        <w:tc>
          <w:tcPr>
            <w:tcW w:w="16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16.05</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Northwestern United States</w:t>
            </w: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71,598</w:t>
            </w:r>
          </w:p>
        </w:tc>
        <w:tc>
          <w:tcPr>
            <w:tcW w:w="15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14.11</w:t>
            </w: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25,514</w:t>
            </w:r>
          </w:p>
        </w:tc>
        <w:tc>
          <w:tcPr>
            <w:tcW w:w="16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4.66</w:t>
            </w:r>
          </w:p>
        </w:tc>
        <w:tc>
          <w:tcPr>
            <w:tcW w:w="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Southeastern United States</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20,898</w:t>
            </w:r>
          </w:p>
        </w:tc>
        <w:tc>
          <w:tcPr>
            <w:tcW w:w="15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4.12</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820</w:t>
            </w:r>
          </w:p>
        </w:tc>
        <w:tc>
          <w:tcPr>
            <w:tcW w:w="16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0.15</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tcBorders>
              <w:bottom w:val="single" w:sz="8" w:color="CFF0FC"/>
            </w:tcBorders>
            <w:gridSpan w:val="2"/>
            <w:shd w:val="clear" w:color="auto" w:fill="CFF0FC"/>
          </w:tcPr>
          <w:p>
            <w:pPr>
              <w:ind w:left="120"/>
              <w:spacing w:after="0" w:line="175" w:lineRule="exact"/>
              <w:rPr>
                <w:sz w:val="20"/>
                <w:szCs w:val="20"/>
                <w:color w:val="auto"/>
              </w:rPr>
            </w:pPr>
            <w:r>
              <w:rPr>
                <w:rFonts w:ascii="Times New Roman" w:cs="Times New Roman" w:eastAsia="Times New Roman" w:hAnsi="Times New Roman"/>
                <w:sz w:val="14"/>
                <w:szCs w:val="14"/>
                <w:color w:val="auto"/>
              </w:rPr>
              <w:t>Runway-Cadma I LLC</w:t>
            </w:r>
            <w:r>
              <w:rPr>
                <w:rFonts w:ascii="Times New Roman" w:cs="Times New Roman" w:eastAsia="Times New Roman" w:hAnsi="Times New Roman"/>
                <w:sz w:val="19"/>
                <w:szCs w:val="19"/>
                <w:color w:val="auto"/>
                <w:vertAlign w:val="superscript"/>
              </w:rPr>
              <w:t>(1)</w:t>
            </w:r>
          </w:p>
        </w:tc>
        <w:tc>
          <w:tcPr>
            <w:tcW w:w="10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5,528</w:t>
            </w:r>
          </w:p>
        </w:tc>
        <w:tc>
          <w:tcPr>
            <w:tcW w:w="12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1.09</w:t>
            </w:r>
          </w:p>
        </w:tc>
        <w:tc>
          <w:tcPr>
            <w:tcW w:w="3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United States</w:t>
            </w:r>
          </w:p>
        </w:tc>
        <w:tc>
          <w:tcPr>
            <w:tcW w:w="100" w:type="dxa"/>
            <w:vAlign w:val="bottom"/>
          </w:tcPr>
          <w:p>
            <w:pPr>
              <w:spacing w:after="0"/>
              <w:rPr>
                <w:sz w:val="14"/>
                <w:szCs w:val="14"/>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995,838</w:t>
            </w:r>
          </w:p>
        </w:tc>
        <w:tc>
          <w:tcPr>
            <w:tcW w:w="15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196.28</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888,917</w:t>
            </w:r>
          </w:p>
        </w:tc>
        <w:tc>
          <w:tcPr>
            <w:tcW w:w="16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162.48</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2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1,663</w:t>
            </w:r>
          </w:p>
        </w:tc>
        <w:tc>
          <w:tcPr>
            <w:tcW w:w="15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0.33</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76,839</w:t>
            </w:r>
          </w:p>
        </w:tc>
        <w:tc>
          <w:tcPr>
            <w:tcW w:w="16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14.05</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36,813</w:t>
            </w:r>
          </w:p>
        </w:tc>
        <w:tc>
          <w:tcPr>
            <w:tcW w:w="15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7.26</w:t>
            </w: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44,587</w:t>
            </w:r>
          </w:p>
        </w:tc>
        <w:tc>
          <w:tcPr>
            <w:tcW w:w="16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8.15</w:t>
            </w:r>
          </w:p>
        </w:tc>
        <w:tc>
          <w:tcPr>
            <w:tcW w:w="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Netherlands</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17,006</w:t>
            </w:r>
          </w:p>
        </w:tc>
        <w:tc>
          <w:tcPr>
            <w:tcW w:w="15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3.35</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10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14,780</w:t>
            </w:r>
          </w:p>
        </w:tc>
        <w:tc>
          <w:tcPr>
            <w:tcW w:w="12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2.91</w:t>
            </w:r>
          </w:p>
        </w:tc>
        <w:tc>
          <w:tcPr>
            <w:tcW w:w="30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14,667</w:t>
            </w:r>
          </w:p>
        </w:tc>
        <w:tc>
          <w:tcPr>
            <w:tcW w:w="2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2.68</w:t>
            </w:r>
          </w:p>
        </w:tc>
        <w:tc>
          <w:tcPr>
            <w:tcW w:w="28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1,066,100</w:t>
            </w:r>
          </w:p>
        </w:tc>
        <w:tc>
          <w:tcPr>
            <w:tcW w:w="120" w:type="dxa"/>
            <w:vAlign w:val="bottom"/>
          </w:tcPr>
          <w:p>
            <w:pPr>
              <w:spacing w:after="0"/>
              <w:rPr>
                <w:sz w:val="14"/>
                <w:szCs w:val="14"/>
                <w:color w:val="auto"/>
              </w:rPr>
            </w:pPr>
          </w:p>
        </w:tc>
        <w:tc>
          <w:tcPr>
            <w:tcW w:w="14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210.13</w:t>
            </w:r>
          </w:p>
        </w:tc>
        <w:tc>
          <w:tcPr>
            <w:tcW w:w="3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1,025,010</w:t>
            </w:r>
          </w:p>
        </w:tc>
        <w:tc>
          <w:tcPr>
            <w:tcW w:w="220" w:type="dxa"/>
            <w:vAlign w:val="bottom"/>
          </w:tcPr>
          <w:p>
            <w:pPr>
              <w:spacing w:after="0"/>
              <w:rPr>
                <w:sz w:val="14"/>
                <w:szCs w:val="14"/>
                <w:color w:val="auto"/>
              </w:rPr>
            </w:pPr>
          </w:p>
        </w:tc>
        <w:tc>
          <w:tcPr>
            <w:tcW w:w="1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187.36</w:t>
            </w:r>
          </w:p>
        </w:tc>
        <w:tc>
          <w:tcPr>
            <w:tcW w:w="2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-814070</wp:posOffset>
            </wp:positionV>
            <wp:extent cx="7683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-814070</wp:posOffset>
            </wp:positionV>
            <wp:extent cx="18859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-814070</wp:posOffset>
            </wp:positionV>
            <wp:extent cx="13716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-814070</wp:posOffset>
            </wp:positionV>
            <wp:extent cx="17970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-128270</wp:posOffset>
            </wp:positionV>
            <wp:extent cx="7683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-128270</wp:posOffset>
            </wp:positionV>
            <wp:extent cx="18859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-128270</wp:posOffset>
            </wp:positionV>
            <wp:extent cx="1371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760" w:hanging="374"/>
        <w:spacing w:after="0" w:line="212" w:lineRule="auto"/>
        <w:tabs>
          <w:tab w:leader="none" w:pos="7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Runway-Cadma I LLC is a joint venture between the Company and Cadma. This entity invests in secured loans to growth-stage companies that have been originated by the Company. See “Note 2 – Summary of Significant Accounting Policies”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-206375</wp:posOffset>
            </wp:positionV>
            <wp:extent cx="456882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9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of the Company's portfolio of investments, excluding U.S. Treasury Bills, by industry as of September 30, 2024 and December 31, 2023:</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right"/>
              <w:ind w:right="188"/>
              <w:spacing w:after="0" w:line="131" w:lineRule="exact"/>
              <w:rPr>
                <w:sz w:val="20"/>
                <w:szCs w:val="20"/>
                <w:color w:val="auto"/>
              </w:rPr>
            </w:pPr>
            <w:r>
              <w:rPr>
                <w:rFonts w:ascii="Times New Roman" w:cs="Times New Roman" w:eastAsia="Times New Roman" w:hAnsi="Times New Roman"/>
                <w:sz w:val="14"/>
                <w:szCs w:val="14"/>
                <w:b w:val="1"/>
                <w:bCs w:val="1"/>
                <w:color w:val="auto"/>
              </w:rPr>
              <w:t>Investments at Fair</w:t>
            </w:r>
          </w:p>
        </w:tc>
        <w:tc>
          <w:tcPr>
            <w:tcW w:w="120" w:type="dxa"/>
            <w:vAlign w:val="bottom"/>
          </w:tcPr>
          <w:p>
            <w:pPr>
              <w:spacing w:after="0"/>
              <w:rPr>
                <w:sz w:val="11"/>
                <w:szCs w:val="11"/>
                <w:color w:val="auto"/>
              </w:rPr>
            </w:pPr>
          </w:p>
        </w:tc>
        <w:tc>
          <w:tcPr>
            <w:tcW w:w="1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Percentage of Net Assets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jc w:val="right"/>
              <w:ind w:right="168"/>
              <w:spacing w:after="0" w:line="131" w:lineRule="exact"/>
              <w:rPr>
                <w:sz w:val="20"/>
                <w:szCs w:val="20"/>
                <w:color w:val="auto"/>
              </w:rPr>
            </w:pPr>
            <w:r>
              <w:rPr>
                <w:rFonts w:ascii="Times New Roman" w:cs="Times New Roman" w:eastAsia="Times New Roman" w:hAnsi="Times New Roman"/>
                <w:sz w:val="14"/>
                <w:szCs w:val="14"/>
                <w:b w:val="1"/>
                <w:bCs w:val="1"/>
                <w:color w:val="auto"/>
              </w:rPr>
              <w:t>Investments at Fair</w:t>
            </w:r>
          </w:p>
        </w:tc>
        <w:tc>
          <w:tcPr>
            <w:tcW w:w="220" w:type="dxa"/>
            <w:vAlign w:val="bottom"/>
          </w:tcPr>
          <w:p>
            <w:pPr>
              <w:spacing w:after="0"/>
              <w:rPr>
                <w:sz w:val="11"/>
                <w:szCs w:val="11"/>
                <w:color w:val="auto"/>
              </w:rPr>
            </w:pPr>
          </w:p>
        </w:tc>
        <w:tc>
          <w:tcPr>
            <w:tcW w:w="17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Percentage of Net Assets</w:t>
            </w:r>
          </w:p>
        </w:tc>
        <w:tc>
          <w:tcPr>
            <w:tcW w:w="0" w:type="dxa"/>
            <w:vAlign w:val="bottom"/>
          </w:tcPr>
          <w:p>
            <w:pPr>
              <w:spacing w:after="0"/>
              <w:rPr>
                <w:sz w:val="1"/>
                <w:szCs w:val="1"/>
                <w:color w:val="auto"/>
              </w:rPr>
            </w:pPr>
          </w:p>
        </w:tc>
      </w:tr>
      <w:tr>
        <w:trPr>
          <w:trHeight w:val="187"/>
        </w:trPr>
        <w:tc>
          <w:tcPr>
            <w:tcW w:w="386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760" w:type="dxa"/>
            <w:vAlign w:val="bottom"/>
            <w:tcBorders>
              <w:bottom w:val="single" w:sz="8" w:color="auto"/>
            </w:tcBorders>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Application Software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241,760</w:t>
            </w:r>
          </w:p>
        </w:tc>
        <w:tc>
          <w:tcPr>
            <w:tcW w:w="15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47.65</w:t>
            </w:r>
          </w:p>
        </w:tc>
        <w:tc>
          <w:tcPr>
            <w:tcW w:w="3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200,645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36.67</w:t>
            </w:r>
          </w:p>
        </w:tc>
        <w:tc>
          <w:tcPr>
            <w:tcW w:w="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Healthcare Technology</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208,941</w:t>
            </w:r>
          </w:p>
        </w:tc>
        <w:tc>
          <w:tcPr>
            <w:tcW w:w="15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41.18</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182,200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33.30</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Internet Software and Services</w:t>
            </w: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158,858</w:t>
            </w:r>
          </w:p>
        </w:tc>
        <w:tc>
          <w:tcPr>
            <w:tcW w:w="15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31.31</w:t>
            </w:r>
          </w:p>
        </w:tc>
        <w:tc>
          <w:tcPr>
            <w:tcW w:w="3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98,462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System Software</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114,916</w:t>
            </w:r>
          </w:p>
        </w:tc>
        <w:tc>
          <w:tcPr>
            <w:tcW w:w="15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22.65</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113,517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Data Processing &amp; Outsourced Services</w:t>
            </w: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109,660</w:t>
            </w:r>
          </w:p>
        </w:tc>
        <w:tc>
          <w:tcPr>
            <w:tcW w:w="15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21.61</w:t>
            </w:r>
          </w:p>
        </w:tc>
        <w:tc>
          <w:tcPr>
            <w:tcW w:w="3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106,785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&amp; Casualty Insurance</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76,608</w:t>
            </w:r>
          </w:p>
        </w:tc>
        <w:tc>
          <w:tcPr>
            <w:tcW w:w="15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15.10</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75,205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Internet &amp; Direct Marketing Retail</w:t>
            </w: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53,200</w:t>
            </w:r>
          </w:p>
        </w:tc>
        <w:tc>
          <w:tcPr>
            <w:tcW w:w="15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10.48</w:t>
            </w:r>
          </w:p>
        </w:tc>
        <w:tc>
          <w:tcPr>
            <w:tcW w:w="3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55,588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Human Resource &amp; Employment Services</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38,849</w:t>
            </w:r>
          </w:p>
        </w:tc>
        <w:tc>
          <w:tcPr>
            <w:tcW w:w="15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7.66</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114,602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Electronic Equipment &amp; Instruments</w:t>
            </w: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33,222</w:t>
            </w:r>
          </w:p>
        </w:tc>
        <w:tc>
          <w:tcPr>
            <w:tcW w:w="15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6.55</w:t>
            </w:r>
          </w:p>
        </w:tc>
        <w:tc>
          <w:tcPr>
            <w:tcW w:w="3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27,535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Healthcare Equipment</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15,388</w:t>
            </w:r>
          </w:p>
        </w:tc>
        <w:tc>
          <w:tcPr>
            <w:tcW w:w="15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3.04</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15,524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Asset Management &amp; Custody Banks</w:t>
            </w: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8,195</w:t>
            </w:r>
          </w:p>
        </w:tc>
        <w:tc>
          <w:tcPr>
            <w:tcW w:w="15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1.62</w:t>
            </w:r>
          </w:p>
        </w:tc>
        <w:tc>
          <w:tcPr>
            <w:tcW w:w="3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8,021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Multi-Sector Holdings</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5,528</w:t>
            </w:r>
          </w:p>
        </w:tc>
        <w:tc>
          <w:tcPr>
            <w:tcW w:w="15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1.09</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Technology Hardware, Storage &amp; Peripherals</w:t>
            </w: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462</w:t>
            </w:r>
          </w:p>
        </w:tc>
        <w:tc>
          <w:tcPr>
            <w:tcW w:w="15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0.10</w:t>
            </w:r>
          </w:p>
        </w:tc>
        <w:tc>
          <w:tcPr>
            <w:tcW w:w="3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570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Specialized Consumer Services</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365</w:t>
            </w:r>
          </w:p>
        </w:tc>
        <w:tc>
          <w:tcPr>
            <w:tcW w:w="15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0.07</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Advertising</w:t>
            </w: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139</w:t>
            </w:r>
          </w:p>
        </w:tc>
        <w:tc>
          <w:tcPr>
            <w:tcW w:w="15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0.02</w:t>
            </w:r>
          </w:p>
        </w:tc>
        <w:tc>
          <w:tcPr>
            <w:tcW w:w="3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Biotechnology</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Education Services</w:t>
            </w: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25,796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4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1,066,100</w:t>
            </w:r>
          </w:p>
        </w:tc>
        <w:tc>
          <w:tcPr>
            <w:tcW w:w="12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210.13</w:t>
            </w:r>
          </w:p>
        </w:tc>
        <w:tc>
          <w:tcPr>
            <w:tcW w:w="3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1,025,010</w:t>
            </w:r>
          </w:p>
        </w:tc>
        <w:tc>
          <w:tcPr>
            <w:tcW w:w="22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187.36</w:t>
            </w:r>
          </w:p>
        </w:tc>
        <w:tc>
          <w:tcPr>
            <w:tcW w:w="3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760" w:right="20" w:hanging="374"/>
        <w:spacing w:after="0" w:line="212" w:lineRule="auto"/>
        <w:tabs>
          <w:tab w:leader="none" w:pos="7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Multi-Sector Holdings consists of the Company's investment in Runway-Cadma I LLC, a joint venture between the Company and Cadma. This entity invests in secured loans to growth-stage companies that have been originated by the Company. See “Note 2 – Summary of Significant Accounting Policies”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-206375</wp:posOffset>
            </wp:positionV>
            <wp:extent cx="456882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Warrants provide exposure and potential gains upon increases in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 The Company’s volume of warrant investment activity is closely correlated to its primary senior secured loans to portfolio companies. For the three and nine months ended September 30, 2024, the Company had no realized gains or losses on investments in warrants and a net unrealized gain of $0.9 million and $0.1 million, respectively, from its investments in warrants. For the three months ended September 30, 2023, the Company had no realized gains or losses from its investments in warrants. For the nine months ended September 30, 2023, the Company had a realized loss of $1.2 million from its investments in warrants. For the three and nine months ended September 30, 2023, the Company had a net unrealized loss of $0.5 million and a net unrealized loss of $3.1 million, respectively, from its investments in warrants. Realized gains and losses from warrants are included in the respective control, affiliate, or non-control/non-affiliate "Net realized gain (loss) on investments" on the Consolidated Statements of Operations. Unrealized gains and losses from investments in warrants is included in the respective control, affiliate, or non-control/non-affiliate "Net change in unrealized gain (loss) on investments" on the Consolidated Statements of Operations.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Counterparty risk exists from the potential failure of an issuer of warrants to settle its exercised warrants. The maximum risk of loss from counterparty risk is the fair value of the contracts and the purchase price of the warrants. The Board of Directors considers the effects of counterparty risk when determining the fair value of its investments in warrants.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of Financial Instruments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assets recorded at fair value have been categorized based upon a fair value hierarchy in accordance with ASC Topic 820. Refer to "Note 2  –  Summary of Significant Accounting Policies" for a discussion of the Company’s policies.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Investments measured at fair value on a recurring basis are categorized in the tables below based upon the lowest level of significant input to the valuations as of September 30, 2024 and December 31, 2023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6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Measured at Net Asset</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28"/>
              <w:spacing w:after="0" w:line="189"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9"/>
                <w:szCs w:val="19"/>
                <w:b w:val="1"/>
                <w:bCs w:val="1"/>
                <w:color w:val="auto"/>
                <w:vertAlign w:val="superscript"/>
              </w:rPr>
              <w:t>(1)</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40" w:type="dxa"/>
            <w:vAlign w:val="bottom"/>
            <w:vMerge w:val="continue"/>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Senior Secured Term Loans</w:t>
            </w:r>
          </w:p>
        </w:tc>
        <w:tc>
          <w:tcPr>
            <w:tcW w:w="1080" w:type="dxa"/>
            <w:vAlign w:val="bottom"/>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989,385</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989,385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Second Lien Term Loans</w:t>
            </w:r>
          </w:p>
        </w:tc>
        <w:tc>
          <w:tcPr>
            <w:tcW w:w="10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14,501</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Convertible Note</w:t>
            </w:r>
          </w:p>
        </w:tc>
        <w:tc>
          <w:tcPr>
            <w:tcW w:w="108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10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5,526</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32,672</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108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Interest</w:t>
            </w:r>
          </w:p>
        </w:tc>
        <w:tc>
          <w:tcPr>
            <w:tcW w:w="10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5,528</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108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16,334</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16,736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1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5,961</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1,054,209</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5,528</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108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3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Borders>
              <w:bottom w:val="single" w:sz="8" w:color="auto"/>
            </w:tcBorders>
          </w:tcPr>
          <w:p>
            <w:pPr>
              <w:jc w:val="right"/>
              <w:ind w:right="9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8,971</w:t>
            </w:r>
          </w:p>
        </w:tc>
        <w:tc>
          <w:tcPr>
            <w:tcW w:w="300" w:type="dxa"/>
            <w:vAlign w:val="bottom"/>
          </w:tcPr>
          <w:p>
            <w:pPr>
              <w:spacing w:after="0"/>
              <w:rPr>
                <w:sz w:val="14"/>
                <w:szCs w:val="14"/>
                <w:color w:val="auto"/>
              </w:rPr>
            </w:pPr>
          </w:p>
        </w:tc>
        <w:tc>
          <w:tcPr>
            <w:tcW w:w="1000" w:type="dxa"/>
            <w:vAlign w:val="bottom"/>
            <w:tcBorders>
              <w:bottom w:val="single" w:sz="8" w:color="auto"/>
            </w:tcBorders>
          </w:tcPr>
          <w:p>
            <w:pPr>
              <w:jc w:val="right"/>
              <w:ind w:right="8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402</w:t>
            </w:r>
          </w:p>
        </w:tc>
        <w:tc>
          <w:tcPr>
            <w:tcW w:w="260" w:type="dxa"/>
            <w:vAlign w:val="bottom"/>
          </w:tcPr>
          <w:p>
            <w:pPr>
              <w:spacing w:after="0"/>
              <w:rPr>
                <w:sz w:val="14"/>
                <w:szCs w:val="14"/>
                <w:color w:val="auto"/>
              </w:rPr>
            </w:pPr>
          </w:p>
        </w:tc>
        <w:tc>
          <w:tcPr>
            <w:tcW w:w="30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1,054,209</w:t>
            </w:r>
          </w:p>
        </w:tc>
        <w:tc>
          <w:tcPr>
            <w:tcW w:w="260" w:type="dxa"/>
            <w:vAlign w:val="bottom"/>
          </w:tcPr>
          <w:p>
            <w:pPr>
              <w:spacing w:after="0"/>
              <w:rPr>
                <w:sz w:val="14"/>
                <w:szCs w:val="14"/>
                <w:color w:val="auto"/>
              </w:rPr>
            </w:pPr>
          </w:p>
        </w:tc>
        <w:tc>
          <w:tcPr>
            <w:tcW w:w="300" w:type="dxa"/>
            <w:vAlign w:val="bottom"/>
            <w:tcBorders>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5,528</w:t>
            </w:r>
          </w:p>
        </w:tc>
        <w:tc>
          <w:tcPr>
            <w:tcW w:w="260" w:type="dxa"/>
            <w:vAlign w:val="bottom"/>
          </w:tcPr>
          <w:p>
            <w:pPr>
              <w:spacing w:after="0"/>
              <w:rPr>
                <w:sz w:val="14"/>
                <w:szCs w:val="14"/>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1,069,110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6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Measured at Net Asset</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28"/>
              <w:spacing w:after="0" w:line="189"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9"/>
                <w:szCs w:val="19"/>
                <w:b w:val="1"/>
                <w:bCs w:val="1"/>
                <w:color w:val="auto"/>
                <w:vertAlign w:val="superscript"/>
              </w:rPr>
              <w:t>(1)</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40" w:type="dxa"/>
            <w:vAlign w:val="bottom"/>
            <w:vMerge w:val="continue"/>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Senior Secured Term Loans</w:t>
            </w:r>
          </w:p>
        </w:tc>
        <w:tc>
          <w:tcPr>
            <w:tcW w:w="1080" w:type="dxa"/>
            <w:vAlign w:val="bottom"/>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964,099</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964,099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Second Lien Term Loans</w:t>
            </w:r>
          </w:p>
        </w:tc>
        <w:tc>
          <w:tcPr>
            <w:tcW w:w="10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14,399</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Convertible Note</w:t>
            </w:r>
          </w:p>
        </w:tc>
        <w:tc>
          <w:tcPr>
            <w:tcW w:w="108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10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3,553</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26,285</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108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Interest</w:t>
            </w:r>
          </w:p>
        </w:tc>
        <w:tc>
          <w:tcPr>
            <w:tcW w:w="10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108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12,838</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12,947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1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4,101</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1,020,800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Treasury Bill</w:t>
            </w:r>
          </w:p>
        </w:tc>
        <w:tc>
          <w:tcPr>
            <w:tcW w:w="108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41,999</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41,999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Pr>
          <w:p>
            <w:pPr>
              <w:jc w:val="right"/>
              <w:ind w:right="9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4,101</w:t>
            </w:r>
          </w:p>
        </w:tc>
        <w:tc>
          <w:tcPr>
            <w:tcW w:w="1300" w:type="dxa"/>
            <w:vAlign w:val="bottom"/>
            <w:gridSpan w:val="2"/>
          </w:tcPr>
          <w:p>
            <w:pPr>
              <w:jc w:val="right"/>
              <w:ind w:right="8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42,108</w:t>
            </w:r>
          </w:p>
        </w:tc>
        <w:tc>
          <w:tcPr>
            <w:tcW w:w="560" w:type="dxa"/>
            <w:vAlign w:val="bottom"/>
            <w:gridSpan w:val="2"/>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1,020,800</w:t>
            </w:r>
          </w:p>
        </w:tc>
        <w:tc>
          <w:tcPr>
            <w:tcW w:w="260" w:type="dxa"/>
            <w:vAlign w:val="bottom"/>
          </w:tcPr>
          <w:p>
            <w:pPr>
              <w:spacing w:after="0"/>
              <w:rPr>
                <w:sz w:val="14"/>
                <w:szCs w:val="14"/>
                <w:color w:val="auto"/>
              </w:rPr>
            </w:pPr>
          </w:p>
        </w:tc>
        <w:tc>
          <w:tcPr>
            <w:tcW w:w="3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1,067,009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-2073910</wp:posOffset>
            </wp:positionV>
            <wp:extent cx="7683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-2073910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-2073910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-2073910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-1842135</wp:posOffset>
            </wp:positionV>
            <wp:extent cx="7683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-1842135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-1842135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-1842135</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-376555</wp:posOffset>
            </wp:positionV>
            <wp:extent cx="768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-376555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-376555</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-376555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-144780</wp:posOffset>
            </wp:positionV>
            <wp:extent cx="768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-144780</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-144780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-144780</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760" w:hanging="374"/>
        <w:spacing w:after="0" w:line="184" w:lineRule="auto"/>
        <w:tabs>
          <w:tab w:leader="none" w:pos="76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In accordance with ASC 820, the Company's equity investment in Runway-Cadma I LLC is measured using the net asset value as a practical expedient for fair value, and thus has not been classified in the fair value hierarchy.</w:t>
      </w:r>
    </w:p>
    <w:p>
      <w:pPr>
        <w:spacing w:after="0" w:line="18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transfers investments in and out of Levels 1, 2 and 3 as of the beginning balance sheet date, based on changes in the use of observable and unobservable inputs utilized to perform the valuation for the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Level 3 assets measured at fair value as of September 30, 2024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Senior</w:t>
            </w:r>
          </w:p>
        </w:tc>
        <w:tc>
          <w:tcPr>
            <w:tcW w:w="100" w:type="dxa"/>
            <w:vAlign w:val="bottom"/>
          </w:tcPr>
          <w:p>
            <w:pPr>
              <w:spacing w:after="0"/>
              <w:rPr>
                <w:sz w:val="13"/>
                <w:szCs w:val="13"/>
                <w:color w:val="auto"/>
              </w:rPr>
            </w:pP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Second Lien</w:t>
            </w:r>
          </w:p>
        </w:tc>
        <w:tc>
          <w:tcPr>
            <w:tcW w:w="12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Convertib</w:t>
            </w:r>
          </w:p>
        </w:tc>
        <w:tc>
          <w:tcPr>
            <w:tcW w:w="140" w:type="dxa"/>
            <w:vAlign w:val="bottom"/>
          </w:tcPr>
          <w:p>
            <w:pPr>
              <w:spacing w:after="0"/>
              <w:rPr>
                <w:sz w:val="13"/>
                <w:szCs w:val="13"/>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7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Secured</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le Notes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Fair value at December 31, 2023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964,099</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14,399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26,285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12,838</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1,020,800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Transfers in (out) of Level 3</w:t>
            </w: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(51 )</w:t>
            </w:r>
          </w:p>
        </w:tc>
        <w:tc>
          <w:tcPr>
            <w:tcW w:w="20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(51 )</w:t>
            </w:r>
          </w:p>
        </w:tc>
        <w:tc>
          <w:tcPr>
            <w:tcW w:w="0" w:type="dxa"/>
            <w:vAlign w:val="bottom"/>
          </w:tcPr>
          <w:p>
            <w:pPr>
              <w:spacing w:after="0"/>
              <w:rPr>
                <w:sz w:val="1"/>
                <w:szCs w:val="1"/>
                <w:color w:val="auto"/>
              </w:rPr>
            </w:pPr>
          </w:p>
        </w:tc>
      </w:tr>
      <w:tr>
        <w:trPr>
          <w:trHeight w:val="175"/>
        </w:trPr>
        <w:tc>
          <w:tcPr>
            <w:tcW w:w="246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Purchases of investments</w:t>
            </w:r>
            <w:r>
              <w:rPr>
                <w:rFonts w:ascii="Times New Roman" w:cs="Times New Roman" w:eastAsia="Times New Roman" w:hAnsi="Times New Roman"/>
                <w:sz w:val="19"/>
                <w:szCs w:val="19"/>
                <w:color w:val="auto"/>
                <w:vertAlign w:val="superscript"/>
              </w:rPr>
              <w:t>(1)</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164,321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3,429</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168,089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PIK interest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Sales or prepayments of investments</w:t>
            </w:r>
            <w:r>
              <w:rPr>
                <w:rFonts w:ascii="Times New Roman" w:cs="Times New Roman" w:eastAsia="Times New Roman" w:hAnsi="Times New Roman"/>
                <w:sz w:val="19"/>
                <w:szCs w:val="19"/>
                <w:color w:val="auto"/>
                <w:vertAlign w:val="superscript"/>
              </w:rPr>
              <w:t>(1)</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(144,575 )</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(86 )</w:t>
            </w:r>
          </w:p>
        </w:tc>
        <w:tc>
          <w:tcPr>
            <w:tcW w:w="2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(144,661 )</w:t>
            </w:r>
          </w:p>
        </w:tc>
        <w:tc>
          <w:tcPr>
            <w:tcW w:w="0" w:type="dxa"/>
            <w:vAlign w:val="bottom"/>
          </w:tcPr>
          <w:p>
            <w:pPr>
              <w:spacing w:after="0"/>
              <w:rPr>
                <w:sz w:val="1"/>
                <w:szCs w:val="1"/>
                <w:color w:val="auto"/>
              </w:rPr>
            </w:pPr>
          </w:p>
        </w:tc>
      </w:tr>
      <w:tr>
        <w:trPr>
          <w:trHeight w:val="139"/>
        </w:trPr>
        <w:tc>
          <w:tcPr>
            <w:tcW w:w="24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Scheduled principal repayments of</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(2,380 )</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(2,380 )</w:t>
            </w:r>
          </w:p>
        </w:tc>
        <w:tc>
          <w:tcPr>
            <w:tcW w:w="0" w:type="dxa"/>
            <w:vAlign w:val="bottom"/>
          </w:tcPr>
          <w:p>
            <w:pPr>
              <w:spacing w:after="0"/>
              <w:rPr>
                <w:sz w:val="1"/>
                <w:szCs w:val="1"/>
                <w:color w:val="auto"/>
              </w:rPr>
            </w:pPr>
          </w:p>
        </w:tc>
      </w:tr>
      <w:tr>
        <w:trPr>
          <w:trHeight w:val="18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Amortization of fixed income premiums</w:t>
            </w:r>
          </w:p>
        </w:tc>
        <w:tc>
          <w:tcPr>
            <w:tcW w:w="1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8,184</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or accretion of discounts and ETP</w:t>
            </w:r>
          </w:p>
        </w:tc>
        <w:tc>
          <w:tcPr>
            <w:tcW w:w="10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w:t>
            </w: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change in unrealized gain (loss)</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(9,628 )</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(210 )</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(1,696 )</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6,387</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(753 )</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(5,448 )</w:t>
            </w:r>
          </w:p>
        </w:tc>
        <w:tc>
          <w:tcPr>
            <w:tcW w:w="0" w:type="dxa"/>
            <w:vAlign w:val="bottom"/>
          </w:tcPr>
          <w:p>
            <w:pPr>
              <w:spacing w:after="0"/>
              <w:rPr>
                <w:sz w:val="1"/>
                <w:szCs w:val="1"/>
                <w:color w:val="auto"/>
              </w:rPr>
            </w:pPr>
          </w:p>
        </w:tc>
      </w:tr>
      <w:tr>
        <w:trPr>
          <w:trHeight w:val="169"/>
        </w:trPr>
        <w:tc>
          <w:tcPr>
            <w:tcW w:w="2460" w:type="dxa"/>
            <w:vAlign w:val="bottom"/>
            <w:tcBorders>
              <w:top w:val="single" w:sz="8" w:color="CFF0FC"/>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Fair value at September 30, 2024</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989,385</w:t>
            </w:r>
          </w:p>
        </w:tc>
        <w:tc>
          <w:tcPr>
            <w:tcW w:w="26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14,501</w:t>
            </w: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32,672</w:t>
            </w:r>
          </w:p>
        </w:tc>
        <w:tc>
          <w:tcPr>
            <w:tcW w:w="22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119</w:t>
            </w:r>
          </w:p>
        </w:tc>
        <w:tc>
          <w:tcPr>
            <w:tcW w:w="20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1,198</w:t>
            </w:r>
          </w:p>
        </w:tc>
        <w:tc>
          <w:tcPr>
            <w:tcW w:w="22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16,334</w:t>
            </w:r>
          </w:p>
        </w:tc>
        <w:tc>
          <w:tcPr>
            <w:tcW w:w="22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1,054,209</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46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Net change in unrealized gain (loss) on</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Level 3 investments still held as of</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(9,007 )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(210 )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(1,696 )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6,387</w:t>
            </w:r>
          </w:p>
        </w:tc>
        <w:tc>
          <w:tcPr>
            <w:tcW w:w="3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(753 )</w:t>
            </w:r>
          </w:p>
        </w:tc>
        <w:tc>
          <w:tcPr>
            <w:tcW w:w="1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3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220" w:type="dxa"/>
            <w:vAlign w:val="bottom"/>
            <w:shd w:val="clear" w:color="auto" w:fill="CFF0FC"/>
          </w:tcPr>
          <w:p>
            <w:pPr>
              <w:spacing w:after="0"/>
              <w:rPr>
                <w:sz w:val="12"/>
                <w:szCs w:val="12"/>
                <w:color w:val="auto"/>
              </w:rPr>
            </w:pPr>
          </w:p>
        </w:tc>
        <w:tc>
          <w:tcPr>
            <w:tcW w:w="2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(4,828 )</w:t>
            </w:r>
          </w:p>
        </w:tc>
        <w:tc>
          <w:tcPr>
            <w:tcW w:w="0" w:type="dxa"/>
            <w:vAlign w:val="bottom"/>
          </w:tcPr>
          <w:p>
            <w:pPr>
              <w:spacing w:after="0"/>
              <w:rPr>
                <w:sz w:val="1"/>
                <w:szCs w:val="1"/>
                <w:color w:val="auto"/>
              </w:rPr>
            </w:pPr>
          </w:p>
        </w:tc>
      </w:tr>
      <w:tr>
        <w:trPr>
          <w:trHeight w:val="164"/>
        </w:trPr>
        <w:tc>
          <w:tcPr>
            <w:tcW w:w="246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4"/>
                <w:szCs w:val="14"/>
                <w:color w:val="auto"/>
              </w:rPr>
              <w:t>September 30, 2024</w:t>
            </w:r>
          </w:p>
        </w:tc>
        <w:tc>
          <w:tcPr>
            <w:tcW w:w="100" w:type="dxa"/>
            <w:vAlign w:val="bottom"/>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360" w:type="dxa"/>
            <w:vAlign w:val="bottom"/>
            <w:gridSpan w:val="2"/>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360" w:type="dxa"/>
            <w:vAlign w:val="bottom"/>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-445135</wp:posOffset>
            </wp:positionV>
            <wp:extent cx="7683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-445135</wp:posOffset>
            </wp:positionV>
            <wp:extent cx="7683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-445135</wp:posOffset>
            </wp:positionV>
            <wp:extent cx="6858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-445135</wp:posOffset>
            </wp:positionV>
            <wp:extent cx="6858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-445135</wp:posOffset>
            </wp:positionV>
            <wp:extent cx="6858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-445135</wp:posOffset>
            </wp:positionV>
            <wp:extent cx="6858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-445135</wp:posOffset>
            </wp:positionV>
            <wp:extent cx="685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-25400</wp:posOffset>
            </wp:positionV>
            <wp:extent cx="7683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-7620</wp:posOffset>
            </wp:positionV>
            <wp:extent cx="768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-25400</wp:posOffset>
            </wp:positionV>
            <wp:extent cx="7683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-7620</wp:posOffset>
            </wp:positionV>
            <wp:extent cx="7683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-25400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-25400</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-25400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-25400</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800" w:hanging="414"/>
        <w:spacing w:after="0" w:line="186" w:lineRule="auto"/>
        <w:tabs>
          <w:tab w:leader="none" w:pos="8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Net of reorganization and restructuring of investments.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Level 3 assets measured at fair value as of September 30, 2023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Senior Secured</w:t>
            </w:r>
          </w:p>
        </w:tc>
        <w:tc>
          <w:tcPr>
            <w:tcW w:w="160" w:type="dxa"/>
            <w:vAlign w:val="bottom"/>
          </w:tcPr>
          <w:p>
            <w:pPr>
              <w:spacing w:after="0"/>
              <w:rPr>
                <w:sz w:val="13"/>
                <w:szCs w:val="13"/>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Second Lien</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00" w:type="dxa"/>
            <w:vAlign w:val="bottom"/>
          </w:tcPr>
          <w:p>
            <w:pPr>
              <w:spacing w:after="0"/>
              <w:rPr>
                <w:sz w:val="13"/>
                <w:szCs w:val="13"/>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3"/>
                <w:szCs w:val="13"/>
                <w:color w:val="auto"/>
              </w:rPr>
            </w:pPr>
          </w:p>
        </w:tc>
        <w:tc>
          <w:tcPr>
            <w:tcW w:w="11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40" w:type="dxa"/>
            <w:vAlign w:val="bottom"/>
          </w:tcPr>
          <w:p>
            <w:pPr>
              <w:spacing w:after="0"/>
              <w:rPr>
                <w:sz w:val="13"/>
                <w:szCs w:val="13"/>
                <w:color w:val="auto"/>
              </w:rPr>
            </w:pPr>
          </w:p>
        </w:tc>
        <w:tc>
          <w:tcPr>
            <w:tcW w:w="10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6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6"/>
                <w:szCs w:val="16"/>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at December 31, 2022</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1,080,121</w:t>
            </w:r>
          </w:p>
        </w:tc>
        <w:tc>
          <w:tcPr>
            <w:tcW w:w="240" w:type="dxa"/>
            <w:vAlign w:val="bottom"/>
          </w:tcPr>
          <w:p>
            <w:pPr>
              <w:spacing w:after="0"/>
              <w:rPr>
                <w:sz w:val="14"/>
                <w:szCs w:val="14"/>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13,654</w:t>
            </w:r>
          </w:p>
        </w:tc>
        <w:tc>
          <w:tcPr>
            <w:tcW w:w="240" w:type="dxa"/>
            <w:vAlign w:val="bottom"/>
          </w:tcPr>
          <w:p>
            <w:pPr>
              <w:spacing w:after="0"/>
              <w:rPr>
                <w:sz w:val="14"/>
                <w:szCs w:val="14"/>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220" w:type="dxa"/>
            <w:vAlign w:val="bottom"/>
          </w:tcPr>
          <w:p>
            <w:pPr>
              <w:spacing w:after="0"/>
              <w:rPr>
                <w:sz w:val="14"/>
                <w:szCs w:val="14"/>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220" w:type="dxa"/>
            <w:vAlign w:val="bottom"/>
          </w:tcPr>
          <w:p>
            <w:pPr>
              <w:spacing w:after="0"/>
              <w:rPr>
                <w:sz w:val="14"/>
                <w:szCs w:val="14"/>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16,650</w:t>
            </w:r>
          </w:p>
        </w:tc>
        <w:tc>
          <w:tcPr>
            <w:tcW w:w="220" w:type="dxa"/>
            <w:vAlign w:val="bottom"/>
          </w:tcPr>
          <w:p>
            <w:pPr>
              <w:spacing w:after="0"/>
              <w:rPr>
                <w:sz w:val="14"/>
                <w:szCs w:val="14"/>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1,111,946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Transfers in (out) of Level 3</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(891 )</w:t>
            </w: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(891 )</w:t>
            </w: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Purchases of investments</w:t>
            </w:r>
            <w:r>
              <w:rPr>
                <w:rFonts w:ascii="Times New Roman" w:cs="Times New Roman" w:eastAsia="Times New Roman" w:hAnsi="Times New Roman"/>
                <w:sz w:val="19"/>
                <w:szCs w:val="19"/>
                <w:color w:val="auto"/>
                <w:vertAlign w:val="superscript"/>
              </w:rPr>
              <w:t>(1)</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78,611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PIK interest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14,895</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or prepayments of investments</w:t>
            </w:r>
          </w:p>
        </w:tc>
        <w:tc>
          <w:tcPr>
            <w:tcW w:w="12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(225,671 )</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(225,671 )</w:t>
            </w:r>
          </w:p>
        </w:tc>
        <w:tc>
          <w:tcPr>
            <w:tcW w:w="0" w:type="dxa"/>
            <w:vAlign w:val="bottom"/>
          </w:tcPr>
          <w:p>
            <w:pPr>
              <w:spacing w:after="0"/>
              <w:rPr>
                <w:sz w:val="1"/>
                <w:szCs w:val="1"/>
                <w:color w:val="auto"/>
              </w:rPr>
            </w:pPr>
          </w:p>
        </w:tc>
      </w:tr>
      <w:tr>
        <w:trPr>
          <w:trHeight w:val="175"/>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Scheduled repayments of investments</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(7,046 )</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(7,046 )</w:t>
            </w:r>
          </w:p>
        </w:tc>
        <w:tc>
          <w:tcPr>
            <w:tcW w:w="0" w:type="dxa"/>
            <w:vAlign w:val="bottom"/>
          </w:tcPr>
          <w:p>
            <w:pPr>
              <w:spacing w:after="0"/>
              <w:rPr>
                <w:sz w:val="1"/>
                <w:szCs w:val="1"/>
                <w:color w:val="auto"/>
              </w:rPr>
            </w:pPr>
          </w:p>
        </w:tc>
      </w:tr>
      <w:tr>
        <w:trPr>
          <w:trHeight w:val="139"/>
        </w:trPr>
        <w:tc>
          <w:tcPr>
            <w:tcW w:w="30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Amortization of fixed income premiums or</w:t>
            </w: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7,221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of discounts and ETP</w:t>
            </w: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realized gain (loss)</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(1,178 )</w:t>
            </w: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(1,178 )</w:t>
            </w: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gain (loss)</w:t>
            </w:r>
          </w:p>
        </w:tc>
        <w:tc>
          <w:tcPr>
            <w:tcW w:w="12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(616 )</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(3,308 )</w:t>
            </w:r>
          </w:p>
        </w:tc>
        <w:tc>
          <w:tcPr>
            <w:tcW w:w="2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(288 )</w:t>
            </w:r>
          </w:p>
        </w:tc>
        <w:tc>
          <w:tcPr>
            <w:tcW w:w="2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(2,271 )</w:t>
            </w:r>
          </w:p>
        </w:tc>
        <w:tc>
          <w:tcPr>
            <w:tcW w:w="24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(6,483 )</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Fair Value at September 30, 2023</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947,515</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14,178</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22,039</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886</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13,816</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998,434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Net change in unrealized gain (loss) on Level 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(1,207 )</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(3,308 )</w:t>
            </w: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(286 )</w:t>
            </w: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(3,565 )</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(8,366 )</w:t>
            </w:r>
          </w:p>
        </w:tc>
        <w:tc>
          <w:tcPr>
            <w:tcW w:w="0" w:type="dxa"/>
            <w:vAlign w:val="bottom"/>
          </w:tcPr>
          <w:p>
            <w:pPr>
              <w:spacing w:after="0"/>
              <w:rPr>
                <w:sz w:val="1"/>
                <w:szCs w:val="1"/>
                <w:color w:val="auto"/>
              </w:rPr>
            </w:pPr>
          </w:p>
        </w:tc>
      </w:tr>
      <w:tr>
        <w:trPr>
          <w:trHeight w:val="144"/>
        </w:trPr>
        <w:tc>
          <w:tcPr>
            <w:tcW w:w="306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color w:val="auto"/>
              </w:rPr>
              <w:t>investments still held as of September 30, 2023</w:t>
            </w:r>
          </w:p>
        </w:tc>
        <w:tc>
          <w:tcPr>
            <w:tcW w:w="120" w:type="dxa"/>
            <w:vAlign w:val="bottom"/>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-231140</wp:posOffset>
            </wp:positionV>
            <wp:extent cx="7683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-213995</wp:posOffset>
            </wp:positionV>
            <wp:extent cx="7683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-231140</wp:posOffset>
            </wp:positionV>
            <wp:extent cx="7747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-213995</wp:posOffset>
            </wp:positionV>
            <wp:extent cx="7747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-231140</wp:posOffset>
            </wp:positionV>
            <wp:extent cx="6858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-213995</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-231140</wp:posOffset>
            </wp:positionV>
            <wp:extent cx="6858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-213995</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-231140</wp:posOffset>
            </wp:positionV>
            <wp:extent cx="685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-213995</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800" w:hanging="414"/>
        <w:spacing w:after="0" w:line="186" w:lineRule="auto"/>
        <w:tabs>
          <w:tab w:leader="none" w:pos="80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Net of reorganization and restructuring of investments.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as of September 30, 2024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60" w:type="dxa"/>
            <w:vAlign w:val="bottom"/>
          </w:tcPr>
          <w:p>
            <w:pPr>
              <w:spacing w:after="0"/>
              <w:rPr>
                <w:sz w:val="16"/>
                <w:szCs w:val="16"/>
                <w:color w:val="auto"/>
              </w:rPr>
            </w:pPr>
          </w:p>
        </w:tc>
        <w:tc>
          <w:tcPr>
            <w:tcW w:w="20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214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r>
      <w:tr>
        <w:trPr>
          <w:trHeight w:val="169"/>
        </w:trPr>
        <w:tc>
          <w:tcPr>
            <w:tcW w:w="252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4"/>
                <w:szCs w:val="14"/>
                <w:color w:val="auto"/>
              </w:rPr>
              <w:t>Senior Secured Term Loans</w:t>
            </w:r>
            <w:r>
              <w:rPr>
                <w:rFonts w:ascii="Times New Roman" w:cs="Times New Roman" w:eastAsia="Times New Roman" w:hAnsi="Times New Roman"/>
                <w:sz w:val="19"/>
                <w:szCs w:val="19"/>
                <w:color w:val="auto"/>
                <w:vertAlign w:val="superscript"/>
              </w:rPr>
              <w:t>(1)</w:t>
            </w:r>
          </w:p>
        </w:tc>
        <w:tc>
          <w:tcPr>
            <w:tcW w:w="5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929,417</w:t>
            </w:r>
          </w:p>
        </w:tc>
        <w:tc>
          <w:tcPr>
            <w:tcW w:w="260" w:type="dxa"/>
            <w:vAlign w:val="bottom"/>
            <w:shd w:val="clear" w:color="auto" w:fill="CFF0FC"/>
          </w:tcPr>
          <w:p>
            <w:pPr>
              <w:spacing w:after="0"/>
              <w:rPr>
                <w:sz w:val="14"/>
                <w:szCs w:val="14"/>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Discounted Cash Flow analysis</w:t>
            </w:r>
          </w:p>
        </w:tc>
        <w:tc>
          <w:tcPr>
            <w:tcW w:w="160" w:type="dxa"/>
            <w:vAlign w:val="bottom"/>
            <w:shd w:val="clear" w:color="auto" w:fill="CFF0FC"/>
          </w:tcPr>
          <w:p>
            <w:pPr>
              <w:spacing w:after="0"/>
              <w:rPr>
                <w:sz w:val="14"/>
                <w:szCs w:val="14"/>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9.9% - 24.1% (15.3%)</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Origination yield</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10.8% - 19.9% (13.6%)</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0.35x - 8.77x (3.47x)</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59,968</w:t>
            </w:r>
          </w:p>
        </w:tc>
        <w:tc>
          <w:tcPr>
            <w:tcW w:w="2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PWERM</w:t>
            </w: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33.8% - 41.1% (15.2%)</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Origination yield</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10.8% - 29.7% (17.4%)</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1.27x - 2.08x (1.36x)</w:t>
            </w:r>
          </w:p>
        </w:tc>
      </w:tr>
      <w:tr>
        <w:trPr>
          <w:trHeight w:val="175"/>
        </w:trPr>
        <w:tc>
          <w:tcPr>
            <w:tcW w:w="25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Second Lien Term Loans</w:t>
            </w:r>
            <w:r>
              <w:rPr>
                <w:rFonts w:ascii="Times New Roman" w:cs="Times New Roman" w:eastAsia="Times New Roman" w:hAnsi="Times New Roman"/>
                <w:sz w:val="19"/>
                <w:szCs w:val="19"/>
                <w:color w:val="auto"/>
                <w:vertAlign w:val="superscript"/>
              </w:rPr>
              <w:t>(1)</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14,501</w:t>
            </w: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Discounted Cash Flow analysis</w:t>
            </w: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16.7% - 16.7% (16.7%)</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Origination yield</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13.1% - 13.1% (13.1%)</w:t>
            </w:r>
          </w:p>
        </w:tc>
      </w:tr>
      <w:tr>
        <w:trPr>
          <w:trHeight w:val="176"/>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3.01x - 3.01x (3.01x)</w:t>
            </w:r>
          </w:p>
        </w:tc>
      </w:tr>
      <w:tr>
        <w:trPr>
          <w:trHeight w:val="175"/>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32,672</w:t>
            </w: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Option Pricing Model</w:t>
            </w: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Risk-free interest rate</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3.5% - 4.0% (4.0%)</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Average industry volatility</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40.0% - 55.0% (40.2%)</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Estimated time to exit</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1.7 - 3.7 (1.8 years)</w:t>
            </w:r>
          </w:p>
        </w:tc>
      </w:tr>
      <w:tr>
        <w:trPr>
          <w:trHeight w:val="166"/>
        </w:trPr>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2.88x - 5.57x (5.55x)</w:t>
            </w:r>
          </w:p>
        </w:tc>
      </w:tr>
      <w:tr>
        <w:trPr>
          <w:trHeight w:val="185"/>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6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 Pricing Model</w:t>
            </w:r>
          </w:p>
        </w:tc>
        <w:tc>
          <w:tcPr>
            <w:tcW w:w="16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Risk-free interest rate</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3.5% - 4.4% (4.3%)</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Average industry volatility</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30.0% - 50.0% (32.4%)</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Estimated time to exit</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1.0 - 3.0 (1.2 years)</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3.00x - 3.00x (3.00x)</w:t>
            </w:r>
          </w:p>
        </w:tc>
      </w:tr>
      <w:tr>
        <w:trPr>
          <w:trHeight w:val="176"/>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Interest</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2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PWERM</w:t>
            </w: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N/A</w:t>
            </w:r>
          </w:p>
        </w:tc>
      </w:tr>
      <w:tr>
        <w:trPr>
          <w:trHeight w:val="176"/>
        </w:trPr>
        <w:tc>
          <w:tcPr>
            <w:tcW w:w="25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Warrants</w:t>
            </w:r>
            <w:r>
              <w:rPr>
                <w:rFonts w:ascii="Times New Roman" w:cs="Times New Roman" w:eastAsia="Times New Roman" w:hAnsi="Times New Roman"/>
                <w:sz w:val="19"/>
                <w:szCs w:val="19"/>
                <w:color w:val="auto"/>
                <w:vertAlign w:val="superscript"/>
              </w:rPr>
              <w:t>(2)</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10,540</w:t>
            </w: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Option Pricing Model</w:t>
            </w: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Risk-free interest rate</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3.4% - 4.4% (3.9%)</w:t>
            </w:r>
          </w:p>
        </w:tc>
      </w:tr>
      <w:tr>
        <w:trPr>
          <w:trHeight w:val="175"/>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Average industry volatility</w:t>
            </w:r>
          </w:p>
        </w:tc>
        <w:tc>
          <w:tcPr>
            <w:tcW w:w="21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25.0% - 125.0% (58.1%)</w:t>
            </w:r>
          </w:p>
        </w:tc>
      </w:tr>
      <w:tr>
        <w:trPr>
          <w:trHeight w:val="176"/>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Estimated time to exit</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1.0 - 4.8 (2.7 years)</w:t>
            </w:r>
          </w:p>
        </w:tc>
      </w:tr>
      <w:tr>
        <w:trPr>
          <w:trHeight w:val="175"/>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1.27x - 8.77x (3.61x)</w:t>
            </w:r>
          </w:p>
        </w:tc>
      </w:tr>
      <w:tr>
        <w:trPr>
          <w:trHeight w:val="176"/>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line="175" w:lineRule="exact"/>
              <w:rPr>
                <w:sz w:val="20"/>
                <w:szCs w:val="20"/>
                <w:color w:val="auto"/>
              </w:rPr>
            </w:pPr>
            <w:r>
              <w:rPr>
                <w:rFonts w:ascii="Times New Roman" w:cs="Times New Roman" w:eastAsia="Times New Roman" w:hAnsi="Times New Roman"/>
                <w:sz w:val="14"/>
                <w:szCs w:val="14"/>
                <w:color w:val="auto"/>
                <w:w w:val="97"/>
              </w:rPr>
              <w:t xml:space="preserve">PWERM </w:t>
            </w:r>
            <w:r>
              <w:rPr>
                <w:rFonts w:ascii="Times New Roman" w:cs="Times New Roman" w:eastAsia="Times New Roman" w:hAnsi="Times New Roman"/>
                <w:sz w:val="19"/>
                <w:szCs w:val="19"/>
                <w:color w:val="auto"/>
                <w:w w:val="97"/>
                <w:vertAlign w:val="superscript"/>
              </w:rPr>
              <w:t>(3)</w:t>
            </w: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N/A</w:t>
            </w:r>
          </w:p>
        </w:tc>
      </w:tr>
      <w:tr>
        <w:trPr>
          <w:trHeight w:val="139"/>
        </w:trPr>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1,949</w:t>
            </w:r>
          </w:p>
        </w:tc>
        <w:tc>
          <w:tcPr>
            <w:tcW w:w="260" w:type="dxa"/>
            <w:vAlign w:val="bottom"/>
          </w:tcPr>
          <w:p>
            <w:pPr>
              <w:spacing w:after="0"/>
              <w:rPr>
                <w:sz w:val="12"/>
                <w:szCs w:val="12"/>
                <w:color w:val="auto"/>
              </w:rPr>
            </w:pPr>
          </w:p>
        </w:tc>
        <w:tc>
          <w:tcPr>
            <w:tcW w:w="20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Recent private market and merger</w:t>
            </w:r>
          </w:p>
        </w:tc>
        <w:tc>
          <w:tcPr>
            <w:tcW w:w="160" w:type="dxa"/>
            <w:vAlign w:val="bottom"/>
          </w:tcPr>
          <w:p>
            <w:pPr>
              <w:spacing w:after="0"/>
              <w:rPr>
                <w:sz w:val="12"/>
                <w:szCs w:val="12"/>
                <w:color w:val="auto"/>
              </w:rPr>
            </w:pPr>
          </w:p>
        </w:tc>
        <w:tc>
          <w:tcPr>
            <w:tcW w:w="20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2140" w:type="dxa"/>
            <w:vAlign w:val="bottom"/>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N/A</w:t>
            </w:r>
          </w:p>
        </w:tc>
      </w:tr>
      <w:tr>
        <w:trPr>
          <w:trHeight w:val="185"/>
        </w:trPr>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acquisition transaction prices</w:t>
            </w:r>
          </w:p>
        </w:tc>
        <w:tc>
          <w:tcPr>
            <w:tcW w:w="1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Waterfall Approach</w:t>
            </w: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1.75x - 1.75x (1.75x)</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209"/>
        </w:trPr>
        <w:tc>
          <w:tcPr>
            <w:tcW w:w="2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Level 3 Investments</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1,054,209</w:t>
            </w:r>
          </w:p>
        </w:tc>
        <w:tc>
          <w:tcPr>
            <w:tcW w:w="260" w:type="dxa"/>
            <w:vAlign w:val="bottom"/>
            <w:tcBorders>
              <w:bottom w:val="single" w:sz="8" w:color="CFF0FC"/>
            </w:tcBorders>
            <w:shd w:val="clear" w:color="auto" w:fill="CFF0FC"/>
          </w:tcPr>
          <w:p>
            <w:pPr>
              <w:spacing w:after="0"/>
              <w:rPr>
                <w:sz w:val="18"/>
                <w:szCs w:val="18"/>
                <w:color w:val="auto"/>
              </w:rPr>
            </w:pPr>
          </w:p>
        </w:tc>
        <w:tc>
          <w:tcPr>
            <w:tcW w:w="20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08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-24765</wp:posOffset>
            </wp:positionV>
            <wp:extent cx="6858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-7620</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jc w:val="both"/>
        <w:ind w:left="760" w:hanging="374"/>
        <w:spacing w:after="0" w:line="211" w:lineRule="auto"/>
        <w:tabs>
          <w:tab w:leader="none" w:pos="76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or decreases in the inputs in isolation may result in a significantly higher or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jc w:val="both"/>
        <w:ind w:left="760" w:hanging="374"/>
        <w:spacing w:after="0" w:line="208" w:lineRule="auto"/>
        <w:tabs>
          <w:tab w:leader="none" w:pos="76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period ended September 30, 2024.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 For some investments, additional consideration may be given to data from the last round of financing or merger/acquisition events near the measurement date.</w:t>
      </w:r>
    </w:p>
    <w:p>
      <w:pPr>
        <w:spacing w:after="0" w:line="4" w:lineRule="exact"/>
        <w:rPr>
          <w:rFonts w:ascii="Times New Roman" w:cs="Times New Roman" w:eastAsia="Times New Roman" w:hAnsi="Times New Roman"/>
          <w:sz w:val="19"/>
          <w:szCs w:val="19"/>
          <w:color w:val="auto"/>
          <w:vertAlign w:val="superscript"/>
        </w:rPr>
      </w:pPr>
    </w:p>
    <w:p>
      <w:pPr>
        <w:ind w:left="760" w:hanging="374"/>
        <w:spacing w:after="0" w:line="202" w:lineRule="auto"/>
        <w:tabs>
          <w:tab w:leader="none" w:pos="76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Warrant investments using a PWERM valuation technique contain success fees, in which case the inputs are not applicable because the nature of a success fee is a fixed payout dependent on certain liquidation events.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as of December 31, 2023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60" w:type="dxa"/>
            <w:vAlign w:val="bottom"/>
          </w:tcPr>
          <w:p>
            <w:pPr>
              <w:spacing w:after="0"/>
              <w:rPr>
                <w:sz w:val="16"/>
                <w:szCs w:val="16"/>
                <w:color w:val="auto"/>
              </w:rPr>
            </w:pPr>
          </w:p>
        </w:tc>
        <w:tc>
          <w:tcPr>
            <w:tcW w:w="2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6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r>
      <w:tr>
        <w:trPr>
          <w:trHeight w:val="169"/>
        </w:trPr>
        <w:tc>
          <w:tcPr>
            <w:tcW w:w="252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4"/>
                <w:szCs w:val="14"/>
                <w:color w:val="auto"/>
              </w:rPr>
              <w:t>Senior Secured Term Loans</w:t>
            </w:r>
            <w:r>
              <w:rPr>
                <w:rFonts w:ascii="Times New Roman" w:cs="Times New Roman" w:eastAsia="Times New Roman" w:hAnsi="Times New Roman"/>
                <w:sz w:val="19"/>
                <w:szCs w:val="19"/>
                <w:color w:val="auto"/>
                <w:vertAlign w:val="superscript"/>
              </w:rPr>
              <w:t>(1)</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904,739</w:t>
            </w:r>
          </w:p>
        </w:tc>
        <w:tc>
          <w:tcPr>
            <w:tcW w:w="260" w:type="dxa"/>
            <w:vAlign w:val="bottom"/>
            <w:shd w:val="clear" w:color="auto" w:fill="CFF0FC"/>
          </w:tcPr>
          <w:p>
            <w:pPr>
              <w:spacing w:after="0"/>
              <w:rPr>
                <w:sz w:val="14"/>
                <w:szCs w:val="14"/>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Discounted Cash Flow analysis</w:t>
            </w:r>
          </w:p>
        </w:tc>
        <w:tc>
          <w:tcPr>
            <w:tcW w:w="160" w:type="dxa"/>
            <w:vAlign w:val="bottom"/>
            <w:shd w:val="clear" w:color="auto" w:fill="CFF0FC"/>
          </w:tcPr>
          <w:p>
            <w:pPr>
              <w:spacing w:after="0"/>
              <w:rPr>
                <w:sz w:val="14"/>
                <w:szCs w:val="14"/>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18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10.8% - 22.2% (15.0%)</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Origination yield</w:t>
            </w:r>
          </w:p>
        </w:tc>
        <w:tc>
          <w:tcPr>
            <w:tcW w:w="21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10.8% - 19.9% (13.6%)</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1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0.29x - 7.49x (3.66x)</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59,360</w:t>
            </w:r>
          </w:p>
        </w:tc>
        <w:tc>
          <w:tcPr>
            <w:tcW w:w="2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PWERM</w:t>
            </w: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1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20.3% - 46.5% (28.8%)</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Origination yield</w:t>
            </w:r>
          </w:p>
        </w:tc>
        <w:tc>
          <w:tcPr>
            <w:tcW w:w="218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10.8% - 29.7% (17.3%)</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0.95x - 3.16x (1.89x)</w:t>
            </w:r>
          </w:p>
        </w:tc>
      </w:tr>
      <w:tr>
        <w:trPr>
          <w:trHeight w:val="176"/>
        </w:trPr>
        <w:tc>
          <w:tcPr>
            <w:tcW w:w="25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Second Lien Term Loans</w:t>
            </w:r>
            <w:r>
              <w:rPr>
                <w:rFonts w:ascii="Times New Roman" w:cs="Times New Roman" w:eastAsia="Times New Roman" w:hAnsi="Times New Roman"/>
                <w:sz w:val="19"/>
                <w:szCs w:val="19"/>
                <w:color w:val="auto"/>
                <w:vertAlign w:val="superscript"/>
              </w:rPr>
              <w:t>(1)</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14,399</w:t>
            </w: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Discounted Cash Flow analysis</w:t>
            </w: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18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16.1% - 16.1% (16.1%)</w:t>
            </w:r>
          </w:p>
        </w:tc>
      </w:tr>
      <w:tr>
        <w:trPr>
          <w:trHeight w:val="175"/>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Origination yield</w:t>
            </w:r>
          </w:p>
        </w:tc>
        <w:tc>
          <w:tcPr>
            <w:tcW w:w="21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13.1% - 13.1% (13.1%)</w:t>
            </w:r>
          </w:p>
        </w:tc>
      </w:tr>
      <w:tr>
        <w:trPr>
          <w:trHeight w:val="176"/>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Convertible Notes</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PWERM</w:t>
            </w: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18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45.0% - 45.0% (45.0%)</w:t>
            </w:r>
          </w:p>
        </w:tc>
      </w:tr>
      <w:tr>
        <w:trPr>
          <w:trHeight w:val="175"/>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Origination yield</w:t>
            </w:r>
          </w:p>
        </w:tc>
        <w:tc>
          <w:tcPr>
            <w:tcW w:w="21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10.8% - 10.8% (10.8%)</w:t>
            </w:r>
          </w:p>
        </w:tc>
      </w:tr>
      <w:tr>
        <w:trPr>
          <w:trHeight w:val="139"/>
        </w:trPr>
        <w:tc>
          <w:tcPr>
            <w:tcW w:w="25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 Stock</w:t>
            </w: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120</w:t>
            </w:r>
          </w:p>
        </w:tc>
        <w:tc>
          <w:tcPr>
            <w:tcW w:w="260" w:type="dxa"/>
            <w:vAlign w:val="bottom"/>
            <w:shd w:val="clear" w:color="auto" w:fill="CFF0FC"/>
          </w:tcPr>
          <w:p>
            <w:pPr>
              <w:spacing w:after="0"/>
              <w:rPr>
                <w:sz w:val="12"/>
                <w:szCs w:val="12"/>
                <w:color w:val="auto"/>
              </w:rPr>
            </w:pPr>
          </w:p>
        </w:tc>
        <w:tc>
          <w:tcPr>
            <w:tcW w:w="202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rPr>
              <w:t>Recent private market and merger</w:t>
            </w:r>
          </w:p>
        </w:tc>
        <w:tc>
          <w:tcPr>
            <w:tcW w:w="160" w:type="dxa"/>
            <w:vAlign w:val="bottom"/>
            <w:shd w:val="clear" w:color="auto" w:fill="CFF0FC"/>
          </w:tcPr>
          <w:p>
            <w:pPr>
              <w:spacing w:after="0"/>
              <w:rPr>
                <w:sz w:val="12"/>
                <w:szCs w:val="12"/>
                <w:color w:val="auto"/>
              </w:rPr>
            </w:pPr>
          </w:p>
        </w:tc>
        <w:tc>
          <w:tcPr>
            <w:tcW w:w="204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160" w:type="dxa"/>
            <w:vAlign w:val="bottom"/>
            <w:shd w:val="clear" w:color="auto" w:fill="CFF0FC"/>
          </w:tcPr>
          <w:p>
            <w:pPr>
              <w:spacing w:after="0"/>
              <w:rPr>
                <w:sz w:val="12"/>
                <w:szCs w:val="12"/>
                <w:color w:val="auto"/>
              </w:rPr>
            </w:pPr>
          </w:p>
        </w:tc>
        <w:tc>
          <w:tcPr>
            <w:tcW w:w="202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rPr>
              <w:t>N/A</w:t>
            </w:r>
          </w:p>
        </w:tc>
      </w:tr>
      <w:tr>
        <w:trPr>
          <w:trHeight w:val="185"/>
        </w:trPr>
        <w:tc>
          <w:tcPr>
            <w:tcW w:w="25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and acquisition transaction prices</w:t>
            </w:r>
          </w:p>
        </w:tc>
        <w:tc>
          <w:tcPr>
            <w:tcW w:w="160" w:type="dxa"/>
            <w:vAlign w:val="bottom"/>
            <w:shd w:val="clear" w:color="auto" w:fill="CFF0FC"/>
          </w:tcPr>
          <w:p>
            <w:pPr>
              <w:spacing w:after="0"/>
              <w:rPr>
                <w:sz w:val="16"/>
                <w:szCs w:val="16"/>
                <w:color w:val="auto"/>
              </w:rPr>
            </w:pPr>
          </w:p>
        </w:tc>
        <w:tc>
          <w:tcPr>
            <w:tcW w:w="20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20" w:type="dxa"/>
            <w:vAlign w:val="bottom"/>
            <w:shd w:val="clear" w:color="auto" w:fill="CFF0FC"/>
          </w:tcPr>
          <w:p>
            <w:pPr>
              <w:spacing w:after="0"/>
              <w:rPr>
                <w:sz w:val="16"/>
                <w:szCs w:val="16"/>
                <w:color w:val="auto"/>
              </w:rPr>
            </w:pP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26,038</w:t>
            </w:r>
          </w:p>
        </w:tc>
        <w:tc>
          <w:tcPr>
            <w:tcW w:w="2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PWERM</w:t>
            </w: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Risk-free interest rate</w:t>
            </w:r>
          </w:p>
        </w:tc>
        <w:tc>
          <w:tcPr>
            <w:tcW w:w="21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4.7% - 4.7% (4.7%)</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Average industry volatility</w:t>
            </w:r>
          </w:p>
        </w:tc>
        <w:tc>
          <w:tcPr>
            <w:tcW w:w="218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40.0% - 40.0% (40.0%)</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Estimated time to exit</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2.0 - 2.0 (2.0 years)</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1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4.46x - 4.46x (4.46x)</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Waterfall Approach</w:t>
            </w: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Estimated time to exit</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3.0 - 3.0 (3.0 years)</w:t>
            </w:r>
          </w:p>
        </w:tc>
      </w:tr>
      <w:tr>
        <w:trPr>
          <w:trHeight w:val="176"/>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1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4.00x - 4.00x (4.00x)</w:t>
            </w:r>
          </w:p>
        </w:tc>
      </w:tr>
      <w:tr>
        <w:trPr>
          <w:trHeight w:val="139"/>
        </w:trPr>
        <w:tc>
          <w:tcPr>
            <w:tcW w:w="25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16</w:t>
            </w:r>
          </w:p>
        </w:tc>
        <w:tc>
          <w:tcPr>
            <w:tcW w:w="260" w:type="dxa"/>
            <w:vAlign w:val="bottom"/>
          </w:tcPr>
          <w:p>
            <w:pPr>
              <w:spacing w:after="0"/>
              <w:rPr>
                <w:sz w:val="12"/>
                <w:szCs w:val="12"/>
                <w:color w:val="auto"/>
              </w:rPr>
            </w:pPr>
          </w:p>
        </w:tc>
        <w:tc>
          <w:tcPr>
            <w:tcW w:w="20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Recent private market and merger</w:t>
            </w:r>
          </w:p>
        </w:tc>
        <w:tc>
          <w:tcPr>
            <w:tcW w:w="160" w:type="dxa"/>
            <w:vAlign w:val="bottom"/>
          </w:tcPr>
          <w:p>
            <w:pPr>
              <w:spacing w:after="0"/>
              <w:rPr>
                <w:sz w:val="12"/>
                <w:szCs w:val="12"/>
                <w:color w:val="auto"/>
              </w:rPr>
            </w:pPr>
          </w:p>
        </w:tc>
        <w:tc>
          <w:tcPr>
            <w:tcW w:w="20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160" w:type="dxa"/>
            <w:vAlign w:val="bottom"/>
          </w:tcPr>
          <w:p>
            <w:pPr>
              <w:spacing w:after="0"/>
              <w:rPr>
                <w:sz w:val="12"/>
                <w:szCs w:val="12"/>
                <w:color w:val="auto"/>
              </w:rPr>
            </w:pPr>
          </w:p>
        </w:tc>
        <w:tc>
          <w:tcPr>
            <w:tcW w:w="20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N/A</w:t>
            </w:r>
          </w:p>
        </w:tc>
      </w:tr>
      <w:tr>
        <w:trPr>
          <w:trHeight w:val="185"/>
        </w:trPr>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acquisition transaction prices</w:t>
            </w: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76"/>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Option Pricing Model</w:t>
            </w: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Risk-free interest rate</w:t>
            </w:r>
          </w:p>
        </w:tc>
        <w:tc>
          <w:tcPr>
            <w:tcW w:w="218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4.3% - 4.3% (4.3%)</w:t>
            </w:r>
          </w:p>
        </w:tc>
      </w:tr>
      <w:tr>
        <w:trPr>
          <w:trHeight w:val="175"/>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Average industry volatility</w:t>
            </w:r>
          </w:p>
        </w:tc>
        <w:tc>
          <w:tcPr>
            <w:tcW w:w="21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35.0% - 35.0% (35.0%)</w:t>
            </w:r>
          </w:p>
        </w:tc>
      </w:tr>
      <w:tr>
        <w:trPr>
          <w:trHeight w:val="176"/>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Estimated time to exit</w:t>
            </w:r>
          </w:p>
        </w:tc>
        <w:tc>
          <w:tcPr>
            <w:tcW w:w="1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5.0 - 5.0 (5.0 years)</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3.28x - 3.28x (3.28x)</w:t>
            </w:r>
          </w:p>
        </w:tc>
      </w:tr>
      <w:tr>
        <w:trPr>
          <w:trHeight w:val="175"/>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Interest</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PWERM</w:t>
            </w: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18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20.0% - 20.0% (20.0%)</w:t>
            </w:r>
          </w:p>
        </w:tc>
      </w:tr>
      <w:tr>
        <w:trPr>
          <w:trHeight w:val="176"/>
        </w:trPr>
        <w:tc>
          <w:tcPr>
            <w:tcW w:w="25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Warrants</w:t>
            </w:r>
            <w:r>
              <w:rPr>
                <w:rFonts w:ascii="Times New Roman" w:cs="Times New Roman" w:eastAsia="Times New Roman" w:hAnsi="Times New Roman"/>
                <w:sz w:val="19"/>
                <w:szCs w:val="19"/>
                <w:color w:val="auto"/>
                <w:vertAlign w:val="superscript"/>
              </w:rPr>
              <w:t>(2)</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7,075</w:t>
            </w:r>
          </w:p>
        </w:tc>
        <w:tc>
          <w:tcPr>
            <w:tcW w:w="2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 Pricing Model</w:t>
            </w: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Risk-free interest rate</w:t>
            </w:r>
          </w:p>
        </w:tc>
        <w:tc>
          <w:tcPr>
            <w:tcW w:w="21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3.8% - 5.3% (4.5%)</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Average industry volatility</w:t>
            </w:r>
          </w:p>
        </w:tc>
        <w:tc>
          <w:tcPr>
            <w:tcW w:w="218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25.0% - 108.8% (45.4%)</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Estimated time to exit</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0.8 - 8.2 (3.1 years)</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1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0.95x - 7.49x (3.95x)</w:t>
            </w:r>
          </w:p>
        </w:tc>
      </w:tr>
      <w:tr>
        <w:trPr>
          <w:trHeight w:val="175"/>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260" w:type="dxa"/>
            <w:vAlign w:val="bottom"/>
          </w:tcPr>
          <w:p>
            <w:pPr>
              <w:spacing w:after="0"/>
              <w:rPr>
                <w:sz w:val="15"/>
                <w:szCs w:val="15"/>
                <w:color w:val="auto"/>
              </w:rPr>
            </w:pPr>
          </w:p>
        </w:tc>
        <w:tc>
          <w:tcPr>
            <w:tcW w:w="202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color w:val="auto"/>
                <w:w w:val="97"/>
              </w:rPr>
              <w:t xml:space="preserve">PWERM </w:t>
            </w:r>
            <w:r>
              <w:rPr>
                <w:rFonts w:ascii="Times New Roman" w:cs="Times New Roman" w:eastAsia="Times New Roman" w:hAnsi="Times New Roman"/>
                <w:sz w:val="19"/>
                <w:szCs w:val="19"/>
                <w:color w:val="auto"/>
                <w:w w:val="97"/>
                <w:vertAlign w:val="superscript"/>
              </w:rPr>
              <w:t>(3)</w:t>
            </w: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1,851</w:t>
            </w: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Waterfall Approach</w:t>
            </w: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Estimated time to exit</w:t>
            </w:r>
          </w:p>
        </w:tc>
        <w:tc>
          <w:tcPr>
            <w:tcW w:w="1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3.0 - 3.0 (3.0 years)</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2.58x - 4.00x (3.39x)</w:t>
            </w:r>
          </w:p>
        </w:tc>
      </w:tr>
      <w:tr>
        <w:trPr>
          <w:trHeight w:val="209"/>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Level 3 Investments</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1,020,800</w:t>
            </w:r>
          </w:p>
        </w:tc>
        <w:tc>
          <w:tcPr>
            <w:tcW w:w="26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r>
      <w:tr>
        <w:trPr>
          <w:trHeight w:val="115"/>
        </w:trPr>
        <w:tc>
          <w:tcPr>
            <w:tcW w:w="2520" w:type="dxa"/>
            <w:vAlign w:val="bottom"/>
            <w:tcBorders>
              <w:top w:val="single" w:sz="8" w:color="CFF0FC"/>
              <w:bottom w:val="single" w:sz="8" w:color="auto"/>
            </w:tcBorders>
          </w:tcPr>
          <w:p>
            <w:pPr>
              <w:spacing w:after="0"/>
              <w:rPr>
                <w:sz w:val="10"/>
                <w:szCs w:val="10"/>
                <w:color w:val="auto"/>
              </w:rPr>
            </w:pPr>
          </w:p>
        </w:tc>
        <w:tc>
          <w:tcPr>
            <w:tcW w:w="160" w:type="dxa"/>
            <w:vAlign w:val="bottom"/>
            <w:tcBorders>
              <w:top w:val="single" w:sz="8" w:color="CFF0FC"/>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58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2020" w:type="dxa"/>
            <w:vAlign w:val="bottom"/>
            <w:tcBorders>
              <w:top w:val="single" w:sz="8" w:color="CFF0FC"/>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2040" w:type="dxa"/>
            <w:vAlign w:val="bottom"/>
            <w:tcBorders>
              <w:top w:val="single" w:sz="8" w:color="CFF0FC"/>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202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-119380</wp:posOffset>
            </wp:positionV>
            <wp:extent cx="6858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-102235</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jc w:val="both"/>
        <w:ind w:left="760" w:hanging="374"/>
        <w:spacing w:after="0" w:line="211" w:lineRule="auto"/>
        <w:tabs>
          <w:tab w:leader="none" w:pos="76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or decreases in the inputs in isolation may result in a significantly higher or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jc w:val="both"/>
        <w:ind w:left="760" w:hanging="374"/>
        <w:spacing w:after="0" w:line="208" w:lineRule="auto"/>
        <w:tabs>
          <w:tab w:leader="none" w:pos="76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year ended December 31, 2023.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 For some investments, additional consideration may be given to data from the last round of financing or merger/acquisition events near the measurement date.</w:t>
      </w:r>
    </w:p>
    <w:p>
      <w:pPr>
        <w:spacing w:after="0" w:line="4" w:lineRule="exact"/>
        <w:rPr>
          <w:rFonts w:ascii="Times New Roman" w:cs="Times New Roman" w:eastAsia="Times New Roman" w:hAnsi="Times New Roman"/>
          <w:sz w:val="19"/>
          <w:szCs w:val="19"/>
          <w:color w:val="auto"/>
          <w:vertAlign w:val="superscript"/>
        </w:rPr>
      </w:pPr>
    </w:p>
    <w:p>
      <w:pPr>
        <w:ind w:left="760" w:hanging="374"/>
        <w:spacing w:after="0" w:line="202" w:lineRule="auto"/>
        <w:tabs>
          <w:tab w:leader="none" w:pos="76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Warrant investments using a PWERM valuation technique contain success fees, in which case the inputs are not applicable because the nature of a success fee is a fixed payout dependent on certain liquidation events.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 Reported at Cost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its debt at amortized cost on the Consolidated Statements of Assets and Liabilities. The fair value of the Company’s Credit Facility, April 2026 Notes, December 2026 Notes, and August 2027 Notes (each defined in "Note 7 – Borrowings") are estimated using Level 3 inputs, which involves discounting the remaining payments based on comparable market rates or market quotes for similar instruments as of the measurement date. The July 2027 and December 2027 are publicly traded on NASDAQ and are valued using Level 1 inputs, reflecting the most recent market prices of $25.15 and $25.36 per share as of September 30, 2024, respectively. As of December 31, 2023, the market prices were $24.80 and $25.13 per share, respectively.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information about the approximate fair value and level in the fair value hierarchy of the Company’s outstanding borrowings as of September 30, 2024 and December 31, 2023 (in thousands):</w:t>
      </w:r>
    </w:p>
    <w:p>
      <w:pPr>
        <w:sectPr>
          <w:pgSz w:w="11900" w:h="16838" w:orient="portrait"/>
          <w:cols w:equalWidth="0" w:num="1">
            <w:col w:w="11240"/>
          </w:cols>
          <w:pgMar w:left="320" w:top="769" w:right="339" w:bottom="1440" w:gutter="0" w:footer="0" w:header="0"/>
        </w:sectPr>
      </w:pPr>
    </w:p>
    <w:p>
      <w:pPr>
        <w:spacing w:after="0" w:line="16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16510</wp:posOffset>
            </wp:positionV>
            <wp:extent cx="310324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9" w:lineRule="exact"/>
        <w:rPr>
          <w:sz w:val="20"/>
          <w:szCs w:val="20"/>
          <w:color w:val="auto"/>
        </w:rPr>
      </w:pPr>
    </w:p>
    <w:p>
      <w:pPr>
        <w:jc w:val="right"/>
        <w:ind w:right="2500"/>
        <w:spacing w:after="0"/>
        <w:rPr>
          <w:sz w:val="20"/>
          <w:szCs w:val="20"/>
          <w:color w:val="auto"/>
        </w:rPr>
      </w:pPr>
      <w:r>
        <w:rPr>
          <w:rFonts w:ascii="Times New Roman" w:cs="Times New Roman" w:eastAsia="Times New Roman" w:hAnsi="Times New Roman"/>
          <w:sz w:val="14"/>
          <w:szCs w:val="14"/>
          <w:b w:val="1"/>
          <w:bCs w:val="1"/>
          <w:color w:val="auto"/>
        </w:rPr>
        <w:t>Fair Value Hierarchy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16510</wp:posOffset>
            </wp:positionV>
            <wp:extent cx="291465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9" w:lineRule="exact"/>
        <w:rPr>
          <w:sz w:val="20"/>
          <w:szCs w:val="20"/>
          <w:color w:val="auto"/>
        </w:rPr>
      </w:pPr>
    </w:p>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Fair Value Hierarchy</w:t>
      </w:r>
    </w:p>
    <w:p>
      <w:pPr>
        <w:spacing w:after="0" w:line="25" w:lineRule="exact"/>
        <w:rPr>
          <w:sz w:val="20"/>
          <w:szCs w:val="20"/>
          <w:color w:val="auto"/>
        </w:rPr>
      </w:pPr>
    </w:p>
    <w:p>
      <w:pPr>
        <w:sectPr>
          <w:pgSz w:w="11900" w:h="16838" w:orient="portrait"/>
          <w:cols w:equalWidth="0" w:num="2">
            <w:col w:w="7540" w:space="720"/>
            <w:col w:w="2980"/>
          </w:cols>
          <w:pgMar w:left="320" w:top="769" w:right="3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1440" w:type="dxa"/>
            <w:vAlign w:val="bottom"/>
          </w:tcPr>
          <w:p>
            <w:pPr>
              <w:spacing w:after="0"/>
              <w:rPr>
                <w:sz w:val="11"/>
                <w:szCs w:val="11"/>
                <w:color w:val="auto"/>
              </w:rPr>
            </w:pPr>
          </w:p>
        </w:tc>
        <w:tc>
          <w:tcPr>
            <w:tcW w:w="1020" w:type="dxa"/>
            <w:vAlign w:val="bottom"/>
            <w:gridSpan w:val="3"/>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980" w:type="dxa"/>
            <w:vAlign w:val="bottom"/>
            <w:gridSpan w:val="3"/>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Credit Facility</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298,999</w:t>
            </w:r>
          </w:p>
        </w:tc>
        <w:tc>
          <w:tcPr>
            <w:tcW w:w="26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317,259</w:t>
            </w: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317,25</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267,566</w:t>
            </w:r>
          </w:p>
        </w:tc>
        <w:tc>
          <w:tcPr>
            <w:tcW w:w="2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279,190</w:t>
            </w: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279,190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4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6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April 2026 Notes</w:t>
            </w: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24,804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26,343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26,343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24,723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25,843</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2026 Notes</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69,574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66,303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66,303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69,427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July 2027 Notes</w:t>
            </w: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78,971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80,970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80,970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78,576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79,840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79,840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August 2027 Notes</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2027 Notes</w:t>
            </w:r>
          </w:p>
        </w:tc>
        <w:tc>
          <w:tcPr>
            <w:tcW w:w="1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50,571</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52,495</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52,495</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50,297</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52,009</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52,009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563,26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542,512</w:t>
            </w:r>
          </w:p>
        </w:tc>
        <w:tc>
          <w:tcPr>
            <w:tcW w:w="2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133,465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429,796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510,078</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131,849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388,831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520,680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-239395</wp:posOffset>
            </wp:positionV>
            <wp:extent cx="7683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-239395</wp:posOffset>
            </wp:positionV>
            <wp:extent cx="7683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-239395</wp:posOffset>
            </wp:positionV>
            <wp:extent cx="7683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-239395</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-239395</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-239395</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-239395</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-239395</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-239395</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maintains its cash balances at large, high credit-quality financial institutions, which at times may exceed federally insured limits. The Company is subject to credit risk to the extent that any financial institution with which it conducts business is unable to fulfill contractual obligations on its behalf. The Company monitors the financial condition of those financial institutions and believes that risk of loss associated with any uninsured balance is remote.</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event that a portfolio company completely fails to perform according to the terms of their loan agreement, the amount of loss due to credit risk from the Company's investments would equal the sum of the Company’s recorded investments in the portfolio company and the portion of unfunded commitments currently eligible to be drawn. Refer to "Note 8 – Commitments and Contingencies" for a summary of the aggregate balance of unfunded commitments as of September 30, 2024. The Company predominantly collateralizes its investments by obtaining a first priority security interest in a portfolio company’s assets, which may include its intellectual property.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the Company’s five largest debt investments in portfolio companies represented approximately 32.2% and 38.0%, respectively, of the total fair value of the Company’s debt investments in portfolio companies. As of September 30, 2024 and December 31, 2023, the Company had debt investments in 19 and 14 portfolio companies, respectively, that represented 5% or more of the Company’s net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Borrowings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Company's borrowings as of September 30, 2024 and December 31, 2023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288"/>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20" w:type="dxa"/>
            <w:vAlign w:val="bottom"/>
          </w:tcPr>
          <w:p>
            <w:pPr>
              <w:spacing w:after="0"/>
              <w:rPr>
                <w:sz w:val="11"/>
                <w:szCs w:val="11"/>
                <w:color w:val="auto"/>
              </w:rPr>
            </w:pPr>
          </w:p>
        </w:tc>
        <w:tc>
          <w:tcPr>
            <w:tcW w:w="1180" w:type="dxa"/>
            <w:vAlign w:val="bottom"/>
            <w:gridSpan w:val="3"/>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20" w:type="dxa"/>
            <w:vAlign w:val="bottom"/>
          </w:tcPr>
          <w:p>
            <w:pPr>
              <w:spacing w:after="0"/>
              <w:rPr>
                <w:sz w:val="11"/>
                <w:szCs w:val="11"/>
                <w:color w:val="auto"/>
              </w:rPr>
            </w:pPr>
          </w:p>
        </w:tc>
        <w:tc>
          <w:tcPr>
            <w:tcW w:w="840" w:type="dxa"/>
            <w:vAlign w:val="bottom"/>
          </w:tcPr>
          <w:p>
            <w:pPr>
              <w:jc w:val="right"/>
              <w:ind w:right="148"/>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ind w:right="268"/>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20" w:type="dxa"/>
            <w:vAlign w:val="bottom"/>
          </w:tcPr>
          <w:p>
            <w:pPr>
              <w:spacing w:after="0"/>
              <w:rPr>
                <w:sz w:val="11"/>
                <w:szCs w:val="11"/>
                <w:color w:val="auto"/>
              </w:rPr>
            </w:pPr>
          </w:p>
        </w:tc>
        <w:tc>
          <w:tcPr>
            <w:tcW w:w="1180" w:type="dxa"/>
            <w:vAlign w:val="bottom"/>
            <w:gridSpan w:val="3"/>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20" w:type="dxa"/>
            <w:vAlign w:val="bottom"/>
          </w:tcPr>
          <w:p>
            <w:pPr>
              <w:spacing w:after="0"/>
              <w:rPr>
                <w:sz w:val="11"/>
                <w:szCs w:val="11"/>
                <w:color w:val="auto"/>
              </w:rPr>
            </w:pPr>
          </w:p>
        </w:tc>
        <w:tc>
          <w:tcPr>
            <w:tcW w:w="840" w:type="dxa"/>
            <w:vAlign w:val="bottom"/>
          </w:tcPr>
          <w:p>
            <w:pPr>
              <w:jc w:val="right"/>
              <w:ind w:right="148"/>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8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DFC</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DFC</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Credit Facility</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302,000</w:t>
            </w: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(3,001 )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298,999</w:t>
            </w:r>
          </w:p>
        </w:tc>
        <w:tc>
          <w:tcPr>
            <w:tcW w:w="4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272,000</w:t>
            </w: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(4,434 )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267,566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2026 Notes</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(196 )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(277 )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2026 Notes</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(426 )</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69,574</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(573 )</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July 2027 Notes</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80,500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(1,529 )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78,971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80,500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(1,924 )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August 2027 Notes</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(407 )</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19,593</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(511 )</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2027 Notes</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51,750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51,750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(1,179 )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50,571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51,750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51,750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(1,453 )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4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797,250</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549,250</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(6,738 )</w:t>
            </w:r>
          </w:p>
        </w:tc>
        <w:tc>
          <w:tcPr>
            <w:tcW w:w="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542,512</w:t>
            </w:r>
          </w:p>
        </w:tc>
        <w:tc>
          <w:tcPr>
            <w:tcW w:w="400" w:type="dxa"/>
            <w:vAlign w:val="bottom"/>
            <w:gridSpan w:val="2"/>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797,250</w:t>
            </w:r>
          </w:p>
        </w:tc>
        <w:tc>
          <w:tcPr>
            <w:tcW w:w="340" w:type="dxa"/>
            <w:vAlign w:val="bottom"/>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519,250</w:t>
            </w:r>
          </w:p>
        </w:tc>
        <w:tc>
          <w:tcPr>
            <w:tcW w:w="420" w:type="dxa"/>
            <w:vAlign w:val="bottom"/>
            <w:gridSpan w:val="2"/>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(9,172 )</w:t>
            </w:r>
          </w:p>
        </w:tc>
        <w:tc>
          <w:tcPr>
            <w:tcW w:w="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510,078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-25400</wp:posOffset>
            </wp:positionV>
            <wp:extent cx="7747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-7620</wp:posOffset>
            </wp:positionV>
            <wp:extent cx="7747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-25400</wp:posOffset>
            </wp:positionV>
            <wp:extent cx="7683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-7620</wp:posOffset>
            </wp:positionV>
            <wp:extent cx="7683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-25400</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-7620</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-25400</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2024 and 2023, the components of interest expense, amortization of deferred financing costs, unused fees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(as defined below), and any other costs associated with the Company's borrowings were as follows (dollars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Amortization of</w:t>
            </w:r>
          </w:p>
        </w:tc>
        <w:tc>
          <w:tcPr>
            <w:tcW w:w="160" w:type="dxa"/>
            <w:vAlign w:val="bottom"/>
          </w:tcPr>
          <w:p>
            <w:pPr>
              <w:spacing w:after="0"/>
              <w:rPr>
                <w:sz w:val="13"/>
                <w:szCs w:val="13"/>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Unused Facility and</w:t>
            </w:r>
          </w:p>
        </w:tc>
        <w:tc>
          <w:tcPr>
            <w:tcW w:w="160" w:type="dxa"/>
            <w:vAlign w:val="bottom"/>
          </w:tcPr>
          <w:p>
            <w:pPr>
              <w:spacing w:after="0"/>
              <w:rPr>
                <w:sz w:val="13"/>
                <w:szCs w:val="13"/>
                <w:color w:val="auto"/>
              </w:rPr>
            </w:pPr>
          </w:p>
        </w:tc>
        <w:tc>
          <w:tcPr>
            <w:tcW w:w="140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 Interest and</w:t>
            </w:r>
          </w:p>
        </w:tc>
        <w:tc>
          <w:tcPr>
            <w:tcW w:w="10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Other Debt</w:t>
            </w: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DFC</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Other Fees</w:t>
            </w:r>
          </w:p>
        </w:tc>
        <w:tc>
          <w:tcPr>
            <w:tcW w:w="160" w:type="dxa"/>
            <w:vAlign w:val="bottom"/>
          </w:tcPr>
          <w:p>
            <w:pPr>
              <w:spacing w:after="0"/>
              <w:rPr>
                <w:sz w:val="16"/>
                <w:szCs w:val="16"/>
                <w:color w:val="auto"/>
              </w:rPr>
            </w:pPr>
          </w:p>
        </w:tc>
        <w:tc>
          <w:tcPr>
            <w:tcW w:w="1400" w:type="dxa"/>
            <w:vAlign w:val="bottom"/>
            <w:tcBorders>
              <w:bottom w:val="single" w:sz="8" w:color="auto"/>
            </w:tcBorders>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Financing Expenses</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Cost of Debt</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Credit Facility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5,883</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496</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469</w:t>
            </w:r>
          </w:p>
        </w:tc>
        <w:tc>
          <w:tcPr>
            <w:tcW w:w="3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6,848</w:t>
            </w:r>
          </w:p>
        </w:tc>
        <w:tc>
          <w:tcPr>
            <w:tcW w:w="1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10.03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2026 Notes</w:t>
            </w:r>
          </w:p>
        </w:tc>
        <w:tc>
          <w:tcPr>
            <w:tcW w:w="12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533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570</w:t>
            </w:r>
          </w:p>
        </w:tc>
        <w:tc>
          <w:tcPr>
            <w:tcW w:w="1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9.14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2026 Notes</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743</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53</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796</w:t>
            </w:r>
          </w:p>
        </w:tc>
        <w:tc>
          <w:tcPr>
            <w:tcW w:w="1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4.55</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July 2027 Notes</w:t>
            </w:r>
          </w:p>
        </w:tc>
        <w:tc>
          <w:tcPr>
            <w:tcW w:w="12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1,509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1,649</w:t>
            </w:r>
          </w:p>
        </w:tc>
        <w:tc>
          <w:tcPr>
            <w:tcW w:w="1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8.19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August 2027 Notes</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350</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385</w:t>
            </w:r>
          </w:p>
        </w:tc>
        <w:tc>
          <w:tcPr>
            <w:tcW w:w="1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7.70</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2027 Notes</w:t>
            </w: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1,035</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96</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1,131</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8.74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10,053</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857</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469</w:t>
            </w:r>
          </w:p>
        </w:tc>
        <w:tc>
          <w:tcPr>
            <w:tcW w:w="3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11,379</w:t>
            </w:r>
          </w:p>
        </w:tc>
        <w:tc>
          <w:tcPr>
            <w:tcW w:w="1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8.68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346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Facility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5,097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411</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407</w:t>
            </w:r>
          </w:p>
        </w:tc>
        <w:tc>
          <w:tcPr>
            <w:tcW w:w="3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5,915</w:t>
            </w:r>
          </w:p>
        </w:tc>
        <w:tc>
          <w:tcPr>
            <w:tcW w:w="1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9.45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April 2026 Notes</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533</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567</w:t>
            </w:r>
          </w:p>
        </w:tc>
        <w:tc>
          <w:tcPr>
            <w:tcW w:w="1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9.08</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2026 Notes</w:t>
            </w:r>
          </w:p>
        </w:tc>
        <w:tc>
          <w:tcPr>
            <w:tcW w:w="12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743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798</w:t>
            </w:r>
          </w:p>
        </w:tc>
        <w:tc>
          <w:tcPr>
            <w:tcW w:w="1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4.56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July 2027 Notes</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1,510</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141</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1,651</w:t>
            </w:r>
          </w:p>
        </w:tc>
        <w:tc>
          <w:tcPr>
            <w:tcW w:w="1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8.20</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August 2027 Notes</w:t>
            </w:r>
          </w:p>
        </w:tc>
        <w:tc>
          <w:tcPr>
            <w:tcW w:w="12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350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385</w:t>
            </w:r>
          </w:p>
        </w:tc>
        <w:tc>
          <w:tcPr>
            <w:tcW w:w="1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7.70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2027 Notes</w:t>
            </w:r>
          </w:p>
        </w:tc>
        <w:tc>
          <w:tcPr>
            <w:tcW w:w="12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1,035</w:t>
            </w: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91</w:t>
            </w:r>
          </w:p>
        </w:tc>
        <w:tc>
          <w:tcPr>
            <w:tcW w:w="1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8.71</w:t>
            </w:r>
          </w:p>
        </w:tc>
        <w:tc>
          <w:tcPr>
            <w:tcW w:w="1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9,268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767</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407</w:t>
            </w:r>
          </w:p>
        </w:tc>
        <w:tc>
          <w:tcPr>
            <w:tcW w:w="3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10,442</w:t>
            </w:r>
          </w:p>
        </w:tc>
        <w:tc>
          <w:tcPr>
            <w:tcW w:w="1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8.39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-1062355</wp:posOffset>
            </wp:positionV>
            <wp:extent cx="10287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-1045210</wp:posOffset>
            </wp:positionV>
            <wp:extent cx="10287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-1062355</wp:posOffset>
            </wp:positionV>
            <wp:extent cx="939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-1045210</wp:posOffset>
            </wp:positionV>
            <wp:extent cx="939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-1062355</wp:posOffset>
            </wp:positionV>
            <wp:extent cx="939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-1045210</wp:posOffset>
            </wp:positionV>
            <wp:extent cx="939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-1062355</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-1045210</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-145415</wp:posOffset>
            </wp:positionV>
            <wp:extent cx="10287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-145415</wp:posOffset>
            </wp:positionV>
            <wp:extent cx="9398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-145415</wp:posOffset>
            </wp:positionV>
            <wp:extent cx="9398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-145415</wp:posOffset>
            </wp:positionV>
            <wp:extent cx="6858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-145415</wp:posOffset>
            </wp:positionV>
            <wp:extent cx="10287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9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and 2023, the components of interest expense, amortization of deferred financing costs, and the unused fees on the Credit Facility (as defined below) on the Company's borrowings were as follows (dollars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Amortization of</w:t>
            </w:r>
          </w:p>
        </w:tc>
        <w:tc>
          <w:tcPr>
            <w:tcW w:w="26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Unused Facility and</w:t>
            </w:r>
          </w:p>
        </w:tc>
        <w:tc>
          <w:tcPr>
            <w:tcW w:w="26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 Interest and</w:t>
            </w:r>
          </w:p>
        </w:tc>
        <w:tc>
          <w:tcPr>
            <w:tcW w:w="200" w:type="dxa"/>
            <w:vAlign w:val="bottom"/>
          </w:tcPr>
          <w:p>
            <w:pPr>
              <w:spacing w:after="0"/>
              <w:rPr>
                <w:sz w:val="13"/>
                <w:szCs w:val="13"/>
                <w:color w:val="auto"/>
              </w:rPr>
            </w:pPr>
          </w:p>
        </w:tc>
        <w:tc>
          <w:tcPr>
            <w:tcW w:w="1300" w:type="dxa"/>
            <w:vAlign w:val="bottom"/>
            <w:gridSpan w:val="2"/>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48"/>
              <w:spacing w:after="0" w:line="146" w:lineRule="exact"/>
              <w:rPr>
                <w:sz w:val="20"/>
                <w:szCs w:val="20"/>
                <w:color w:val="auto"/>
              </w:rPr>
            </w:pPr>
            <w:r>
              <w:rPr>
                <w:rFonts w:ascii="Times New Roman" w:cs="Times New Roman" w:eastAsia="Times New Roman" w:hAnsi="Times New Roman"/>
                <w:sz w:val="14"/>
                <w:szCs w:val="14"/>
                <w:b w:val="1"/>
                <w:bCs w:val="1"/>
                <w:color w:val="auto"/>
              </w:rPr>
              <w:t>Other Debt</w:t>
            </w: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DFC</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Other Fees </w:t>
            </w:r>
            <w:r>
              <w:rPr>
                <w:rFonts w:ascii="Times New Roman" w:cs="Times New Roman" w:eastAsia="Times New Roman" w:hAnsi="Times New Roman"/>
                <w:sz w:val="19"/>
                <w:szCs w:val="19"/>
                <w:b w:val="1"/>
                <w:bCs w:val="1"/>
                <w:color w:val="auto"/>
                <w:vertAlign w:val="superscript"/>
              </w:rPr>
              <w:t>(1)</w:t>
            </w:r>
          </w:p>
        </w:tc>
        <w:tc>
          <w:tcPr>
            <w:tcW w:w="260" w:type="dxa"/>
            <w:vAlign w:val="bottom"/>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Financing Expenses</w:t>
            </w:r>
          </w:p>
        </w:tc>
        <w:tc>
          <w:tcPr>
            <w:tcW w:w="200" w:type="dxa"/>
            <w:vAlign w:val="bottom"/>
          </w:tcPr>
          <w:p>
            <w:pPr>
              <w:spacing w:after="0"/>
              <w:rPr>
                <w:sz w:val="16"/>
                <w:szCs w:val="16"/>
                <w:color w:val="auto"/>
              </w:rPr>
            </w:pPr>
          </w:p>
        </w:tc>
        <w:tc>
          <w:tcPr>
            <w:tcW w:w="1300" w:type="dxa"/>
            <w:vAlign w:val="bottom"/>
            <w:tcBorders>
              <w:bottom w:val="single" w:sz="8" w:color="auto"/>
            </w:tcBorders>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Cost of Debt</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Facility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2,138</w:t>
            </w:r>
          </w:p>
        </w:tc>
        <w:tc>
          <w:tcPr>
            <w:tcW w:w="4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April 2026 Notes</w:t>
            </w: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2026 Notes</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July 2027 Notes</w:t>
            </w: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4,528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August 2027 Notes</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2027 Notes</w:t>
            </w:r>
          </w:p>
        </w:tc>
        <w:tc>
          <w:tcPr>
            <w:tcW w:w="12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3,105</w:t>
            </w:r>
          </w:p>
        </w:tc>
        <w:tc>
          <w:tcPr>
            <w:tcW w:w="2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3,399</w:t>
            </w:r>
          </w:p>
        </w:tc>
        <w:tc>
          <w:tcPr>
            <w:tcW w:w="20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28,413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2,138</w:t>
            </w:r>
          </w:p>
        </w:tc>
        <w:tc>
          <w:tcPr>
            <w:tcW w:w="4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33,106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Credit Facility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17,796</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4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4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19,856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2026 Notes</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2026 Notes</w:t>
            </w: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July 2027 Notes</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August 2027 Notes</w:t>
            </w: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2027 Notes</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3,105</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3,380</w:t>
            </w:r>
          </w:p>
        </w:tc>
        <w:tc>
          <w:tcPr>
            <w:tcW w:w="2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29,706</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32,772</w:t>
            </w:r>
          </w:p>
        </w:tc>
        <w:tc>
          <w:tcPr>
            <w:tcW w:w="2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-1182370</wp:posOffset>
            </wp:positionV>
            <wp:extent cx="7747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-1182370</wp:posOffset>
            </wp:positionV>
            <wp:extent cx="6858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-1182370</wp:posOffset>
            </wp:positionV>
            <wp:extent cx="6858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-1182370</wp:posOffset>
            </wp:positionV>
            <wp:extent cx="6858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-1182370</wp:posOffset>
            </wp:positionV>
            <wp:extent cx="6858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-24765</wp:posOffset>
            </wp:positionV>
            <wp:extent cx="7747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-8255</wp:posOffset>
            </wp:positionV>
            <wp:extent cx="7747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-8255</wp:posOffset>
            </wp:positionV>
            <wp:extent cx="685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6858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-8255</wp:posOffset>
            </wp:positionV>
            <wp:extent cx="685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4" w:lineRule="exact"/>
        <w:rPr>
          <w:sz w:val="20"/>
          <w:szCs w:val="20"/>
          <w:color w:val="auto"/>
        </w:rPr>
      </w:pPr>
    </w:p>
    <w:p>
      <w:pPr>
        <w:ind w:left="1020" w:hanging="499"/>
        <w:spacing w:after="0" w:line="212" w:lineRule="auto"/>
        <w:tabs>
          <w:tab w:leader="none" w:pos="102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Unused facility and other fees for the nine months ended September 30, 2024 include supplemental fees of $0.5 million, which were incurred only in the first half of 2024 and were nonrecurring in nature.</w:t>
      </w:r>
    </w:p>
    <w:p>
      <w:pPr>
        <w:sectPr>
          <w:pgSz w:w="11900" w:h="16838" w:orient="portrait"/>
          <w:cols w:equalWidth="0" w:num="1">
            <w:col w:w="11240"/>
          </w:cols>
          <w:pgMar w:left="320" w:top="769"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31, 2019, the Company entered into a Credit Agreement with KeyBank National Association, acting as administrative agent and syndication agent and the other lenders party thereto, which initially provided the Company with a $100.0 million commitment, subject to borrowing base requirements (as amended and restated from time to time, the “Credit Facility”). As of September 30, 2024, the Company had $550.0 million in total commitments available under the Credit Facility, subject to an accordion feature that allows the Company to increase the total commitments under the Credit Facility up to $600.0 million. The availability period under the Credit Facility expires on April 20, 2025 and is followed by a one-year amortization period. The stated maturity date under the Credit Facility is April 20, 2026, unless extended.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Credit Facility bear interest on a per annum rate equal to the Adjusted Term SOFR plus an applicable margin rate that ranges from 2.95% to 3.35% per annum depending on the Company’s leverage ratio and number of eligible loans in the collateral pool. The Credit Facility provides for a variable advance rate of up to 65% on eligible term loans. The Company also pays an unused commitment fee that ranges from 0.25% to 1.00% per annum based on the total unused lender commitments under the Credit Facility.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Facility is collateralized by all eligible investment assets held by the Company. The Credit Facility contains representations, warranties, and affirmative and negative covenants customary for secured financings of this type, including certain financial covenants such as a consolidated tangible net worth requirement and a required asset coverage ratio.</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2024, the weighted average outstanding principal balance was $273.0 million and $248.1 million, respectively, and the weighted average effective interest rate was 8.55% and 8.54%, respectively. For the three and nine months ended September 30, 2023, the weighted average outstanding principal balance was $250.3 million and $298.0 million, respectively, and the weighted average effective interest rate was 8.07% and 7.99%,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Notes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December 10, 2021, the Company entered into a master note purchase agreement, completing a private debt offering of $70.0 million in aggregate principal amount of 4.25% interest-bearing unsecured Series 2021A Senior Notes due 2026 (the “December 2026 Notes”) to institutional accredited investors (as defined in Regulation D under the Securities Act of 1933, as amended (the "Securities Act")). The December 2026 Notes were issued in two closings: the initial issuance of $20.0 million closed on December 10, 2021 and the second issuance of $50.0 million closed on February 10, 2022. On April 13, 2023, the Company completed the first supplement to the master note purchase agreement, resulting in an additional private debt offering of $25.0 million in aggregate principal amount of 8.54% interest-bearing unsecured Series 2023A Senior Notes due 2026 (the “April 2026 Notes”) to institutional accredited investors (as defined in the Securities Act). The December 2026 Notes and the April 2026 Notes (collectively the "2026 Notes") are subject to a 1.00% increase in the respective interest rates in the event that, subject to certain exceptions, the 2026 Notes cease to have an investment grade rating or receive an investment grade rating below the Investment Grade (as defined in the master note purchase agreement). The 2026 Notes are general unsecured obligations of the Company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outstanding and future unsecured unsubordinated indebtedness issued by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2026 Notes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December 2026 Notes bear an interest rate of 4.25% per year and are due on December 10, 2026, unless redeemed, purchased or prepaid prior to such date by the Company or its affiliates in accordance with their terms. Interest on the December 2026 Notes will be due semiannually in arrears on June 10 and December 10 of each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Aggregate costs in connection with the December 2026 Notes issuance were $1.0 million, and were capitalized and deferred. As of September 30, 2024 and December 31, 2023, unamortized deferred financing costs related to the December 2026 Notes were $0.4 million and $0.6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2026 Notes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April 2026 Notes bear an interest rate of 8.54% per year and are due on April 13, 2026, unless redeemed, purchased or prepaid prior to such date by the Company or its affiliates in accordance with their terms. Interest on the April 2026 Notes will be due semiannually in arrears on April 13 and October 13 of each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Aggregate costs in connection with the April 2026 Notes issuance were $0.4 million, and were capitalized and deferred. As of September 30, 2024 and December 31, 2023</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unamortized deferred financing costs related to the April 2026 Notes were $0.2 million and $0.3 million, respectively.</w:t>
      </w:r>
    </w:p>
    <w:p>
      <w:pPr>
        <w:sectPr>
          <w:pgSz w:w="11900" w:h="16838" w:orient="portrait"/>
          <w:cols w:equalWidth="0" w:num="1">
            <w:col w:w="11240"/>
          </w:cols>
          <w:pgMar w:left="320" w:top="769"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2027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2027 Notes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28, 2022, the Company issued and sold $80.5 million in aggregate principal amount of 7.50% interest-bearing unsecured Notes due 2027 (the “July 2027 Notes”) under its shelf Registration Statement on Form N-2. The July 2027 Notes were issued pursuant to the Base Indenture dated July 28, 2022 (the “Base Indenture”) and First Supplemental Indenture, dated July 28, 2022 (together with the Base Indenture, the “Indenture”), between the Company and the Trustee, U.S. Bank Trust Company, National Association.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July 2027 Notes bear an interest rate of 7.50% per year and are due on July 28, 2027. Interest on the 2027 Notes will be due quarterly in arrears on March 1, June 1, September 1 and December 1 of each year. The July 2027 Notes may be redeemed in whole or in part at any time or from time to time at the Company’s option on or after July 28, 2024, at a redemption price of $25 per July 2027 Note plus accrued and unpaid interest payments otherwise payable for the then-current quarterly interest period accrued to the date fixed for redemption. The July 2027 Notes are general unsecured obligations of the Company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Company's existing and future unsecured, unsubordinated indebtedness.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Aggregate costs in connection with the July 2027 Notes issuance, including the underwriter’s discount and commissions, were $2.7 million, and were capitalized and deferred. As of September 30, 2024 and December 31, 2023, unamortized deferred financing costs related to the July 2027 Notes were $1.5 million and $1.9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August 2027 Notes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31, 2022, the Company issued and sold a private debt offering of $20.0 million in aggregate principal amount of 7.00% interest-bearing unsecured Series 2022A Senior Notes due 2027 (the “August 2027 Notes”) to HCM Master Fund Limited.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August 2027 Notes bear an interest rate of 7.00% per year and are due on August 31, 2027, unless redeemed, purchased or prepaid prior to such date by the Company or its affiliates in accordance with their terms. Interest on the August 2027 Notes will be due semiannually in arrears on February 15 and August 15 of each year. The August 2027 Notes are general unsecured obligations of the Company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outstanding and future unsecured unsubordinated indebtedness issued by the Company.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Aggregate costs in connection with the August 2027 Notes issuance were $0.7 million, and were capitalized and deferred. As of September 30, 2024 and December 31, 2023, unamortized deferred financing costs related to the August 2027 Notes were $0.4 million and $0.5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2027 Notes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7, 2022, the Company issued and sold $51.75 million in aggregate principal amount of 8.00% interest-bearing unsecured Notes due 2027 (the "December 2027 Notes") under its shelf Registration Statement on Form N-2. The December 2027 Notes were issued pursuant to the Base Indenture and Second Supplemental Indenture, dated December 7, 2022, between the Company and the Trustee, U.S. Bank Trust Company, National Association.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December 2027 Notes bear an interest rate of 8.0% per year and are due on December 28, 2027. Interest on the December 2027 Notes will be due quarterly in arrears on March 1, June 1, September 1, and December 1 of each year. The December 2027 Notes may be redeemed in whole or in part at any time or from time to time at the Company's option on or after December 31, 2024, at a redemption price of $25 per December 2027 Note plus accrued and unpaid interest payments otherwise payable for the then-current quarterly interest period accrued to the date fixed for redemption. The December 2027 Notes are general unsecured obligations of the Company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Company's existing and future unsecured, unsubordinated indebtedness.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Aggregate costs in connection with the December 2027 Notes issuance, including the underwriter's discount and commissions, were $1.9 million, and were capitalized and deferred. As of September 30, 2024 and December 31, 2023, unamortized deferred financing costs related to the December 2027 Notes were $1.2 million and $1.5 million,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contractual obligations as of September 30, 2024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Contractual Obligations </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6"/>
                <w:szCs w:val="16"/>
                <w:color w:val="auto"/>
              </w:rPr>
            </w:pPr>
          </w:p>
        </w:tc>
        <w:tc>
          <w:tcPr>
            <w:tcW w:w="16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40" w:type="dxa"/>
            <w:vAlign w:val="bottom"/>
            <w:tcBorders>
              <w:top w:val="single" w:sz="8" w:color="auto"/>
            </w:tcBorders>
            <w:shd w:val="clear" w:color="auto" w:fill="CFF0FC"/>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Borrowings </w:t>
            </w:r>
            <w:r>
              <w:rPr>
                <w:rFonts w:ascii="Times New Roman" w:cs="Times New Roman" w:eastAsia="Times New Roman" w:hAnsi="Times New Roman"/>
                <w:sz w:val="19"/>
                <w:szCs w:val="19"/>
                <w:color w:val="auto"/>
                <w:vertAlign w:val="superscript"/>
              </w:rPr>
              <w:t>(2)</w:t>
            </w:r>
          </w:p>
        </w:tc>
        <w:tc>
          <w:tcPr>
            <w:tcW w:w="12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Credit Facility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302,000</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2026 Notes</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2027 Notes</w:t>
            </w: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152,250</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100,500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51,750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Borrowings</w:t>
            </w: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549,250</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497,500</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51,750</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Incentive Fees</w:t>
            </w: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11,813</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7,554</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w w:val="99"/>
              </w:rPr>
              <w:t>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561,063</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505,054</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54,219</w:t>
            </w:r>
          </w:p>
        </w:tc>
        <w:tc>
          <w:tcPr>
            <w:tcW w:w="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ind w:left="1160"/>
              <w:spacing w:after="0"/>
              <w:rPr>
                <w:sz w:val="20"/>
                <w:szCs w:val="20"/>
                <w:color w:val="auto"/>
              </w:rPr>
            </w:pPr>
            <w:r>
              <w:rPr>
                <w:rFonts w:ascii="Times New Roman" w:cs="Times New Roman" w:eastAsia="Times New Roman" w:hAnsi="Times New Roman"/>
                <w:sz w:val="14"/>
                <w:szCs w:val="14"/>
                <w:color w:val="auto"/>
                <w:w w:val="99"/>
              </w:rPr>
              <w:t>84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-25400</wp:posOffset>
            </wp:positionV>
            <wp:extent cx="7683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-7620</wp:posOffset>
            </wp:positionV>
            <wp:extent cx="7683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-25400</wp:posOffset>
            </wp:positionV>
            <wp:extent cx="7747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7747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 w:lineRule="exact"/>
        <w:rPr>
          <w:sz w:val="20"/>
          <w:szCs w:val="20"/>
          <w:color w:val="auto"/>
        </w:rPr>
      </w:pPr>
    </w:p>
    <w:p>
      <w:pPr>
        <w:ind w:left="760" w:hanging="374"/>
        <w:spacing w:after="0"/>
        <w:tabs>
          <w:tab w:leader="none" w:pos="76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interest payable on borrowings, accrued expenses, and commitments to extend credit to the Company’s portfolio companies.</w:t>
      </w:r>
    </w:p>
    <w:p>
      <w:pPr>
        <w:spacing w:after="0" w:line="72" w:lineRule="exact"/>
        <w:rPr>
          <w:rFonts w:ascii="Times New Roman" w:cs="Times New Roman" w:eastAsia="Times New Roman" w:hAnsi="Times New Roman"/>
          <w:sz w:val="19"/>
          <w:szCs w:val="19"/>
          <w:color w:val="auto"/>
          <w:vertAlign w:val="superscript"/>
        </w:rPr>
      </w:pPr>
    </w:p>
    <w:p>
      <w:pPr>
        <w:ind w:left="760" w:hanging="374"/>
        <w:spacing w:after="0" w:line="201" w:lineRule="auto"/>
        <w:tabs>
          <w:tab w:leader="none" w:pos="76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represent future principal repayments and not the carrying value of each liability (refer to “Note 7 – Borrowings”).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contractual obligations as of December 31, 2023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Contractual Obligations </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6"/>
                <w:szCs w:val="16"/>
                <w:color w:val="auto"/>
              </w:rPr>
            </w:pPr>
          </w:p>
        </w:tc>
        <w:tc>
          <w:tcPr>
            <w:tcW w:w="16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4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Borrowings </w:t>
            </w:r>
            <w:r>
              <w:rPr>
                <w:rFonts w:ascii="Times New Roman" w:cs="Times New Roman" w:eastAsia="Times New Roman" w:hAnsi="Times New Roman"/>
                <w:sz w:val="19"/>
                <w:szCs w:val="19"/>
                <w:color w:val="auto"/>
                <w:vertAlign w:val="superscript"/>
              </w:rPr>
              <w:t>(2)</w:t>
            </w: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2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Credit Facility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272,000</w:t>
            </w:r>
          </w:p>
        </w:tc>
        <w:tc>
          <w:tcPr>
            <w:tcW w:w="30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272,000</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2026 Notes</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8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2027 Notes</w:t>
            </w:r>
          </w:p>
        </w:tc>
        <w:tc>
          <w:tcPr>
            <w:tcW w:w="12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152,250</w:t>
            </w:r>
          </w:p>
        </w:tc>
        <w:tc>
          <w:tcPr>
            <w:tcW w:w="3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152,250</w:t>
            </w:r>
          </w:p>
        </w:tc>
        <w:tc>
          <w:tcPr>
            <w:tcW w:w="2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Borrowings</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519,250</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152,250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Deferred Incentive Fees</w:t>
            </w:r>
          </w:p>
        </w:tc>
        <w:tc>
          <w:tcPr>
            <w:tcW w:w="12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9,165</w:t>
            </w:r>
          </w:p>
        </w:tc>
        <w:tc>
          <w:tcPr>
            <w:tcW w:w="3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2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3,919</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2,548</w:t>
            </w:r>
          </w:p>
        </w:tc>
        <w:tc>
          <w:tcPr>
            <w:tcW w:w="2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528,415</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370,919</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154,798</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-471170</wp:posOffset>
            </wp:positionV>
            <wp:extent cx="7683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-471170</wp:posOffset>
            </wp:positionV>
            <wp:extent cx="7747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-471170</wp:posOffset>
            </wp:positionV>
            <wp:extent cx="6858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-471170</wp:posOffset>
            </wp:positionV>
            <wp:extent cx="6858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-239395</wp:posOffset>
            </wp:positionV>
            <wp:extent cx="7683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-239395</wp:posOffset>
            </wp:positionV>
            <wp:extent cx="7747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-239395</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-239395</wp:posOffset>
            </wp:positionV>
            <wp:extent cx="685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 w:lineRule="exact"/>
        <w:rPr>
          <w:sz w:val="20"/>
          <w:szCs w:val="20"/>
          <w:color w:val="auto"/>
        </w:rPr>
      </w:pPr>
    </w:p>
    <w:p>
      <w:pPr>
        <w:ind w:left="760" w:hanging="374"/>
        <w:spacing w:after="0"/>
        <w:tabs>
          <w:tab w:leader="none" w:pos="76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interest payable on borrowings, accrued expenses, and commitments to extend credit to the Company’s portfolio companies.</w:t>
      </w:r>
    </w:p>
    <w:p>
      <w:pPr>
        <w:spacing w:after="0" w:line="72" w:lineRule="exact"/>
        <w:rPr>
          <w:rFonts w:ascii="Times New Roman" w:cs="Times New Roman" w:eastAsia="Times New Roman" w:hAnsi="Times New Roman"/>
          <w:sz w:val="19"/>
          <w:szCs w:val="19"/>
          <w:color w:val="auto"/>
          <w:vertAlign w:val="superscript"/>
        </w:rPr>
      </w:pPr>
    </w:p>
    <w:p>
      <w:pPr>
        <w:ind w:left="760" w:hanging="374"/>
        <w:spacing w:after="0" w:line="201" w:lineRule="auto"/>
        <w:tabs>
          <w:tab w:leader="none" w:pos="76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represent future principal repayments and not the carrying value of each liability (refer to “Note 7 – Borrowings”).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RGC are not currently subject to any material legal proceedings, nor, to the Company's knowledge, is any material legal proceeding threatened against the Company or RGC. From time to time, the Company or RGC may be a party to certain legal proceedings in the ordinary course of business, including proceedings relating to the enforcement of their rights under contracts with its portfolio companies. The Company's business is also subject to extensive regulation, which may result in regulatory proceedings against it. While the outcome of any such legal proceedings cannot be predicted with certainty, the Company does not expect that any such proceedings will have a material effect upon its financial condition or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may enter into investment agreements under which it commits to make an investment in a portfolio company at some future date or over a specified period of time. These unfunded contractual commitments to provide funds to portfolio companies are not reflected on our balance sheet. With the exception of the JV, the availability of such unfunded commitments is subject to the specific terms and conditions of each contract, which may include, among other things, portfolio company performance requirements and time-based cancellation provisions. As a result, only a portion of unfunded commitments is currently eligible to be drawn.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unfunded commitments to provide debt and equity financing to its portfolio companies and Runway-Cadma I LLC amounted to $260.4 million and $201.5 million as of September 30, 2024 and December 31, 2023, respectively, shown in the table below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00" w:type="dxa"/>
            <w:vAlign w:val="bottom"/>
          </w:tcPr>
          <w:p>
            <w:pPr>
              <w:spacing w:after="0"/>
              <w:rPr>
                <w:sz w:val="16"/>
                <w:szCs w:val="16"/>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16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3PL Central LLC (dba Extensiv)</w:t>
            </w:r>
          </w:p>
        </w:tc>
        <w:tc>
          <w:tcPr>
            <w:tcW w:w="200" w:type="dxa"/>
            <w:vAlign w:val="bottom"/>
            <w:shd w:val="clear" w:color="auto" w:fill="CFF0FC"/>
          </w:tcPr>
          <w:p>
            <w:pPr>
              <w:spacing w:after="0"/>
              <w:rPr>
                <w:sz w:val="14"/>
                <w:szCs w:val="14"/>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11,500</w:t>
            </w:r>
          </w:p>
        </w:tc>
        <w:tc>
          <w:tcPr>
            <w:tcW w:w="100" w:type="dxa"/>
            <w:vAlign w:val="bottom"/>
            <w:shd w:val="clear" w:color="auto" w:fill="CFF0FC"/>
          </w:tcPr>
          <w:p>
            <w:pPr>
              <w:spacing w:after="0"/>
              <w:rPr>
                <w:sz w:val="14"/>
                <w:szCs w:val="14"/>
                <w:color w:val="auto"/>
              </w:rPr>
            </w:pPr>
          </w:p>
        </w:tc>
      </w:tr>
      <w:tr>
        <w:trPr>
          <w:trHeight w:val="17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Betterment Holdings, Inc.</w:t>
            </w: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5"/>
                <w:szCs w:val="15"/>
                <w:color w:val="auto"/>
              </w:rPr>
            </w:pPr>
          </w:p>
        </w:tc>
      </w:tr>
      <w:tr>
        <w:trPr>
          <w:trHeight w:val="175"/>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Blueshift Labs, Inc.</w:t>
            </w:r>
          </w:p>
        </w:tc>
        <w:tc>
          <w:tcPr>
            <w:tcW w:w="200" w:type="dxa"/>
            <w:vAlign w:val="bottom"/>
            <w:shd w:val="clear" w:color="auto" w:fill="CFF0FC"/>
          </w:tcPr>
          <w:p>
            <w:pPr>
              <w:spacing w:after="0"/>
              <w:rPr>
                <w:sz w:val="15"/>
                <w:szCs w:val="15"/>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14,500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14,500</w:t>
            </w:r>
          </w:p>
        </w:tc>
        <w:tc>
          <w:tcPr>
            <w:tcW w:w="100" w:type="dxa"/>
            <w:vAlign w:val="bottom"/>
            <w:shd w:val="clear" w:color="auto" w:fill="CFF0FC"/>
          </w:tcPr>
          <w:p>
            <w:pPr>
              <w:spacing w:after="0"/>
              <w:rPr>
                <w:sz w:val="15"/>
                <w:szCs w:val="15"/>
                <w:color w:val="auto"/>
              </w:rPr>
            </w:pPr>
          </w:p>
        </w:tc>
      </w:tr>
      <w:tr>
        <w:trPr>
          <w:trHeight w:val="17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Bombora, Inc.</w:t>
            </w: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5"/>
                <w:szCs w:val="15"/>
                <w:color w:val="auto"/>
              </w:rPr>
            </w:pPr>
          </w:p>
        </w:tc>
      </w:tr>
      <w:tr>
        <w:trPr>
          <w:trHeight w:val="17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Brivo, Inc.</w:t>
            </w:r>
          </w:p>
        </w:tc>
        <w:tc>
          <w:tcPr>
            <w:tcW w:w="200" w:type="dxa"/>
            <w:vAlign w:val="bottom"/>
            <w:shd w:val="clear" w:color="auto" w:fill="CFF0FC"/>
          </w:tcPr>
          <w:p>
            <w:pPr>
              <w:spacing w:after="0"/>
              <w:rPr>
                <w:sz w:val="15"/>
                <w:szCs w:val="15"/>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shd w:val="clear" w:color="auto" w:fill="CFF0FC"/>
          </w:tcPr>
          <w:p>
            <w:pPr>
              <w:spacing w:after="0"/>
              <w:rPr>
                <w:sz w:val="15"/>
                <w:szCs w:val="15"/>
                <w:color w:val="auto"/>
              </w:rPr>
            </w:pPr>
          </w:p>
        </w:tc>
      </w:tr>
      <w:tr>
        <w:trPr>
          <w:trHeight w:val="175"/>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CarNow, Inc.</w:t>
            </w: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EBR Systems, Inc.</w:t>
            </w:r>
          </w:p>
        </w:tc>
        <w:tc>
          <w:tcPr>
            <w:tcW w:w="200" w:type="dxa"/>
            <w:vAlign w:val="bottom"/>
            <w:shd w:val="clear" w:color="auto" w:fill="CFF0FC"/>
          </w:tcPr>
          <w:p>
            <w:pPr>
              <w:spacing w:after="0"/>
              <w:rPr>
                <w:sz w:val="15"/>
                <w:szCs w:val="15"/>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FF0FC"/>
          </w:tcPr>
          <w:p>
            <w:pPr>
              <w:spacing w:after="0"/>
              <w:rPr>
                <w:sz w:val="15"/>
                <w:szCs w:val="15"/>
                <w:color w:val="auto"/>
              </w:rPr>
            </w:pPr>
          </w:p>
        </w:tc>
      </w:tr>
      <w:tr>
        <w:trPr>
          <w:trHeight w:val="175"/>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Elevate Services, Inc.</w:t>
            </w: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Interactions Corporation</w:t>
            </w:r>
          </w:p>
        </w:tc>
        <w:tc>
          <w:tcPr>
            <w:tcW w:w="200" w:type="dxa"/>
            <w:vAlign w:val="bottom"/>
            <w:shd w:val="clear" w:color="auto" w:fill="CFF0FC"/>
          </w:tcPr>
          <w:p>
            <w:pPr>
              <w:spacing w:after="0"/>
              <w:rPr>
                <w:sz w:val="15"/>
                <w:szCs w:val="15"/>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FF0FC"/>
          </w:tcPr>
          <w:p>
            <w:pPr>
              <w:spacing w:after="0"/>
              <w:rPr>
                <w:sz w:val="15"/>
                <w:szCs w:val="15"/>
                <w:color w:val="auto"/>
              </w:rPr>
            </w:pPr>
          </w:p>
        </w:tc>
      </w:tr>
      <w:tr>
        <w:trPr>
          <w:trHeight w:val="17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Linxup, LLC</w:t>
            </w: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00" w:type="dxa"/>
            <w:vAlign w:val="bottom"/>
          </w:tcPr>
          <w:p>
            <w:pPr>
              <w:spacing w:after="0"/>
              <w:rPr>
                <w:sz w:val="15"/>
                <w:szCs w:val="15"/>
                <w:color w:val="auto"/>
              </w:rPr>
            </w:pPr>
          </w:p>
        </w:tc>
      </w:tr>
      <w:tr>
        <w:trPr>
          <w:trHeight w:val="175"/>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Madison Reed, Inc.</w:t>
            </w:r>
          </w:p>
        </w:tc>
        <w:tc>
          <w:tcPr>
            <w:tcW w:w="200" w:type="dxa"/>
            <w:vAlign w:val="bottom"/>
            <w:shd w:val="clear" w:color="auto" w:fill="CFF0FC"/>
          </w:tcPr>
          <w:p>
            <w:pPr>
              <w:spacing w:after="0"/>
              <w:rPr>
                <w:sz w:val="15"/>
                <w:szCs w:val="15"/>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shd w:val="clear" w:color="auto" w:fill="CFF0FC"/>
          </w:tcPr>
          <w:p>
            <w:pPr>
              <w:spacing w:after="0"/>
              <w:rPr>
                <w:sz w:val="15"/>
                <w:szCs w:val="15"/>
                <w:color w:val="auto"/>
              </w:rPr>
            </w:pPr>
          </w:p>
        </w:tc>
      </w:tr>
      <w:tr>
        <w:trPr>
          <w:trHeight w:val="17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Moximed, Inc.</w:t>
            </w: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5"/>
                <w:szCs w:val="15"/>
                <w:color w:val="auto"/>
              </w:rPr>
            </w:pPr>
          </w:p>
        </w:tc>
      </w:tr>
      <w:tr>
        <w:trPr>
          <w:trHeight w:val="175"/>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Nalu Medical, Inc.</w:t>
            </w:r>
          </w:p>
        </w:tc>
        <w:tc>
          <w:tcPr>
            <w:tcW w:w="200" w:type="dxa"/>
            <w:vAlign w:val="bottom"/>
            <w:shd w:val="clear" w:color="auto" w:fill="CFF0FC"/>
          </w:tcPr>
          <w:p>
            <w:pPr>
              <w:spacing w:after="0"/>
              <w:rPr>
                <w:sz w:val="15"/>
                <w:szCs w:val="15"/>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FF0FC"/>
          </w:tcPr>
          <w:p>
            <w:pPr>
              <w:spacing w:after="0"/>
              <w:rPr>
                <w:sz w:val="15"/>
                <w:szCs w:val="15"/>
                <w:color w:val="auto"/>
              </w:rPr>
            </w:pPr>
          </w:p>
        </w:tc>
      </w:tr>
      <w:tr>
        <w:trPr>
          <w:trHeight w:val="17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Onward Medical, N.V.</w:t>
            </w: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38,982</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Route 92 Medical, Inc.</w:t>
            </w:r>
          </w:p>
        </w:tc>
        <w:tc>
          <w:tcPr>
            <w:tcW w:w="200" w:type="dxa"/>
            <w:vAlign w:val="bottom"/>
            <w:shd w:val="clear" w:color="auto" w:fill="CFF0FC"/>
          </w:tcPr>
          <w:p>
            <w:pPr>
              <w:spacing w:after="0"/>
              <w:rPr>
                <w:sz w:val="15"/>
                <w:szCs w:val="15"/>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shd w:val="clear" w:color="auto" w:fill="CFF0FC"/>
          </w:tcPr>
          <w:p>
            <w:pPr>
              <w:spacing w:after="0"/>
              <w:rPr>
                <w:sz w:val="15"/>
                <w:szCs w:val="15"/>
                <w:color w:val="auto"/>
              </w:rPr>
            </w:pPr>
          </w:p>
        </w:tc>
      </w:tr>
      <w:tr>
        <w:trPr>
          <w:trHeight w:val="17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Runway-Cadma I LLC</w:t>
            </w: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Joint Venture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29,400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SetPoint Medical Corporation</w:t>
            </w:r>
          </w:p>
        </w:tc>
        <w:tc>
          <w:tcPr>
            <w:tcW w:w="200" w:type="dxa"/>
            <w:vAlign w:val="bottom"/>
            <w:shd w:val="clear" w:color="auto" w:fill="CFF0FC"/>
          </w:tcPr>
          <w:p>
            <w:pPr>
              <w:spacing w:after="0"/>
              <w:rPr>
                <w:sz w:val="15"/>
                <w:szCs w:val="15"/>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FF0FC"/>
          </w:tcPr>
          <w:p>
            <w:pPr>
              <w:spacing w:after="0"/>
              <w:rPr>
                <w:sz w:val="15"/>
                <w:szCs w:val="15"/>
                <w:color w:val="auto"/>
              </w:rPr>
            </w:pPr>
          </w:p>
        </w:tc>
      </w:tr>
      <w:tr>
        <w:trPr>
          <w:trHeight w:val="175"/>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Skillshare, Inc.</w:t>
            </w: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5"/>
                <w:szCs w:val="15"/>
                <w:color w:val="auto"/>
              </w:rPr>
            </w:pPr>
          </w:p>
        </w:tc>
      </w:tr>
      <w:tr>
        <w:trPr>
          <w:trHeight w:val="17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Snagajob.com, Inc.</w:t>
            </w:r>
          </w:p>
        </w:tc>
        <w:tc>
          <w:tcPr>
            <w:tcW w:w="200" w:type="dxa"/>
            <w:vAlign w:val="bottom"/>
            <w:shd w:val="clear" w:color="auto" w:fill="CFF0FC"/>
          </w:tcPr>
          <w:p>
            <w:pPr>
              <w:spacing w:after="0"/>
              <w:rPr>
                <w:sz w:val="15"/>
                <w:szCs w:val="15"/>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6,785</w:t>
            </w:r>
          </w:p>
        </w:tc>
        <w:tc>
          <w:tcPr>
            <w:tcW w:w="100" w:type="dxa"/>
            <w:vAlign w:val="bottom"/>
            <w:shd w:val="clear" w:color="auto" w:fill="CFF0FC"/>
          </w:tcPr>
          <w:p>
            <w:pPr>
              <w:spacing w:after="0"/>
              <w:rPr>
                <w:sz w:val="15"/>
                <w:szCs w:val="15"/>
                <w:color w:val="auto"/>
              </w:rPr>
            </w:pPr>
          </w:p>
        </w:tc>
      </w:tr>
      <w:tr>
        <w:trPr>
          <w:trHeight w:val="175"/>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Snagajob.com, Inc.</w:t>
            </w: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Convertible Note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100" w:type="dxa"/>
            <w:vAlign w:val="bottom"/>
          </w:tcPr>
          <w:p>
            <w:pPr>
              <w:spacing w:after="0"/>
              <w:rPr>
                <w:sz w:val="15"/>
                <w:szCs w:val="15"/>
                <w:color w:val="auto"/>
              </w:rPr>
            </w:pPr>
          </w:p>
        </w:tc>
      </w:tr>
      <w:tr>
        <w:trPr>
          <w:trHeight w:val="175"/>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Snap! Mobile, Inc.</w:t>
            </w:r>
          </w:p>
        </w:tc>
        <w:tc>
          <w:tcPr>
            <w:tcW w:w="200" w:type="dxa"/>
            <w:vAlign w:val="bottom"/>
            <w:shd w:val="clear" w:color="auto" w:fill="CFF0FC"/>
          </w:tcPr>
          <w:p>
            <w:pPr>
              <w:spacing w:after="0"/>
              <w:rPr>
                <w:sz w:val="15"/>
                <w:szCs w:val="15"/>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Synack, Inc.</w:t>
            </w: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5"/>
                <w:szCs w:val="15"/>
                <w:color w:val="auto"/>
              </w:rPr>
            </w:pPr>
          </w:p>
        </w:tc>
      </w:tr>
      <w:tr>
        <w:trPr>
          <w:trHeight w:val="175"/>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Zinnia Corporate Holdings, LLC</w:t>
            </w:r>
          </w:p>
        </w:tc>
        <w:tc>
          <w:tcPr>
            <w:tcW w:w="200" w:type="dxa"/>
            <w:vAlign w:val="bottom"/>
            <w:tcBorders>
              <w:bottom w:val="single" w:sz="8" w:color="CFF0FC"/>
            </w:tcBorders>
            <w:shd w:val="clear" w:color="auto" w:fill="CFF0FC"/>
          </w:tcPr>
          <w:p>
            <w:pPr>
              <w:spacing w:after="0"/>
              <w:rPr>
                <w:sz w:val="15"/>
                <w:szCs w:val="15"/>
                <w:color w:val="auto"/>
              </w:rPr>
            </w:pPr>
          </w:p>
        </w:tc>
        <w:tc>
          <w:tcPr>
            <w:tcW w:w="27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5,333</w:t>
            </w:r>
          </w:p>
        </w:tc>
        <w:tc>
          <w:tcPr>
            <w:tcW w:w="2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44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unused commitments to extend financing</w:t>
            </w:r>
          </w:p>
        </w:tc>
        <w:tc>
          <w:tcPr>
            <w:tcW w:w="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6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260,411</w:t>
            </w:r>
          </w:p>
        </w:tc>
        <w:tc>
          <w:tcPr>
            <w:tcW w:w="44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201,520</w:t>
            </w:r>
          </w:p>
        </w:tc>
        <w:tc>
          <w:tcPr>
            <w:tcW w:w="100" w:type="dxa"/>
            <w:vAlign w:val="bottom"/>
          </w:tcPr>
          <w:p>
            <w:pPr>
              <w:spacing w:after="0"/>
              <w:rPr>
                <w:sz w:val="14"/>
                <w:szCs w:val="14"/>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-145415</wp:posOffset>
            </wp:positionV>
            <wp:extent cx="6858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Net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the authority to issue 100,000,000 shares of common stock, par value $0.01 per share. In October 2015, in connection with the Company's formation, the Company issued and sold 1,667 shares of common stock to R. David Spreng, the President and Chief Executive Officer of the Company and Chairman of the Board of Directors, for an aggregate purchase price of $25 thousand.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Common Stock Offerings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 2017, the Company completed its initial private offering ("Initial Private Offering"), in which the Company issued 18,241,157 shares of its common stock to stockholders for a total purchase price of $275.0 million in reliance on exemptions from the registration requirements of the Securities Act, and other applicable securities laws.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October 15, 2019 and ending September 29, 2021, the Company completed multiple closings under its second private offering (the "Second Private Offering") and accepted aggregate capital commitments of $181.7 million. In connection with the Second Private Offering the Company issued 9,617,379 shares of its common stock for a total purchase price of $144.3 million. Concurrent with the IPO, all undrawn commitments under the Second Private Offering were cancelled.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2020 and March 24, 2021, the Company issued in aggregate 22,564 shares as an additional direct investment by Runway Growth Holdings LLC, an affiliate of RGC, at a per share price of $15.00 for total proceeds of $0.3 million in a private offering pursuant to an exemption from registration under Regulation D of the Securities Act.</w:t>
      </w:r>
    </w:p>
    <w:p>
      <w:pPr>
        <w:sectPr>
          <w:pgSz w:w="11900" w:h="16838" w:orient="portrait"/>
          <w:cols w:equalWidth="0" w:num="1">
            <w:col w:w="11240"/>
          </w:cols>
          <w:pgMar w:left="320" w:top="769"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25, 2021, the Company closed its IPO, issuing 6,850,000 shares of its common stock at a public offering price of $14.60 per share. Net of underwriting fees and offering costs, the Company received net cash proceeds of $93.0 million. The Company’s common stock began trading on NASDAQ on October 21, 2021 under the symbol “RWAY”.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24, 2022, the Board of Directors approved a share repurchase program (the “First Repurchase Program”) under which the Company was authorized to repurchase up to $25.0 million of its outstanding common stock, at management’s discretion from time to time in open-market transactions and in accordance with all applicable securities laws and regulations. The Company repurchased 871,345 shares of the Company's common stock under the First Repurchase Program for an aggregate purchase price of $10.8 million. The First Repurchase Program expired on February 24,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 2023, the Board of Directors approved a share repurchase program (the "Second Repurchase Program"), under which the Company was authorized to repurchase up to $25.0 million of the Company's outstanding shares of common stock, at management’s discretion from time to time in open-market transactions and in accordance with all applicable securities laws and regulations. The Company repurchased 1,961,938 shares in connection with the Second Repurchase Program for an aggregate purchase price of $23.5 million. The Second Repurchase Program expired on November 2,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30, 2024, the Board of Directors approved a share repurchase program (the "Third Repurchase Program") under which the Company may repurchase up to $15.0 million of the Company's outstanding shares of common stock, at management's discretion from time to time in open-market transactions and in accordance with all applicable securities laws and regulations. If not renewed, the Third Repurchase Program will terminate upon the earlier of (i) July 30, 2025 or (ii) the repurchase of $15.0 million of the Company's shares of common stock. As of September 30, 2024, the Company had repurchased 644,763 shares in connection with the Third Repurchase Program for an aggregate purchase price of $6.7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pay quarterly distributions to its stockholders out of assets legally available for distribution. All distributions will be paid at the discretion of the Board of Directors and will depend on the Company's earnings, financial condition, maintenance of RIC status for income tax purposes, compliance with applicable BDC regulations and such other factors as the Board of Directors may deem relevant from time to time.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declared and paid dividends in the amount of $17.3 million and $54.9 million, respectively, of which $17.1 million and $54.1 million, respectively, were distributed in cash and the remainder distributed in shares to stockholders pursuant to the Company’s Dividend Reinvestment Plan (as defined below). For the three and nine months ended September 30, 2023, the Company declared and paid dividends in the amount of $18.2 million and $54.7 million, respectively, of which $17.5 million and $52.4 million, respectively, were distributed in cash and the remainder distributed in shares to stockholders pursuant to the Company’s Dividend Reinvestment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Reinvestment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dividend reinvestment plan for common stockholders (the "Dividend Reinvestment Plan"). The Company's Dividend Reinvestment Plan is administered by its transfer agent on behalf of the Company's record holders and participating brokerage firms. Brokerage firms and other financial intermediaries may decide not to participate in the Company's Dividend Reinvestment Plan but may provide a similar distribution reinvestment plan for their clients. The share requirements of the Dividend Reinvestment Plan may be satisfied through the issuance of new common shares or through open market purchases of common shares by the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purchased 26,565 and 71,162 shares of common stock in the open market under the Dividend Reinvestment Plan for a total of $0.3 million and $0.9 million, respectively. During the three and nine months ended September 30, 2023, the Company purchased 54,929 and 182,433 shares of common stock in the open market and under the Dividend Reinvestment Plan for a total of $0.7 million and $2.3 million,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distributions declared and paid since inception through September 30,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6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 per Share</w:t>
            </w:r>
          </w:p>
        </w:tc>
      </w:tr>
      <w:tr>
        <w:trPr>
          <w:trHeight w:val="169"/>
        </w:trPr>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May 3, 2018</w:t>
            </w:r>
          </w:p>
        </w:tc>
        <w:tc>
          <w:tcPr>
            <w:tcW w:w="160" w:type="dxa"/>
            <w:vAlign w:val="bottom"/>
          </w:tcPr>
          <w:p>
            <w:pPr>
              <w:spacing w:after="0"/>
              <w:rPr>
                <w:sz w:val="14"/>
                <w:szCs w:val="14"/>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tcPr>
          <w:p>
            <w:pPr>
              <w:spacing w:after="0"/>
              <w:rPr>
                <w:sz w:val="14"/>
                <w:szCs w:val="14"/>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May 15, 2018</w:t>
            </w:r>
          </w:p>
        </w:tc>
        <w:tc>
          <w:tcPr>
            <w:tcW w:w="160" w:type="dxa"/>
            <w:vAlign w:val="bottom"/>
          </w:tcPr>
          <w:p>
            <w:pPr>
              <w:spacing w:after="0"/>
              <w:rPr>
                <w:sz w:val="14"/>
                <w:szCs w:val="14"/>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May 31, 2018</w:t>
            </w:r>
          </w:p>
        </w:tc>
        <w:tc>
          <w:tcPr>
            <w:tcW w:w="14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4"/>
                <w:szCs w:val="14"/>
                <w:color w:val="auto"/>
              </w:rPr>
            </w:pPr>
          </w:p>
        </w:tc>
      </w:tr>
      <w:tr>
        <w:trPr>
          <w:trHeight w:val="175"/>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July 26, 2018</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15, 2018</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31, 2018</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shd w:val="clear" w:color="auto" w:fill="CFF0FC"/>
          </w:tcPr>
          <w:p>
            <w:pPr>
              <w:spacing w:after="0"/>
              <w:rPr>
                <w:sz w:val="15"/>
                <w:szCs w:val="15"/>
                <w:color w:val="auto"/>
              </w:rPr>
            </w:pPr>
          </w:p>
        </w:tc>
      </w:tr>
      <w:tr>
        <w:trPr>
          <w:trHeight w:val="176"/>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1, 2018</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31, 2018</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15, 2018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Pr>
          <w:p>
            <w:pPr>
              <w:spacing w:after="0"/>
              <w:rPr>
                <w:sz w:val="15"/>
                <w:szCs w:val="15"/>
                <w:color w:val="auto"/>
              </w:rPr>
            </w:pPr>
          </w:p>
        </w:tc>
      </w:tr>
      <w:tr>
        <w:trPr>
          <w:trHeight w:val="175"/>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22, 2019</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22, 2019</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26, 2019</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FF0FC"/>
          </w:tcPr>
          <w:p>
            <w:pPr>
              <w:spacing w:after="0"/>
              <w:rPr>
                <w:sz w:val="15"/>
                <w:szCs w:val="15"/>
                <w:color w:val="auto"/>
              </w:rPr>
            </w:pPr>
          </w:p>
        </w:tc>
      </w:tr>
      <w:tr>
        <w:trPr>
          <w:trHeight w:val="176"/>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2, 2019</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7, 2019</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21, 2019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Pr>
          <w:p>
            <w:pPr>
              <w:spacing w:after="0"/>
              <w:rPr>
                <w:sz w:val="15"/>
                <w:szCs w:val="15"/>
                <w:color w:val="auto"/>
              </w:rPr>
            </w:pPr>
          </w:p>
        </w:tc>
      </w:tr>
      <w:tr>
        <w:trPr>
          <w:trHeight w:val="175"/>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May 2, 2019</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May 31, 2019</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July 16, 2019</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100" w:type="dxa"/>
            <w:vAlign w:val="bottom"/>
            <w:shd w:val="clear" w:color="auto" w:fill="CFF0FC"/>
          </w:tcPr>
          <w:p>
            <w:pPr>
              <w:spacing w:after="0"/>
              <w:rPr>
                <w:sz w:val="15"/>
                <w:szCs w:val="15"/>
                <w:color w:val="auto"/>
              </w:rPr>
            </w:pPr>
          </w:p>
        </w:tc>
      </w:tr>
      <w:tr>
        <w:trPr>
          <w:trHeight w:val="176"/>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30, 2019</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5, 2019</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26, 2019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Pr>
          <w:p>
            <w:pPr>
              <w:spacing w:after="0"/>
              <w:rPr>
                <w:sz w:val="15"/>
                <w:szCs w:val="15"/>
                <w:color w:val="auto"/>
              </w:rPr>
            </w:pPr>
          </w:p>
        </w:tc>
      </w:tr>
      <w:tr>
        <w:trPr>
          <w:trHeight w:val="176"/>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September 27, 2019</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September 30, 2019</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November 12, 2019</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shd w:val="clear" w:color="auto" w:fill="CFF0FC"/>
          </w:tcPr>
          <w:p>
            <w:pPr>
              <w:spacing w:after="0"/>
              <w:rPr>
                <w:sz w:val="15"/>
                <w:szCs w:val="15"/>
                <w:color w:val="auto"/>
              </w:rPr>
            </w:pPr>
          </w:p>
        </w:tc>
      </w:tr>
      <w:tr>
        <w:trPr>
          <w:trHeight w:val="175"/>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9, 2019</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10, 2019</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23, 2019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tcPr>
          <w:p>
            <w:pPr>
              <w:spacing w:after="0"/>
              <w:rPr>
                <w:sz w:val="15"/>
                <w:szCs w:val="15"/>
                <w:color w:val="auto"/>
              </w:rPr>
            </w:pPr>
          </w:p>
        </w:tc>
      </w:tr>
      <w:tr>
        <w:trPr>
          <w:trHeight w:val="176"/>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5, 2020</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6, 2020</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20, 2020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FF0FC"/>
          </w:tcPr>
          <w:p>
            <w:pPr>
              <w:spacing w:after="0"/>
              <w:rPr>
                <w:sz w:val="15"/>
                <w:szCs w:val="15"/>
                <w:color w:val="auto"/>
              </w:rPr>
            </w:pPr>
          </w:p>
        </w:tc>
      </w:tr>
      <w:tr>
        <w:trPr>
          <w:trHeight w:val="175"/>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7, 2020</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8, 2020</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21, 2020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Pr>
          <w:p>
            <w:pPr>
              <w:spacing w:after="0"/>
              <w:rPr>
                <w:sz w:val="15"/>
                <w:szCs w:val="15"/>
                <w:color w:val="auto"/>
              </w:rPr>
            </w:pPr>
          </w:p>
        </w:tc>
      </w:tr>
      <w:tr>
        <w:trPr>
          <w:trHeight w:val="176"/>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5, 2020</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6, 2020</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20, 2020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shd w:val="clear" w:color="auto" w:fill="CFF0FC"/>
          </w:tcPr>
          <w:p>
            <w:pPr>
              <w:spacing w:after="0"/>
              <w:rPr>
                <w:sz w:val="15"/>
                <w:szCs w:val="15"/>
                <w:color w:val="auto"/>
              </w:rPr>
            </w:pPr>
          </w:p>
        </w:tc>
      </w:tr>
      <w:tr>
        <w:trPr>
          <w:trHeight w:val="176"/>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 2020</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 2020</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12, 2020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00" w:type="dxa"/>
            <w:vAlign w:val="bottom"/>
          </w:tcPr>
          <w:p>
            <w:pPr>
              <w:spacing w:after="0"/>
              <w:rPr>
                <w:sz w:val="15"/>
                <w:szCs w:val="15"/>
                <w:color w:val="auto"/>
              </w:rPr>
            </w:pPr>
          </w:p>
        </w:tc>
      </w:tr>
      <w:tr>
        <w:trPr>
          <w:trHeight w:val="175"/>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4, 2021</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5, 2021</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19, 2021</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shd w:val="clear" w:color="auto" w:fill="CFF0FC"/>
          </w:tcPr>
          <w:p>
            <w:pPr>
              <w:spacing w:after="0"/>
              <w:rPr>
                <w:sz w:val="15"/>
                <w:szCs w:val="15"/>
                <w:color w:val="auto"/>
              </w:rPr>
            </w:pPr>
          </w:p>
        </w:tc>
      </w:tr>
      <w:tr>
        <w:trPr>
          <w:trHeight w:val="176"/>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29, 2021</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30, 2021</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13, 2021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tcPr>
          <w:p>
            <w:pPr>
              <w:spacing w:after="0"/>
              <w:rPr>
                <w:sz w:val="15"/>
                <w:szCs w:val="15"/>
                <w:color w:val="auto"/>
              </w:rPr>
            </w:pPr>
          </w:p>
        </w:tc>
      </w:tr>
      <w:tr>
        <w:trPr>
          <w:trHeight w:val="175"/>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July 19, 2021</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July 20, 2021</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12, 2021</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00" w:type="dxa"/>
            <w:vAlign w:val="bottom"/>
            <w:shd w:val="clear" w:color="auto" w:fill="CFF0FC"/>
          </w:tcPr>
          <w:p>
            <w:pPr>
              <w:spacing w:after="0"/>
              <w:rPr>
                <w:sz w:val="15"/>
                <w:szCs w:val="15"/>
                <w:color w:val="auto"/>
              </w:rPr>
            </w:pPr>
          </w:p>
        </w:tc>
      </w:tr>
      <w:tr>
        <w:trPr>
          <w:trHeight w:val="176"/>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28, 2021</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8, 2021</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22, 2021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5"/>
                <w:szCs w:val="15"/>
                <w:color w:val="auto"/>
              </w:rPr>
            </w:pPr>
          </w:p>
        </w:tc>
      </w:tr>
      <w:tr>
        <w:trPr>
          <w:trHeight w:val="175"/>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February 24, 2022</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8, 2022</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22, 2022</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00" w:type="dxa"/>
            <w:vAlign w:val="bottom"/>
            <w:shd w:val="clear" w:color="auto" w:fill="CFF0FC"/>
          </w:tcPr>
          <w:p>
            <w:pPr>
              <w:spacing w:after="0"/>
              <w:rPr>
                <w:sz w:val="15"/>
                <w:szCs w:val="15"/>
                <w:color w:val="auto"/>
              </w:rPr>
            </w:pPr>
          </w:p>
        </w:tc>
      </w:tr>
      <w:tr>
        <w:trPr>
          <w:trHeight w:val="176"/>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28, 2022</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10, 2022</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24, 2022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tcPr>
          <w:p>
            <w:pPr>
              <w:spacing w:after="0"/>
              <w:rPr>
                <w:sz w:val="15"/>
                <w:szCs w:val="15"/>
                <w:color w:val="auto"/>
              </w:rPr>
            </w:pPr>
          </w:p>
        </w:tc>
      </w:tr>
      <w:tr>
        <w:trPr>
          <w:trHeight w:val="176"/>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July 28, 2022</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9, 2022</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23, 2022</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shd w:val="clear" w:color="auto" w:fill="CFF0FC"/>
          </w:tcPr>
          <w:p>
            <w:pPr>
              <w:spacing w:after="0"/>
              <w:rPr>
                <w:sz w:val="15"/>
                <w:szCs w:val="15"/>
                <w:color w:val="auto"/>
              </w:rPr>
            </w:pPr>
          </w:p>
        </w:tc>
      </w:tr>
      <w:tr>
        <w:trPr>
          <w:trHeight w:val="175"/>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27, 2022</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8, 2022</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22, 2022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tcPr>
          <w:p>
            <w:pPr>
              <w:spacing w:after="0"/>
              <w:rPr>
                <w:sz w:val="15"/>
                <w:szCs w:val="15"/>
                <w:color w:val="auto"/>
              </w:rPr>
            </w:pPr>
          </w:p>
        </w:tc>
      </w:tr>
      <w:tr>
        <w:trPr>
          <w:trHeight w:val="176"/>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February 23, 2023</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7, 2023</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21, 2023</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FF0FC"/>
          </w:tcPr>
          <w:p>
            <w:pPr>
              <w:spacing w:after="0"/>
              <w:rPr>
                <w:sz w:val="15"/>
                <w:szCs w:val="15"/>
                <w:color w:val="auto"/>
              </w:rPr>
            </w:pPr>
          </w:p>
        </w:tc>
      </w:tr>
      <w:tr>
        <w:trPr>
          <w:trHeight w:val="175"/>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23, 2023</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Supplemental</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7, 2023</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21, 2023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5"/>
                <w:szCs w:val="15"/>
                <w:color w:val="auto"/>
              </w:rPr>
            </w:pPr>
          </w:p>
        </w:tc>
      </w:tr>
      <w:tr>
        <w:trPr>
          <w:trHeight w:val="176"/>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May 2, 2023</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May 15, 2023</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May 31, 2023</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FF0FC"/>
          </w:tcPr>
          <w:p>
            <w:pPr>
              <w:spacing w:after="0"/>
              <w:rPr>
                <w:sz w:val="15"/>
                <w:szCs w:val="15"/>
                <w:color w:val="auto"/>
              </w:rPr>
            </w:pPr>
          </w:p>
        </w:tc>
      </w:tr>
      <w:tr>
        <w:trPr>
          <w:trHeight w:val="176"/>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2, 2023</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Supplemental</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15, 2023</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31, 2023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5"/>
                <w:szCs w:val="15"/>
                <w:color w:val="auto"/>
              </w:rPr>
            </w:pPr>
          </w:p>
        </w:tc>
      </w:tr>
      <w:tr>
        <w:trPr>
          <w:trHeight w:val="175"/>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1, 2023</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15, 2023</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31, 2023</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FF0FC"/>
          </w:tcPr>
          <w:p>
            <w:pPr>
              <w:spacing w:after="0"/>
              <w:rPr>
                <w:sz w:val="15"/>
                <w:szCs w:val="15"/>
                <w:color w:val="auto"/>
              </w:rPr>
            </w:pPr>
          </w:p>
        </w:tc>
      </w:tr>
      <w:tr>
        <w:trPr>
          <w:trHeight w:val="176"/>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 2023</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Supplemental</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15, 2023</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31, 2023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5"/>
                <w:szCs w:val="15"/>
                <w:color w:val="auto"/>
              </w:rPr>
            </w:pPr>
          </w:p>
        </w:tc>
      </w:tr>
      <w:tr>
        <w:trPr>
          <w:trHeight w:val="175"/>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November 1, 2023</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November 13, 2023</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November 28, 2023</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FF0FC"/>
          </w:tcPr>
          <w:p>
            <w:pPr>
              <w:spacing w:after="0"/>
              <w:rPr>
                <w:sz w:val="15"/>
                <w:szCs w:val="15"/>
                <w:color w:val="auto"/>
              </w:rPr>
            </w:pPr>
          </w:p>
        </w:tc>
      </w:tr>
      <w:tr>
        <w:trPr>
          <w:trHeight w:val="175"/>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1, 2023</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Supplemental</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13, 2023</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28, 2023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Pr>
          <w:p>
            <w:pPr>
              <w:spacing w:after="0"/>
              <w:rPr>
                <w:sz w:val="15"/>
                <w:szCs w:val="15"/>
                <w:color w:val="auto"/>
              </w:rPr>
            </w:pPr>
          </w:p>
        </w:tc>
      </w:tr>
      <w:tr>
        <w:trPr>
          <w:trHeight w:val="175"/>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February 1, 2024</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February 12, 2024</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February 28, 2024</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FF0FC"/>
          </w:tcPr>
          <w:p>
            <w:pPr>
              <w:spacing w:after="0"/>
              <w:rPr>
                <w:sz w:val="15"/>
                <w:szCs w:val="15"/>
                <w:color w:val="auto"/>
              </w:rPr>
            </w:pPr>
          </w:p>
        </w:tc>
      </w:tr>
      <w:tr>
        <w:trPr>
          <w:trHeight w:val="175"/>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 2024</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Supplemental</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12, 2024</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28, 2024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5"/>
                <w:szCs w:val="15"/>
                <w:color w:val="auto"/>
              </w:rPr>
            </w:pPr>
          </w:p>
        </w:tc>
      </w:tr>
      <w:tr>
        <w:trPr>
          <w:trHeight w:val="175"/>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April 30, 2024</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May 10, 2024</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May 24, 2024</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FF0FC"/>
          </w:tcPr>
          <w:p>
            <w:pPr>
              <w:spacing w:after="0"/>
              <w:rPr>
                <w:sz w:val="15"/>
                <w:szCs w:val="15"/>
                <w:color w:val="auto"/>
              </w:rPr>
            </w:pPr>
          </w:p>
        </w:tc>
      </w:tr>
      <w:tr>
        <w:trPr>
          <w:trHeight w:val="175"/>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30, 2024</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Supplemental</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10, 2024</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24, 2024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5"/>
                <w:szCs w:val="15"/>
                <w:color w:val="auto"/>
              </w:rPr>
            </w:pPr>
          </w:p>
        </w:tc>
      </w:tr>
      <w:tr>
        <w:trPr>
          <w:trHeight w:val="176"/>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July 30, 2024</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12, 2024</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26, 2024</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FF0FC"/>
          </w:tcPr>
          <w:p>
            <w:pPr>
              <w:spacing w:after="0"/>
              <w:rPr>
                <w:sz w:val="15"/>
                <w:szCs w:val="15"/>
                <w:color w:val="auto"/>
              </w:rPr>
            </w:pPr>
          </w:p>
        </w:tc>
      </w:tr>
      <w:tr>
        <w:trPr>
          <w:trHeight w:val="175"/>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30, 2024</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Supplemental</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12, 2024</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26, 2024</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5"/>
                <w:szCs w:val="15"/>
                <w:color w:val="auto"/>
              </w:rPr>
            </w:pPr>
          </w:p>
        </w:tc>
      </w:tr>
      <w:tr>
        <w:trPr>
          <w:trHeight w:val="209"/>
        </w:trPr>
        <w:tc>
          <w:tcPr>
            <w:tcW w:w="25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CFF0FC"/>
            </w:tcBorders>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10.23</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elected to be treated as a RIC under Subchapter M of the Code starting with its taxable year ended December 31, 2016. The Company currently qualifies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consolidated financial statements of the Company. The Company intends to make sufficient distributions to maintain its RIC status each year and it does not anticipate paying any material United States federal income taxes in the future.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Federal income tax regulations differ from U.S. GAAP, therefore distributions in accordance with tax regulations may differ from net investment income and realized gains recognized for financial reporting purposes. Differences may be permanent or temporary in nature.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tax cost basis and the estimated aggregate gross unrealized gain (loss) on investments for federal income tax purposes as of and for the period ended September 30, 2024 and the year ended December 31, 2023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19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660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Tax cost on investments</w:t>
            </w:r>
          </w:p>
        </w:tc>
        <w:tc>
          <w:tcPr>
            <w:tcW w:w="280" w:type="dxa"/>
            <w:vAlign w:val="bottom"/>
            <w:tcBorders>
              <w:top w:val="single" w:sz="8" w:color="auto"/>
              <w:bottom w:val="single" w:sz="8" w:color="auto"/>
            </w:tcBorders>
            <w:shd w:val="clear" w:color="auto" w:fill="CFF0FC"/>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1,109,030</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1,105,481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66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Change in unrealized gain on a tax basis</w:t>
            </w:r>
          </w:p>
        </w:tc>
        <w:tc>
          <w:tcPr>
            <w:tcW w:w="280" w:type="dxa"/>
            <w:vAlign w:val="bottom"/>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16,486</w:t>
            </w:r>
          </w:p>
        </w:tc>
        <w:tc>
          <w:tcPr>
            <w:tcW w:w="320" w:type="dxa"/>
            <w:vAlign w:val="bottom"/>
          </w:tcPr>
          <w:p>
            <w:pPr>
              <w:spacing w:after="0"/>
              <w:rPr>
                <w:sz w:val="13"/>
                <w:szCs w:val="13"/>
                <w:color w:val="auto"/>
              </w:rPr>
            </w:pPr>
          </w:p>
        </w:tc>
        <w:tc>
          <w:tcPr>
            <w:tcW w:w="280" w:type="dxa"/>
            <w:vAlign w:val="bottom"/>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11,239</w:t>
            </w:r>
          </w:p>
        </w:tc>
        <w:tc>
          <w:tcPr>
            <w:tcW w:w="100" w:type="dxa"/>
            <w:vAlign w:val="bottom"/>
          </w:tcPr>
          <w:p>
            <w:pPr>
              <w:spacing w:after="0"/>
              <w:rPr>
                <w:sz w:val="13"/>
                <w:szCs w:val="13"/>
                <w:color w:val="auto"/>
              </w:rPr>
            </w:pPr>
          </w:p>
        </w:tc>
      </w:tr>
      <w:tr>
        <w:trPr>
          <w:trHeight w:val="17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 in unrealized loss on a tax basis</w:t>
            </w:r>
          </w:p>
        </w:tc>
        <w:tc>
          <w:tcPr>
            <w:tcW w:w="28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(59,415 )</w:t>
            </w:r>
          </w:p>
        </w:tc>
        <w:tc>
          <w:tcPr>
            <w:tcW w:w="280" w:type="dxa"/>
            <w:vAlign w:val="bottom"/>
            <w:shd w:val="clear" w:color="auto" w:fill="CFF0FC"/>
          </w:tcPr>
          <w:p>
            <w:pPr>
              <w:spacing w:after="0"/>
              <w:rPr>
                <w:sz w:val="15"/>
                <w:szCs w:val="15"/>
                <w:color w:val="auto"/>
              </w:rPr>
            </w:pPr>
          </w:p>
        </w:tc>
        <w:tc>
          <w:tcPr>
            <w:tcW w:w="1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(49,711 )</w:t>
            </w:r>
          </w:p>
        </w:tc>
      </w:tr>
      <w:tr>
        <w:trPr>
          <w:trHeight w:val="20"/>
        </w:trPr>
        <w:tc>
          <w:tcPr>
            <w:tcW w:w="66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66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unrealized gain (loss) on a tax basis</w:t>
            </w:r>
          </w:p>
        </w:tc>
        <w:tc>
          <w:tcPr>
            <w:tcW w:w="28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16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(42,929 )</w:t>
            </w:r>
          </w:p>
        </w:tc>
        <w:tc>
          <w:tcPr>
            <w:tcW w:w="28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(38,472 )</w:t>
            </w:r>
          </w:p>
        </w:tc>
      </w:tr>
      <w:tr>
        <w:trPr>
          <w:trHeight w:val="20"/>
        </w:trPr>
        <w:tc>
          <w:tcPr>
            <w:tcW w:w="6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-393700</wp:posOffset>
            </wp:positionV>
            <wp:extent cx="68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-376555</wp:posOffset>
            </wp:positionV>
            <wp:extent cx="68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-144780</wp:posOffset>
            </wp:positionV>
            <wp:extent cx="685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in conformity with ASC Topic 740 — Income Taxes ("ASC 740"). ASC 740 provides guidelines for how uncertain tax positions should be recognized, measured, presented and disclosed in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on the Consolidated Statements of Operations. There were no material uncertain income tax positions at September 30, 2024 or December 31, 2023. Although the Company files federal and state tax returns, the Company's major tax jurisdiction is federal. The previous three tax year-ends and the interim tax period since then remain subject to examination by the Internal Revenue Service.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does not distribute (or is not deemed to have distributed) each calendar year the sum of (1) 98% of its net ordinary income for each calendar year, (2) 98.2% of its capital gain net income for the one-year period ending October 31 in that calendar year and (3) any income recognized, but not distributed, in preceding years (the “Minimum Distribution Amount”), the Company will generally be required to pay a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Company does not qualify to be treated as a RIC for any taxable year, the Company will be taxed as a regular corporation (a “C corporation”) under subchapter C of the Code for such taxable year. If the Company has previously qualified as a RIC but is subsequently unable to qualify,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by the end of the first year that it intends to requalify. If the Company fails to requalify for a period greater than two taxable years, it may be subject to U.S. federal income tax at corporate tax rates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Financial Highlights</w:t>
      </w:r>
    </w:p>
    <w:p>
      <w:pPr>
        <w:spacing w:after="0" w:line="33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financial highlights for the nine months ended September 30, 2024 and 2023 (in thousands, except for per share data and ratios):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60" w:type="dxa"/>
            <w:vAlign w:val="bottom"/>
            <w:vMerge w:val="restart"/>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860" w:type="dxa"/>
            <w:vAlign w:val="bottom"/>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6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4"/>
                <w:szCs w:val="14"/>
                <w:b w:val="1"/>
                <w:bCs w:val="1"/>
                <w:color w:val="auto"/>
              </w:rPr>
              <w:t>Per Share Data</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4"/>
                <w:szCs w:val="14"/>
                <w:b w:val="1"/>
                <w:bCs w:val="1"/>
                <w:color w:val="auto"/>
              </w:rPr>
              <w:t>:</w:t>
            </w:r>
          </w:p>
        </w:tc>
        <w:tc>
          <w:tcPr>
            <w:tcW w:w="18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 value at beginning of period</w:t>
            </w:r>
          </w:p>
        </w:tc>
        <w:tc>
          <w:tcPr>
            <w:tcW w:w="1860" w:type="dxa"/>
            <w:vAlign w:val="bottom"/>
          </w:tcPr>
          <w:p>
            <w:pPr>
              <w:jc w:val="right"/>
              <w:ind w:right="160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Pr>
          <w:p>
            <w:pPr>
              <w:spacing w:after="0"/>
              <w:rPr>
                <w:sz w:val="15"/>
                <w:szCs w:val="15"/>
                <w:color w:val="auto"/>
              </w:rPr>
            </w:pPr>
          </w:p>
        </w:tc>
        <w:tc>
          <w:tcPr>
            <w:tcW w:w="1720" w:type="dxa"/>
            <w:vAlign w:val="bottom"/>
            <w:gridSpan w:val="3"/>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investment income</w:t>
            </w:r>
          </w:p>
        </w:tc>
        <w:tc>
          <w:tcPr>
            <w:tcW w:w="18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realized gain (loss)</w:t>
            </w:r>
          </w:p>
        </w:tc>
        <w:tc>
          <w:tcPr>
            <w:tcW w:w="18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(0.03 )</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change in unrealized gain (loss)</w:t>
            </w:r>
          </w:p>
        </w:tc>
        <w:tc>
          <w:tcPr>
            <w:tcW w:w="18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(0.10 )</w:t>
            </w:r>
          </w:p>
        </w:tc>
        <w:tc>
          <w:tcPr>
            <w:tcW w:w="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(0.24 )</w:t>
            </w:r>
          </w:p>
        </w:tc>
        <w:tc>
          <w:tcPr>
            <w:tcW w:w="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from investment operations</w:t>
            </w:r>
          </w:p>
        </w:tc>
        <w:tc>
          <w:tcPr>
            <w:tcW w:w="18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top w:val="single" w:sz="8" w:color="CFF0FC"/>
            </w:tcBorders>
          </w:tcPr>
          <w:p>
            <w:pPr>
              <w:spacing w:after="0"/>
              <w:rPr>
                <w:sz w:val="14"/>
                <w:szCs w:val="14"/>
                <w:color w:val="auto"/>
              </w:rPr>
            </w:pPr>
          </w:p>
        </w:tc>
        <w:tc>
          <w:tcPr>
            <w:tcW w:w="36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Borders>
              <w:top w:val="single" w:sz="8" w:color="CFF0FC"/>
            </w:tcBorders>
          </w:tcPr>
          <w:p>
            <w:pPr>
              <w:spacing w:after="0"/>
              <w:rPr>
                <w:sz w:val="14"/>
                <w:szCs w:val="14"/>
                <w:color w:val="auto"/>
              </w:rPr>
            </w:pPr>
          </w:p>
        </w:tc>
        <w:tc>
          <w:tcPr>
            <w:tcW w:w="3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Distributions</w:t>
            </w:r>
          </w:p>
        </w:tc>
        <w:tc>
          <w:tcPr>
            <w:tcW w:w="186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(1.39 )</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(1.35 )</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Borders>
              <w:bottom w:val="single" w:sz="8" w:color="CFF0FC"/>
            </w:tcBorders>
            <w:shd w:val="clear" w:color="auto" w:fill="CFF0FC"/>
          </w:tcPr>
          <w:p>
            <w:pPr>
              <w:ind w:left="120"/>
              <w:spacing w:after="0" w:line="175" w:lineRule="exact"/>
              <w:rPr>
                <w:sz w:val="20"/>
                <w:szCs w:val="20"/>
                <w:color w:val="auto"/>
              </w:rPr>
            </w:pPr>
            <w:r>
              <w:rPr>
                <w:rFonts w:ascii="Times New Roman" w:cs="Times New Roman" w:eastAsia="Times New Roman" w:hAnsi="Times New Roman"/>
                <w:sz w:val="14"/>
                <w:szCs w:val="14"/>
                <w:color w:val="auto"/>
              </w:rPr>
              <w:t xml:space="preserve">Accretion (dilution) </w:t>
            </w:r>
            <w:r>
              <w:rPr>
                <w:rFonts w:ascii="Times New Roman" w:cs="Times New Roman" w:eastAsia="Times New Roman" w:hAnsi="Times New Roman"/>
                <w:sz w:val="19"/>
                <w:szCs w:val="19"/>
                <w:color w:val="auto"/>
                <w:vertAlign w:val="superscript"/>
              </w:rPr>
              <w:t>(2)</w:t>
            </w:r>
          </w:p>
        </w:tc>
        <w:tc>
          <w:tcPr>
            <w:tcW w:w="18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asset value at end of period</w:t>
            </w:r>
          </w:p>
        </w:tc>
        <w:tc>
          <w:tcPr>
            <w:tcW w:w="1860" w:type="dxa"/>
            <w:vAlign w:val="bottom"/>
          </w:tcPr>
          <w:p>
            <w:pPr>
              <w:jc w:val="right"/>
              <w:ind w:right="16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13.39</w:t>
            </w:r>
          </w:p>
        </w:tc>
        <w:tc>
          <w:tcPr>
            <w:tcW w:w="100" w:type="dxa"/>
            <w:vAlign w:val="bottom"/>
          </w:tcPr>
          <w:p>
            <w:pPr>
              <w:spacing w:after="0"/>
              <w:rPr>
                <w:sz w:val="14"/>
                <w:szCs w:val="14"/>
                <w:color w:val="auto"/>
              </w:rPr>
            </w:pPr>
          </w:p>
        </w:tc>
        <w:tc>
          <w:tcPr>
            <w:tcW w:w="1720" w:type="dxa"/>
            <w:vAlign w:val="bottom"/>
            <w:gridSpan w:val="3"/>
          </w:tcPr>
          <w:p>
            <w:pPr>
              <w:jc w:val="right"/>
              <w:ind w:right="10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14.08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60" w:type="dxa"/>
            <w:vAlign w:val="bottom"/>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Ratio/Supplemental Data:</w:t>
            </w:r>
          </w:p>
        </w:tc>
        <w:tc>
          <w:tcPr>
            <w:tcW w:w="1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120"/>
              <w:spacing w:after="0" w:line="175" w:lineRule="exact"/>
              <w:rPr>
                <w:sz w:val="20"/>
                <w:szCs w:val="20"/>
                <w:color w:val="auto"/>
              </w:rPr>
            </w:pPr>
            <w:r>
              <w:rPr>
                <w:rFonts w:ascii="Times New Roman" w:cs="Times New Roman" w:eastAsia="Times New Roman" w:hAnsi="Times New Roman"/>
                <w:sz w:val="14"/>
                <w:szCs w:val="14"/>
                <w:color w:val="auto"/>
              </w:rPr>
              <w:t>Total return based on net asset value</w:t>
            </w:r>
            <w:r>
              <w:rPr>
                <w:rFonts w:ascii="Times New Roman" w:cs="Times New Roman" w:eastAsia="Times New Roman" w:hAnsi="Times New Roman"/>
                <w:sz w:val="19"/>
                <w:szCs w:val="19"/>
                <w:color w:val="auto"/>
                <w:vertAlign w:val="superscript"/>
              </w:rPr>
              <w:t>(3)</w:t>
            </w:r>
          </w:p>
        </w:tc>
        <w:tc>
          <w:tcPr>
            <w:tcW w:w="18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860" w:type="dxa"/>
            <w:vAlign w:val="bottom"/>
          </w:tcPr>
          <w:p>
            <w:pPr>
              <w:ind w:left="120"/>
              <w:spacing w:after="0" w:line="175" w:lineRule="exact"/>
              <w:rPr>
                <w:sz w:val="20"/>
                <w:szCs w:val="20"/>
                <w:color w:val="auto"/>
              </w:rPr>
            </w:pPr>
            <w:r>
              <w:rPr>
                <w:rFonts w:ascii="Times New Roman" w:cs="Times New Roman" w:eastAsia="Times New Roman" w:hAnsi="Times New Roman"/>
                <w:sz w:val="14"/>
                <w:szCs w:val="14"/>
                <w:color w:val="auto"/>
              </w:rPr>
              <w:t>Total return based on market value</w:t>
            </w:r>
            <w:r>
              <w:rPr>
                <w:rFonts w:ascii="Times New Roman" w:cs="Times New Roman" w:eastAsia="Times New Roman" w:hAnsi="Times New Roman"/>
                <w:sz w:val="19"/>
                <w:szCs w:val="19"/>
                <w:color w:val="auto"/>
                <w:vertAlign w:val="superscript"/>
              </w:rPr>
              <w:t>(4)</w:t>
            </w:r>
          </w:p>
        </w:tc>
        <w:tc>
          <w:tcPr>
            <w:tcW w:w="1860" w:type="dxa"/>
            <w:vAlign w:val="bottom"/>
          </w:tcPr>
          <w:p>
            <w:pPr>
              <w:spacing w:after="0"/>
              <w:rPr>
                <w:sz w:val="15"/>
                <w:szCs w:val="15"/>
                <w:color w:val="auto"/>
              </w:rPr>
            </w:pPr>
          </w:p>
        </w:tc>
        <w:tc>
          <w:tcPr>
            <w:tcW w:w="126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(7.45 ) %</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22.26</w:t>
            </w:r>
          </w:p>
        </w:tc>
        <w:tc>
          <w:tcPr>
            <w:tcW w:w="80" w:type="dxa"/>
            <w:vAlign w:val="bottom"/>
          </w:tcPr>
          <w:p>
            <w:pPr>
              <w:spacing w:after="0"/>
              <w:rPr>
                <w:sz w:val="15"/>
                <w:szCs w:val="15"/>
                <w:color w:val="auto"/>
              </w:rPr>
            </w:pP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860" w:type="dxa"/>
            <w:vAlign w:val="bottom"/>
            <w:shd w:val="clear" w:color="auto" w:fill="CFF0FC"/>
          </w:tcPr>
          <w:p>
            <w:pPr>
              <w:ind w:left="120"/>
              <w:spacing w:after="0" w:line="175" w:lineRule="exact"/>
              <w:rPr>
                <w:sz w:val="20"/>
                <w:szCs w:val="20"/>
                <w:color w:val="auto"/>
              </w:rPr>
            </w:pPr>
            <w:r>
              <w:rPr>
                <w:rFonts w:ascii="Times New Roman" w:cs="Times New Roman" w:eastAsia="Times New Roman" w:hAnsi="Times New Roman"/>
                <w:sz w:val="14"/>
                <w:szCs w:val="14"/>
                <w:color w:val="auto"/>
              </w:rPr>
              <w:t>Ratio of net investment income to average net assets</w:t>
            </w:r>
            <w:r>
              <w:rPr>
                <w:rFonts w:ascii="Times New Roman" w:cs="Times New Roman" w:eastAsia="Times New Roman" w:hAnsi="Times New Roman"/>
                <w:sz w:val="19"/>
                <w:szCs w:val="19"/>
                <w:color w:val="auto"/>
                <w:vertAlign w:val="superscript"/>
              </w:rPr>
              <w:t>(5)(6)</w:t>
            </w:r>
          </w:p>
        </w:tc>
        <w:tc>
          <w:tcPr>
            <w:tcW w:w="18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860" w:type="dxa"/>
            <w:vAlign w:val="bottom"/>
          </w:tcPr>
          <w:p>
            <w:pPr>
              <w:ind w:left="120"/>
              <w:spacing w:after="0" w:line="175" w:lineRule="exact"/>
              <w:rPr>
                <w:sz w:val="20"/>
                <w:szCs w:val="20"/>
                <w:color w:val="auto"/>
              </w:rPr>
            </w:pPr>
            <w:r>
              <w:rPr>
                <w:rFonts w:ascii="Times New Roman" w:cs="Times New Roman" w:eastAsia="Times New Roman" w:hAnsi="Times New Roman"/>
                <w:sz w:val="14"/>
                <w:szCs w:val="14"/>
                <w:color w:val="auto"/>
              </w:rPr>
              <w:t>Ratio of total operating expenses to average net assets</w:t>
            </w:r>
            <w:r>
              <w:rPr>
                <w:rFonts w:ascii="Times New Roman" w:cs="Times New Roman" w:eastAsia="Times New Roman" w:hAnsi="Times New Roman"/>
                <w:sz w:val="19"/>
                <w:szCs w:val="19"/>
                <w:color w:val="auto"/>
                <w:vertAlign w:val="superscript"/>
              </w:rPr>
              <w:t>(5)(6)</w:t>
            </w:r>
          </w:p>
        </w:tc>
        <w:tc>
          <w:tcPr>
            <w:tcW w:w="18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100" w:type="dxa"/>
            <w:vAlign w:val="bottom"/>
          </w:tcPr>
          <w:p>
            <w:pPr>
              <w:spacing w:after="0"/>
              <w:rPr>
                <w:sz w:val="15"/>
                <w:szCs w:val="15"/>
                <w:color w:val="auto"/>
              </w:rPr>
            </w:pPr>
          </w:p>
        </w:tc>
        <w:tc>
          <w:tcPr>
            <w:tcW w:w="3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80" w:type="dxa"/>
            <w:vAlign w:val="bottom"/>
          </w:tcPr>
          <w:p>
            <w:pPr>
              <w:spacing w:after="0"/>
              <w:rPr>
                <w:sz w:val="15"/>
                <w:szCs w:val="15"/>
                <w:color w:val="auto"/>
              </w:rPr>
            </w:pP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48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4"/>
                <w:szCs w:val="14"/>
                <w:color w:val="auto"/>
              </w:rPr>
              <w:t>Ratio of total operating expenses, excluding incentive fees, to average net</w:t>
            </w:r>
          </w:p>
        </w:tc>
        <w:tc>
          <w:tcPr>
            <w:tcW w:w="186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100" w:type="dxa"/>
            <w:vAlign w:val="bottom"/>
            <w:shd w:val="clear" w:color="auto" w:fill="CFF0FC"/>
          </w:tcPr>
          <w:p>
            <w:pPr>
              <w:spacing w:after="0"/>
              <w:rPr>
                <w:sz w:val="11"/>
                <w:szCs w:val="11"/>
                <w:color w:val="auto"/>
              </w:rPr>
            </w:pPr>
          </w:p>
        </w:tc>
        <w:tc>
          <w:tcPr>
            <w:tcW w:w="360" w:type="dxa"/>
            <w:vAlign w:val="bottom"/>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80" w:type="dxa"/>
            <w:vAlign w:val="bottom"/>
            <w:shd w:val="clear" w:color="auto" w:fill="CFF0FC"/>
          </w:tcPr>
          <w:p>
            <w:pPr>
              <w:spacing w:after="0"/>
              <w:rPr>
                <w:sz w:val="11"/>
                <w:szCs w:val="11"/>
                <w:color w:val="auto"/>
              </w:rPr>
            </w:pPr>
          </w:p>
        </w:tc>
        <w:tc>
          <w:tcPr>
            <w:tcW w:w="360" w:type="dxa"/>
            <w:vAlign w:val="bottom"/>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8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4"/>
                <w:szCs w:val="14"/>
                <w:color w:val="auto"/>
              </w:rPr>
              <w:t>assets</w:t>
            </w:r>
            <w:r>
              <w:rPr>
                <w:rFonts w:ascii="Times New Roman" w:cs="Times New Roman" w:eastAsia="Times New Roman" w:hAnsi="Times New Roman"/>
                <w:sz w:val="19"/>
                <w:szCs w:val="19"/>
                <w:color w:val="auto"/>
                <w:vertAlign w:val="superscript"/>
              </w:rPr>
              <w:t>(5)</w:t>
            </w:r>
          </w:p>
        </w:tc>
        <w:tc>
          <w:tcPr>
            <w:tcW w:w="186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46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6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Ratio of net increase (decrease) in net assets resulting from operations to</w:t>
            </w:r>
          </w:p>
        </w:tc>
        <w:tc>
          <w:tcPr>
            <w:tcW w:w="18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100" w:type="dxa"/>
            <w:vAlign w:val="bottom"/>
          </w:tcPr>
          <w:p>
            <w:pPr>
              <w:spacing w:after="0"/>
              <w:rPr>
                <w:sz w:val="11"/>
                <w:szCs w:val="11"/>
                <w:color w:val="auto"/>
              </w:rPr>
            </w:pPr>
          </w:p>
        </w:tc>
        <w:tc>
          <w:tcPr>
            <w:tcW w:w="3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80" w:type="dxa"/>
            <w:vAlign w:val="bottom"/>
          </w:tcPr>
          <w:p>
            <w:pPr>
              <w:spacing w:after="0"/>
              <w:rPr>
                <w:sz w:val="11"/>
                <w:szCs w:val="11"/>
                <w:color w:val="auto"/>
              </w:rPr>
            </w:pPr>
          </w:p>
        </w:tc>
        <w:tc>
          <w:tcPr>
            <w:tcW w:w="3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860" w:type="dxa"/>
            <w:vAlign w:val="bottom"/>
          </w:tcPr>
          <w:p>
            <w:pPr>
              <w:ind w:left="120"/>
              <w:spacing w:after="0" w:line="189" w:lineRule="exact"/>
              <w:rPr>
                <w:sz w:val="20"/>
                <w:szCs w:val="20"/>
                <w:color w:val="auto"/>
              </w:rPr>
            </w:pPr>
            <w:r>
              <w:rPr>
                <w:rFonts w:ascii="Times New Roman" w:cs="Times New Roman" w:eastAsia="Times New Roman" w:hAnsi="Times New Roman"/>
                <w:sz w:val="14"/>
                <w:szCs w:val="14"/>
                <w:color w:val="auto"/>
              </w:rPr>
              <w:t>average net assets</w:t>
            </w:r>
            <w:r>
              <w:rPr>
                <w:rFonts w:ascii="Times New Roman" w:cs="Times New Roman" w:eastAsia="Times New Roman" w:hAnsi="Times New Roman"/>
                <w:sz w:val="19"/>
                <w:szCs w:val="19"/>
                <w:color w:val="auto"/>
                <w:vertAlign w:val="superscript"/>
              </w:rPr>
              <w:t>(5)</w:t>
            </w:r>
          </w:p>
        </w:tc>
        <w:tc>
          <w:tcPr>
            <w:tcW w:w="18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120"/>
              <w:spacing w:after="0" w:line="175" w:lineRule="exact"/>
              <w:rPr>
                <w:sz w:val="20"/>
                <w:szCs w:val="20"/>
                <w:color w:val="auto"/>
              </w:rPr>
            </w:pPr>
            <w:r>
              <w:rPr>
                <w:rFonts w:ascii="Times New Roman" w:cs="Times New Roman" w:eastAsia="Times New Roman" w:hAnsi="Times New Roman"/>
                <w:sz w:val="14"/>
                <w:szCs w:val="14"/>
                <w:color w:val="auto"/>
              </w:rPr>
              <w:t>Portfolio turnover rate</w:t>
            </w:r>
            <w:r>
              <w:rPr>
                <w:rFonts w:ascii="Times New Roman" w:cs="Times New Roman" w:eastAsia="Times New Roman" w:hAnsi="Times New Roman"/>
                <w:sz w:val="19"/>
                <w:szCs w:val="19"/>
                <w:color w:val="auto"/>
                <w:vertAlign w:val="superscript"/>
              </w:rPr>
              <w:t>(7)</w:t>
            </w:r>
          </w:p>
        </w:tc>
        <w:tc>
          <w:tcPr>
            <w:tcW w:w="18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8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assets at beginning of period</w:t>
            </w:r>
          </w:p>
        </w:tc>
        <w:tc>
          <w:tcPr>
            <w:tcW w:w="1860" w:type="dxa"/>
            <w:vAlign w:val="bottom"/>
            <w:shd w:val="clear" w:color="auto" w:fill="CFF0FC"/>
          </w:tcPr>
          <w:p>
            <w:pPr>
              <w:jc w:val="right"/>
              <w:ind w:right="16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547,071</w:t>
            </w:r>
          </w:p>
        </w:tc>
        <w:tc>
          <w:tcPr>
            <w:tcW w:w="100" w:type="dxa"/>
            <w:vAlign w:val="bottom"/>
            <w:shd w:val="clear" w:color="auto" w:fill="CFF0FC"/>
          </w:tcPr>
          <w:p>
            <w:pPr>
              <w:spacing w:after="0"/>
              <w:rPr>
                <w:sz w:val="15"/>
                <w:szCs w:val="15"/>
                <w:color w:val="auto"/>
              </w:rPr>
            </w:pPr>
          </w:p>
        </w:tc>
        <w:tc>
          <w:tcPr>
            <w:tcW w:w="1720" w:type="dxa"/>
            <w:vAlign w:val="bottom"/>
            <w:gridSpan w:val="3"/>
            <w:shd w:val="clear" w:color="auto" w:fill="CFF0FC"/>
          </w:tcPr>
          <w:p>
            <w:pPr>
              <w:jc w:val="right"/>
              <w:ind w:right="10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576,052</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assets at end of period</w:t>
            </w:r>
          </w:p>
        </w:tc>
        <w:tc>
          <w:tcPr>
            <w:tcW w:w="1860" w:type="dxa"/>
            <w:vAlign w:val="bottom"/>
          </w:tcPr>
          <w:p>
            <w:pPr>
              <w:jc w:val="right"/>
              <w:ind w:right="16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507,358</w:t>
            </w:r>
          </w:p>
        </w:tc>
        <w:tc>
          <w:tcPr>
            <w:tcW w:w="100" w:type="dxa"/>
            <w:vAlign w:val="bottom"/>
          </w:tcPr>
          <w:p>
            <w:pPr>
              <w:spacing w:after="0"/>
              <w:rPr>
                <w:sz w:val="15"/>
                <w:szCs w:val="15"/>
                <w:color w:val="auto"/>
              </w:rPr>
            </w:pPr>
          </w:p>
        </w:tc>
        <w:tc>
          <w:tcPr>
            <w:tcW w:w="1720" w:type="dxa"/>
            <w:vAlign w:val="bottom"/>
            <w:gridSpan w:val="3"/>
          </w:tcPr>
          <w:p>
            <w:pPr>
              <w:jc w:val="right"/>
              <w:ind w:right="10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570,491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Weighted average net assets</w:t>
            </w:r>
          </w:p>
        </w:tc>
        <w:tc>
          <w:tcPr>
            <w:tcW w:w="1860" w:type="dxa"/>
            <w:vAlign w:val="bottom"/>
            <w:shd w:val="clear" w:color="auto" w:fill="CFF0FC"/>
          </w:tcPr>
          <w:p>
            <w:pPr>
              <w:jc w:val="right"/>
              <w:ind w:right="16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522,925</w:t>
            </w:r>
          </w:p>
        </w:tc>
        <w:tc>
          <w:tcPr>
            <w:tcW w:w="100" w:type="dxa"/>
            <w:vAlign w:val="bottom"/>
            <w:shd w:val="clear" w:color="auto" w:fill="CFF0FC"/>
          </w:tcPr>
          <w:p>
            <w:pPr>
              <w:spacing w:after="0"/>
              <w:rPr>
                <w:sz w:val="15"/>
                <w:szCs w:val="15"/>
                <w:color w:val="auto"/>
              </w:rPr>
            </w:pPr>
          </w:p>
        </w:tc>
        <w:tc>
          <w:tcPr>
            <w:tcW w:w="1720" w:type="dxa"/>
            <w:vAlign w:val="bottom"/>
            <w:gridSpan w:val="3"/>
            <w:shd w:val="clear" w:color="auto" w:fill="CFF0FC"/>
          </w:tcPr>
          <w:p>
            <w:pPr>
              <w:jc w:val="right"/>
              <w:ind w:right="10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577,673</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Weighted average shares outstanding for the period, basic</w:t>
            </w:r>
          </w:p>
        </w:tc>
        <w:tc>
          <w:tcPr>
            <w:tcW w:w="18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39,317,890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40,509,269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-2356485</wp:posOffset>
            </wp:positionV>
            <wp:extent cx="6858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-2356485</wp:posOffset>
            </wp:positionV>
            <wp:extent cx="6858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-1901825</wp:posOffset>
            </wp:positionV>
            <wp:extent cx="6858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-1901825</wp:posOffset>
            </wp:positionV>
            <wp:extent cx="6858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 w:lineRule="exact"/>
        <w:rPr>
          <w:sz w:val="20"/>
          <w:szCs w:val="20"/>
          <w:color w:val="auto"/>
        </w:rPr>
      </w:pPr>
    </w:p>
    <w:p>
      <w:pPr>
        <w:ind w:left="760" w:hanging="374"/>
        <w:spacing w:after="0"/>
        <w:tabs>
          <w:tab w:leader="none" w:pos="7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per share activity, excluding dividends, is calculated based on the weighted-average shares outstanding for the relevant period.</w:t>
      </w:r>
    </w:p>
    <w:p>
      <w:pPr>
        <w:spacing w:after="0" w:line="72" w:lineRule="exact"/>
        <w:rPr>
          <w:rFonts w:ascii="Times New Roman" w:cs="Times New Roman" w:eastAsia="Times New Roman" w:hAnsi="Times New Roman"/>
          <w:sz w:val="19"/>
          <w:szCs w:val="19"/>
          <w:color w:val="auto"/>
          <w:vertAlign w:val="superscript"/>
        </w:rPr>
      </w:pPr>
    </w:p>
    <w:p>
      <w:pPr>
        <w:ind w:left="760" w:hanging="374"/>
        <w:spacing w:after="0" w:line="201" w:lineRule="auto"/>
        <w:tabs>
          <w:tab w:leader="none" w:pos="7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Accretion (dilution) represents the effect of issuance of common stock and repurchase of treasury stock.</w:t>
      </w:r>
    </w:p>
    <w:p>
      <w:pPr>
        <w:spacing w:after="0" w:line="73" w:lineRule="exact"/>
        <w:rPr>
          <w:rFonts w:ascii="Times New Roman" w:cs="Times New Roman" w:eastAsia="Times New Roman" w:hAnsi="Times New Roman"/>
          <w:sz w:val="19"/>
          <w:szCs w:val="19"/>
          <w:color w:val="auto"/>
          <w:vertAlign w:val="superscript"/>
        </w:rPr>
      </w:pPr>
    </w:p>
    <w:p>
      <w:pPr>
        <w:ind w:left="760" w:hanging="374"/>
        <w:spacing w:after="0" w:line="210" w:lineRule="auto"/>
        <w:tabs>
          <w:tab w:leader="none" w:pos="7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Total return based on net asset value is calculated as the change in net asset value per share during the period plus dividends per share divided by the beginning net asset values per share. The total returns are not annualized.</w:t>
      </w:r>
    </w:p>
    <w:p>
      <w:pPr>
        <w:spacing w:after="0" w:line="68" w:lineRule="exact"/>
        <w:rPr>
          <w:rFonts w:ascii="Times New Roman" w:cs="Times New Roman" w:eastAsia="Times New Roman" w:hAnsi="Times New Roman"/>
          <w:sz w:val="19"/>
          <w:szCs w:val="19"/>
          <w:color w:val="auto"/>
          <w:vertAlign w:val="superscript"/>
        </w:rPr>
      </w:pPr>
    </w:p>
    <w:p>
      <w:pPr>
        <w:ind w:left="760" w:hanging="374"/>
        <w:spacing w:after="0" w:line="212" w:lineRule="auto"/>
        <w:tabs>
          <w:tab w:leader="none" w:pos="7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Total return based on market value is calculated as the change in market value per share during the period plus dividends per share divided by the beginning market value per share. The total returns are not annualized.</w:t>
      </w:r>
    </w:p>
    <w:p>
      <w:pPr>
        <w:spacing w:after="0" w:line="39" w:lineRule="exact"/>
        <w:rPr>
          <w:rFonts w:ascii="Times New Roman" w:cs="Times New Roman" w:eastAsia="Times New Roman" w:hAnsi="Times New Roman"/>
          <w:sz w:val="19"/>
          <w:szCs w:val="19"/>
          <w:color w:val="auto"/>
          <w:vertAlign w:val="superscript"/>
        </w:rPr>
      </w:pPr>
    </w:p>
    <w:p>
      <w:pPr>
        <w:ind w:left="760" w:hanging="374"/>
        <w:spacing w:after="0"/>
        <w:tabs>
          <w:tab w:leader="none" w:pos="7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ratios are calculated based on weighted average net assets for the relevant period and are annualized.</w:t>
      </w:r>
    </w:p>
    <w:p>
      <w:pPr>
        <w:spacing w:after="0" w:line="72" w:lineRule="exact"/>
        <w:rPr>
          <w:rFonts w:ascii="Times New Roman" w:cs="Times New Roman" w:eastAsia="Times New Roman" w:hAnsi="Times New Roman"/>
          <w:sz w:val="19"/>
          <w:szCs w:val="19"/>
          <w:color w:val="auto"/>
          <w:vertAlign w:val="superscript"/>
        </w:rPr>
      </w:pPr>
    </w:p>
    <w:p>
      <w:pPr>
        <w:ind w:left="760" w:hanging="374"/>
        <w:spacing w:after="0" w:line="210" w:lineRule="auto"/>
        <w:tabs>
          <w:tab w:leader="none" w:pos="7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ratio includes annualized incentive fees and as incentive fees are performance driven, the amount expensed in future periods may vary significantly and is dependent on overall investment performance, early terminations, scheduled prepayments and other liquidity events.</w:t>
      </w:r>
    </w:p>
    <w:p>
      <w:pPr>
        <w:spacing w:after="0" w:line="68" w:lineRule="exact"/>
        <w:rPr>
          <w:rFonts w:ascii="Times New Roman" w:cs="Times New Roman" w:eastAsia="Times New Roman" w:hAnsi="Times New Roman"/>
          <w:sz w:val="19"/>
          <w:szCs w:val="19"/>
          <w:color w:val="auto"/>
          <w:vertAlign w:val="superscript"/>
        </w:rPr>
      </w:pPr>
    </w:p>
    <w:p>
      <w:pPr>
        <w:ind w:left="760" w:hanging="374"/>
        <w:spacing w:after="0" w:line="212" w:lineRule="auto"/>
        <w:tabs>
          <w:tab w:leader="none" w:pos="7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portfolio turnover rate for the period is calculated by taking the lesser of investment portfolio purchases or sales during the period, divided by the average investment portfolio value during the period. As such, portfolio turnover is not 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evaluated events subsequent to September 30, 2024 through November 12,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9, 2024, the Company received a full repayment of $8.0 million on its senior secured loan to Betterment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16, 2024, the Company sold its outstanding warrants for Dtex Systems, Inc. for proceeds of $1.9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31, 2024, the Company received a partial repayment of $2.1 million on its senior secured loan to FiscalNote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31, 2024, the Company received a full repayment of $18.5 million on its senior secured loans to Predactiv, Inc. (fka Sharethis, Inc.).</w:t>
      </w:r>
    </w:p>
    <w:p>
      <w:pPr>
        <w:spacing w:after="0" w:line="22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On October 31, 2024, the Company announced that RGC entered into an Agreement and Plan of Merger pursuant to which RGC Group Acquisition, LLC (the "New Owner"), a newly formed wholly owned subsidiary of BCP Special Opportunities Fund III, an affiliate of BC Partners Advisors L.P., will acquire RGC. The transaction will constitute a change of control of RGC, resulting in an assignment and subsequent termination of the Company's current investment advisory agreement with RGC (the "Current Advisory Agreement"). On October 29, 2024, the Board of Directors approved a proposed new investment advisory agreement (the "New Advisory Agreement") by and between the Company and RGC, the terms of which are identical to the Current Advisory Agreement. On November 1, 2024, the Company filed with the SEC, a preliminary proxy statement relating to a special meeting of the Company's stockholders, currently planned to be held on December 13, 2024, at which the Company will seek stockholder approval of the New Advisory Agreement. If approved, the New Advisory Agreement will take effect following the closing of the transaction between RGC and the New Owner.</w:t>
      </w:r>
    </w:p>
    <w:p>
      <w:pPr>
        <w:spacing w:after="0" w:line="17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November 5, 2024, the Board of Directors declared a regular distribution of $0.40 per share for stockholders of record as of November 18, 2024 payable on or before December 2,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October 1, 2024 through November 11, 2024, the Company repurchased 528,305 shares under the Third Repurchase Program.</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88" w:lineRule="exact"/>
        <w:rPr>
          <w:sz w:val="20"/>
          <w:szCs w:val="20"/>
          <w:color w:val="auto"/>
        </w:rPr>
      </w:pPr>
    </w:p>
    <w:p>
      <w:pPr>
        <w:jc w:val="both"/>
        <w:ind w:left="20"/>
        <w:spacing w:after="0" w:line="224" w:lineRule="exact"/>
        <w:rPr>
          <w:sz w:val="20"/>
          <w:szCs w:val="20"/>
          <w:color w:val="auto"/>
        </w:rPr>
      </w:pPr>
      <w:r>
        <w:rPr>
          <w:rFonts w:ascii="Times New Roman" w:cs="Times New Roman" w:eastAsia="Times New Roman" w:hAnsi="Times New Roman"/>
          <w:sz w:val="18"/>
          <w:szCs w:val="18"/>
          <w:color w:val="auto"/>
        </w:rPr>
        <w:t>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98"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or industry conditions, the interest rate environment or conditions affecting the financial and capital markets;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or recession, as well as the impairment or failure of financial institutions on both a domestic and global scale, could impair our portfolio companies’ ability to continue to operate, which could lead to the loss of some or all of our investments in such portfolio companies;</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that could impair our lending and investment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that could adversely affect our results, particularly to the extent that we use leverage as part of our investment strategy;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and inflation rates on our business prospects and the prospects of our portfolio companies;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entities and our affiliates for investment opportunities;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speculative and illiquid nature of our investments;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borrowed money to finance a portion of our investments;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financing sources and working capital;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and members of our management team;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external investment adviser, Runway Growth Capital LLC, to locate suitable investments for us and to monitor and administer our investments;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Runway Growth Capital LLC to attract and retain highly talented professionals;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and maintain our qualification as a RIC under Subchapter M of the Code, and as a BDC;</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disaster, such as a cyber-attack against us or against a third-party that has access to our data or networks, a natural catastrophe, an industrial accident, failure of our disaster-recovery systems, or consequential employee error;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legal, tax, and regulatory changes; and</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uncertainties and other factors we identify under “Risk Factors” in Part I, Item 1A of our annual report on Form 10-K for the year ended December 31, 2023, filed with the Securities and Exchange Commission (the "SEC") on March 7, 2024 and in this quarterly report on Form 10-Q.</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Part I, Item 1A of our annual report on Form 10-K for the year ended December 31, 2023, filed with the SEC on March 7, 2024.</w:t>
      </w:r>
    </w:p>
    <w:p>
      <w:pPr>
        <w:spacing w:after="0" w:line="143" w:lineRule="exact"/>
        <w:rPr>
          <w:sz w:val="20"/>
          <w:szCs w:val="20"/>
          <w:color w:val="auto"/>
        </w:rPr>
      </w:pPr>
    </w:p>
    <w:p>
      <w:pPr>
        <w:jc w:val="both"/>
        <w:spacing w:after="0" w:line="233" w:lineRule="exact"/>
        <w:rPr>
          <w:sz w:val="20"/>
          <w:szCs w:val="20"/>
          <w:color w:val="auto"/>
        </w:rPr>
      </w:pPr>
      <w:r>
        <w:rPr>
          <w:rFonts w:ascii="Times New Roman" w:cs="Times New Roman" w:eastAsia="Times New Roman" w:hAnsi="Times New Roman"/>
          <w:sz w:val="18"/>
          <w:szCs w:val="18"/>
          <w:color w:val="auto"/>
        </w:rPr>
        <w:t>We have based the forward-looking statements included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on information available to us on the date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2"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The following analysis of our financial condition and results of operations should be read in conjunction with our consolidated financial statements and the related notes thereto contained elsewhere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Runway Growth Finance Corp. ("we," "us," "our," or the "Company"), a Maryland corporation formed on August 31, 2015, is structured as an externally managed, non-diversified closed-end management investment company. On August 18, 2021, we changed our name to "Runway Growth Finance Corp." from "Runway Growth Credit Fund Inc." We are a specialty finance company focused on providing senior secured loans to high growth-potential companies in technology, healthcare, business services, financial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gains on our warrants and other equity positions. Our offices are in Chicago, Illinois; Menlo Park, California; and New York, New York.</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elected to be regulated as a business development company ("BDC") under the Investment Company Act of 1940, as amended (together with the rules and regulations promulgated thereunder, the "1940 Act"). We have also elected to be treated as aregulated investment company ("RIC") under Subchapter M of the Internal Revenue Code of 1986, as amended (the "Code"). While we currently qualify and intend to qualify annually to be treated as a RIC, no assurance can be provided that we will be able to maintain our tax treatment as a RIC. If we fail to qualify for tax treatment as a RIC for any taxable year, we will be subject to U.S. federal income tax at corporate rates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We will remain an emerging growth company until the last day of our fiscal year following the fifth anniversary of our IPO, which closed on October 25, 2021 or until the earliest of (i) the last day of the first fiscal year in which we have total annual gross revenue of $1.235 billion or more, (ii) December 31 of the fiscal year in which we become a “large accelerated filer” as defined in Rule 12b-2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w:t>
      </w:r>
    </w:p>
    <w:p>
      <w:pPr>
        <w:spacing w:after="0" w:line="5" w:lineRule="exact"/>
        <w:rPr>
          <w:sz w:val="20"/>
          <w:szCs w:val="20"/>
          <w:color w:val="auto"/>
        </w:rPr>
      </w:pPr>
    </w:p>
    <w:p>
      <w:pPr>
        <w:ind w:firstLine="8"/>
        <w:spacing w:after="0" w:line="260" w:lineRule="auto"/>
        <w:tabs>
          <w:tab w:leader="none" w:pos="32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externally managed by Runway Growth Capital LLC ("RGC"), an investment adviser that has registered with the SEC under the Investment Advisers Act of 1940, as amended. Runway Administrator Services LLC (the "Administrator"), a wholly-owned subsidiary of RGC, provides all the administrative services necessary for us to operate.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10, 2020, we, RGC, and certain other funds and accounts sponsored or managed by RGC and/or its affiliates were granted an order (the “Order”), as amended on August 30, 2022,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our investment objective, positions, policies, strategies and restrictions as well as regulatory requirements and other pertinent factors. We believe that the ability to co-invest with similar investment structures and accounts sponsored or managed by RGC or its affiliates provides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in respect of us or our stockholders on the part of any person concerned and (2) the transaction is consistent with the interests of our stockholders and is consistent with our investment strategies and policies.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Composition and Investment Activity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Composition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September 30, 2024, we had investments in 57 portfolio companies, representing 25 companies in which we held debt and warrant investments, three companies in which we held debt investments and shares of common stock, preferred stock, or a combination with warrants, four companies in which we held a debt investment only, 17 companies in which we held warrant investments only, and eight companies in which we held shares of common stock, preferred stock, or equity interests only, or a combination with warrants. At December 31, 2023, we had investments in 52 portfolio companies, representing 22 companies in which we held debt and warrant investments, three companies in which we held debt investments and shares of common, preferred stock, or a combination with warrants, four companies in which we held a debt investment only, 16 companies in which we held warrant investments only, and seven companies in which we held shares of common stock, preferred stock, or equity interests only, or a combination with warrants.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fair value of our investments, by asset class, as of September 30, 2024 and December 31, 2023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of Total Portfolio</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of Total Portfolio</w:t>
            </w:r>
          </w:p>
        </w:tc>
        <w:tc>
          <w:tcPr>
            <w:tcW w:w="0" w:type="dxa"/>
            <w:vAlign w:val="bottom"/>
          </w:tcPr>
          <w:p>
            <w:pPr>
              <w:spacing w:after="0"/>
              <w:rPr>
                <w:sz w:val="1"/>
                <w:szCs w:val="1"/>
                <w:color w:val="auto"/>
              </w:rPr>
            </w:pPr>
          </w:p>
        </w:tc>
      </w:tr>
      <w:tr>
        <w:trPr>
          <w:trHeight w:val="169"/>
        </w:trPr>
        <w:tc>
          <w:tcPr>
            <w:tcW w:w="28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28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Senior Secured Term Loans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1,012,861</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989,385</w:t>
            </w:r>
          </w:p>
        </w:tc>
        <w:tc>
          <w:tcPr>
            <w:tcW w:w="13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92.81</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977,947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964,099</w:t>
            </w:r>
          </w:p>
        </w:tc>
        <w:tc>
          <w:tcPr>
            <w:tcW w:w="10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90.35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Second Lien Term Loans</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14,590</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14,501</w:t>
            </w:r>
          </w:p>
        </w:tc>
        <w:tc>
          <w:tcPr>
            <w:tcW w:w="1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14,278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14,399</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Convertible Note</w:t>
            </w:r>
          </w:p>
        </w:tc>
        <w:tc>
          <w:tcPr>
            <w:tcW w:w="2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1,696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0.13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Preferred Stocks</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40,602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38,198</w:t>
            </w:r>
          </w:p>
        </w:tc>
        <w:tc>
          <w:tcPr>
            <w:tcW w:w="1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40,602</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29,838</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Stocks</w:t>
            </w:r>
          </w:p>
        </w:tc>
        <w:tc>
          <w:tcPr>
            <w:tcW w:w="2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9,141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554</w:t>
            </w:r>
          </w:p>
        </w:tc>
        <w:tc>
          <w:tcPr>
            <w:tcW w:w="13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0.13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Equity Interest</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6,550</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6,726</w:t>
            </w:r>
          </w:p>
        </w:tc>
        <w:tc>
          <w:tcPr>
            <w:tcW w:w="1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0.63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0.09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Warrants</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24,243</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16,736</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20,560</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12,947</w:t>
            </w:r>
          </w:p>
        </w:tc>
        <w:tc>
          <w:tcPr>
            <w:tcW w:w="100" w:type="dxa"/>
            <w:vAlign w:val="bottom"/>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82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 Investments, excluding U.S. Treasury</w:t>
            </w:r>
          </w:p>
        </w:tc>
        <w:tc>
          <w:tcPr>
            <w:tcW w:w="280" w:type="dxa"/>
            <w:vAlign w:val="bottom"/>
            <w:shd w:val="clear" w:color="auto" w:fill="CFF0FC"/>
          </w:tcPr>
          <w:p>
            <w:pPr>
              <w:spacing w:after="0"/>
              <w:rPr>
                <w:sz w:val="11"/>
                <w:szCs w:val="11"/>
                <w:color w:val="auto"/>
              </w:rPr>
            </w:pPr>
          </w:p>
        </w:tc>
        <w:tc>
          <w:tcPr>
            <w:tcW w:w="10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1,109,683</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1,066,100</w:t>
            </w:r>
          </w:p>
        </w:tc>
        <w:tc>
          <w:tcPr>
            <w:tcW w:w="13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1,064,835</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1,025,010</w:t>
            </w:r>
          </w:p>
        </w:tc>
        <w:tc>
          <w:tcPr>
            <w:tcW w:w="100" w:type="dxa"/>
            <w:vAlign w:val="bottom"/>
            <w:shd w:val="clear" w:color="auto" w:fill="CFF0FC"/>
          </w:tcPr>
          <w:p>
            <w:pPr>
              <w:spacing w:after="0"/>
              <w:rPr>
                <w:sz w:val="11"/>
                <w:szCs w:val="11"/>
                <w:color w:val="auto"/>
              </w:rPr>
            </w:pPr>
          </w:p>
        </w:tc>
        <w:tc>
          <w:tcPr>
            <w:tcW w:w="12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96.06</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Bills</w:t>
            </w:r>
          </w:p>
        </w:tc>
        <w:tc>
          <w:tcPr>
            <w:tcW w:w="280" w:type="dxa"/>
            <w:vAlign w:val="bottom"/>
            <w:shd w:val="clear" w:color="auto" w:fill="CFF0FC"/>
          </w:tcPr>
          <w:p>
            <w:pPr>
              <w:spacing w:after="0"/>
              <w:rPr>
                <w:sz w:val="15"/>
                <w:szCs w:val="15"/>
                <w:color w:val="auto"/>
              </w:rPr>
            </w:pPr>
          </w:p>
        </w:tc>
        <w:tc>
          <w:tcPr>
            <w:tcW w:w="102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vMerge w:val="continue"/>
            <w:shd w:val="clear" w:color="auto" w:fill="CFF0FC"/>
          </w:tcPr>
          <w:p>
            <w:pPr>
              <w:spacing w:after="0"/>
              <w:rPr>
                <w:sz w:val="15"/>
                <w:szCs w:val="15"/>
                <w:color w:val="auto"/>
              </w:rPr>
            </w:pPr>
          </w:p>
        </w:tc>
        <w:tc>
          <w:tcPr>
            <w:tcW w:w="138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2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Treasury Bill</w:t>
            </w: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42,014</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41,999</w:t>
            </w:r>
          </w:p>
        </w:tc>
        <w:tc>
          <w:tcPr>
            <w:tcW w:w="10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3.94</w:t>
            </w:r>
          </w:p>
        </w:tc>
        <w:tc>
          <w:tcPr>
            <w:tcW w:w="14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28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1,109,683</w:t>
            </w:r>
          </w:p>
        </w:tc>
        <w:tc>
          <w:tcPr>
            <w:tcW w:w="30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1,066,100</w:t>
            </w:r>
          </w:p>
        </w:tc>
        <w:tc>
          <w:tcPr>
            <w:tcW w:w="138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1,106,849</w:t>
            </w:r>
          </w:p>
        </w:tc>
        <w:tc>
          <w:tcPr>
            <w:tcW w:w="2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1,067,009</w:t>
            </w:r>
          </w:p>
        </w:tc>
        <w:tc>
          <w:tcPr>
            <w:tcW w:w="100" w:type="dxa"/>
            <w:vAlign w:val="bottom"/>
          </w:tcPr>
          <w:p>
            <w:pPr>
              <w:spacing w:after="0"/>
              <w:rPr>
                <w:sz w:val="14"/>
                <w:szCs w:val="14"/>
                <w:color w:val="auto"/>
              </w:rPr>
            </w:pPr>
          </w:p>
        </w:tc>
        <w:tc>
          <w:tcPr>
            <w:tcW w:w="126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100.00</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-376555</wp:posOffset>
            </wp:positionV>
            <wp:extent cx="7683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-376555</wp:posOffset>
            </wp:positionV>
            <wp:extent cx="7747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-376555</wp:posOffset>
            </wp:positionV>
            <wp:extent cx="7683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-376555</wp:posOffset>
            </wp:positionV>
            <wp:extent cx="6858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-376555</wp:posOffset>
            </wp:positionV>
            <wp:extent cx="6858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-376555</wp:posOffset>
            </wp:positionV>
            <wp:extent cx="8572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-145415</wp:posOffset>
            </wp:positionV>
            <wp:extent cx="7683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-145415</wp:posOffset>
            </wp:positionV>
            <wp:extent cx="7747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-145415</wp:posOffset>
            </wp:positionV>
            <wp:extent cx="6858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-145415</wp:posOffset>
            </wp:positionV>
            <wp:extent cx="6858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-145415</wp:posOffset>
            </wp:positionV>
            <wp:extent cx="6858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231F20"/>
        </w:rPr>
        <w:t xml:space="preserve">For the three and nine months ended September 30, 2024, our debt investment portfolio had a dollar-weighted annualized yield of 15.9% </w:t>
      </w:r>
      <w:r>
        <w:rPr>
          <w:rFonts w:ascii="Times New Roman" w:cs="Times New Roman" w:eastAsia="Times New Roman" w:hAnsi="Times New Roman"/>
          <w:sz w:val="18"/>
          <w:szCs w:val="18"/>
          <w:color w:val="000000"/>
        </w:rPr>
        <w:t>and 15.5%,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respectively</w:t>
      </w:r>
      <w:r>
        <w:rPr>
          <w:rFonts w:ascii="Times New Roman" w:cs="Times New Roman" w:eastAsia="Times New Roman" w:hAnsi="Times New Roman"/>
          <w:sz w:val="18"/>
          <w:szCs w:val="18"/>
          <w:color w:val="231F20"/>
        </w:rPr>
        <w:t>. For the</w:t>
      </w:r>
      <w:r>
        <w:rPr>
          <w:rFonts w:ascii="Times New Roman" w:cs="Times New Roman" w:eastAsia="Times New Roman" w:hAnsi="Times New Roman"/>
          <w:sz w:val="18"/>
          <w:szCs w:val="18"/>
          <w:color w:val="000000"/>
        </w:rPr>
        <w:t xml:space="preserve"> three and nine months ended September 30, 2023</w:t>
      </w:r>
      <w:r>
        <w:rPr>
          <w:rFonts w:ascii="Times New Roman" w:cs="Times New Roman" w:eastAsia="Times New Roman" w:hAnsi="Times New Roman"/>
          <w:sz w:val="18"/>
          <w:szCs w:val="18"/>
          <w:color w:val="231F20"/>
        </w:rPr>
        <w:t>, our debt investment portfolio had a dollar-weighted annualized yield of 18.3%</w:t>
      </w:r>
      <w:r>
        <w:rPr>
          <w:rFonts w:ascii="Times New Roman" w:cs="Times New Roman" w:eastAsia="Times New Roman" w:hAnsi="Times New Roman"/>
          <w:sz w:val="18"/>
          <w:szCs w:val="18"/>
          <w:color w:val="000000"/>
        </w:rPr>
        <w:t xml:space="preserve"> and 16.0%, respectively</w:t>
      </w:r>
      <w:r>
        <w:rPr>
          <w:rFonts w:ascii="Times New Roman" w:cs="Times New Roman" w:eastAsia="Times New Roman" w:hAnsi="Times New Roman"/>
          <w:sz w:val="18"/>
          <w:szCs w:val="18"/>
          <w:color w:val="231F20"/>
        </w:rPr>
        <w:t>. We calculate the yield on dollar-weighted debt investments for any period measured as (1) total related investment income during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period divided by (2) the daily average of the fair value of debt investments outstanding during the period, including any debt investments on non-accrual status. As of September 30, 2024, our debt investments had a dollar-weighted average term of 58 months at origination and a dollar-weighted average remaining term of 33 months, or approximately 2.8 years. As of September 30, 2024, substantially all of our debt investments had a committed principal amount of between $6.0 million and $85.0 million and pay cash interest at annual interest rates of between 8.0% and 14.8%.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following table shows our dollar-weighted annualized yield by investment type for the </w:t>
      </w:r>
      <w:r>
        <w:rPr>
          <w:rFonts w:ascii="Times New Roman" w:cs="Times New Roman" w:eastAsia="Times New Roman" w:hAnsi="Times New Roman"/>
          <w:sz w:val="18"/>
          <w:szCs w:val="18"/>
          <w:color w:val="000000"/>
        </w:rPr>
        <w:t>three and nine months ended September 30, 2024 and 2023</w:t>
      </w:r>
      <w:r>
        <w:rPr>
          <w:rFonts w:ascii="Times New Roman" w:cs="Times New Roman" w:eastAsia="Times New Roman" w:hAnsi="Times New Roman"/>
          <w:sz w:val="18"/>
          <w:szCs w:val="18"/>
          <w:color w:val="231F20"/>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9"/>
                <w:szCs w:val="19"/>
                <w:b w:val="1"/>
                <w:bCs w:val="1"/>
                <w:color w:val="auto"/>
                <w:vertAlign w:val="superscript"/>
              </w:rPr>
              <w:t>(1)</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w w:val="90"/>
              </w:rPr>
              <w:t>Cost</w:t>
            </w:r>
            <w:r>
              <w:rPr>
                <w:rFonts w:ascii="Times New Roman" w:cs="Times New Roman" w:eastAsia="Times New Roman" w:hAnsi="Times New Roman"/>
                <w:sz w:val="19"/>
                <w:szCs w:val="19"/>
                <w:b w:val="1"/>
                <w:bCs w:val="1"/>
                <w:color w:val="auto"/>
                <w:w w:val="90"/>
                <w:vertAlign w:val="superscript"/>
              </w:rPr>
              <w:t>(2)</w:t>
            </w: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131"/>
        </w:trPr>
        <w:tc>
          <w:tcPr>
            <w:tcW w:w="2680" w:type="dxa"/>
            <w:vAlign w:val="bottom"/>
          </w:tcPr>
          <w:p>
            <w:pPr>
              <w:spacing w:after="0"/>
              <w:rPr>
                <w:sz w:val="11"/>
                <w:szCs w:val="11"/>
                <w:color w:val="auto"/>
              </w:rPr>
            </w:pPr>
          </w:p>
        </w:tc>
        <w:tc>
          <w:tcPr>
            <w:tcW w:w="2180" w:type="dxa"/>
            <w:vAlign w:val="bottom"/>
            <w:gridSpan w:val="5"/>
          </w:tcPr>
          <w:p>
            <w:pPr>
              <w:jc w:val="right"/>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98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40" w:type="dxa"/>
            <w:vAlign w:val="bottom"/>
          </w:tcPr>
          <w:p>
            <w:pPr>
              <w:spacing w:after="0"/>
              <w:rPr>
                <w:sz w:val="11"/>
                <w:szCs w:val="11"/>
                <w:color w:val="auto"/>
              </w:rPr>
            </w:pPr>
          </w:p>
        </w:tc>
        <w:tc>
          <w:tcPr>
            <w:tcW w:w="2180" w:type="dxa"/>
            <w:vAlign w:val="bottom"/>
            <w:gridSpan w:val="6"/>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080" w:type="dxa"/>
            <w:vAlign w:val="bottom"/>
            <w:gridSpan w:val="4"/>
          </w:tcPr>
          <w:p>
            <w:pPr>
              <w:jc w:val="right"/>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 September</w:t>
            </w:r>
          </w:p>
        </w:tc>
      </w:tr>
      <w:tr>
        <w:trPr>
          <w:trHeight w:val="187"/>
        </w:trPr>
        <w:tc>
          <w:tcPr>
            <w:tcW w:w="2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30,</w:t>
            </w: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30,</w:t>
            </w: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30,</w:t>
            </w: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w:t>
            </w: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r>
      <w:tr>
        <w:trPr>
          <w:trHeight w:val="169"/>
        </w:trPr>
        <w:tc>
          <w:tcPr>
            <w:tcW w:w="268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4"/>
                <w:szCs w:val="14"/>
                <w:color w:val="auto"/>
              </w:rPr>
            </w:pPr>
          </w:p>
        </w:tc>
      </w:tr>
      <w:tr>
        <w:trPr>
          <w:trHeight w:val="169"/>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3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r>
      <w:tr>
        <w:trPr>
          <w:trHeight w:val="176"/>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 investments</w:t>
            </w: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15.92</w:t>
            </w:r>
          </w:p>
        </w:tc>
        <w:tc>
          <w:tcPr>
            <w:tcW w:w="4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18.27</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15.51</w:t>
            </w:r>
          </w:p>
        </w:tc>
        <w:tc>
          <w:tcPr>
            <w:tcW w:w="4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16.04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15.49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15.21</w:t>
            </w: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15.79</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Equity interest</w:t>
            </w:r>
          </w:p>
        </w:tc>
        <w:tc>
          <w:tcPr>
            <w:tcW w:w="32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2.52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0.07</w:t>
            </w:r>
          </w:p>
        </w:tc>
        <w:tc>
          <w:tcPr>
            <w:tcW w:w="42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2.70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0.05</w:t>
            </w:r>
          </w:p>
        </w:tc>
        <w:tc>
          <w:tcPr>
            <w:tcW w:w="4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2.17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All investments</w:t>
            </w: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15.08</w:t>
            </w:r>
          </w:p>
        </w:tc>
        <w:tc>
          <w:tcPr>
            <w:tcW w:w="4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17.47</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14.77</w:t>
            </w:r>
          </w:p>
        </w:tc>
        <w:tc>
          <w:tcPr>
            <w:tcW w:w="4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15.45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14.29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14.11</w:t>
            </w: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15.07</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1"/>
        </w:trPr>
        <w:tc>
          <w:tcPr>
            <w:tcW w:w="26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r>
    </w:tbl>
    <w:p>
      <w:pPr>
        <w:spacing w:after="0" w:line="126" w:lineRule="exact"/>
        <w:rPr>
          <w:sz w:val="20"/>
          <w:szCs w:val="20"/>
          <w:color w:val="auto"/>
        </w:rPr>
      </w:pPr>
    </w:p>
    <w:p>
      <w:pPr>
        <w:jc w:val="both"/>
        <w:ind w:left="760" w:hanging="374"/>
        <w:spacing w:after="0" w:line="194" w:lineRule="auto"/>
        <w:tabs>
          <w:tab w:leader="none" w:pos="760"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w:t>
      </w:r>
    </w:p>
    <w:p>
      <w:pPr>
        <w:spacing w:after="0" w:line="110" w:lineRule="exact"/>
        <w:rPr>
          <w:rFonts w:ascii="Times New Roman" w:cs="Times New Roman" w:eastAsia="Times New Roman" w:hAnsi="Times New Roman"/>
          <w:sz w:val="24"/>
          <w:szCs w:val="24"/>
          <w:color w:val="auto"/>
          <w:vertAlign w:val="superscript"/>
        </w:rPr>
      </w:pPr>
    </w:p>
    <w:p>
      <w:pPr>
        <w:jc w:val="both"/>
        <w:ind w:left="760" w:hanging="374"/>
        <w:spacing w:after="0" w:line="194" w:lineRule="auto"/>
        <w:tabs>
          <w:tab w:leader="none" w:pos="760"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We calculate the dollar-weighted annualized yield on average investment type for any period as (a) total related investment income during the period divided by (b) the daily average of the investment type outstanding during the period, at amortized cost, including any investments on non-accrual status. The dollar-weighted annualized yield represents the portfolio yield and will be higher than what investors will realize because it does not reflect our expenses or any sales load paid by investors.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Activity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During the nine months ended September 30, 2024, we funded $151.4 million in five new portfolio companies, $5.6 million in one joint venture, and $17.0 million in four existing portfolio companies, net of upfront loan origination fees and refinances. We also received $144.7 million in sales and prepayments from five portfolio companies and $2.4 million in scheduled principal repayments from one portfolio company. There was $0.1 million in proceeds from the termination of warrants, sale of preferred stock, sale of equity interest, or sale of common stock during the nine months ended September 30, 2024. During the nine months ended September 30, 2023, we funded $19.8 million in one new portfolio company, and $85.7 million in 11 existing portfolio companies, net of upfront loan origination fees and refinances. We also received $225.7 million in loan sales and prepayments from 10 portfolio companies and $7.0 million in scheduled principal payments from two portfolio companies. There were no proceeds from the termination of warrants, sale of preferred stock, sale of equity interest, or sale of common stock during the nine months ended September 30, 2023.</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Reconciliation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investment portfolio, including U.S. Treasury Bills, for the nine months ended September 30, 2024 and 2023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840" w:type="dxa"/>
            <w:vAlign w:val="bottom"/>
          </w:tcPr>
          <w:p>
            <w:pPr>
              <w:spacing w:after="0"/>
              <w:rPr>
                <w:sz w:val="15"/>
                <w:szCs w:val="15"/>
                <w:color w:val="auto"/>
              </w:rPr>
            </w:pPr>
          </w:p>
        </w:tc>
        <w:tc>
          <w:tcPr>
            <w:tcW w:w="15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69"/>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Beginning investment portfolio</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1,067,009</w:t>
            </w:r>
          </w:p>
        </w:tc>
        <w:tc>
          <w:tcPr>
            <w:tcW w:w="3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1,126,309</w:t>
            </w:r>
          </w:p>
        </w:tc>
        <w:tc>
          <w:tcPr>
            <w:tcW w:w="100" w:type="dxa"/>
            <w:vAlign w:val="bottom"/>
            <w:shd w:val="clear" w:color="auto" w:fill="CFF0FC"/>
          </w:tcPr>
          <w:p>
            <w:pPr>
              <w:spacing w:after="0"/>
              <w:rPr>
                <w:sz w:val="14"/>
                <w:szCs w:val="14"/>
                <w:color w:val="auto"/>
              </w:rPr>
            </w:pPr>
          </w:p>
        </w:tc>
      </w:tr>
      <w:tr>
        <w:trPr>
          <w:trHeight w:val="176"/>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investments</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174,029</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105,527</w:t>
            </w:r>
          </w:p>
        </w:tc>
        <w:tc>
          <w:tcPr>
            <w:tcW w:w="100" w:type="dxa"/>
            <w:vAlign w:val="bottom"/>
          </w:tcPr>
          <w:p>
            <w:pPr>
              <w:spacing w:after="0"/>
              <w:rPr>
                <w:sz w:val="15"/>
                <w:szCs w:val="15"/>
                <w:color w:val="auto"/>
              </w:rPr>
            </w:pPr>
          </w:p>
        </w:tc>
      </w:tr>
      <w:tr>
        <w:trPr>
          <w:trHeight w:val="175"/>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Purchases of U.S. Treasury Bills</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34,974</w:t>
            </w:r>
          </w:p>
        </w:tc>
        <w:tc>
          <w:tcPr>
            <w:tcW w:w="100" w:type="dxa"/>
            <w:vAlign w:val="bottom"/>
            <w:shd w:val="clear" w:color="auto" w:fill="CFF0FC"/>
          </w:tcPr>
          <w:p>
            <w:pPr>
              <w:spacing w:after="0"/>
              <w:rPr>
                <w:sz w:val="15"/>
                <w:szCs w:val="15"/>
                <w:color w:val="auto"/>
              </w:rPr>
            </w:pPr>
          </w:p>
        </w:tc>
      </w:tr>
      <w:tr>
        <w:trPr>
          <w:trHeight w:val="175"/>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PIK interest</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9,582</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15,334</w:t>
            </w:r>
          </w:p>
        </w:tc>
        <w:tc>
          <w:tcPr>
            <w:tcW w:w="100" w:type="dxa"/>
            <w:vAlign w:val="bottom"/>
          </w:tcPr>
          <w:p>
            <w:pPr>
              <w:spacing w:after="0"/>
              <w:rPr>
                <w:sz w:val="15"/>
                <w:szCs w:val="15"/>
                <w:color w:val="auto"/>
              </w:rPr>
            </w:pPr>
          </w:p>
        </w:tc>
      </w:tr>
      <w:tr>
        <w:trPr>
          <w:trHeight w:val="175"/>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and prepayments of investments</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(144,661 )</w:t>
            </w:r>
          </w:p>
        </w:tc>
        <w:tc>
          <w:tcPr>
            <w:tcW w:w="100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(225,671 )</w:t>
            </w:r>
          </w:p>
        </w:tc>
      </w:tr>
      <w:tr>
        <w:trPr>
          <w:trHeight w:val="175"/>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Scheduled repayments of investments</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(2,380 )</w:t>
            </w:r>
          </w:p>
        </w:tc>
        <w:tc>
          <w:tcPr>
            <w:tcW w:w="100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(7,046 )</w:t>
            </w:r>
          </w:p>
        </w:tc>
      </w:tr>
      <w:tr>
        <w:trPr>
          <w:trHeight w:val="175"/>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and maturities of U.S. Treasury Bills</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(42,029 )</w:t>
            </w:r>
          </w:p>
        </w:tc>
        <w:tc>
          <w:tcPr>
            <w:tcW w:w="100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(35,000 )</w:t>
            </w:r>
          </w:p>
        </w:tc>
      </w:tr>
      <w:tr>
        <w:trPr>
          <w:trHeight w:val="176"/>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fixed income premiums or accretion of discounts</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8,293</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7,332</w:t>
            </w:r>
          </w:p>
        </w:tc>
        <w:tc>
          <w:tcPr>
            <w:tcW w:w="100" w:type="dxa"/>
            <w:vAlign w:val="bottom"/>
          </w:tcPr>
          <w:p>
            <w:pPr>
              <w:spacing w:after="0"/>
              <w:rPr>
                <w:sz w:val="15"/>
                <w:szCs w:val="15"/>
                <w:color w:val="auto"/>
              </w:rPr>
            </w:pPr>
          </w:p>
        </w:tc>
      </w:tr>
      <w:tr>
        <w:trPr>
          <w:trHeight w:val="175"/>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(1,178 )</w:t>
            </w:r>
          </w:p>
        </w:tc>
      </w:tr>
      <w:tr>
        <w:trPr>
          <w:trHeight w:val="175"/>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gain (loss) on investments</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(3,743 )</w:t>
            </w:r>
          </w:p>
        </w:tc>
        <w:tc>
          <w:tcPr>
            <w:tcW w:w="100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(9,654 )</w:t>
            </w:r>
          </w:p>
        </w:tc>
      </w:tr>
      <w:tr>
        <w:trPr>
          <w:trHeight w:val="209"/>
        </w:trPr>
        <w:tc>
          <w:tcPr>
            <w:tcW w:w="584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Ending investment portfolio</w:t>
            </w:r>
          </w:p>
        </w:tc>
        <w:tc>
          <w:tcPr>
            <w:tcW w:w="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1,066,100</w:t>
            </w:r>
          </w:p>
        </w:tc>
        <w:tc>
          <w:tcPr>
            <w:tcW w:w="3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ind w:right="7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1,010,927</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-1400810</wp:posOffset>
            </wp:positionV>
            <wp:extent cx="93980" cy="15430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various risk management and monitoring tools, RGC uses an investment rating system to characterize and monitor the quality of our debt investment portfolio. Equity securities and U.S. Treasury Bills are not graded. This debt investment rating system uses a five-level numeric scale. The following is a description of the conditions associated with each investment rating:</w:t>
      </w:r>
    </w:p>
    <w:p>
      <w:pPr>
        <w:spacing w:after="0" w:line="170"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080" w:type="dxa"/>
            <w:vAlign w:val="bottom"/>
          </w:tcPr>
          <w:p>
            <w:pPr>
              <w:jc w:val="center"/>
              <w:ind w:right="232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460" w:type="dxa"/>
            <w:vAlign w:val="bottom"/>
            <w:vMerge w:val="restart"/>
          </w:tcPr>
          <w:p>
            <w:pPr>
              <w:ind w:left="2400"/>
              <w:spacing w:after="0"/>
              <w:rPr>
                <w:sz w:val="20"/>
                <w:szCs w:val="20"/>
                <w:color w:val="auto"/>
              </w:rPr>
            </w:pPr>
            <w:r>
              <w:rPr>
                <w:rFonts w:ascii="Times New Roman" w:cs="Times New Roman" w:eastAsia="Times New Roman" w:hAnsi="Times New Roman"/>
                <w:sz w:val="14"/>
                <w:szCs w:val="14"/>
                <w:b w:val="1"/>
                <w:bCs w:val="1"/>
                <w:color w:val="auto"/>
              </w:rPr>
              <w:t>Rating Definition</w:t>
            </w:r>
          </w:p>
        </w:tc>
        <w:tc>
          <w:tcPr>
            <w:tcW w:w="0" w:type="dxa"/>
            <w:vAlign w:val="bottom"/>
          </w:tcPr>
          <w:p>
            <w:pPr>
              <w:spacing w:after="0"/>
              <w:rPr>
                <w:sz w:val="1"/>
                <w:szCs w:val="1"/>
                <w:color w:val="auto"/>
              </w:rPr>
            </w:pPr>
          </w:p>
        </w:tc>
      </w:tr>
      <w:tr>
        <w:trPr>
          <w:trHeight w:val="190"/>
        </w:trPr>
        <w:tc>
          <w:tcPr>
            <w:tcW w:w="3080" w:type="dxa"/>
            <w:vAlign w:val="bottom"/>
          </w:tcPr>
          <w:p>
            <w:pPr>
              <w:jc w:val="center"/>
              <w:ind w:right="2348"/>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3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left="1260" w:hanging="721"/>
        <w:spacing w:after="0"/>
        <w:tabs>
          <w:tab w:leader="none" w:pos="126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Performing above plan and/or strong enterprise profile, value, financial performance/coverage. Maintaining full covenant and payment compliance as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5430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260" w:right="20" w:hanging="721"/>
        <w:spacing w:after="0" w:line="239" w:lineRule="auto"/>
        <w:tabs>
          <w:tab w:leader="none" w:pos="1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Performing at or reasonably close to plan. Acceptable business prospects, enterprise value, financial coverage. Maintaining key covenant and payment compliance as agreed. Generally, all new loans are initially graded Category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0574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1260" w:right="20" w:hanging="721"/>
        <w:spacing w:after="0" w:line="241" w:lineRule="auto"/>
        <w:tabs>
          <w:tab w:leader="none" w:pos="1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Performing below plan of record. Potential elements of concern over performance, trends and business outlook. Loan-to-value remains adequate. Potential key covenant non-compliance. Full payment compliance.</w:t>
      </w:r>
    </w:p>
    <w:p>
      <w:pPr>
        <w:spacing w:after="0" w:line="1" w:lineRule="exact"/>
        <w:rPr>
          <w:sz w:val="20"/>
          <w:szCs w:val="20"/>
          <w:color w:val="auto"/>
        </w:rPr>
      </w:pPr>
    </w:p>
    <w:p>
      <w:pPr>
        <w:jc w:val="both"/>
        <w:ind w:left="1260" w:right="20" w:hanging="721"/>
        <w:spacing w:after="0" w:line="234" w:lineRule="auto"/>
        <w:tabs>
          <w:tab w:leader="none" w:pos="1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 but no loss of principal is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0574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1260" w:right="20" w:hanging="721"/>
        <w:spacing w:after="0" w:line="243" w:lineRule="auto"/>
        <w:tabs>
          <w:tab w:leader="none" w:pos="1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Going concern nature in question. Substantial decline in enterprise value and all coverages. Covenant and payment default imminent if not currently present. Investments are nearly always in workout. May experience partial and/or full loss.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investment ratings of our debt investments at fair value as of September 30, 2024 and December 31, 2023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Rating</w:t>
            </w:r>
          </w:p>
        </w:tc>
        <w:tc>
          <w:tcPr>
            <w:tcW w:w="240" w:type="dxa"/>
            <w:vAlign w:val="bottom"/>
          </w:tcPr>
          <w:p>
            <w:pPr>
              <w:spacing w:after="0"/>
              <w:rPr>
                <w:sz w:val="11"/>
                <w:szCs w:val="11"/>
                <w:color w:val="auto"/>
              </w:rPr>
            </w:pPr>
          </w:p>
        </w:tc>
        <w:tc>
          <w:tcPr>
            <w:tcW w:w="124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20" w:type="dxa"/>
            <w:vAlign w:val="bottom"/>
          </w:tcPr>
          <w:p>
            <w:pPr>
              <w:spacing w:after="0"/>
              <w:rPr>
                <w:sz w:val="11"/>
                <w:szCs w:val="11"/>
                <w:color w:val="auto"/>
              </w:rPr>
            </w:pPr>
          </w:p>
        </w:tc>
        <w:tc>
          <w:tcPr>
            <w:tcW w:w="1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of Total Portfolio</w:t>
            </w:r>
          </w:p>
        </w:tc>
        <w:tc>
          <w:tcPr>
            <w:tcW w:w="180" w:type="dxa"/>
            <w:vAlign w:val="bottom"/>
          </w:tcPr>
          <w:p>
            <w:pPr>
              <w:spacing w:after="0"/>
              <w:rPr>
                <w:sz w:val="11"/>
                <w:szCs w:val="11"/>
                <w:color w:val="auto"/>
              </w:rPr>
            </w:pPr>
          </w:p>
        </w:tc>
        <w:tc>
          <w:tcPr>
            <w:tcW w:w="13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Number of Portfolio</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1"/>
                <w:szCs w:val="11"/>
                <w:color w:val="auto"/>
              </w:rPr>
            </w:pPr>
          </w:p>
        </w:tc>
        <w:tc>
          <w:tcPr>
            <w:tcW w:w="14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of Total Portfolio</w:t>
            </w:r>
          </w:p>
        </w:tc>
        <w:tc>
          <w:tcPr>
            <w:tcW w:w="180" w:type="dxa"/>
            <w:vAlign w:val="bottom"/>
          </w:tcPr>
          <w:p>
            <w:pPr>
              <w:spacing w:after="0"/>
              <w:rPr>
                <w:sz w:val="11"/>
                <w:szCs w:val="11"/>
                <w:color w:val="auto"/>
              </w:rPr>
            </w:pPr>
          </w:p>
        </w:tc>
        <w:tc>
          <w:tcPr>
            <w:tcW w:w="13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Number of Portfolio</w:t>
            </w:r>
          </w:p>
        </w:tc>
        <w:tc>
          <w:tcPr>
            <w:tcW w:w="0" w:type="dxa"/>
            <w:vAlign w:val="bottom"/>
          </w:tcPr>
          <w:p>
            <w:pPr>
              <w:spacing w:after="0"/>
              <w:rPr>
                <w:sz w:val="1"/>
                <w:szCs w:val="1"/>
                <w:color w:val="auto"/>
              </w:rPr>
            </w:pPr>
          </w:p>
        </w:tc>
      </w:tr>
      <w:tr>
        <w:trPr>
          <w:trHeight w:val="187"/>
        </w:trPr>
        <w:tc>
          <w:tcPr>
            <w:tcW w:w="13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0" w:type="dxa"/>
            <w:vAlign w:val="bottom"/>
          </w:tcPr>
          <w:p>
            <w:pPr>
              <w:spacing w:after="0"/>
              <w:rPr>
                <w:sz w:val="1"/>
                <w:szCs w:val="1"/>
                <w:color w:val="auto"/>
              </w:rPr>
            </w:pPr>
          </w:p>
        </w:tc>
      </w:tr>
      <w:tr>
        <w:trPr>
          <w:trHeight w:val="169"/>
        </w:trPr>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FF0FC"/>
          </w:tcPr>
          <w:p>
            <w:pPr>
              <w:spacing w:after="0"/>
              <w:rPr>
                <w:sz w:val="14"/>
                <w:szCs w:val="14"/>
                <w:color w:val="auto"/>
              </w:rPr>
            </w:pPr>
          </w:p>
        </w:tc>
        <w:tc>
          <w:tcPr>
            <w:tcW w:w="19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634,926</w:t>
            </w:r>
          </w:p>
        </w:tc>
        <w:tc>
          <w:tcPr>
            <w:tcW w:w="18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59.55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612,709</w:t>
            </w:r>
          </w:p>
        </w:tc>
        <w:tc>
          <w:tcPr>
            <w:tcW w:w="17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57.41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329,026</w:t>
            </w:r>
          </w:p>
        </w:tc>
        <w:tc>
          <w:tcPr>
            <w:tcW w:w="18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30.86</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361,998</w:t>
            </w:r>
          </w:p>
        </w:tc>
        <w:tc>
          <w:tcPr>
            <w:tcW w:w="17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33.93</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5"/>
        </w:trPr>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3,791</w:t>
            </w:r>
          </w:p>
        </w:tc>
        <w:tc>
          <w:tcPr>
            <w:tcW w:w="17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0.36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5"/>
        </w:trPr>
        <w:tc>
          <w:tcPr>
            <w:tcW w:w="13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24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39,934</w:t>
            </w:r>
          </w:p>
        </w:tc>
        <w:tc>
          <w:tcPr>
            <w:tcW w:w="420" w:type="dxa"/>
            <w:vAlign w:val="bottom"/>
            <w:tcBorders>
              <w:bottom w:val="single" w:sz="8" w:color="CFF0FC"/>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3.75</w:t>
            </w:r>
          </w:p>
        </w:tc>
        <w:tc>
          <w:tcPr>
            <w:tcW w:w="18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1,003,886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94.16 %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978,498</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91.70 %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-145415</wp:posOffset>
            </wp:positionV>
            <wp:extent cx="11176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-145415</wp:posOffset>
            </wp:positionV>
            <wp:extent cx="11176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-145415</wp:posOffset>
            </wp:positionV>
            <wp:extent cx="10287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-145415</wp:posOffset>
            </wp:positionV>
            <wp:extent cx="10287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-145415</wp:posOffset>
            </wp:positionV>
            <wp:extent cx="10287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Non-Accrual Investments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Generally, when interest and/or principal payments on a loan become past due, or if we otherwise do not expect the borrower to be able to service its debt and other obligations, we will place the loan on non-accrual status and will cease recognizing interest income on that loan for financial reporting purposes until all principal and interest have been brought current through payment or due to a restructuring such that the interest income is deemed to be collectible. As of September 30, 2024, we had two senior secured term loans on non-accrual status; one loan to Mingle Healthcare Solutions, Inc. with a cost basis of $5.0 million and a fair value of $2.6 million, and one loan to Snagajob, Inc., with a cost basis of $42.7 million and a fair value of $37.3 million which represent 3.7% our total investment portfolio. From being placed on non-accrual status through September 30, 2024, cumulative interest of $0.5 million would be receivable from Mingle Healthcare Solutions, Inc. and not recorded in "Interest income" on the Consolidated Statements of Operations. From being placed on non-accrual status through September 30, 2024, cumulative interest of $3.4 million would be receivable from Snagajob, Inc. and $0.2 million OID would be accreted into the cost basis, for a total of $3.6 million not recorded in "Interest income" on the Consolidated Statements of Operations. As of December 31, 2023, we had no loans on non-accrual status. As of September 30, 2024, we had reversed interest income of $0.3 million related to the senior secured term loans on non-accrual status. As of December 31, 2023, we had not reversed any accrued and uncollected interest income related to the senior secured term loans on non-accrual status.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important measure of our financial performance is "Net increase (decrease) in net assets resulting from operations" on the Consolidated Statements of Operations, which includes "Net investment income (loss)", "Net realized gain (loss) on investments" and "Net change in unrealized gain (loss) on investments". "Net investment income (loss)" is the difference between our income from interest, dividends, fees and other income and our operating expenses, including interest on borrowed funds. "Net realized gain (loss) on investments" is the difference between the proceeds received from dispositions of portfolio investments and U.S. Treasury Bills and their amortized cost. "Net change in unrealized gain (loss) on investments" is the net change in the fair value of our investment portfolio.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2024 and 2023</w:t>
      </w:r>
    </w:p>
    <w:p>
      <w:pPr>
        <w:spacing w:after="0" w:line="22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following table is a comparison of the results of our operations for the three and nine months ended September 30, 2024 and 2023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8"/>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gridSpan w:val="8"/>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8"/>
                <w:szCs w:val="18"/>
                <w:color w:val="auto"/>
              </w:rPr>
            </w:pPr>
          </w:p>
        </w:tc>
        <w:tc>
          <w:tcPr>
            <w:tcW w:w="460" w:type="dxa"/>
            <w:vAlign w:val="bottom"/>
          </w:tcPr>
          <w:p>
            <w:pPr>
              <w:jc w:val="right"/>
              <w:spacing w:after="0" w:line="210" w:lineRule="exact"/>
              <w:rPr>
                <w:sz w:val="20"/>
                <w:szCs w:val="20"/>
                <w:color w:val="auto"/>
              </w:rPr>
            </w:pPr>
            <w:r>
              <w:rPr>
                <w:rFonts w:ascii="Times New Roman" w:cs="Times New Roman" w:eastAsia="Times New Roman" w:hAnsi="Times New Roman"/>
                <w:sz w:val="14"/>
                <w:szCs w:val="14"/>
                <w:b w:val="1"/>
                <w:bCs w:val="1"/>
                <w:color w:val="auto"/>
                <w:w w:val="96"/>
              </w:rPr>
              <w:t xml:space="preserve">Per </w:t>
            </w:r>
            <w:r>
              <w:rPr>
                <w:rFonts w:ascii="Times New Roman" w:cs="Times New Roman" w:eastAsia="Times New Roman" w:hAnsi="Times New Roman"/>
                <w:sz w:val="19"/>
                <w:szCs w:val="19"/>
                <w:b w:val="1"/>
                <w:bCs w:val="1"/>
                <w:color w:val="auto"/>
                <w:w w:val="96"/>
                <w:vertAlign w:val="subscript"/>
              </w:rPr>
              <w:t>(1)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8"/>
                <w:szCs w:val="18"/>
                <w:color w:val="auto"/>
              </w:rPr>
            </w:pPr>
          </w:p>
        </w:tc>
        <w:tc>
          <w:tcPr>
            <w:tcW w:w="460" w:type="dxa"/>
            <w:vAlign w:val="bottom"/>
          </w:tcPr>
          <w:p>
            <w:pPr>
              <w:jc w:val="right"/>
              <w:spacing w:after="0" w:line="210" w:lineRule="exact"/>
              <w:rPr>
                <w:sz w:val="20"/>
                <w:szCs w:val="20"/>
                <w:color w:val="auto"/>
              </w:rPr>
            </w:pPr>
            <w:r>
              <w:rPr>
                <w:rFonts w:ascii="Times New Roman" w:cs="Times New Roman" w:eastAsia="Times New Roman" w:hAnsi="Times New Roman"/>
                <w:sz w:val="14"/>
                <w:szCs w:val="14"/>
                <w:b w:val="1"/>
                <w:bCs w:val="1"/>
                <w:color w:val="auto"/>
                <w:w w:val="96"/>
              </w:rPr>
              <w:t xml:space="preserve">Per </w:t>
            </w:r>
            <w:r>
              <w:rPr>
                <w:rFonts w:ascii="Times New Roman" w:cs="Times New Roman" w:eastAsia="Times New Roman" w:hAnsi="Times New Roman"/>
                <w:sz w:val="19"/>
                <w:szCs w:val="19"/>
                <w:b w:val="1"/>
                <w:bCs w:val="1"/>
                <w:color w:val="auto"/>
                <w:w w:val="96"/>
                <w:vertAlign w:val="subscript"/>
              </w:rPr>
              <w:t>(1)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8"/>
                <w:szCs w:val="18"/>
                <w:color w:val="auto"/>
              </w:rPr>
            </w:pPr>
          </w:p>
        </w:tc>
        <w:tc>
          <w:tcPr>
            <w:tcW w:w="420" w:type="dxa"/>
            <w:vAlign w:val="bottom"/>
          </w:tcPr>
          <w:p>
            <w:pPr>
              <w:jc w:val="right"/>
              <w:spacing w:after="0" w:line="210" w:lineRule="exact"/>
              <w:rPr>
                <w:sz w:val="20"/>
                <w:szCs w:val="20"/>
                <w:color w:val="auto"/>
              </w:rPr>
            </w:pPr>
            <w:r>
              <w:rPr>
                <w:rFonts w:ascii="Times New Roman" w:cs="Times New Roman" w:eastAsia="Times New Roman" w:hAnsi="Times New Roman"/>
                <w:sz w:val="14"/>
                <w:szCs w:val="14"/>
                <w:b w:val="1"/>
                <w:bCs w:val="1"/>
                <w:color w:val="auto"/>
                <w:w w:val="91"/>
              </w:rPr>
              <w:t xml:space="preserve">Per </w:t>
            </w:r>
            <w:r>
              <w:rPr>
                <w:rFonts w:ascii="Times New Roman" w:cs="Times New Roman" w:eastAsia="Times New Roman" w:hAnsi="Times New Roman"/>
                <w:sz w:val="19"/>
                <w:szCs w:val="19"/>
                <w:b w:val="1"/>
                <w:bCs w:val="1"/>
                <w:color w:val="auto"/>
                <w:w w:val="91"/>
                <w:vertAlign w:val="subscript"/>
              </w:rPr>
              <w:t>(1)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8"/>
                <w:szCs w:val="18"/>
                <w:color w:val="auto"/>
              </w:rPr>
            </w:pPr>
          </w:p>
        </w:tc>
        <w:tc>
          <w:tcPr>
            <w:tcW w:w="460" w:type="dxa"/>
            <w:vAlign w:val="bottom"/>
          </w:tcPr>
          <w:p>
            <w:pPr>
              <w:jc w:val="right"/>
              <w:spacing w:after="0" w:line="210" w:lineRule="exact"/>
              <w:rPr>
                <w:sz w:val="20"/>
                <w:szCs w:val="20"/>
                <w:color w:val="auto"/>
              </w:rPr>
            </w:pPr>
            <w:r>
              <w:rPr>
                <w:rFonts w:ascii="Times New Roman" w:cs="Times New Roman" w:eastAsia="Times New Roman" w:hAnsi="Times New Roman"/>
                <w:sz w:val="14"/>
                <w:szCs w:val="14"/>
                <w:b w:val="1"/>
                <w:bCs w:val="1"/>
                <w:color w:val="auto"/>
                <w:w w:val="96"/>
              </w:rPr>
              <w:t xml:space="preserve">Per </w:t>
            </w:r>
            <w:r>
              <w:rPr>
                <w:rFonts w:ascii="Times New Roman" w:cs="Times New Roman" w:eastAsia="Times New Roman" w:hAnsi="Times New Roman"/>
                <w:sz w:val="19"/>
                <w:szCs w:val="19"/>
                <w:b w:val="1"/>
                <w:bCs w:val="1"/>
                <w:color w:val="auto"/>
                <w:w w:val="96"/>
                <w:vertAlign w:val="subscript"/>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2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580" w:type="dxa"/>
            <w:vAlign w:val="bottom"/>
            <w:gridSpan w:val="2"/>
          </w:tcPr>
          <w:p>
            <w:pPr>
              <w:jc w:val="right"/>
              <w:ind w:right="88"/>
              <w:spacing w:after="0" w:line="108" w:lineRule="exact"/>
              <w:rPr>
                <w:sz w:val="20"/>
                <w:szCs w:val="20"/>
                <w:color w:val="auto"/>
              </w:rPr>
            </w:pPr>
            <w:r>
              <w:rPr>
                <w:rFonts w:ascii="Times New Roman" w:cs="Times New Roman" w:eastAsia="Times New Roman" w:hAnsi="Times New Roman"/>
                <w:sz w:val="12"/>
                <w:szCs w:val="12"/>
                <w:b w:val="1"/>
                <w:bCs w:val="1"/>
                <w:color w:val="auto"/>
              </w:rPr>
              <w:t>Share</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920" w:type="dxa"/>
            <w:vAlign w:val="bottom"/>
            <w:gridSpan w:val="3"/>
          </w:tcPr>
          <w:p>
            <w:pPr>
              <w:jc w:val="right"/>
              <w:ind w:right="520"/>
              <w:spacing w:after="0" w:line="108" w:lineRule="exact"/>
              <w:rPr>
                <w:sz w:val="20"/>
                <w:szCs w:val="20"/>
                <w:color w:val="auto"/>
              </w:rPr>
            </w:pPr>
            <w:r>
              <w:rPr>
                <w:rFonts w:ascii="Times New Roman" w:cs="Times New Roman" w:eastAsia="Times New Roman" w:hAnsi="Times New Roman"/>
                <w:sz w:val="12"/>
                <w:szCs w:val="12"/>
                <w:b w:val="1"/>
                <w:bCs w:val="1"/>
                <w:color w:val="auto"/>
              </w:rPr>
              <w:t>Share</w:t>
            </w:r>
          </w:p>
        </w:tc>
        <w:tc>
          <w:tcPr>
            <w:tcW w:w="1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760" w:type="dxa"/>
            <w:vAlign w:val="bottom"/>
            <w:gridSpan w:val="3"/>
          </w:tcPr>
          <w:p>
            <w:pPr>
              <w:jc w:val="right"/>
              <w:ind w:right="360"/>
              <w:spacing w:after="0" w:line="108" w:lineRule="exact"/>
              <w:rPr>
                <w:sz w:val="20"/>
                <w:szCs w:val="20"/>
                <w:color w:val="auto"/>
              </w:rPr>
            </w:pPr>
            <w:r>
              <w:rPr>
                <w:rFonts w:ascii="Times New Roman" w:cs="Times New Roman" w:eastAsia="Times New Roman" w:hAnsi="Times New Roman"/>
                <w:sz w:val="12"/>
                <w:szCs w:val="12"/>
                <w:b w:val="1"/>
                <w:bCs w:val="1"/>
                <w:color w:val="auto"/>
              </w:rPr>
              <w:t>Share</w:t>
            </w: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80" w:type="dxa"/>
            <w:vAlign w:val="bottom"/>
            <w:gridSpan w:val="3"/>
          </w:tcPr>
          <w:p>
            <w:pPr>
              <w:jc w:val="right"/>
              <w:ind w:right="260"/>
              <w:spacing w:after="0" w:line="108" w:lineRule="exact"/>
              <w:rPr>
                <w:sz w:val="20"/>
                <w:szCs w:val="20"/>
                <w:color w:val="auto"/>
              </w:rPr>
            </w:pPr>
            <w:r>
              <w:rPr>
                <w:rFonts w:ascii="Times New Roman" w:cs="Times New Roman" w:eastAsia="Times New Roman" w:hAnsi="Times New Roman"/>
                <w:sz w:val="12"/>
                <w:szCs w:val="12"/>
                <w:b w:val="1"/>
                <w:bCs w:val="1"/>
                <w:color w:val="auto"/>
              </w:rPr>
              <w:t>Share</w:t>
            </w:r>
          </w:p>
        </w:tc>
        <w:tc>
          <w:tcPr>
            <w:tcW w:w="0" w:type="dxa"/>
            <w:vAlign w:val="bottom"/>
          </w:tcPr>
          <w:p>
            <w:pPr>
              <w:spacing w:after="0"/>
              <w:rPr>
                <w:sz w:val="1"/>
                <w:szCs w:val="1"/>
                <w:color w:val="auto"/>
              </w:rPr>
            </w:pPr>
          </w:p>
        </w:tc>
      </w:tr>
      <w:tr>
        <w:trPr>
          <w:trHeight w:val="169"/>
        </w:trPr>
        <w:tc>
          <w:tcPr>
            <w:tcW w:w="3420" w:type="dxa"/>
            <w:vAlign w:val="bottom"/>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fee and dividend income</w:t>
            </w: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36,501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0.95</w:t>
            </w:r>
          </w:p>
        </w:tc>
        <w:tc>
          <w:tcPr>
            <w:tcW w:w="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43,552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110,434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124,632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income</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36,651</w:t>
            </w: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0.95</w:t>
            </w:r>
          </w:p>
        </w:tc>
        <w:tc>
          <w:tcPr>
            <w:tcW w:w="2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43,779</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3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110,853</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124,984</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Management fees</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3,865</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4,302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11,763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12,598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Incentive fees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and other debt financing expenses</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11,379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10,442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33,106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0.83</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32,772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0.81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Professional fees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Administration agreement expenses</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Insurance expense</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Tax expense</w:t>
            </w:r>
          </w:p>
        </w:tc>
        <w:tc>
          <w:tcPr>
            <w:tcW w:w="2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expenses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20,776</w:t>
            </w: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2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21,743</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3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61,723</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65,026</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15,875</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22,036</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49,130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59,958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gain (loss) on investments</w:t>
            </w:r>
          </w:p>
        </w:tc>
        <w:tc>
          <w:tcPr>
            <w:tcW w:w="2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(1,178 )</w:t>
            </w:r>
          </w:p>
        </w:tc>
        <w:tc>
          <w:tcPr>
            <w:tcW w:w="12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(0.03 )</w:t>
            </w:r>
          </w:p>
        </w:tc>
        <w:tc>
          <w:tcPr>
            <w:tcW w:w="0" w:type="dxa"/>
            <w:vAlign w:val="bottom"/>
          </w:tcPr>
          <w:p>
            <w:pPr>
              <w:spacing w:after="0"/>
              <w:rPr>
                <w:sz w:val="1"/>
                <w:szCs w:val="1"/>
                <w:color w:val="auto"/>
              </w:rPr>
            </w:pPr>
          </w:p>
        </w:tc>
      </w:tr>
      <w:tr>
        <w:trPr>
          <w:trHeight w:val="175"/>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unrealized gain (loss) on investments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(7,214 )</w:t>
            </w:r>
          </w:p>
        </w:tc>
        <w:tc>
          <w:tcPr>
            <w:tcW w:w="12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(0.17 )</w:t>
            </w:r>
          </w:p>
        </w:tc>
        <w:tc>
          <w:tcPr>
            <w:tcW w:w="1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(3,743 )</w:t>
            </w:r>
          </w:p>
        </w:tc>
        <w:tc>
          <w:tcPr>
            <w:tcW w:w="1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(0.10 )</w:t>
            </w:r>
          </w:p>
        </w:tc>
        <w:tc>
          <w:tcPr>
            <w:tcW w:w="2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(9,654 )</w:t>
            </w:r>
          </w:p>
        </w:tc>
        <w:tc>
          <w:tcPr>
            <w:tcW w:w="1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(0.24 )</w:t>
            </w:r>
          </w:p>
        </w:tc>
        <w:tc>
          <w:tcPr>
            <w:tcW w:w="0" w:type="dxa"/>
            <w:vAlign w:val="bottom"/>
          </w:tcPr>
          <w:p>
            <w:pPr>
              <w:spacing w:after="0"/>
              <w:rPr>
                <w:sz w:val="1"/>
                <w:szCs w:val="1"/>
                <w:color w:val="auto"/>
              </w:rPr>
            </w:pPr>
          </w:p>
        </w:tc>
      </w:tr>
      <w:tr>
        <w:trPr>
          <w:trHeight w:val="131"/>
        </w:trPr>
        <w:tc>
          <w:tcPr>
            <w:tcW w:w="342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Net increase (decrease) in net assets resulting from</w:t>
            </w:r>
          </w:p>
        </w:tc>
        <w:tc>
          <w:tcPr>
            <w:tcW w:w="200" w:type="dxa"/>
            <w:vAlign w:val="bottom"/>
            <w:tcBorders>
              <w:top w:val="single" w:sz="8" w:color="auto"/>
            </w:tcBorders>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25,049</w:t>
            </w:r>
          </w:p>
        </w:tc>
        <w:tc>
          <w:tcPr>
            <w:tcW w:w="260" w:type="dxa"/>
            <w:vAlign w:val="bottom"/>
            <w:shd w:val="clear" w:color="auto" w:fill="CFF0FC"/>
          </w:tcPr>
          <w:p>
            <w:pPr>
              <w:spacing w:after="0"/>
              <w:rPr>
                <w:sz w:val="11"/>
                <w:szCs w:val="11"/>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240" w:type="dxa"/>
            <w:vAlign w:val="bottom"/>
            <w:vMerge w:val="restart"/>
            <w:shd w:val="clear" w:color="auto" w:fill="CFF0FC"/>
          </w:tcPr>
          <w:p>
            <w:pPr>
              <w:spacing w:after="0"/>
              <w:rPr>
                <w:sz w:val="11"/>
                <w:szCs w:val="11"/>
                <w:color w:val="auto"/>
              </w:rPr>
            </w:pPr>
          </w:p>
        </w:tc>
        <w:tc>
          <w:tcPr>
            <w:tcW w:w="220" w:type="dxa"/>
            <w:vAlign w:val="bottom"/>
            <w:tcBorders>
              <w:top w:val="single" w:sz="8" w:color="auto"/>
            </w:tcBorders>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14,822</w:t>
            </w:r>
          </w:p>
        </w:tc>
        <w:tc>
          <w:tcPr>
            <w:tcW w:w="240" w:type="dxa"/>
            <w:vAlign w:val="bottom"/>
            <w:shd w:val="clear" w:color="auto" w:fill="CFF0FC"/>
          </w:tcPr>
          <w:p>
            <w:pPr>
              <w:spacing w:after="0"/>
              <w:rPr>
                <w:sz w:val="11"/>
                <w:szCs w:val="11"/>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340" w:type="dxa"/>
            <w:vAlign w:val="bottom"/>
            <w:shd w:val="clear" w:color="auto" w:fill="CFF0FC"/>
          </w:tcPr>
          <w:p>
            <w:pPr>
              <w:spacing w:after="0"/>
              <w:rPr>
                <w:sz w:val="11"/>
                <w:szCs w:val="11"/>
                <w:color w:val="auto"/>
              </w:rPr>
            </w:pPr>
          </w:p>
        </w:tc>
        <w:tc>
          <w:tcPr>
            <w:tcW w:w="180" w:type="dxa"/>
            <w:vAlign w:val="bottom"/>
            <w:tcBorders>
              <w:top w:val="single" w:sz="8" w:color="auto"/>
            </w:tcBorders>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45,387</w:t>
            </w: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20" w:type="dxa"/>
            <w:vAlign w:val="bottom"/>
            <w:shd w:val="clear" w:color="auto" w:fill="CFF0FC"/>
          </w:tcPr>
          <w:p>
            <w:pPr>
              <w:spacing w:after="0"/>
              <w:rPr>
                <w:sz w:val="11"/>
                <w:szCs w:val="11"/>
                <w:color w:val="auto"/>
              </w:rPr>
            </w:pPr>
          </w:p>
        </w:tc>
        <w:tc>
          <w:tcPr>
            <w:tcW w:w="200" w:type="dxa"/>
            <w:vAlign w:val="bottom"/>
            <w:tcBorders>
              <w:top w:val="single" w:sz="8" w:color="auto"/>
            </w:tcBorders>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49,126</w:t>
            </w: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420" w:type="dxa"/>
            <w:vAlign w:val="bottom"/>
            <w:tcBorders>
              <w:bottom w:val="single" w:sz="8" w:color="CFF0FC"/>
            </w:tcBorders>
            <w:shd w:val="clear" w:color="auto" w:fill="CFF0FC"/>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operations</w:t>
            </w:r>
          </w:p>
        </w:tc>
        <w:tc>
          <w:tcPr>
            <w:tcW w:w="200" w:type="dxa"/>
            <w:vAlign w:val="bottom"/>
            <w:tcBorders>
              <w:bottom w:val="single" w:sz="8" w:color="auto"/>
            </w:tcBorders>
            <w:vMerge w:val="continue"/>
            <w:shd w:val="clear" w:color="auto" w:fill="CFF0FC"/>
          </w:tcPr>
          <w:p>
            <w:pPr>
              <w:spacing w:after="0"/>
              <w:rPr>
                <w:sz w:val="16"/>
                <w:szCs w:val="16"/>
                <w:color w:val="auto"/>
              </w:rPr>
            </w:pPr>
          </w:p>
        </w:tc>
        <w:tc>
          <w:tcPr>
            <w:tcW w:w="74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46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vMerge w:val="continue"/>
            <w:shd w:val="clear" w:color="auto" w:fill="CFF0FC"/>
          </w:tcPr>
          <w:p>
            <w:pPr>
              <w:spacing w:after="0"/>
              <w:rPr>
                <w:sz w:val="16"/>
                <w:szCs w:val="16"/>
                <w:color w:val="auto"/>
              </w:rPr>
            </w:pPr>
          </w:p>
        </w:tc>
        <w:tc>
          <w:tcPr>
            <w:tcW w:w="220" w:type="dxa"/>
            <w:vAlign w:val="bottom"/>
            <w:tcBorders>
              <w:bottom w:val="single" w:sz="8" w:color="auto"/>
            </w:tcBorders>
            <w:vMerge w:val="continue"/>
            <w:shd w:val="clear" w:color="auto" w:fill="CFF0FC"/>
          </w:tcPr>
          <w:p>
            <w:pPr>
              <w:spacing w:after="0"/>
              <w:rPr>
                <w:sz w:val="16"/>
                <w:szCs w:val="16"/>
                <w:color w:val="auto"/>
              </w:rPr>
            </w:pPr>
          </w:p>
        </w:tc>
        <w:tc>
          <w:tcPr>
            <w:tcW w:w="74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460" w:type="dxa"/>
            <w:vAlign w:val="bottom"/>
            <w:tcBorders>
              <w:bottom w:val="single" w:sz="8" w:color="auto"/>
            </w:tcBorders>
            <w:vMerge w:val="continue"/>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vMerge w:val="continue"/>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42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vMerge w:val="continue"/>
            <w:shd w:val="clear" w:color="auto" w:fill="CFF0FC"/>
          </w:tcPr>
          <w:p>
            <w:pPr>
              <w:spacing w:after="0"/>
              <w:rPr>
                <w:sz w:val="16"/>
                <w:szCs w:val="16"/>
                <w:color w:val="auto"/>
              </w:rPr>
            </w:pPr>
          </w:p>
        </w:tc>
        <w:tc>
          <w:tcPr>
            <w:tcW w:w="70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46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-1696720</wp:posOffset>
            </wp:positionV>
            <wp:extent cx="7683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-1696720</wp:posOffset>
            </wp:positionV>
            <wp:extent cx="7747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-1696720</wp:posOffset>
            </wp:positionV>
            <wp:extent cx="7747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-1696720</wp:posOffset>
            </wp:positionV>
            <wp:extent cx="6858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-1696720</wp:posOffset>
            </wp:positionV>
            <wp:extent cx="6858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-1696720</wp:posOffset>
            </wp:positionV>
            <wp:extent cx="6858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-1696720</wp:posOffset>
            </wp:positionV>
            <wp:extent cx="6858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-565150</wp:posOffset>
            </wp:positionV>
            <wp:extent cx="7683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-565150</wp:posOffset>
            </wp:positionV>
            <wp:extent cx="7747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-565150</wp:posOffset>
            </wp:positionV>
            <wp:extent cx="7747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-565150</wp:posOffset>
            </wp:positionV>
            <wp:extent cx="6858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-565150</wp:posOffset>
            </wp:positionV>
            <wp:extent cx="6858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-565150</wp:posOffset>
            </wp:positionV>
            <wp:extent cx="6858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-565150</wp:posOffset>
            </wp:positionV>
            <wp:extent cx="6858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-24765</wp:posOffset>
            </wp:positionV>
            <wp:extent cx="7683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-7620</wp:posOffset>
            </wp:positionV>
            <wp:extent cx="7683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-24765</wp:posOffset>
            </wp:positionV>
            <wp:extent cx="7747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7747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-24765</wp:posOffset>
            </wp:positionV>
            <wp:extent cx="7747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7747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6858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6858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-24765</wp:posOffset>
            </wp:positionV>
            <wp:extent cx="6858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6858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 w:lineRule="exact"/>
        <w:rPr>
          <w:sz w:val="20"/>
          <w:szCs w:val="20"/>
          <w:color w:val="auto"/>
        </w:rPr>
      </w:pPr>
    </w:p>
    <w:p>
      <w:pPr>
        <w:ind w:left="760" w:hanging="374"/>
        <w:spacing w:after="0" w:line="184" w:lineRule="auto"/>
        <w:tabs>
          <w:tab w:leader="none" w:pos="76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basic per share figures noted above are based on weighted averages of 38,390,854 and 40,509,269 shares outstanding for the three months ended September 30, 2024 and 2023, respectively, and 39,317,890 and 40,509,269 shares outstanding for the nine months ended September 30, 2024 and 2023, respectively.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investment objective is to maximize total return to our stockholders primarily through current income on our loan portfolio, and secondarily through capital gain on our warrants and other equity positions. We intend to achieve our investment objective by investing in high growth-potential, private companies. We typically invest in senior secured loans that generally fall into two strategies: Sponsored Growth Lending and Non-Sponsored Growth Lending. We generally receive warrants and/or other equity from our investments. We expect our investments in loans will generally range from between $10.0 million to $100.0 million, and the upper end of this range may increase as we raise additional capital.</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monthly, primarily based on a floating rate index, and subject to certain floors determined by market rates at the time the investment is made. In some cases, some of our investments may provide for deferred interest payments or PIK interest. The principal amount of the debt securities and any accrued but unpaid interest will become due at the maturity date. Any original issue discount ("OID") or market discount or premium will be capitalized, and we will accrete or amortize such amounts as interest income. We record prepayment fees on debt investments as fee income. Dividend income, if any, will be recognized on an accrual basis to the extent that we expect to collect such amounts.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 income for the three months ended September 30, 2024 and 2023 was $36.7 million and $43.8 million, respectively, and includes non-recurring income of $2.0 million and $5.6 million, respectively. Non-recurring income includes, but is not limited to, acceleration of unaccreted OID, prepayment fees and amendment fees. The decrease in investment income for the three months ended September 30, 2024 compared to the three months ended September 30, 2023 was primarily due to falling interest rates and decrease in the average outstanding principal on interest-earning debt investments as a result of loan repayments and our loans to Snagajob, Inc. and Mingle Healthcare Solutions, Inc. moving to non-accrual status.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 income for the nine months ended September 30, 2024 and 2023 was $110.9 million and $125.0 million, respectively, and includes non-recurring income of $6.2 million and $9.0 million, respectively. The decrease in investment income for the nine months ended September 30, 2024 compared to the nine months ended September 30, 2023 was primarily due to falling interest rates and decrease in the average outstanding principal on interest-earning debt investments as a result of loan repayments and our loans to Snagajob, Inc., and Mingle Healthcare Solutions, Inc. moving to non-accrual status.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135" w:lineRule="exact"/>
        <w:rPr>
          <w:sz w:val="20"/>
          <w:szCs w:val="20"/>
          <w:color w:val="auto"/>
        </w:rPr>
      </w:pPr>
    </w:p>
    <w:p>
      <w:pPr>
        <w:ind w:left="760" w:right="2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pro-rata portion of any fees and expenses related to a potential initial public offering in connection with a future Spin-Off transaction (as defined in "Note 3 – Related Party Agreements and Transactions" to our consolidated financial statements in Part I, Item 1 of this Form 10-Q);</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related to public and private offerings, sales and repurchases of our securities;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our net asset value (including the cost and expenses of any independent valuation firm);</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debt incurred to finance our investments;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purchases of our common stock and other securities;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advisory and management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the Administration Agreement;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of registration and listing our securities on any securities exchange;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state and local taxes;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and filing reports or other documents required by the SEC, the Financial Industry Regulatory Authority or other regulators;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any reports, proxy statements or other notices to stockholders, including printing costs;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portion of any fidelity bond, directors’ and officers’ errors and omissions liability insurance, and any other insurance premiums;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printing, mailing, long distance telephone, copying, secretarial and other staff, independent auditors and outside legal costs; and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for the three months ended September 30, 2024 and 2023 were $20.8 million and $21.7 million, respectively. Operating expenses decreased for the three months ended September 30, 2024 from the three months ended September 30, 2023 primarily due to a decrease in performance-based incentive fees and management fees, offset by an increase in interest and other debt financing expenses. Operating expenses per share for the three months ended September 30, 2024 and 2023 were $0.54 and $0.54,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for the nine months ended September 30, 2024 and 2023 were $61.7 million and $65.0 million, respectively. Operating expenses decreased for the nine months ended September 30, 2024 from the nine months ended September 30, 2023 primarily due to a decrease in performance-based incentive fees and management fees, offset by an increase in interest and other debt financing expenses. Operating expenses per share for the nine months ended September 30, 2024 and 2023 were $1.57 and $1.61,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fees for the three months ended September 30, 2024 and 2023 were $3.9 million and $4.3 million, respectively. Management fees decreased for the three months ended September 30, 2024 from the three months ended September 30, 2023 due to decreased daily average gross assets.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fees for the nine months ended September 30, 2024 and 2023 were $11.8 million and $12.6 million, respectively. Management fees decreased for the nine months ended September 30, 2024 from the nine months ended September 30, 2023 due to decreased daily average gross assets.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Incentive fees for the three months ended September 30, 2024 and 2023 were $4.0 million and $5.5 million, respectively. Incentive fees decreased for the three months ended September 30, 2024 from the three months ended September 30, 2023 due to a decrease in net investment income in the current quarter. For the three months ended September 30, 2024, $3.1 million of the incentive fees were payable in cash and $0.9 million were deferred and accrued. For the three months ended September 30, 2023, $4.3 million of the incentive fees were payable in cash, and $1.2 million were deferred and accrued. Incentive fees related to PIK or deferred interest are accrued and payment is deferred until such interest is collected in cash. Incentive fees per share for the three months ended September 30, 2024 and 2023 were $0.10 and $0.13, respectively.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Incentive fees for the nine months ended September 30, 2024 and 2023 were $12.3 million and $15.0 million, respectively. Incentive fees decreased for the nine months ended September 30, 2024 from the nine months ended September 30, 2023 primarily due to a decrease in net investment income. For the nine months ended September 30, 2024, $9.6 million of the incentive fees were payable in cash and $2.6 million were deferred and accrued. For the nine months ended September 30, 2023, $11.6 million of the incentive fees were payable in cash and $3.4 million were deferred and accrued. Incentive fees per share for the nine months ended September 30, 2024 and 2023 were $0.31 and $0.37,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investment income for the three months ended September 30, 2024 and 2023 was $15.9 million and $22.0 million, respectively. Net investment income decreased for the three months ended September 30, 2024 from the three months ended September 30, 2023 primarily due to a decrease in investment income related to the decrease in the average outstanding principal on interest-earning debt investments, falling interest rates, and our loans to Snagajob, Inc., and Mingle Healthcare Solutions, Inc. moving to non-accrual status. Net investment income per share for the three months ended September 30, 2024 and 2023 was $0.41 and $0.54, respectively.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investment income for the nine months ended September 30, 2024 and 2023 was $49.1 million and $60.0 million, respectively. Net investment income decreased for the nine months ended September 30, 2024 from the nine months ended September 30, 2023 primarily due to a decrease in investment income related to the decrease in the average outstanding principal on interest-earning debt investments, falling interest rates, and our loans to Snagajob, Inc., and Mingle Healthcare Solutions, Inc. moving to non-accrual status. Net investment income per share for the nine months ended September 30, 2024 and 2023 was $1.25 and $1.48,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Realized Gain (Loss) on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net realized gains (losses) on investments for the three months ended September 30, 2024 and the three months ended September 30, 2023.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net realized gain (loss) on investments for the nine months ended September 30, 2024. The net realized loss on investments of $1.2 million for the nine months ended September 30, 2023 was attributable to our investments in CareCloud, Inc. and Gynesonics, Inc. warrants.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Change in Unrealized Gain (Loss) on Investments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change in unrealized gain on investments of $9.2 million for the three months ended September 30, 2024 was primarily due to an increase in the fair value of our senior secured loans to Gynesonics, Inc. and Snagajob.com, Inc., our preferred stock investments in Gynesonics, Inc., and CareCloud, Inc., offset by decreases in fair value of our senior secured loans to Vesta Payment Solutions, Inc., VTX Intermediate Holdings, Inc., 3PL Central LLC, and Blueshift Labs, Inc., as well as a release of prior unrealized gain on the senior secured loan to CloudPay, Inc. The net change in unrealized loss on investments of $7.2 million for the three months ended September 30, 2023 was primarily due to a decrease in the fair value of our preferred stock investment in CareCloud, Inc. and our senior secured loans to Snagajob.com, Inc. and Fiscal Note, Inc., as well as a release of prior unrealized gain on the senior secured loans to Allurion Technologies, Inc.</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change in unrealized loss on investments of $3.7 million for the nine months ended September 30, 2024 was primarily due to a decrease in the fair value of our senior secured loans to Snagajob.com, Inc.,Vesta Payment Solutions, Inc., VTX Intermediate Holdings, Inc., Blueshift Labs, Inc., FiscalNote, Inc., 3PL Central LLC, and our common stock investment and warrants in Coginiti Corp. The decrease in fair value was partially offset by an increase in fair value of our senior secured loans to Gynesonics, Inc. and our preferred stock investments in Gynesonics, Inc. and CareCloud, Inc. The net change in unrealized loss on investments of $9.7 million for the nine months ended September 30, 2023 was primarily due to decreases in the fair value of our preferred stock investment in Gynesonics, Inc. and senior secured loans to Gynesonics, Inc. and Snagajob.com,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Increase (Decrease) in Net Assets Resulting from Operations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a net increase in net assets resulting from operations of $25.0 million for the three months ended September 30, 2024, as compared to a net increase in net assets resulting from operations of $14.8 million for the three months ended September 30, 2023.</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a net increase in net assets resulting from operations of $45.4 million for the nine months ended September 30, 2024, as compared to a net increase in net assets resulting from operations of $49.1 million for the nine months ended September 30, 2023.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 Liquidity, Capital Resources and Obligations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liquidity and capital resources are derived from net proceeds from the offering of our securities, debt borrowings and cash flows from operations, including investment sales and repayments, and income earned. We have used, and expect to continue to use, our debt and the proceeds from the turnover of our portfolio and from public and private offerings of securities to finance our investment objectives. We expect that we may also generate cash from any financing arrangements we may enter into in the future and any future offerings of our equity or debt securities. Financing arrangements may come in the form of borrowings from banks or issuances of senior securities, which may be secured or unsecured, through registered offerings or private placements. Our primary use of funds is to make investments in eligible portfolio companies, pay our operating expenses and make distributions to holders of our common stock.</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we principally funded our operations from (i) cash receipts from interest, dividend, and fee income from our investment portfolio and (ii) cash proceeds from the realization of portfolio investments through the repayments of debt investments and the sale of debt and equity investments.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our operating activities provided $55.9 million of cash and cash equivalents, compared to $174.1 million provided during the nine months ended September 30, 2023. The $118.2 million decrease in cash provided by operating activities was primarily due to a $33.5 million increase in purchases of investments and U.S. Treasury Bills and a $78.6 million decrease in sales and repayments of investments and U.S. Treasury Bills.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our financing activities used $55.2 million of cash, compared to $164.9 million used by financing activities during the nine months ended September 30, 2023. The $109.7 million decrease in cash used in financing activities was primarily due to decreased net borrowing activity of $139.0 million, partially offset by increased share repurchases of $30.2 million.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our net assets totaled $507.4 million, with a net asset value per share of $13.39. We intend to continue to operate in order to generate cash flows from operations, including income earned from investments in our portfolio companies. Our primary use of funds will be investments in portfolio companies and cash distributions to holders of our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Liquidity and Capital Resources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we had $251.6 million in available liquidity, including $3.6 million in cash and cash equivalents, and approximately $248.0 million available under our Credit Facility, subject to borrowing base capacity. As of September 30, 2024, we had $302.0 million of secured debt outstanding under our Credit Facility, which are floating interest rate obligations and $247.3 million of unsecured debt outstanding under the 2026 and 2027 Notes, which are all fixed interest rate debt obligations. Refer to "Note 7 – Borrowings" to our consolidated financial statements in Part I, Item 1 of this Form 10-Q for additional discussion of our debt obligations.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1940 Act, we are permitted to incur borrowings, issue debt securities, or issue preferred stock if, immediately after the borrowings or issuance, the ratio of total assets (less total liabilities other than indebtedness) to total indebtedness plus preferred stock is at least 150% (at least 200% prior to June 17, 2022). As of September 30, 2024 and December 31, 2023, our asset coverage ratio was 192% and 205%, respectively.</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detailed above, our diverse and well-structured balance sheet is designed to provide a long-term focused and sustainable investment platform. Currently, we believe we have sufficient liquidity to support our near-term capital requirements.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Obligations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significant contractual payment obligations relate to our borrowings and deferred incentive fees. As of September 30, 2024, we had $549.3 million in debt outstanding, none of which was due within the next year, $497.5 million within 1 to 3 years, and $51.8 million beyond 3 years. As of September 30, 2024, we had $11.8 million of deferred incentive fees, $1.7 million of which was due within the next year, $7.6 million within 1 to 3 years, and $2.6 million beyond 3 years.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on-balance sheet contractual obligations, in the normal course of business, we have future cash requirements related to our financial instruments with off-balance sheet risk. These consist of unfunded commitments to extend credit, in the form of loans, to our portfolio companies. Unfunded commitments to provide funds to portfolio companies are not reflected on our balance sheet.</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unfunded commitments may be significant from time to time. As of September 30, 2024, we had a total of $260.4 million in unfunded commitments which was comprised of $231.0 million to provide debt financing to our portfolio companies and $29.4 million in unfunded commitments to provide equity financing to the Runway-Cadma I LLC. Unfunded contractual commitments depend upon a portfolio company reaching certain milestones before the debt commitment is available to the portfolio company, which is expected to affect our funding levels. These commitments are subject to the same underwriting and ongoing portfolio maintenance as the on-balance sheet financial instruments that we hold. From time to time, unfunded contractual commitments may expire without being drawn and thus do not represent future cash requirements. We maintain sufficient liquidity (through cash on hand and available borrowings under the Credit Facility) to fund such unfunded commitments should the need arise. As of September 30, 2024, we had approximately $67.3 million of available unfunded commitments to portfolio companies that are eligible to be drawn based on achieved milestones and $29.4 million in unfunded capital commitments to Runway-Cadma I LLC. Refer to “Note 8 – Commitments and Contingencies” to our consolidated financial statements in Part I, Item 1 of this Form 10-Q for a summary of unfunded commitments by portfolio company as of September 30, 2024.</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our unfunded commitments is considered to be immaterial as the yield determined at the time of underwriting is expected to be materially consistent with the yield upon funding, given that interest rates are generally pegged to market indices and given the existence of milestones, conditions and/or obligations embedded in the borrowing agreements</w:t>
      </w:r>
      <w:r>
        <w:rPr>
          <w:rFonts w:ascii="Times New Roman" w:cs="Times New Roman" w:eastAsia="Times New Roman" w:hAnsi="Times New Roman"/>
          <w:sz w:val="18"/>
          <w:szCs w:val="18"/>
          <w:i w:val="1"/>
          <w:iCs w:val="1"/>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Program</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24, 2022, our Board of Directors approved a share repurchase program (the “First Repurchase Program”) under which we were authorized to repurchase up to $25.0 million of our outstanding common stock, at management’s discretion from time to time in open-market transactions and in accordance with all applicable securities laws and regulations. We repurchased 871,345 shares of our common stock under the First Repurchase Program for an aggregate purchase price of $10.8 million. The First Repurchase Program expired on February 24, 2023.</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 2023, our Board of Directors approved a share repurchase program (the "Second Repurchase Program"), under which we were authorized to repurchase up to $25.0 million of our outstanding shares of common stock, at management’s discretion from time to time in open-market transactions and in accordance with all applicable securities laws and regulations. We repurchased 1,961,938 shares in connection with the Second Repurchase Program for an aggregate purchase price of $23.5 million. The Second Repurchase Program expired on November 2, 2024.</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30, 2024, our Board of Directors approved a share repurchase program (the "Third Repurchase Program") under which we may repurchase up to $15.0 million of our outstanding shares of common stock, at management's discretion from time to time in open-market transactions and in accordance with all applicable securities laws and regulations. If not renewed, the Third Repurchase Program will terminate upon the earlier of (i) July 30, 2025 or (ii) the repurchase of $15.0 million of our shares of common stock. As of September 30, 2024, we had repurchased 644,763 shares in connection with the Third Repurchase Program for an aggregate purchase price of $6.7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2024, we declared and paid dividends in the amount of $17.3 million and $54.9 million, respectively, of which $17.1 million and $54.1 million, respectively, were distributed in cash and the remainder distributed in shares to stockholders pursuant to our Dividend Reinvestment Plan. For the three and nine months ended September 30, 2023, we declared dividends in the amount of $18.2 million and $54.7 million, respectively, of which $17.5 million and $52.4 million, respectively, were distributed in cash and the remainder distributed in shares to stockholders pursuant to our Dividend Reinvestment Plan.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timing and amount of our distributions, if any, will be determined by our Board of Directors and will be declared out of assets legally available for distribution. Refer to "Note 9 – Net Assets" of our consolidated financial statements in Part I, Item 1 of this Form 10-Q for a summary of the distributions declared and paid since inception.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preparation of the consolidated financial statements and related disclosures in conformity with U.S. GAAP requires our management to make estimates and assumptions that affect the reported amounts of assets and liabilities, disclosure of contingent assets and liabilities at the date of the consolidated financial statements, and revenues and expenses during the period reports. Actual results could materially differ from those estimates. For a description of our critical accounting policies, including those related to the valuation of investments and our election to be treated, and intent to qualify annually, as a RIC refer to “Note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Summary of Significant Accounting Policies” to our consolidated financial statements in Part I, Item 1 of this Form 10-Q. We consider the most significant accounting policies to be those related to our Fair Value Measurements and Income Taxes.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commenced investment activities in portfolio securities during the quarter ended June 30, 2017, and commenced investment activities in U.S. Treasury Bills during the quarter ended December 31, 2016.</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 Uncertainty with respect to the economic effects of rising interest rates and inflation has introduced significant volatility in the financial markets, and the effects of this volatility could materially impact our market risks.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financial market risks, including changes in interest rates. 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interest rates may affect both our cost of funding and our interest income from portfolio investments, and cash and cash equivalents. Changes in interest rates can also affect our ability to acquire and originate loans and securities and the value of our investment portfolio. Our net investment income is affected by fluctuations in various interest rates, including SOFR and Prime rates. Increasing interest rates could have the effect of increasing our total investment income once interest rates increase above contractual interest rates floors to which our portfolio companies are subject. Conversely, we would expect the cost of our floating rate Credit Facility to increase as well, offsetting the positive effect on our net interest income.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100.0% of our performing debt portfolio investments bore interest at variable rates, consisting of approximately 75.0% based on SOFR and 25.0% based on Prime. As a policy, any interest above the cash cap, if applicable, as determined on an individual loan basis will accrue to principal and be treated as PIK interest. A hypothetical 200 basis point increase or decrease in the interest rates on our variable-rate debt investments could increase our investment income by a maximum of $18.8 million and decrease our investment income by a maximum of $14.4 million, due to certain floors, on an annual basis.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debt borrowings under the Credit Facility bear interest at a floating rate, all other outstanding debt borrowings bear interest at a fixed rate. Borrowings under the Credit Facility bear interest on a per annum basis equal to the SOFR plus an applicable margin rate that ranges from 2.95% to 3.35% per annum depending on our leverage ratio and number of eligible loans in the collateral pool. For additional information regarding the interest rate associated with each of our debt borrowings, refer to "Note 7 – Borrowings" to our consolidated financial statements in Part I, Item 1 of this Form 10-Q.</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we currently borrow, and plan to borrow in the future, to originate loans and securities,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current economic conditions and any associated impact on foreign financial markets.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RGC are not currently subject to any material legal proceedings, nor, to our knowledge, is any material legal proceeding threatened against us. From time to time, we or RGC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any such legal proceedings cannot be predicted with certainty, we do not expect that any such proceedings would have a material effect upon our financial condition 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carefully consider the risks contained in this quarterly report on Form 10-Q, including our interim consolidated financial statements and the related notes thereto, before making a decision to purchase our securities.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known to us during the period ended September 30, 2024 to the risk factors discussed in “Risk Factors” in Part I, Item 1A of our annual report on Form 10-K for the fiscal year ended December 31, 2023, filed with the SEC on March 7,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risks and uncertainties described in our annual report on Form 10-K are not the only ones we may face. Additional risks and uncertainties not currently known to us or that we currently deem to be immaterial also may materially adversely affect our business, financial condition and/or operating results. If any of the risks listed in our annual report on Form 10-K actually occur, our business, financial condition or results of operations could be materially adversely affected. If that happens, you may lose all or part of your investment.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8" w:lineRule="exact"/>
        <w:rPr>
          <w:sz w:val="20"/>
          <w:szCs w:val="20"/>
          <w:color w:val="auto"/>
        </w:rPr>
      </w:pPr>
    </w:p>
    <w:p>
      <w:pPr>
        <w:jc w:val="both"/>
        <w:spacing w:after="0" w:line="259" w:lineRule="exact"/>
        <w:rPr>
          <w:sz w:val="20"/>
          <w:szCs w:val="20"/>
          <w:color w:val="auto"/>
        </w:rPr>
      </w:pPr>
      <w:r>
        <w:rPr>
          <w:rFonts w:ascii="Times New Roman" w:cs="Times New Roman" w:eastAsia="Times New Roman" w:hAnsi="Times New Roman"/>
          <w:sz w:val="18"/>
          <w:szCs w:val="18"/>
          <w:color w:val="auto"/>
        </w:rPr>
        <w:t>Other than pursuant to our Dividend Reinvestment Plan, and except as previously reported by us on our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we did not sell any securities during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that were not registered under the Securities Act.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33" w:lineRule="exact"/>
        <w:rPr>
          <w:sz w:val="20"/>
          <w:szCs w:val="20"/>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None.</w:t>
      </w:r>
    </w:p>
    <w:p>
      <w:pPr>
        <w:spacing w:after="0" w:line="333"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None.</w:t>
      </w:r>
    </w:p>
    <w:p>
      <w:pPr>
        <w:spacing w:after="0" w:line="333"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Rule 10b5-1 Disclosure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Second Repurchase Program and Third Repurchase Program, we have maintained repurchase plans in accordance with Rule 10b5-1 (collectively the "Rule 10b5-1 Plan") promulgated under the Securities Exchange Act of 1934, as amended (the "Exchange Act"). During the three and nine months ended September 30, 2024, 644,763 and 2,606,701 shares were repurchased, respectively, under the Rule 10b5-1 Plan. Future repurchases may be made as open market or privately negotiated transactions as described above. The Second Repurchase Program expired on November 2, 2024. We have no obligation to repurchase stock under the Third Repurchase Program and may suspend or terminate the Third Repurchase Program at any time.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period covered by this Quarterly Report on Form 10-Q, no director or officer of the Company has entered into any (i) contract, instruction or written plan for the purchase or sale of securities of the registrant intended to satisfy the affirmative defense conditions of Rule 10b5-1(c) under the Exchange Act or (ii)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filed as part of this report or hereby incorporated by reference to exhibits previously filed with the SEC:</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12"/>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3.1</w:t>
            </w:r>
          </w:p>
        </w:tc>
        <w:tc>
          <w:tcPr>
            <w:tcW w:w="2400" w:type="dxa"/>
            <w:vAlign w:val="bottom"/>
            <w:gridSpan w:val="4"/>
            <w:vMerge w:val="restart"/>
          </w:tcPr>
          <w:p>
            <w:pPr>
              <w:spacing w:after="0"/>
              <w:rPr>
                <w:rFonts w:ascii="Times New Roman" w:cs="Times New Roman" w:eastAsia="Times New Roman" w:hAnsi="Times New Roman"/>
                <w:sz w:val="14"/>
                <w:szCs w:val="14"/>
                <w:color w:val="0000FF"/>
              </w:rPr>
            </w:pPr>
            <w:hyperlink r:id="rId741">
              <w:r>
                <w:rPr>
                  <w:rFonts w:ascii="Times New Roman" w:cs="Times New Roman" w:eastAsia="Times New Roman" w:hAnsi="Times New Roman"/>
                  <w:sz w:val="14"/>
                  <w:szCs w:val="14"/>
                  <w:color w:val="0000FF"/>
                </w:rPr>
                <w:t>Articles of Amendment and Restatement</w:t>
              </w:r>
            </w:hyperlink>
          </w:p>
        </w:tc>
        <w:tc>
          <w:tcPr>
            <w:tcW w:w="100" w:type="dxa"/>
            <w:vAlign w:val="bottom"/>
            <w:tcBorders>
              <w:bottom w:val="single" w:sz="8" w:color="0000FF"/>
            </w:tcBorders>
            <w:gridSpan w:val="2"/>
          </w:tcPr>
          <w:p>
            <w:pPr>
              <w:jc w:val="right"/>
              <w:spacing w:after="0"/>
              <w:rPr>
                <w:rFonts w:ascii="Times New Roman" w:cs="Times New Roman" w:eastAsia="Times New Roman" w:hAnsi="Times New Roman"/>
                <w:sz w:val="8"/>
                <w:szCs w:val="8"/>
                <w:color w:val="0000FF"/>
                <w:w w:val="85"/>
              </w:rPr>
            </w:pPr>
            <w:hyperlink r:id="rId741">
              <w:r>
                <w:rPr>
                  <w:rFonts w:ascii="Times New Roman" w:cs="Times New Roman" w:eastAsia="Times New Roman" w:hAnsi="Times New Roman"/>
                  <w:sz w:val="8"/>
                  <w:szCs w:val="8"/>
                  <w:color w:val="0000FF"/>
                  <w:w w:val="85"/>
                </w:rPr>
                <w:t>(1)</w:t>
              </w:r>
            </w:hyperlink>
          </w:p>
        </w:tc>
        <w:tc>
          <w:tcPr>
            <w:tcW w:w="7500" w:type="dxa"/>
            <w:vAlign w:val="bottom"/>
            <w:gridSpan w:val="5"/>
            <w:vMerge w:val="restart"/>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900" w:type="dxa"/>
            <w:vAlign w:val="bottom"/>
            <w:vMerge w:val="continue"/>
          </w:tcPr>
          <w:p>
            <w:pPr>
              <w:spacing w:after="0"/>
              <w:rPr>
                <w:sz w:val="4"/>
                <w:szCs w:val="4"/>
                <w:color w:val="auto"/>
              </w:rPr>
            </w:pPr>
          </w:p>
        </w:tc>
        <w:tc>
          <w:tcPr>
            <w:tcW w:w="2400" w:type="dxa"/>
            <w:vAlign w:val="bottom"/>
            <w:tcBorders>
              <w:bottom w:val="single" w:sz="8" w:color="0000FF"/>
            </w:tcBorders>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3.2</w:t>
            </w:r>
          </w:p>
        </w:tc>
        <w:tc>
          <w:tcPr>
            <w:tcW w:w="1400" w:type="dxa"/>
            <w:vAlign w:val="bottom"/>
            <w:vMerge w:val="restart"/>
          </w:tcPr>
          <w:p>
            <w:pPr>
              <w:spacing w:after="0"/>
              <w:rPr>
                <w:rFonts w:ascii="Times New Roman" w:cs="Times New Roman" w:eastAsia="Times New Roman" w:hAnsi="Times New Roman"/>
                <w:sz w:val="14"/>
                <w:szCs w:val="14"/>
                <w:color w:val="0000FF"/>
              </w:rPr>
            </w:pPr>
            <w:hyperlink r:id="rId742">
              <w:r>
                <w:rPr>
                  <w:rFonts w:ascii="Times New Roman" w:cs="Times New Roman" w:eastAsia="Times New Roman" w:hAnsi="Times New Roman"/>
                  <w:sz w:val="14"/>
                  <w:szCs w:val="14"/>
                  <w:color w:val="0000FF"/>
                </w:rPr>
                <w:t>Articles of Amendment</w:t>
              </w:r>
            </w:hyperlink>
          </w:p>
        </w:tc>
        <w:tc>
          <w:tcPr>
            <w:tcW w:w="120" w:type="dxa"/>
            <w:vAlign w:val="bottom"/>
            <w:tcBorders>
              <w:bottom w:val="single" w:sz="8" w:color="0000FF"/>
            </w:tcBorders>
          </w:tcPr>
          <w:p>
            <w:pPr>
              <w:jc w:val="right"/>
              <w:spacing w:after="0"/>
              <w:rPr>
                <w:rFonts w:ascii="Times New Roman" w:cs="Times New Roman" w:eastAsia="Times New Roman" w:hAnsi="Times New Roman"/>
                <w:sz w:val="10"/>
                <w:szCs w:val="10"/>
                <w:color w:val="0000FF"/>
                <w:w w:val="85"/>
              </w:rPr>
            </w:pPr>
            <w:hyperlink r:id="rId742">
              <w:r>
                <w:rPr>
                  <w:rFonts w:ascii="Times New Roman" w:cs="Times New Roman" w:eastAsia="Times New Roman" w:hAnsi="Times New Roman"/>
                  <w:sz w:val="10"/>
                  <w:szCs w:val="10"/>
                  <w:color w:val="0000FF"/>
                  <w:w w:val="85"/>
                </w:rPr>
                <w:t>(2)</w:t>
              </w:r>
            </w:hyperlink>
          </w:p>
        </w:tc>
        <w:tc>
          <w:tcPr>
            <w:tcW w:w="900" w:type="dxa"/>
            <w:vAlign w:val="bottom"/>
            <w:gridSpan w:val="3"/>
            <w:vMerge w:val="restart"/>
          </w:tcPr>
          <w:p>
            <w:pPr>
              <w:spacing w:after="0"/>
              <w:rPr>
                <w:sz w:val="22"/>
                <w:szCs w:val="22"/>
                <w:color w:val="auto"/>
              </w:rPr>
            </w:pPr>
          </w:p>
        </w:tc>
        <w:tc>
          <w:tcPr>
            <w:tcW w:w="7580" w:type="dxa"/>
            <w:vAlign w:val="bottom"/>
            <w:gridSpan w:val="6"/>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53"/>
        </w:trPr>
        <w:tc>
          <w:tcPr>
            <w:tcW w:w="900" w:type="dxa"/>
            <w:vAlign w:val="bottom"/>
            <w:vMerge w:val="continue"/>
          </w:tcPr>
          <w:p>
            <w:pPr>
              <w:spacing w:after="0"/>
              <w:rPr>
                <w:sz w:val="4"/>
                <w:szCs w:val="4"/>
                <w:color w:val="auto"/>
              </w:rPr>
            </w:pPr>
          </w:p>
        </w:tc>
        <w:tc>
          <w:tcPr>
            <w:tcW w:w="1400" w:type="dxa"/>
            <w:vAlign w:val="bottom"/>
            <w:tcBorders>
              <w:bottom w:val="single" w:sz="8" w:color="0000FF"/>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75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3.3</w:t>
            </w:r>
          </w:p>
        </w:tc>
        <w:tc>
          <w:tcPr>
            <w:tcW w:w="2300" w:type="dxa"/>
            <w:vAlign w:val="bottom"/>
            <w:gridSpan w:val="3"/>
            <w:vMerge w:val="restart"/>
          </w:tcPr>
          <w:p>
            <w:pPr>
              <w:spacing w:after="0"/>
              <w:rPr>
                <w:rFonts w:ascii="Times New Roman" w:cs="Times New Roman" w:eastAsia="Times New Roman" w:hAnsi="Times New Roman"/>
                <w:sz w:val="14"/>
                <w:szCs w:val="14"/>
                <w:color w:val="0000FF"/>
              </w:rPr>
            </w:pPr>
            <w:hyperlink r:id="rId743">
              <w:r>
                <w:rPr>
                  <w:rFonts w:ascii="Times New Roman" w:cs="Times New Roman" w:eastAsia="Times New Roman" w:hAnsi="Times New Roman"/>
                  <w:sz w:val="14"/>
                  <w:szCs w:val="14"/>
                  <w:color w:val="0000FF"/>
                </w:rPr>
                <w:t>Second Amended and Restated Bylaws</w:t>
              </w:r>
            </w:hyperlink>
          </w:p>
        </w:tc>
        <w:tc>
          <w:tcPr>
            <w:tcW w:w="1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0"/>
                <w:szCs w:val="10"/>
                <w:color w:val="0000FF"/>
                <w:w w:val="85"/>
              </w:rPr>
              <w:t>(2)</w:t>
            </w:r>
          </w:p>
        </w:tc>
        <w:tc>
          <w:tcPr>
            <w:tcW w:w="7580" w:type="dxa"/>
            <w:vAlign w:val="bottom"/>
            <w:gridSpan w:val="6"/>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53"/>
        </w:trPr>
        <w:tc>
          <w:tcPr>
            <w:tcW w:w="900" w:type="dxa"/>
            <w:vAlign w:val="bottom"/>
            <w:vMerge w:val="continue"/>
          </w:tcPr>
          <w:p>
            <w:pPr>
              <w:spacing w:after="0"/>
              <w:rPr>
                <w:sz w:val="4"/>
                <w:szCs w:val="4"/>
                <w:color w:val="auto"/>
              </w:rPr>
            </w:pPr>
          </w:p>
        </w:tc>
        <w:tc>
          <w:tcPr>
            <w:tcW w:w="2300" w:type="dxa"/>
            <w:vAlign w:val="bottom"/>
            <w:tcBorders>
              <w:bottom w:val="single" w:sz="8" w:color="0000FF"/>
            </w:tcBorders>
            <w:gridSpan w:val="3"/>
            <w:vMerge w:val="continue"/>
          </w:tcPr>
          <w:p>
            <w:pPr>
              <w:spacing w:after="0"/>
              <w:rPr>
                <w:sz w:val="4"/>
                <w:szCs w:val="4"/>
                <w:color w:val="auto"/>
              </w:rPr>
            </w:pPr>
          </w:p>
        </w:tc>
        <w:tc>
          <w:tcPr>
            <w:tcW w:w="120" w:type="dxa"/>
            <w:vAlign w:val="bottom"/>
            <w:gridSpan w:val="2"/>
          </w:tcPr>
          <w:p>
            <w:pPr>
              <w:spacing w:after="0"/>
              <w:rPr>
                <w:sz w:val="4"/>
                <w:szCs w:val="4"/>
                <w:color w:val="auto"/>
              </w:rPr>
            </w:pPr>
          </w:p>
        </w:tc>
        <w:tc>
          <w:tcPr>
            <w:tcW w:w="75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10000" w:type="dxa"/>
            <w:vAlign w:val="bottom"/>
            <w:gridSpan w:val="11"/>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Chief Executive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 of the Securities Exchange Act of 1934, as amended*</w:t>
            </w:r>
          </w:p>
        </w:tc>
        <w:tc>
          <w:tcPr>
            <w:tcW w:w="0" w:type="dxa"/>
            <w:vAlign w:val="bottom"/>
          </w:tcPr>
          <w:p>
            <w:pPr>
              <w:spacing w:after="0"/>
              <w:rPr>
                <w:sz w:val="1"/>
                <w:szCs w:val="1"/>
                <w:color w:val="auto"/>
              </w:rPr>
            </w:pPr>
          </w:p>
        </w:tc>
      </w:tr>
      <w:tr>
        <w:trPr>
          <w:trHeight w:val="358"/>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6840" w:type="dxa"/>
            <w:vAlign w:val="bottom"/>
            <w:tcBorders>
              <w:top w:val="single" w:sz="8" w:color="0000FF"/>
            </w:tcBorders>
            <w:gridSpan w:val="10"/>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Chief Financial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 of the Securities Exchange Act of 1934, as amended*</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58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906 of the Sarbanes-Oxley Act of 2002*</w:t>
            </w:r>
          </w:p>
        </w:tc>
        <w:tc>
          <w:tcPr>
            <w:tcW w:w="980" w:type="dxa"/>
            <w:vAlign w:val="bottom"/>
            <w:tcBorders>
              <w:top w:val="single" w:sz="8" w:color="0000FF"/>
            </w:tcBorders>
          </w:tcPr>
          <w:p>
            <w:pPr>
              <w:spacing w:after="0"/>
              <w:rPr>
                <w:sz w:val="24"/>
                <w:szCs w:val="24"/>
                <w:color w:val="auto"/>
              </w:rPr>
            </w:pPr>
          </w:p>
        </w:tc>
        <w:tc>
          <w:tcPr>
            <w:tcW w:w="3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1000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00" w:type="dxa"/>
            <w:vAlign w:val="bottom"/>
            <w:tcBorders>
              <w:right w:val="single" w:sz="8" w:color="0000EE"/>
            </w:tcBorders>
            <w:shd w:val="clear" w:color="auto" w:fill="0000FF"/>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1000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XBRL tags are embedded within the Inline XBRL document.*</w:t>
            </w:r>
          </w:p>
        </w:tc>
        <w:tc>
          <w:tcPr>
            <w:tcW w:w="0" w:type="dxa"/>
            <w:vAlign w:val="bottom"/>
          </w:tcPr>
          <w:p>
            <w:pPr>
              <w:spacing w:after="0"/>
              <w:rPr>
                <w:sz w:val="1"/>
                <w:szCs w:val="1"/>
                <w:color w:val="auto"/>
              </w:rPr>
            </w:pPr>
          </w:p>
        </w:tc>
      </w:tr>
      <w:tr>
        <w:trPr>
          <w:trHeight w:val="351"/>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1000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Schema With Embedded Linkbase Documents *</w:t>
            </w:r>
          </w:p>
        </w:tc>
        <w:tc>
          <w:tcPr>
            <w:tcW w:w="0" w:type="dxa"/>
            <w:vAlign w:val="bottom"/>
          </w:tcPr>
          <w:p>
            <w:pPr>
              <w:spacing w:after="0"/>
              <w:rPr>
                <w:sz w:val="1"/>
                <w:szCs w:val="1"/>
                <w:color w:val="auto"/>
              </w:rPr>
            </w:pPr>
          </w:p>
        </w:tc>
      </w:tr>
      <w:tr>
        <w:trPr>
          <w:trHeight w:val="351"/>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000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The cover page from the Company's Quarterly Report on Form 10-Q for the quarter ended September 30, 2024 has been formatted in Inline XBRL.*</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840" w:hanging="413"/>
        <w:spacing w:after="0"/>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Filed herewith.</w:t>
      </w:r>
    </w:p>
    <w:p>
      <w:pPr>
        <w:spacing w:after="0" w:line="84" w:lineRule="exact"/>
        <w:rPr>
          <w:sz w:val="20"/>
          <w:szCs w:val="20"/>
          <w:color w:val="auto"/>
        </w:rPr>
      </w:pPr>
    </w:p>
    <w:p>
      <w:pPr>
        <w:ind w:left="600" w:hanging="214"/>
        <w:spacing w:after="0" w:line="276" w:lineRule="exact"/>
        <w:tabs>
          <w:tab w:leader="none" w:pos="60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Previously filed as an exhibit to the Registrant’s Current Report on Form 8</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filed with the SEC on December 19, 2016.</w:t>
      </w:r>
    </w:p>
    <w:p>
      <w:pPr>
        <w:spacing w:after="0" w:line="64" w:lineRule="exact"/>
        <w:rPr>
          <w:rFonts w:ascii="Times New Roman" w:cs="Times New Roman" w:eastAsia="Times New Roman" w:hAnsi="Times New Roman"/>
          <w:sz w:val="24"/>
          <w:szCs w:val="24"/>
          <w:color w:val="auto"/>
          <w:vertAlign w:val="superscript"/>
        </w:rPr>
      </w:pPr>
    </w:p>
    <w:p>
      <w:pPr>
        <w:ind w:left="600" w:hanging="214"/>
        <w:spacing w:after="0" w:line="259" w:lineRule="exact"/>
        <w:tabs>
          <w:tab w:leader="none" w:pos="60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Previously filed as an exhibit to the Registrant’s Current Report on Form 8</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filed with the SEC on August 19, 2021.</w:t>
      </w:r>
    </w:p>
    <w:p>
      <w:pPr>
        <w:spacing w:after="0" w:line="3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769" w:right="6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 /s/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 David Spreng</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 of</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Directors</w:t>
      </w:r>
    </w:p>
    <w:p>
      <w:pPr>
        <w:spacing w:after="0" w:line="1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 /s/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Thomas B. Raterman</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David Spreng, as Chief Executive Officer, certify that:</w:t>
      </w:r>
    </w:p>
    <w:p>
      <w:pPr>
        <w:spacing w:after="0" w:line="225"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Runway Growth Finance Corp.;</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60" w:val="left"/>
          <w:tab w:leader="none" w:pos="790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26035</wp:posOffset>
            </wp:positionV>
            <wp:extent cx="332613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9">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1"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R. David Spreng</w:t>
      </w:r>
    </w:p>
    <w:p>
      <w:pPr>
        <w:spacing w:after="0" w:line="23"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B. Raterman, as Chief Financial Officer, certify that:</w:t>
      </w:r>
    </w:p>
    <w:p>
      <w:pPr>
        <w:spacing w:after="0" w:line="225"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Runway Growth Finance Corp.;</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60" w:val="left"/>
          <w:tab w:leader="none" w:pos="772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26035</wp:posOffset>
            </wp:positionV>
            <wp:extent cx="332613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1">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1"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Thomas B. Raterman</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Runway Growth Finance Corp. (the “Company”) on Form 10-Q for the period ended September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660" w:val="left"/>
          <w:tab w:leader="none" w:pos="790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26035</wp:posOffset>
            </wp:positionV>
            <wp:extent cx="332613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R. David Spreng</w:t>
      </w:r>
    </w:p>
    <w:p>
      <w:pPr>
        <w:spacing w:after="0" w:line="23"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Runway Growth Finance Corp. (the “Company”) on Form 10-Q for the period ended September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660" w:val="left"/>
          <w:tab w:leader="none" w:pos="772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26035</wp:posOffset>
            </wp:positionV>
            <wp:extent cx="332613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Thomas B. Raterman</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 "/>
      <w:numFmt w:val="bullet"/>
      <w:start w:val="1"/>
    </w:lvl>
  </w:abstractNum>
  <w:abstractNum w:abstractNumId="5">
    <w:nsid w:val="79838CB2"/>
    <w:multiLevelType w:val="hybridMultilevel"/>
    <w:lvl w:ilvl="0">
      <w:lvlJc w:val="left"/>
      <w:lvlText w:val=" "/>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endash "/>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lvl w:ilvl="1">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lowerRoman"/>
      <w:start w:val="3"/>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bullet"/>
      <w:start w:val="1"/>
    </w:lvl>
  </w:abstractNum>
  <w:abstractNum w:abstractNumId="31">
    <w:nsid w:val="5C482A97"/>
    <w:multiLevelType w:val="hybridMultilevel"/>
    <w:lvl w:ilvl="0">
      <w:lvlJc w:val="left"/>
      <w:lvlText w:val="2"/>
      <w:numFmt w:val="bullet"/>
      <w:start w:val="1"/>
    </w:lvl>
  </w:abstractNum>
  <w:abstractNum w:abstractNumId="32">
    <w:nsid w:val="2463B9EA"/>
    <w:multiLevelType w:val="hybridMultilevel"/>
    <w:lvl w:ilvl="0">
      <w:lvlJc w:val="left"/>
      <w:lvlText w:val="3"/>
      <w:numFmt w:val="bullet"/>
      <w:start w:val="1"/>
    </w:lvl>
  </w:abstractNum>
  <w:abstractNum w:abstractNumId="33">
    <w:nsid w:val="5E884ADC"/>
    <w:multiLevelType w:val="hybridMultilevel"/>
    <w:lvl w:ilvl="0">
      <w:lvlJc w:val="left"/>
      <w:lvlText w:val="4"/>
      <w:numFmt w:val="bullet"/>
      <w:start w:val="1"/>
    </w:lvl>
  </w:abstractNum>
  <w:abstractNum w:abstractNumId="34">
    <w:nsid w:val="51EAD36B"/>
    <w:multiLevelType w:val="hybridMultilevel"/>
    <w:lvl w:ilvl="0">
      <w:lvlJc w:val="left"/>
      <w:lvlText w:val="5"/>
      <w:numFmt w:val="bullet"/>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4" Type="http://schemas.openxmlformats.org/officeDocument/2006/relationships/image" Target="media/image734.png"/><Relationship Id="rId745" Type="http://schemas.openxmlformats.org/officeDocument/2006/relationships/image" Target="media/image735.png"/><Relationship Id="rId746" Type="http://schemas.openxmlformats.org/officeDocument/2006/relationships/image" Target="media/image736.png"/><Relationship Id="rId747" Type="http://schemas.openxmlformats.org/officeDocument/2006/relationships/image" Target="media/image737.png"/><Relationship Id="rId748" Type="http://schemas.openxmlformats.org/officeDocument/2006/relationships/image" Target="media/image738.png"/><Relationship Id="rId749" Type="http://schemas.openxmlformats.org/officeDocument/2006/relationships/image" Target="media/image739.png"/><Relationship Id="rId750" Type="http://schemas.openxmlformats.org/officeDocument/2006/relationships/image" Target="media/image740.png"/><Relationship Id="rId751" Type="http://schemas.openxmlformats.org/officeDocument/2006/relationships/image" Target="media/image741.png"/><Relationship Id="rId752" Type="http://schemas.openxmlformats.org/officeDocument/2006/relationships/image" Target="media/image742.png"/><Relationship Id="rId753" Type="http://schemas.openxmlformats.org/officeDocument/2006/relationships/image" Target="media/image743.png"/><Relationship Id="rId754" Type="http://schemas.openxmlformats.org/officeDocument/2006/relationships/image" Target="media/image744.png"/><Relationship Id="rId755" Type="http://schemas.openxmlformats.org/officeDocument/2006/relationships/image" Target="media/image745.png"/><Relationship Id="rId756" Type="http://schemas.openxmlformats.org/officeDocument/2006/relationships/image" Target="media/image746.png"/><Relationship Id="rId741" Type="http://schemas.openxmlformats.org/officeDocument/2006/relationships/hyperlink" Target="https://www.sec.gov/Archives/edgar/data/1653384/000114420416140270/v454968_ex3-1.htm" TargetMode="External"/><Relationship Id="rId742" Type="http://schemas.openxmlformats.org/officeDocument/2006/relationships/hyperlink" Target="https://www.sec.gov/Archives/edgar/data/0001653384/000165338421000016/rgc-20210819ex31cb84ffa.htm" TargetMode="External"/><Relationship Id="rId743" Type="http://schemas.openxmlformats.org/officeDocument/2006/relationships/hyperlink" Target="https://www.sec.gov/Archives/edgar/data/0001653384/000165338421000016/rgc-20210819ex32804659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2024-11-12T15:41:13Z</dcterms:created>
  <dcterms:modified xsi:type="dcterms:W3CDTF">2024-11-12T15:41:13Z</dcterms:modified>
</cp:coreProperties>
</file>