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791845</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852805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48260</wp:posOffset>
            </wp:positionV>
            <wp:extent cx="17989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52705</wp:posOffset>
            </wp:positionV>
            <wp:extent cx="17989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4" w:lineRule="exact"/>
        <w:rPr>
          <w:sz w:val="24"/>
          <w:szCs w:val="24"/>
          <w:color w:val="auto"/>
        </w:rPr>
      </w:pPr>
    </w:p>
    <w:p>
      <w:pPr>
        <w:ind w:left="3740" w:right="3700" w:hanging="3734"/>
        <w:spacing w:after="0" w:line="335" w:lineRule="auto"/>
        <w:tabs>
          <w:tab w:leader="none" w:pos="313" w:val="left"/>
        </w:tabs>
        <w:numPr>
          <w:ilvl w:val="0"/>
          <w:numId w:val="1"/>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2024</w:t>
      </w:r>
    </w:p>
    <w:p>
      <w:pPr>
        <w:spacing w:after="0" w:line="21" w:lineRule="exact"/>
        <w:rPr>
          <w:sz w:val="24"/>
          <w:szCs w:val="24"/>
          <w:color w:val="auto"/>
        </w:rPr>
      </w:pPr>
    </w:p>
    <w:p>
      <w:pPr>
        <w:ind w:left="300" w:hanging="294"/>
        <w:spacing w:after="0"/>
        <w:tabs>
          <w:tab w:leader="none" w:pos="300" w:val="left"/>
        </w:tabs>
        <w:numPr>
          <w:ilvl w:val="0"/>
          <w:numId w:val="2"/>
        </w:numPr>
        <w:rPr>
          <w:rFonts w:ascii="MS PGothic" w:cs="MS PGothic" w:eastAsia="MS PGothic" w:hAnsi="MS PGothic"/>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814-01180</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Runway Growth Finance Corp.</w:t>
      </w: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40" w:orient="portrait"/>
          <w:cols w:equalWidth="0" w:num="1">
            <w:col w:w="10540"/>
          </w:cols>
          <w:pgMar w:left="660" w:top="555" w:right="700" w:bottom="1440" w:gutter="0" w:footer="0" w:header="0"/>
        </w:sectPr>
      </w:pPr>
    </w:p>
    <w:p>
      <w:pPr>
        <w:spacing w:after="0" w:line="9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3"/>
          <w:szCs w:val="13"/>
          <w:b w:val="1"/>
          <w:bCs w:val="1"/>
          <w:color w:val="auto"/>
        </w:rPr>
        <w:t>Maryland</w:t>
      </w:r>
    </w:p>
    <w:p>
      <w:pPr>
        <w:spacing w:after="0" w:line="23"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color w:val="auto"/>
        </w:rPr>
        <w:t>(State of incorporation)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3"/>
          <w:szCs w:val="13"/>
          <w:b w:val="1"/>
          <w:bCs w:val="1"/>
          <w:color w:val="auto"/>
        </w:rPr>
        <w:t>47-5049745</w:t>
      </w:r>
    </w:p>
    <w:p>
      <w:pPr>
        <w:spacing w:after="0" w:line="2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3"/>
          <w:szCs w:val="13"/>
          <w:color w:val="auto"/>
        </w:rPr>
        <w:t>(I.R.S. Employer Identification No.)</w:t>
      </w:r>
    </w:p>
    <w:p>
      <w:pPr>
        <w:spacing w:after="0" w:line="63" w:lineRule="exact"/>
        <w:rPr>
          <w:sz w:val="24"/>
          <w:szCs w:val="24"/>
          <w:color w:val="auto"/>
        </w:rPr>
      </w:pPr>
    </w:p>
    <w:p>
      <w:pPr>
        <w:sectPr>
          <w:pgSz w:w="11900" w:h="16840" w:orient="portrait"/>
          <w:cols w:equalWidth="0" w:num="2">
            <w:col w:w="6200" w:space="720"/>
            <w:col w:w="3620"/>
          </w:cols>
          <w:pgMar w:left="660" w:top="555" w:right="700" w:bottom="1440" w:gutter="0" w:footer="0" w:header="0"/>
          <w:type w:val="continuous"/>
        </w:sectPr>
      </w:pPr>
    </w:p>
    <w:p>
      <w:pPr>
        <w:jc w:val="center"/>
        <w:ind w:right="1580"/>
        <w:spacing w:after="0"/>
        <w:rPr>
          <w:sz w:val="20"/>
          <w:szCs w:val="20"/>
          <w:color w:val="auto"/>
        </w:rPr>
      </w:pPr>
      <w:r>
        <w:rPr>
          <w:rFonts w:ascii="Times New Roman" w:cs="Times New Roman" w:eastAsia="Times New Roman" w:hAnsi="Times New Roman"/>
          <w:sz w:val="13"/>
          <w:szCs w:val="13"/>
          <w:b w:val="1"/>
          <w:bCs w:val="1"/>
          <w:color w:val="auto"/>
        </w:rPr>
        <w:t>205 N. Michigan Ave., Suite 4200</w:t>
      </w:r>
    </w:p>
    <w:p>
      <w:pPr>
        <w:spacing w:after="0" w:line="23"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3"/>
          <w:szCs w:val="13"/>
          <w:b w:val="1"/>
          <w:bCs w:val="1"/>
          <w:color w:val="auto"/>
        </w:rPr>
        <w:t>Chicago, Illinois</w:t>
      </w:r>
    </w:p>
    <w:p>
      <w:pPr>
        <w:spacing w:after="0" w:line="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b w:val="1"/>
          <w:bCs w:val="1"/>
          <w:color w:val="auto"/>
        </w:rPr>
        <w:t>60601</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(Zip Code)</w:t>
      </w:r>
    </w:p>
    <w:p>
      <w:pPr>
        <w:spacing w:after="0" w:line="58" w:lineRule="exact"/>
        <w:rPr>
          <w:sz w:val="24"/>
          <w:szCs w:val="24"/>
          <w:color w:val="auto"/>
        </w:rPr>
      </w:pPr>
    </w:p>
    <w:p>
      <w:pPr>
        <w:sectPr>
          <w:pgSz w:w="11900" w:h="16840" w:orient="portrait"/>
          <w:cols w:equalWidth="0" w:num="2">
            <w:col w:w="6880" w:space="720"/>
            <w:col w:w="2940"/>
          </w:cols>
          <w:pgMar w:left="660" w:top="555" w:right="700" w:bottom="1440" w:gutter="0" w:footer="0" w:header="0"/>
          <w:type w:val="continuous"/>
        </w:sectPr>
      </w:pPr>
    </w:p>
    <w:p>
      <w:pPr>
        <w:jc w:val="center"/>
        <w:ind w:right="-39"/>
        <w:spacing w:after="0" w:line="150" w:lineRule="exact"/>
        <w:rPr>
          <w:sz w:val="20"/>
          <w:szCs w:val="20"/>
          <w:color w:val="auto"/>
        </w:rPr>
      </w:pPr>
      <w:r>
        <w:rPr>
          <w:rFonts w:ascii="Times New Roman" w:cs="Times New Roman" w:eastAsia="Times New Roman" w:hAnsi="Times New Roman"/>
          <w:sz w:val="13"/>
          <w:szCs w:val="13"/>
          <w:b w:val="1"/>
          <w:bCs w:val="1"/>
          <w:color w:val="auto"/>
        </w:rPr>
        <w:t>(312) 698</w:t>
      </w:r>
      <w:r>
        <w:rPr>
          <w:rFonts w:ascii="MS PGothic" w:cs="MS PGothic" w:eastAsia="MS PGothic" w:hAnsi="MS PGothic"/>
          <w:sz w:val="13"/>
          <w:szCs w:val="13"/>
          <w:b w:val="1"/>
          <w:bCs w:val="1"/>
          <w:color w:val="auto"/>
        </w:rPr>
        <w:t>‑</w:t>
      </w:r>
      <w:r>
        <w:rPr>
          <w:rFonts w:ascii="Times New Roman" w:cs="Times New Roman" w:eastAsia="Times New Roman" w:hAnsi="Times New Roman"/>
          <w:sz w:val="13"/>
          <w:szCs w:val="13"/>
          <w:b w:val="1"/>
          <w:bCs w:val="1"/>
          <w:color w:val="auto"/>
        </w:rPr>
        <w:t>6902</w:t>
      </w:r>
    </w:p>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40" w:orient="portrait"/>
          <w:cols w:equalWidth="0" w:num="1">
            <w:col w:w="10540"/>
          </w:cols>
          <w:pgMar w:left="660" w:top="555" w:right="700" w:bottom="1440" w:gutter="0" w:footer="0" w:header="0"/>
          <w:type w:val="continuous"/>
        </w:sectPr>
      </w:pPr>
    </w:p>
    <w:p>
      <w:pPr>
        <w:spacing w:after="0" w:line="126"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Trading Symbol(s)</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Name of each exchange on which registered</w:t>
      </w:r>
    </w:p>
    <w:p>
      <w:pPr>
        <w:spacing w:after="0" w:line="27" w:lineRule="exact"/>
        <w:rPr>
          <w:sz w:val="24"/>
          <w:szCs w:val="24"/>
          <w:color w:val="auto"/>
        </w:rPr>
      </w:pPr>
    </w:p>
    <w:p>
      <w:pPr>
        <w:sectPr>
          <w:pgSz w:w="11900" w:h="16840" w:orient="portrait"/>
          <w:cols w:equalWidth="0" w:num="3">
            <w:col w:w="4180" w:space="720"/>
            <w:col w:w="2200" w:space="720"/>
            <w:col w:w="2720"/>
          </w:cols>
          <w:pgMar w:left="660" w:top="555" w:right="700"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3"/>
          <w:szCs w:val="13"/>
          <w:color w:val="auto"/>
        </w:rPr>
        <w:t>Common Stock, par value $0.01 per share</w:t>
      </w:r>
    </w:p>
    <w:p>
      <w:pPr>
        <w:spacing w:after="0" w:line="15"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3"/>
          <w:szCs w:val="13"/>
          <w:color w:val="auto"/>
        </w:rPr>
        <w:t>7.50% Notes due 2027</w:t>
      </w:r>
    </w:p>
    <w:p>
      <w:pPr>
        <w:spacing w:after="0" w:line="1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3"/>
          <w:szCs w:val="13"/>
          <w:color w:val="auto"/>
        </w:rPr>
        <w:t>8.00% Notes due 2027</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3"/>
          <w:szCs w:val="13"/>
          <w:color w:val="auto"/>
        </w:rPr>
        <w:t>RWAY</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RWAYL</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RWAYZ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-767080</wp:posOffset>
            </wp:positionH>
            <wp:positionV relativeFrom="paragraph">
              <wp:posOffset>100965</wp:posOffset>
            </wp:positionV>
            <wp:extent cx="17989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Nasdaq Global Select Market LLC</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Nasdaq Global Select Market LLC</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Nasdaq Global Select Market LLC</w:t>
      </w:r>
    </w:p>
    <w:p>
      <w:pPr>
        <w:spacing w:after="0" w:line="200" w:lineRule="exact"/>
        <w:rPr>
          <w:sz w:val="24"/>
          <w:szCs w:val="24"/>
          <w:color w:val="auto"/>
        </w:rPr>
      </w:pPr>
    </w:p>
    <w:p>
      <w:pPr>
        <w:sectPr>
          <w:pgSz w:w="11900" w:h="16840" w:orient="portrait"/>
          <w:cols w:equalWidth="0" w:num="3">
            <w:col w:w="4360" w:space="720"/>
            <w:col w:w="2100" w:space="720"/>
            <w:col w:w="2640"/>
          </w:cols>
          <w:pgMar w:left="660" w:top="555" w:right="700" w:bottom="1440" w:gutter="0" w:footer="0" w:header="0"/>
          <w:type w:val="continuous"/>
        </w:sectPr>
      </w:pP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71120</wp:posOffset>
            </wp:positionV>
            <wp:extent cx="17989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8955" cy="7620"/>
                    </a:xfrm>
                    <a:prstGeom prst="rect">
                      <a:avLst/>
                    </a:prstGeom>
                    <a:noFill/>
                  </pic:spPr>
                </pic:pic>
              </a:graphicData>
            </a:graphic>
          </wp:anchor>
        </w:drawing>
      </w:r>
    </w:p>
    <w:p>
      <w:pPr>
        <w:spacing w:after="0" w:line="122" w:lineRule="exact"/>
        <w:rPr>
          <w:sz w:val="24"/>
          <w:szCs w:val="24"/>
          <w:color w:val="auto"/>
        </w:rPr>
      </w:pPr>
    </w:p>
    <w:p>
      <w:pPr>
        <w:ind w:left="60" w:right="3320"/>
        <w:spacing w:after="0" w:line="219" w:lineRule="exact"/>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r>
        <w:rPr>
          <w:rFonts w:ascii="Arial" w:cs="Arial" w:eastAsia="Arial" w:hAnsi="Arial"/>
          <w:sz w:val="13"/>
          <w:szCs w:val="13"/>
          <w:color w:val="auto"/>
        </w:rPr>
        <w:t>  </w:t>
      </w:r>
      <w:r>
        <w:rPr>
          <w:rFonts w:ascii="Times New Roman" w:cs="Times New Roman" w:eastAsia="Times New Roman" w:hAnsi="Times New Roman"/>
          <w:sz w:val="13"/>
          <w:szCs w:val="13"/>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w:t>
      </w:r>
      <w:r>
        <w:rPr>
          <w:rFonts w:ascii="Arial" w:cs="Arial" w:eastAsia="Arial" w:hAnsi="Arial"/>
          <w:sz w:val="13"/>
          <w:szCs w:val="13"/>
          <w:color w:val="auto"/>
        </w:rPr>
        <w:t>  </w:t>
      </w:r>
      <w:r>
        <w:rPr>
          <w:rFonts w:ascii="Times New Roman" w:cs="Times New Roman" w:eastAsia="Times New Roman" w:hAnsi="Times New Roman"/>
          <w:sz w:val="13"/>
          <w:szCs w:val="13"/>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5" w:lineRule="exact"/>
        <w:rPr>
          <w:sz w:val="24"/>
          <w:szCs w:val="24"/>
          <w:color w:val="auto"/>
        </w:rPr>
      </w:pPr>
    </w:p>
    <w:p>
      <w:pPr>
        <w:ind w:right="100" w:firstLine="60"/>
        <w:spacing w:after="0" w:line="174" w:lineRule="exact"/>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Arial" w:cs="Arial" w:eastAsia="Arial" w:hAnsi="Arial"/>
          <w:sz w:val="13"/>
          <w:szCs w:val="13"/>
          <w:color w:val="auto"/>
        </w:rPr>
        <w:t>  </w:t>
      </w:r>
      <w:r>
        <w:rPr>
          <w:rFonts w:ascii="Times New Roman" w:cs="Times New Roman" w:eastAsia="Times New Roman" w:hAnsi="Times New Roman"/>
          <w:sz w:val="13"/>
          <w:szCs w:val="13"/>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5" w:lineRule="exact"/>
        <w:rPr>
          <w:sz w:val="24"/>
          <w:szCs w:val="24"/>
          <w:color w:val="auto"/>
        </w:rPr>
      </w:pPr>
    </w:p>
    <w:p>
      <w:pPr>
        <w:ind w:right="260" w:firstLine="60"/>
        <w:spacing w:after="0" w:line="174" w:lineRule="exact"/>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r>
        <w:rPr>
          <w:rFonts w:ascii="Arial" w:cs="Arial" w:eastAsia="Arial" w:hAnsi="Arial"/>
          <w:sz w:val="13"/>
          <w:szCs w:val="13"/>
          <w:color w:val="auto"/>
        </w:rPr>
        <w:t>  </w:t>
      </w:r>
      <w:r>
        <w:rPr>
          <w:rFonts w:ascii="Times New Roman" w:cs="Times New Roman" w:eastAsia="Times New Roman" w:hAnsi="Times New Roman"/>
          <w:sz w:val="13"/>
          <w:szCs w:val="13"/>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25" w:lineRule="exact"/>
        <w:rPr>
          <w:sz w:val="24"/>
          <w:szCs w:val="24"/>
          <w:color w:val="auto"/>
        </w:rPr>
      </w:pPr>
    </w:p>
    <w:p>
      <w:pPr>
        <w:ind w:right="40" w:firstLine="60"/>
        <w:spacing w:after="0" w:line="166" w:lineRule="exact"/>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 -accelerated filer, smaller reporting company, or an emerging growth company. See the definitions of</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"large accelerated filer," "accelerated filer," "smaller reporting company," and "emerging growth company" in Rule 12b</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2 of the Exchange Act.</w:t>
      </w:r>
    </w:p>
    <w:p>
      <w:pPr>
        <w:sectPr>
          <w:pgSz w:w="11900" w:h="16840" w:orient="portrait"/>
          <w:cols w:equalWidth="0" w:num="1">
            <w:col w:w="10540"/>
          </w:cols>
          <w:pgMar w:left="660" w:top="555" w:right="700" w:bottom="1440" w:gutter="0" w:footer="0" w:header="0"/>
          <w:type w:val="continuous"/>
        </w:sectPr>
      </w:pPr>
    </w:p>
    <w:p>
      <w:pPr>
        <w:spacing w:after="0" w:line="58" w:lineRule="exact"/>
        <w:rPr>
          <w:sz w:val="24"/>
          <w:szCs w:val="24"/>
          <w:color w:val="auto"/>
        </w:r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center"/>
        <w:ind w:right="420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91" w:lineRule="exact"/>
        <w:rPr>
          <w:sz w:val="24"/>
          <w:szCs w:val="24"/>
          <w:color w:val="auto"/>
        </w:rPr>
      </w:pPr>
    </w:p>
    <w:p>
      <w:pPr>
        <w:sectPr>
          <w:pgSz w:w="11900" w:h="16840" w:orient="portrait"/>
          <w:cols w:equalWidth="0" w:num="2">
            <w:col w:w="4580" w:space="720"/>
            <w:col w:w="5240"/>
          </w:cols>
          <w:pgMar w:left="660" w:top="555" w:right="700" w:bottom="1440" w:gutter="0" w:footer="0" w:header="0"/>
          <w:type w:val="continuous"/>
        </w:sectPr>
      </w:pPr>
    </w:p>
    <w:p>
      <w:pPr>
        <w:spacing w:after="0" w:line="30" w:lineRule="exact"/>
        <w:rPr>
          <w:sz w:val="24"/>
          <w:szCs w:val="24"/>
          <w:color w:val="auto"/>
        </w:rPr>
      </w:pPr>
    </w:p>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jc w:val="center"/>
        <w:ind w:right="3640"/>
        <w:spacing w:after="0" w:line="13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40" w:orient="portrait"/>
          <w:cols w:equalWidth="0" w:num="2">
            <w:col w:w="4580" w:space="720"/>
            <w:col w:w="5240"/>
          </w:cols>
          <w:pgMar w:left="660" w:top="555" w:right="700" w:bottom="1440" w:gutter="0" w:footer="0" w:header="0"/>
          <w:type w:val="continuous"/>
        </w:sectPr>
      </w:pP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ectPr>
          <w:pgSz w:w="11900" w:h="16840" w:orient="portrait"/>
          <w:cols w:equalWidth="0" w:num="1">
            <w:col w:w="10540"/>
          </w:cols>
          <w:pgMar w:left="660" w:top="555" w:right="700" w:bottom="1440" w:gutter="0" w:footer="0" w:header="0"/>
          <w:type w:val="continuous"/>
        </w:sectPr>
      </w:pPr>
    </w:p>
    <w:p>
      <w:pPr>
        <w:spacing w:after="0" w:line="67" w:lineRule="exact"/>
        <w:rPr>
          <w:sz w:val="24"/>
          <w:szCs w:val="24"/>
          <w:color w:val="auto"/>
        </w:rPr>
      </w:pPr>
    </w:p>
    <w:p>
      <w:pPr>
        <w:ind w:right="160" w:firstLine="60"/>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5" w:lineRule="exact"/>
        <w:rPr>
          <w:sz w:val="24"/>
          <w:szCs w:val="24"/>
          <w:color w:val="auto"/>
        </w:rPr>
      </w:pPr>
    </w:p>
    <w:p>
      <w:pPr>
        <w:ind w:right="220" w:firstLine="60"/>
        <w:spacing w:after="0" w:line="17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5" w:lineRule="exact"/>
        <w:rPr>
          <w:sz w:val="24"/>
          <w:szCs w:val="24"/>
          <w:color w:val="auto"/>
        </w:rPr>
      </w:pPr>
    </w:p>
    <w:p>
      <w:pPr>
        <w:ind w:right="300" w:firstLine="60"/>
        <w:spacing w:after="0" w:line="174"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25" w:lineRule="exact"/>
        <w:rPr>
          <w:sz w:val="24"/>
          <w:szCs w:val="24"/>
          <w:color w:val="auto"/>
        </w:rPr>
      </w:pPr>
    </w:p>
    <w:p>
      <w:pPr>
        <w:ind w:firstLine="60"/>
        <w:spacing w:after="0" w:line="174"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ind w:left="60"/>
        <w:spacing w:after="0" w:line="151" w:lineRule="exact"/>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2 of the Exchange Act). </w:t>
      </w:r>
      <w:r>
        <w:rPr>
          <w:rFonts w:ascii="Arial" w:cs="Arial" w:eastAsia="Arial" w:hAnsi="Arial"/>
          <w:sz w:val="13"/>
          <w:szCs w:val="13"/>
          <w:color w:val="auto"/>
        </w:rPr>
        <w:t>  </w:t>
      </w:r>
      <w:r>
        <w:rPr>
          <w:rFonts w:ascii="Times New Roman" w:cs="Times New Roman" w:eastAsia="Times New Roman" w:hAnsi="Times New Roman"/>
          <w:sz w:val="13"/>
          <w:szCs w:val="13"/>
          <w:color w:val="auto"/>
        </w:rPr>
        <w:t>Yes</w:t>
      </w:r>
      <w:r>
        <w:rPr>
          <w:rFonts w:ascii="Arial" w:cs="Arial" w:eastAsia="Arial" w:hAnsi="Arial"/>
          <w:sz w:val="13"/>
          <w:szCs w:val="13"/>
          <w:color w:val="auto"/>
        </w:rPr>
        <w:t xml:space="preserve"> </w:t>
      </w:r>
      <w:r>
        <w:rPr>
          <w:rFonts w:ascii="MS PGothic" w:cs="MS PGothic" w:eastAsia="MS PGothic" w:hAnsi="MS PGothic"/>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No</w:t>
      </w:r>
      <w:r>
        <w:rPr>
          <w:rFonts w:ascii="Arial" w:cs="Arial" w:eastAsia="Arial" w:hAnsi="Arial"/>
          <w:sz w:val="13"/>
          <w:szCs w:val="13"/>
          <w:color w:val="auto"/>
        </w:rPr>
        <w:t xml:space="preserve"> </w:t>
      </w:r>
      <w:r>
        <w:rPr>
          <w:rFonts w:ascii="MS PGothic" w:cs="MS PGothic" w:eastAsia="MS PGothic" w:hAnsi="MS PGothic"/>
          <w:sz w:val="13"/>
          <w:szCs w:val="13"/>
          <w:color w:val="auto"/>
        </w:rPr>
        <w:t>☒</w:t>
      </w:r>
    </w:p>
    <w:p>
      <w:pPr>
        <w:spacing w:after="0" w:line="90" w:lineRule="exact"/>
        <w:rPr>
          <w:sz w:val="24"/>
          <w:szCs w:val="24"/>
          <w:color w:val="auto"/>
        </w:rPr>
      </w:pPr>
    </w:p>
    <w:p>
      <w:pPr>
        <w:ind w:right="540" w:firstLine="60"/>
        <w:spacing w:after="0" w:line="286" w:lineRule="auto"/>
        <w:rPr>
          <w:sz w:val="20"/>
          <w:szCs w:val="20"/>
          <w:color w:val="auto"/>
        </w:rPr>
      </w:pPr>
      <w:r>
        <w:rPr>
          <w:rFonts w:ascii="Times New Roman" w:cs="Times New Roman" w:eastAsia="Times New Roman" w:hAnsi="Times New Roman"/>
          <w:sz w:val="13"/>
          <w:szCs w:val="13"/>
          <w:color w:val="auto"/>
        </w:rPr>
        <w:t>The aggregate market value of the Registrant's common stock held by non-affiliates of the Registrant as of the last day of the Registrant's most recently completed second fiscal quarter was approximately $322 million based upon the last close price of $11.76 reported for such date on the Nasdaq Global Select Market LLC.</w:t>
      </w:r>
    </w:p>
    <w:p>
      <w:pPr>
        <w:spacing w:after="0" w:line="1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There were 37,347,428 shares of the Registrant’s common stock outstanding as of March 18, 2025.</w:t>
      </w:r>
    </w:p>
    <w:p>
      <w:pPr>
        <w:spacing w:after="0" w:line="16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3"/>
          <w:szCs w:val="13"/>
          <w:color w:val="auto"/>
        </w:rPr>
        <w:t>Auditor Firm ID: 34 Auditor Name: Deloitte &amp; Touche LLP Auditor Location: New York,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278130</wp:posOffset>
            </wp:positionV>
            <wp:extent cx="6707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316230</wp:posOffset>
            </wp:positionV>
            <wp:extent cx="6707505" cy="30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875665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type w:val="continuous"/>
        </w:sectPr>
      </w:pPr>
    </w:p>
    <w:bookmarkStart w:id="1" w:name="page2"/>
    <w:bookmarkEnd w:id="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80" w:type="dxa"/>
            <w:vAlign w:val="bottom"/>
            <w:gridSpan w:val="7"/>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w w:val="97"/>
              </w:rPr>
              <w:t>RUNWAY GROWTH FINANCE CORP.</w:t>
            </w:r>
          </w:p>
        </w:tc>
        <w:tc>
          <w:tcPr>
            <w:tcW w:w="258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80" w:type="dxa"/>
            <w:vAlign w:val="bottom"/>
            <w:gridSpan w:val="7"/>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w w:val="97"/>
              </w:rPr>
              <w:t>TABLE OF CONTENTS</w:t>
            </w:r>
          </w:p>
        </w:tc>
        <w:tc>
          <w:tcPr>
            <w:tcW w:w="2580" w:type="dxa"/>
            <w:vAlign w:val="bottom"/>
          </w:tcPr>
          <w:p>
            <w:pPr>
              <w:spacing w:after="0"/>
              <w:rPr>
                <w:sz w:val="17"/>
                <w:szCs w:val="17"/>
                <w:color w:val="auto"/>
              </w:rPr>
            </w:pPr>
          </w:p>
        </w:tc>
      </w:tr>
      <w:tr>
        <w:trPr>
          <w:trHeight w:val="4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8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0"/>
        </w:trPr>
        <w:tc>
          <w:tcPr>
            <w:tcW w:w="820" w:type="dxa"/>
            <w:vAlign w:val="bottom"/>
            <w:gridSpan w:val="5"/>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PART I.</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3">
              <w:r>
                <w:rPr>
                  <w:rFonts w:ascii="Times New Roman" w:cs="Times New Roman" w:eastAsia="Times New Roman" w:hAnsi="Times New Roman"/>
                  <w:sz w:val="16"/>
                  <w:szCs w:val="16"/>
                  <w:color w:val="auto"/>
                </w:rPr>
                <w:t>Item 1.</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Business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3</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rFonts w:ascii="Times New Roman" w:cs="Times New Roman" w:eastAsia="Times New Roman" w:hAnsi="Times New Roman"/>
                <w:sz w:val="16"/>
                <w:szCs w:val="16"/>
                <w:color w:val="auto"/>
              </w:rPr>
            </w:pPr>
            <w:hyperlink w:anchor="page24">
              <w:r>
                <w:rPr>
                  <w:rFonts w:ascii="Times New Roman" w:cs="Times New Roman" w:eastAsia="Times New Roman" w:hAnsi="Times New Roman"/>
                  <w:sz w:val="16"/>
                  <w:szCs w:val="16"/>
                  <w:color w:val="auto"/>
                </w:rPr>
                <w:t>Item 1A.</w:t>
              </w:r>
            </w:hyperlink>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24">
              <w:r>
                <w:rPr>
                  <w:rFonts w:ascii="Times New Roman" w:cs="Times New Roman" w:eastAsia="Times New Roman" w:hAnsi="Times New Roman"/>
                  <w:sz w:val="16"/>
                  <w:szCs w:val="16"/>
                  <w:color w:val="0000FF"/>
                </w:rPr>
                <w:t>Risk Factors</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24</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CCEEFF"/>
            </w:tcBorders>
            <w:shd w:val="clear" w:color="auto" w:fill="0000EE"/>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59">
              <w:r>
                <w:rPr>
                  <w:rFonts w:ascii="Times New Roman" w:cs="Times New Roman" w:eastAsia="Times New Roman" w:hAnsi="Times New Roman"/>
                  <w:sz w:val="16"/>
                  <w:szCs w:val="16"/>
                  <w:color w:val="auto"/>
                </w:rPr>
                <w:t>Item 1B.</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59">
              <w:r>
                <w:rPr>
                  <w:rFonts w:ascii="Times New Roman" w:cs="Times New Roman" w:eastAsia="Times New Roman" w:hAnsi="Times New Roman"/>
                  <w:sz w:val="16"/>
                  <w:szCs w:val="16"/>
                  <w:color w:val="0000FF"/>
                </w:rPr>
                <w:t>Unresolved Staff Comments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59</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rFonts w:ascii="Times New Roman" w:cs="Times New Roman" w:eastAsia="Times New Roman" w:hAnsi="Times New Roman"/>
                <w:sz w:val="16"/>
                <w:szCs w:val="16"/>
                <w:color w:val="auto"/>
              </w:rPr>
            </w:pPr>
            <w:hyperlink w:anchor="page59">
              <w:r>
                <w:rPr>
                  <w:rFonts w:ascii="Times New Roman" w:cs="Times New Roman" w:eastAsia="Times New Roman" w:hAnsi="Times New Roman"/>
                  <w:sz w:val="16"/>
                  <w:szCs w:val="16"/>
                  <w:color w:val="auto"/>
                </w:rPr>
                <w:t>Item 1C.</w:t>
              </w:r>
            </w:hyperlink>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59">
              <w:r>
                <w:rPr>
                  <w:rFonts w:ascii="Times New Roman" w:cs="Times New Roman" w:eastAsia="Times New Roman" w:hAnsi="Times New Roman"/>
                  <w:sz w:val="16"/>
                  <w:szCs w:val="16"/>
                  <w:color w:val="0000FF"/>
                </w:rPr>
                <w:t>Cybersecurity</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59</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60">
              <w:r>
                <w:rPr>
                  <w:rFonts w:ascii="Times New Roman" w:cs="Times New Roman" w:eastAsia="Times New Roman" w:hAnsi="Times New Roman"/>
                  <w:sz w:val="16"/>
                  <w:szCs w:val="16"/>
                  <w:color w:val="auto"/>
                </w:rPr>
                <w:t>Item 2.</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Properties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60</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rFonts w:ascii="Times New Roman" w:cs="Times New Roman" w:eastAsia="Times New Roman" w:hAnsi="Times New Roman"/>
                <w:sz w:val="16"/>
                <w:szCs w:val="16"/>
                <w:color w:val="auto"/>
              </w:rPr>
            </w:pPr>
            <w:hyperlink w:anchor="page60">
              <w:r>
                <w:rPr>
                  <w:rFonts w:ascii="Times New Roman" w:cs="Times New Roman" w:eastAsia="Times New Roman" w:hAnsi="Times New Roman"/>
                  <w:sz w:val="16"/>
                  <w:szCs w:val="16"/>
                  <w:color w:val="auto"/>
                </w:rPr>
                <w:t>Item 3.</w:t>
              </w:r>
            </w:hyperlink>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Legal Proceedings</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60</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60">
              <w:r>
                <w:rPr>
                  <w:rFonts w:ascii="Times New Roman" w:cs="Times New Roman" w:eastAsia="Times New Roman" w:hAnsi="Times New Roman"/>
                  <w:sz w:val="16"/>
                  <w:szCs w:val="16"/>
                  <w:color w:val="auto"/>
                </w:rPr>
                <w:t>Item 4.</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60">
              <w:r>
                <w:rPr>
                  <w:rFonts w:ascii="Times New Roman" w:cs="Times New Roman" w:eastAsia="Times New Roman" w:hAnsi="Times New Roman"/>
                  <w:sz w:val="16"/>
                  <w:szCs w:val="16"/>
                  <w:color w:val="0000FF"/>
                </w:rPr>
                <w:t>Mine Safety Disclosures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60</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80"/>
        </w:trPr>
        <w:tc>
          <w:tcPr>
            <w:tcW w:w="820" w:type="dxa"/>
            <w:vAlign w:val="bottom"/>
            <w:gridSpan w:val="5"/>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PART II.</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61">
              <w:r>
                <w:rPr>
                  <w:rFonts w:ascii="Times New Roman" w:cs="Times New Roman" w:eastAsia="Times New Roman" w:hAnsi="Times New Roman"/>
                  <w:sz w:val="16"/>
                  <w:szCs w:val="16"/>
                  <w:color w:val="auto"/>
                </w:rPr>
                <w:t>Item 5.</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w w:val="97"/>
              </w:rPr>
            </w:pPr>
            <w:hyperlink w:anchor="page61">
              <w:r>
                <w:rPr>
                  <w:rFonts w:ascii="Times New Roman" w:cs="Times New Roman" w:eastAsia="Times New Roman" w:hAnsi="Times New Roman"/>
                  <w:sz w:val="16"/>
                  <w:szCs w:val="16"/>
                  <w:color w:val="0000FF"/>
                  <w:w w:val="97"/>
                </w:rPr>
                <w:t>Market for Registrant’s Common Equity, Related Stockholder Matters and Issuer Purchases of Equity Securities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61</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rFonts w:ascii="Times New Roman" w:cs="Times New Roman" w:eastAsia="Times New Roman" w:hAnsi="Times New Roman"/>
                <w:sz w:val="16"/>
                <w:szCs w:val="16"/>
                <w:color w:val="auto"/>
              </w:rPr>
            </w:pPr>
            <w:hyperlink w:anchor="page63">
              <w:r>
                <w:rPr>
                  <w:rFonts w:ascii="Times New Roman" w:cs="Times New Roman" w:eastAsia="Times New Roman" w:hAnsi="Times New Roman"/>
                  <w:sz w:val="16"/>
                  <w:szCs w:val="16"/>
                  <w:color w:val="auto"/>
                </w:rPr>
                <w:t>Item 6.</w:t>
              </w:r>
            </w:hyperlink>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63">
              <w:r>
                <w:rPr>
                  <w:rFonts w:ascii="Times New Roman" w:cs="Times New Roman" w:eastAsia="Times New Roman" w:hAnsi="Times New Roman"/>
                  <w:sz w:val="16"/>
                  <w:szCs w:val="16"/>
                  <w:color w:val="0000FF"/>
                </w:rPr>
                <w:t>Reserved</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63</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64">
              <w:r>
                <w:rPr>
                  <w:rFonts w:ascii="Times New Roman" w:cs="Times New Roman" w:eastAsia="Times New Roman" w:hAnsi="Times New Roman"/>
                  <w:sz w:val="16"/>
                  <w:szCs w:val="16"/>
                  <w:color w:val="auto"/>
                </w:rPr>
                <w:t>Item 7.</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64">
              <w:r>
                <w:rPr>
                  <w:rFonts w:ascii="Times New Roman" w:cs="Times New Roman" w:eastAsia="Times New Roman" w:hAnsi="Times New Roman"/>
                  <w:sz w:val="16"/>
                  <w:szCs w:val="16"/>
                  <w:color w:val="0000FF"/>
                </w:rPr>
                <w:t>Management’s Discussion and Analysis of Financial Condition and Results of Operations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64</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rFonts w:ascii="Times New Roman" w:cs="Times New Roman" w:eastAsia="Times New Roman" w:hAnsi="Times New Roman"/>
                <w:sz w:val="16"/>
                <w:szCs w:val="16"/>
                <w:color w:val="auto"/>
              </w:rPr>
            </w:pPr>
            <w:hyperlink w:anchor="page75">
              <w:r>
                <w:rPr>
                  <w:rFonts w:ascii="Times New Roman" w:cs="Times New Roman" w:eastAsia="Times New Roman" w:hAnsi="Times New Roman"/>
                  <w:sz w:val="16"/>
                  <w:szCs w:val="16"/>
                  <w:color w:val="auto"/>
                </w:rPr>
                <w:t>Item 7A.</w:t>
              </w:r>
            </w:hyperlink>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75">
              <w:r>
                <w:rPr>
                  <w:rFonts w:ascii="Times New Roman" w:cs="Times New Roman" w:eastAsia="Times New Roman" w:hAnsi="Times New Roman"/>
                  <w:sz w:val="16"/>
                  <w:szCs w:val="16"/>
                  <w:color w:val="0000FF"/>
                </w:rPr>
                <w:t>Quantitative and Qualitative Disclosures About Market Risk</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75</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tcBorders>
              <w:left w:val="single" w:sz="8" w:color="0000EE"/>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77">
              <w:r>
                <w:rPr>
                  <w:rFonts w:ascii="Times New Roman" w:cs="Times New Roman" w:eastAsia="Times New Roman" w:hAnsi="Times New Roman"/>
                  <w:sz w:val="16"/>
                  <w:szCs w:val="16"/>
                  <w:color w:val="auto"/>
                </w:rPr>
                <w:t>Item 8.</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77">
              <w:r>
                <w:rPr>
                  <w:rFonts w:ascii="Times New Roman" w:cs="Times New Roman" w:eastAsia="Times New Roman" w:hAnsi="Times New Roman"/>
                  <w:sz w:val="16"/>
                  <w:szCs w:val="16"/>
                  <w:color w:val="0000FF"/>
                </w:rPr>
                <w:t>Consolidated Financial Statements and Supplementary Data</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77</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rFonts w:ascii="Times New Roman" w:cs="Times New Roman" w:eastAsia="Times New Roman" w:hAnsi="Times New Roman"/>
                <w:sz w:val="16"/>
                <w:szCs w:val="16"/>
                <w:color w:val="auto"/>
              </w:rPr>
            </w:pPr>
            <w:hyperlink w:anchor="page136">
              <w:r>
                <w:rPr>
                  <w:rFonts w:ascii="Times New Roman" w:cs="Times New Roman" w:eastAsia="Times New Roman" w:hAnsi="Times New Roman"/>
                  <w:sz w:val="16"/>
                  <w:szCs w:val="16"/>
                  <w:color w:val="auto"/>
                </w:rPr>
                <w:t>Item 9.</w:t>
              </w:r>
            </w:hyperlink>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136">
              <w:r>
                <w:rPr>
                  <w:rFonts w:ascii="Times New Roman" w:cs="Times New Roman" w:eastAsia="Times New Roman" w:hAnsi="Times New Roman"/>
                  <w:sz w:val="16"/>
                  <w:szCs w:val="16"/>
                  <w:color w:val="0000FF"/>
                </w:rPr>
                <w:t>Changes in and Disagreements with Accountants on Accounting and Financial Disclosure</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136</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136">
              <w:r>
                <w:rPr>
                  <w:rFonts w:ascii="Times New Roman" w:cs="Times New Roman" w:eastAsia="Times New Roman" w:hAnsi="Times New Roman"/>
                  <w:sz w:val="16"/>
                  <w:szCs w:val="16"/>
                  <w:color w:val="auto"/>
                </w:rPr>
                <w:t>Item 9A.</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136">
              <w:r>
                <w:rPr>
                  <w:rFonts w:ascii="Times New Roman" w:cs="Times New Roman" w:eastAsia="Times New Roman" w:hAnsi="Times New Roman"/>
                  <w:sz w:val="16"/>
                  <w:szCs w:val="16"/>
                  <w:color w:val="0000FF"/>
                </w:rPr>
                <w:t>Controls and Procedures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136</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rFonts w:ascii="Times New Roman" w:cs="Times New Roman" w:eastAsia="Times New Roman" w:hAnsi="Times New Roman"/>
                <w:sz w:val="16"/>
                <w:szCs w:val="16"/>
                <w:color w:val="auto"/>
              </w:rPr>
            </w:pPr>
            <w:hyperlink w:anchor="page137">
              <w:r>
                <w:rPr>
                  <w:rFonts w:ascii="Times New Roman" w:cs="Times New Roman" w:eastAsia="Times New Roman" w:hAnsi="Times New Roman"/>
                  <w:sz w:val="16"/>
                  <w:szCs w:val="16"/>
                  <w:color w:val="auto"/>
                </w:rPr>
                <w:t>Item 9B.</w:t>
              </w:r>
            </w:hyperlink>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137">
              <w:r>
                <w:rPr>
                  <w:rFonts w:ascii="Times New Roman" w:cs="Times New Roman" w:eastAsia="Times New Roman" w:hAnsi="Times New Roman"/>
                  <w:sz w:val="16"/>
                  <w:szCs w:val="16"/>
                  <w:color w:val="0000FF"/>
                </w:rPr>
                <w:t>Other Information</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137</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CCEEFF"/>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tcBorders>
              <w:left w:val="single" w:sz="8" w:color="CCEEFF"/>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137">
              <w:r>
                <w:rPr>
                  <w:rFonts w:ascii="Times New Roman" w:cs="Times New Roman" w:eastAsia="Times New Roman" w:hAnsi="Times New Roman"/>
                  <w:sz w:val="16"/>
                  <w:szCs w:val="16"/>
                  <w:color w:val="auto"/>
                </w:rPr>
                <w:t>Item 9C</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137">
              <w:r>
                <w:rPr>
                  <w:rFonts w:ascii="Times New Roman" w:cs="Times New Roman" w:eastAsia="Times New Roman" w:hAnsi="Times New Roman"/>
                  <w:sz w:val="16"/>
                  <w:szCs w:val="16"/>
                  <w:color w:val="0000FF"/>
                </w:rPr>
                <w:t>Disclosure Regarding Foreign Jurisdictions that Prevent Inspection</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137</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80"/>
        </w:trPr>
        <w:tc>
          <w:tcPr>
            <w:tcW w:w="820" w:type="dxa"/>
            <w:vAlign w:val="bottom"/>
            <w:gridSpan w:val="5"/>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PART III.</w:t>
            </w: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3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tcBorders>
              <w:lef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r>
      <w:tr>
        <w:trPr>
          <w:trHeight w:val="156"/>
        </w:trPr>
        <w:tc>
          <w:tcPr>
            <w:tcW w:w="82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6"/>
                <w:szCs w:val="16"/>
                <w:color w:val="auto"/>
              </w:rPr>
              <w:t>Item 10.</w:t>
            </w:r>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138">
              <w:r>
                <w:rPr>
                  <w:rFonts w:ascii="Times New Roman" w:cs="Times New Roman" w:eastAsia="Times New Roman" w:hAnsi="Times New Roman"/>
                  <w:sz w:val="16"/>
                  <w:szCs w:val="16"/>
                  <w:color w:val="0000FF"/>
                </w:rPr>
                <w:t>Directors, Executive Officers and Corporate Governance</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138</w:t>
            </w:r>
          </w:p>
        </w:tc>
      </w:tr>
      <w:tr>
        <w:trPr>
          <w:trHeight w:val="2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Item 11.</w:t>
            </w:r>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138">
              <w:r>
                <w:rPr>
                  <w:rFonts w:ascii="Times New Roman" w:cs="Times New Roman" w:eastAsia="Times New Roman" w:hAnsi="Times New Roman"/>
                  <w:sz w:val="16"/>
                  <w:szCs w:val="16"/>
                  <w:color w:val="0000FF"/>
                </w:rPr>
                <w:t>Executive Compensation</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138</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tcBorders>
              <w:left w:val="single" w:sz="8" w:color="CCEEFF"/>
            </w:tcBorders>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56"/>
        </w:trPr>
        <w:tc>
          <w:tcPr>
            <w:tcW w:w="82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6"/>
                <w:szCs w:val="16"/>
                <w:color w:val="auto"/>
              </w:rPr>
              <w:t>Item 12.</w:t>
            </w:r>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138">
              <w:r>
                <w:rPr>
                  <w:rFonts w:ascii="Times New Roman" w:cs="Times New Roman" w:eastAsia="Times New Roman" w:hAnsi="Times New Roman"/>
                  <w:sz w:val="16"/>
                  <w:szCs w:val="16"/>
                  <w:color w:val="0000FF"/>
                </w:rPr>
                <w:t>Security Ownership of Certain Beneficial Owners and Management and Related Stockholder Matters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138</w:t>
            </w:r>
          </w:p>
        </w:tc>
      </w:tr>
      <w:tr>
        <w:trPr>
          <w:trHeight w:val="24"/>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56"/>
        </w:trPr>
        <w:tc>
          <w:tcPr>
            <w:tcW w:w="820" w:type="dxa"/>
            <w:vAlign w:val="bottom"/>
            <w:gridSpan w:val="5"/>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Item 13.</w:t>
            </w:r>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138">
              <w:r>
                <w:rPr>
                  <w:rFonts w:ascii="Times New Roman" w:cs="Times New Roman" w:eastAsia="Times New Roman" w:hAnsi="Times New Roman"/>
                  <w:sz w:val="16"/>
                  <w:szCs w:val="16"/>
                  <w:color w:val="0000FF"/>
                </w:rPr>
                <w:t>Certain Relationships and Related Transactions, and Director Independence</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138</w:t>
            </w:r>
          </w:p>
        </w:tc>
      </w:tr>
      <w:tr>
        <w:trPr>
          <w:trHeight w:val="24"/>
        </w:trPr>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0" w:type="dxa"/>
            <w:vAlign w:val="bottom"/>
            <w:tcBorders>
              <w:left w:val="single" w:sz="8" w:color="0000EE"/>
            </w:tcBorders>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r>
      <w:tr>
        <w:trPr>
          <w:trHeight w:val="160"/>
        </w:trPr>
        <w:tc>
          <w:tcPr>
            <w:tcW w:w="820" w:type="dxa"/>
            <w:vAlign w:val="bottom"/>
            <w:gridSpan w:val="5"/>
          </w:tcPr>
          <w:p>
            <w:pPr>
              <w:ind w:left="20"/>
              <w:spacing w:after="0" w:line="156" w:lineRule="exact"/>
              <w:rPr>
                <w:sz w:val="20"/>
                <w:szCs w:val="20"/>
                <w:color w:val="auto"/>
              </w:rPr>
            </w:pPr>
            <w:r>
              <w:rPr>
                <w:rFonts w:ascii="Times New Roman" w:cs="Times New Roman" w:eastAsia="Times New Roman" w:hAnsi="Times New Roman"/>
                <w:sz w:val="16"/>
                <w:szCs w:val="16"/>
                <w:color w:val="auto"/>
              </w:rPr>
              <w:t>Item 14.</w:t>
            </w:r>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138">
              <w:r>
                <w:rPr>
                  <w:rFonts w:ascii="Times New Roman" w:cs="Times New Roman" w:eastAsia="Times New Roman" w:hAnsi="Times New Roman"/>
                  <w:sz w:val="16"/>
                  <w:szCs w:val="16"/>
                  <w:color w:val="0000FF"/>
                </w:rPr>
                <w:t>Principal Accounting Fees and Services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138</w:t>
            </w:r>
          </w:p>
        </w:tc>
      </w:tr>
      <w:tr>
        <w:trPr>
          <w:trHeight w:val="180"/>
        </w:trPr>
        <w:tc>
          <w:tcPr>
            <w:tcW w:w="820" w:type="dxa"/>
            <w:vAlign w:val="bottom"/>
            <w:gridSpan w:val="5"/>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b w:val="1"/>
                <w:bCs w:val="1"/>
                <w:color w:val="auto"/>
              </w:rPr>
              <w:t>PART IV.</w:t>
            </w:r>
          </w:p>
        </w:tc>
        <w:tc>
          <w:tcPr>
            <w:tcW w:w="120" w:type="dxa"/>
            <w:vAlign w:val="bottom"/>
            <w:shd w:val="clear" w:color="auto" w:fill="CCEEFF"/>
          </w:tcPr>
          <w:p>
            <w:pPr>
              <w:spacing w:after="0"/>
              <w:rPr>
                <w:sz w:val="15"/>
                <w:szCs w:val="15"/>
                <w:color w:val="auto"/>
              </w:rPr>
            </w:pPr>
          </w:p>
        </w:tc>
        <w:tc>
          <w:tcPr>
            <w:tcW w:w="5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left w:val="single" w:sz="8" w:color="CCEEFF"/>
            </w:tcBorders>
            <w:shd w:val="clear" w:color="auto" w:fill="CCEEFF"/>
          </w:tcPr>
          <w:p>
            <w:pPr>
              <w:spacing w:after="0"/>
              <w:rPr>
                <w:sz w:val="15"/>
                <w:szCs w:val="15"/>
                <w:color w:val="auto"/>
              </w:rPr>
            </w:pPr>
          </w:p>
        </w:tc>
        <w:tc>
          <w:tcPr>
            <w:tcW w:w="200" w:type="dxa"/>
            <w:vAlign w:val="bottom"/>
            <w:tcBorders>
              <w:top w:val="single" w:sz="8" w:color="0000EE"/>
              <w:right w:val="single" w:sz="8" w:color="CCEEFF"/>
            </w:tcBorders>
            <w:shd w:val="clear" w:color="auto" w:fill="CCEEFF"/>
          </w:tcPr>
          <w:p>
            <w:pPr>
              <w:spacing w:after="0"/>
              <w:rPr>
                <w:sz w:val="15"/>
                <w:szCs w:val="15"/>
                <w:color w:val="auto"/>
              </w:rPr>
            </w:pPr>
          </w:p>
        </w:tc>
        <w:tc>
          <w:tcPr>
            <w:tcW w:w="320" w:type="dxa"/>
            <w:vAlign w:val="bottom"/>
            <w:tcBorders>
              <w:top w:val="single" w:sz="8" w:color="0000EE"/>
              <w:right w:val="single" w:sz="8" w:color="CCEEFF"/>
            </w:tcBorders>
            <w:shd w:val="clear" w:color="auto" w:fill="CCEEFF"/>
          </w:tcPr>
          <w:p>
            <w:pPr>
              <w:spacing w:after="0"/>
              <w:rPr>
                <w:sz w:val="15"/>
                <w:szCs w:val="15"/>
                <w:color w:val="auto"/>
              </w:rPr>
            </w:pPr>
          </w:p>
        </w:tc>
        <w:tc>
          <w:tcPr>
            <w:tcW w:w="160" w:type="dxa"/>
            <w:vAlign w:val="bottom"/>
            <w:tcBorders>
              <w:top w:val="single" w:sz="8" w:color="0000EE"/>
            </w:tcBorders>
            <w:shd w:val="clear" w:color="auto" w:fill="CCEEFF"/>
          </w:tcPr>
          <w:p>
            <w:pPr>
              <w:spacing w:after="0"/>
              <w:rPr>
                <w:sz w:val="15"/>
                <w:szCs w:val="15"/>
                <w:color w:val="auto"/>
              </w:rPr>
            </w:pPr>
          </w:p>
        </w:tc>
        <w:tc>
          <w:tcPr>
            <w:tcW w:w="220" w:type="dxa"/>
            <w:vAlign w:val="bottom"/>
            <w:tcBorders>
              <w:top w:val="single" w:sz="8" w:color="0000EE"/>
            </w:tcBorders>
            <w:shd w:val="clear" w:color="auto" w:fill="CCEEFF"/>
          </w:tcPr>
          <w:p>
            <w:pPr>
              <w:spacing w:after="0"/>
              <w:rPr>
                <w:sz w:val="15"/>
                <w:szCs w:val="15"/>
                <w:color w:val="auto"/>
              </w:rPr>
            </w:pPr>
          </w:p>
        </w:tc>
        <w:tc>
          <w:tcPr>
            <w:tcW w:w="240" w:type="dxa"/>
            <w:vAlign w:val="bottom"/>
            <w:tcBorders>
              <w:top w:val="single" w:sz="8" w:color="0000EE"/>
              <w:left w:val="single" w:sz="8" w:color="CCEEFF"/>
            </w:tcBorders>
            <w:shd w:val="clear" w:color="auto" w:fill="CCEEFF"/>
          </w:tcPr>
          <w:p>
            <w:pPr>
              <w:spacing w:after="0"/>
              <w:rPr>
                <w:sz w:val="15"/>
                <w:szCs w:val="15"/>
                <w:color w:val="auto"/>
              </w:rPr>
            </w:pPr>
          </w:p>
        </w:tc>
        <w:tc>
          <w:tcPr>
            <w:tcW w:w="720" w:type="dxa"/>
            <w:vAlign w:val="bottom"/>
            <w:tcBorders>
              <w:top w:val="single" w:sz="8" w:color="0000EE"/>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tcBorders>
              <w:left w:val="single" w:sz="8" w:color="CCEEFF"/>
            </w:tcBorders>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r>
      <w:tr>
        <w:trPr>
          <w:trHeight w:val="156"/>
        </w:trPr>
        <w:tc>
          <w:tcPr>
            <w:tcW w:w="820" w:type="dxa"/>
            <w:vAlign w:val="bottom"/>
            <w:gridSpan w:val="5"/>
          </w:tcPr>
          <w:p>
            <w:pPr>
              <w:ind w:left="20"/>
              <w:spacing w:after="0" w:line="156" w:lineRule="exact"/>
              <w:rPr>
                <w:rFonts w:ascii="Times New Roman" w:cs="Times New Roman" w:eastAsia="Times New Roman" w:hAnsi="Times New Roman"/>
                <w:sz w:val="16"/>
                <w:szCs w:val="16"/>
                <w:color w:val="auto"/>
              </w:rPr>
            </w:pPr>
            <w:hyperlink w:anchor="page139">
              <w:r>
                <w:rPr>
                  <w:rFonts w:ascii="Times New Roman" w:cs="Times New Roman" w:eastAsia="Times New Roman" w:hAnsi="Times New Roman"/>
                  <w:sz w:val="16"/>
                  <w:szCs w:val="16"/>
                  <w:color w:val="auto"/>
                </w:rPr>
                <w:t>Item 15.</w:t>
              </w:r>
            </w:hyperlink>
          </w:p>
        </w:tc>
        <w:tc>
          <w:tcPr>
            <w:tcW w:w="7160" w:type="dxa"/>
            <w:vAlign w:val="bottom"/>
            <w:gridSpan w:val="17"/>
          </w:tcPr>
          <w:p>
            <w:pPr>
              <w:ind w:left="120"/>
              <w:spacing w:after="0" w:line="156" w:lineRule="exact"/>
              <w:rPr>
                <w:rFonts w:ascii="Times New Roman" w:cs="Times New Roman" w:eastAsia="Times New Roman" w:hAnsi="Times New Roman"/>
                <w:sz w:val="16"/>
                <w:szCs w:val="16"/>
                <w:color w:val="0000FF"/>
              </w:rPr>
            </w:pPr>
            <w:hyperlink w:anchor="page139">
              <w:r>
                <w:rPr>
                  <w:rFonts w:ascii="Times New Roman" w:cs="Times New Roman" w:eastAsia="Times New Roman" w:hAnsi="Times New Roman"/>
                  <w:sz w:val="16"/>
                  <w:szCs w:val="16"/>
                  <w:color w:val="0000FF"/>
                </w:rPr>
                <w:t>Exhibits and Financial Statement Schedules</w:t>
              </w:r>
            </w:hyperlink>
          </w:p>
        </w:tc>
        <w:tc>
          <w:tcPr>
            <w:tcW w:w="2580" w:type="dxa"/>
            <w:vAlign w:val="bottom"/>
          </w:tcPr>
          <w:p>
            <w:pPr>
              <w:jc w:val="right"/>
              <w:spacing w:after="0" w:line="156" w:lineRule="exact"/>
              <w:rPr>
                <w:sz w:val="20"/>
                <w:szCs w:val="20"/>
                <w:color w:val="auto"/>
              </w:rPr>
            </w:pPr>
            <w:r>
              <w:rPr>
                <w:rFonts w:ascii="Times New Roman" w:cs="Times New Roman" w:eastAsia="Times New Roman" w:hAnsi="Times New Roman"/>
                <w:sz w:val="16"/>
                <w:szCs w:val="16"/>
                <w:color w:val="auto"/>
              </w:rPr>
              <w:t>139</w:t>
            </w:r>
          </w:p>
        </w:tc>
      </w:tr>
      <w:tr>
        <w:trPr>
          <w:trHeight w:val="24"/>
        </w:trPr>
        <w:tc>
          <w:tcPr>
            <w:tcW w:w="20" w:type="dxa"/>
            <w:vAlign w:val="bottom"/>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40" w:type="dxa"/>
            <w:vAlign w:val="bottom"/>
            <w:tcBorders>
              <w:left w:val="single" w:sz="8" w:color="0000EE"/>
            </w:tcBorders>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160"/>
        </w:trPr>
        <w:tc>
          <w:tcPr>
            <w:tcW w:w="820" w:type="dxa"/>
            <w:vAlign w:val="bottom"/>
            <w:gridSpan w:val="5"/>
            <w:shd w:val="clear" w:color="auto" w:fill="CCEEFF"/>
          </w:tcPr>
          <w:p>
            <w:pPr>
              <w:ind w:left="20"/>
              <w:spacing w:after="0" w:line="156" w:lineRule="exact"/>
              <w:rPr>
                <w:sz w:val="20"/>
                <w:szCs w:val="20"/>
                <w:color w:val="auto"/>
              </w:rPr>
            </w:pPr>
            <w:r>
              <w:rPr>
                <w:rFonts w:ascii="Times New Roman" w:cs="Times New Roman" w:eastAsia="Times New Roman" w:hAnsi="Times New Roman"/>
                <w:sz w:val="16"/>
                <w:szCs w:val="16"/>
                <w:color w:val="auto"/>
              </w:rPr>
              <w:t>Item 16.</w:t>
            </w:r>
          </w:p>
        </w:tc>
        <w:tc>
          <w:tcPr>
            <w:tcW w:w="7160" w:type="dxa"/>
            <w:vAlign w:val="bottom"/>
            <w:gridSpan w:val="17"/>
            <w:shd w:val="clear" w:color="auto" w:fill="CCEEFF"/>
          </w:tcPr>
          <w:p>
            <w:pPr>
              <w:ind w:left="120"/>
              <w:spacing w:after="0" w:line="156" w:lineRule="exact"/>
              <w:rPr>
                <w:rFonts w:ascii="Times New Roman" w:cs="Times New Roman" w:eastAsia="Times New Roman" w:hAnsi="Times New Roman"/>
                <w:sz w:val="16"/>
                <w:szCs w:val="16"/>
                <w:color w:val="0000FF"/>
              </w:rPr>
            </w:pPr>
            <w:hyperlink w:anchor="page143">
              <w:r>
                <w:rPr>
                  <w:rFonts w:ascii="Times New Roman" w:cs="Times New Roman" w:eastAsia="Times New Roman" w:hAnsi="Times New Roman"/>
                  <w:sz w:val="16"/>
                  <w:szCs w:val="16"/>
                  <w:color w:val="0000FF"/>
                </w:rPr>
                <w:t>Form 10-K Summary</w:t>
              </w:r>
            </w:hyperlink>
          </w:p>
        </w:tc>
        <w:tc>
          <w:tcPr>
            <w:tcW w:w="25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143</w:t>
            </w:r>
          </w:p>
        </w:tc>
      </w:tr>
      <w:tr>
        <w:trPr>
          <w:trHeight w:val="156"/>
        </w:trPr>
        <w:tc>
          <w:tcPr>
            <w:tcW w:w="820" w:type="dxa"/>
            <w:vAlign w:val="bottom"/>
            <w:tcBorders>
              <w:top w:val="single" w:sz="8" w:color="CCEEFF"/>
            </w:tcBorders>
            <w:gridSpan w:val="5"/>
          </w:tcPr>
          <w:p>
            <w:pPr>
              <w:ind w:left="20"/>
              <w:spacing w:after="0" w:line="156" w:lineRule="exact"/>
              <w:rPr>
                <w:rFonts w:ascii="Times New Roman" w:cs="Times New Roman" w:eastAsia="Times New Roman" w:hAnsi="Times New Roman"/>
                <w:sz w:val="16"/>
                <w:szCs w:val="16"/>
                <w:color w:val="0000FF"/>
              </w:rPr>
            </w:pPr>
            <w:hyperlink w:anchor="page144">
              <w:r>
                <w:rPr>
                  <w:rFonts w:ascii="Times New Roman" w:cs="Times New Roman" w:eastAsia="Times New Roman" w:hAnsi="Times New Roman"/>
                  <w:sz w:val="16"/>
                  <w:szCs w:val="16"/>
                  <w:color w:val="0000FF"/>
                </w:rPr>
                <w:t>Signatures</w:t>
              </w:r>
            </w:hyperlink>
          </w:p>
        </w:tc>
        <w:tc>
          <w:tcPr>
            <w:tcW w:w="120" w:type="dxa"/>
            <w:vAlign w:val="bottom"/>
            <w:tcBorders>
              <w:top w:val="single" w:sz="8" w:color="CCEEFF"/>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8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2580" w:type="dxa"/>
            <w:vAlign w:val="bottom"/>
            <w:tcBorders>
              <w:top w:val="single" w:sz="8" w:color="CCEEFF"/>
            </w:tcBorders>
          </w:tcPr>
          <w:p>
            <w:pPr>
              <w:jc w:val="right"/>
              <w:spacing w:after="0" w:line="156" w:lineRule="exact"/>
              <w:rPr>
                <w:sz w:val="20"/>
                <w:szCs w:val="20"/>
                <w:color w:val="auto"/>
              </w:rPr>
            </w:pPr>
            <w:r>
              <w:rPr>
                <w:rFonts w:ascii="Times New Roman" w:cs="Times New Roman" w:eastAsia="Times New Roman" w:hAnsi="Times New Roman"/>
                <w:sz w:val="16"/>
                <w:szCs w:val="16"/>
                <w:color w:val="auto"/>
              </w:rPr>
              <w:t>144</w:t>
            </w:r>
          </w:p>
        </w:tc>
      </w:tr>
      <w:tr>
        <w:trPr>
          <w:trHeight w:val="1432"/>
        </w:trPr>
        <w:tc>
          <w:tcPr>
            <w:tcW w:w="20" w:type="dxa"/>
            <w:vAlign w:val="bottom"/>
            <w:tcBorders>
              <w:bottom w:val="single" w:sz="8" w:color="EEEEEE"/>
            </w:tcBorders>
          </w:tcPr>
          <w:p>
            <w:pPr>
              <w:spacing w:after="0"/>
              <w:rPr>
                <w:sz w:val="24"/>
                <w:szCs w:val="24"/>
                <w:color w:val="auto"/>
              </w:rPr>
            </w:pPr>
          </w:p>
        </w:tc>
        <w:tc>
          <w:tcPr>
            <w:tcW w:w="440" w:type="dxa"/>
            <w:vAlign w:val="bottom"/>
            <w:tcBorders>
              <w:top w:val="single" w:sz="8" w:color="0000EE"/>
              <w:bottom w:val="single" w:sz="8" w:color="EEEEEE"/>
            </w:tcBorders>
          </w:tcPr>
          <w:p>
            <w:pPr>
              <w:spacing w:after="0"/>
              <w:rPr>
                <w:sz w:val="24"/>
                <w:szCs w:val="24"/>
                <w:color w:val="auto"/>
              </w:rPr>
            </w:pPr>
          </w:p>
        </w:tc>
        <w:tc>
          <w:tcPr>
            <w:tcW w:w="80" w:type="dxa"/>
            <w:vAlign w:val="bottom"/>
            <w:tcBorders>
              <w:top w:val="single" w:sz="8" w:color="0000EE"/>
              <w:bottom w:val="single" w:sz="8" w:color="EEEEEE"/>
            </w:tcBorders>
          </w:tcPr>
          <w:p>
            <w:pPr>
              <w:spacing w:after="0"/>
              <w:rPr>
                <w:sz w:val="24"/>
                <w:szCs w:val="24"/>
                <w:color w:val="auto"/>
              </w:rPr>
            </w:pPr>
          </w:p>
        </w:tc>
        <w:tc>
          <w:tcPr>
            <w:tcW w:w="140" w:type="dxa"/>
            <w:vAlign w:val="bottom"/>
            <w:tcBorders>
              <w:top w:val="single" w:sz="8" w:color="0000EE"/>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88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700" w:type="dxa"/>
            <w:vAlign w:val="bottom"/>
            <w:tcBorders>
              <w:bottom w:val="single" w:sz="8" w:color="EEEEEE"/>
            </w:tcBorders>
          </w:tcPr>
          <w:p>
            <w:pPr>
              <w:spacing w:after="0"/>
              <w:rPr>
                <w:sz w:val="24"/>
                <w:szCs w:val="24"/>
                <w:color w:val="auto"/>
              </w:rPr>
            </w:pPr>
          </w:p>
        </w:tc>
        <w:tc>
          <w:tcPr>
            <w:tcW w:w="25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 w:name="page3"/>
    <w:bookmarkEnd w:id="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9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Runway Growth Finance Corp. ("we," "us," "our," or the "Company"), a Maryland corporation formed on August 31, 2015, is structured as an externally managed, non-diversified closed- 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spacing w:after="0" w:line="1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12b- 2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3"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From the commencement of investment operations on December 16, 2016, through December 31, 2024, we funded 86 portfolio companies and invested $ 2.4 billion in debt investments. As of December 31, 2024, our equity investment portfolio had an aggregate fair value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$106.6 million. Our debt investment portfolio, excluding U.S. Treasury bills, consisted of 32 portfolio companies with an aggregate fair value of $970.2 million. Our equity portfolio consisted of 60 warrant positions, eight preferred stock positions, six common stock positions, and one equity interest position across 52 portfolio companies, and one joint venture investment in Runway-Cadma I LLC. As of December 31, 2024, 97.9%, or $950.1 million, of our debt investment portfolio at fair value consisted of senior term loans. As of December 31, 2024, our net assets were $514.9 million, and all of our debt investments were secured by all or a portion of the tangible and intangible assets of the applicable portfolio company. The debt investments in our portfolio are generally not rated by any rating agency. If the individual debt investments in our portfolio were rated, they would be rated below "investment grade." Debt investments that are unrated or rated below investment grade are sometimes referred to as "junk bonds" and have predominantly speculative characteristics with respect to the issuer’s capacity to pay interest and repay principal.</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 w:name="page4"/>
    <w:bookmarkEnd w:id="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231F20"/>
        </w:rPr>
        <w:t>For the year ended December 31, 2024, our debt investment portfolio had a dollar-weighted annualized yield of 14.9%. For the year ended December 31, 2023, our debt investment portfolio had a dollar-weighted annualized yield of 15.8%. For the year ended December 31, 2022, our debt investment portfolio had a dollar -weighted annualized yield of 13.7%.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December 31, 2024, our debt investments had a dollar-weighted average outstanding term of 58 months at origination and a dollar-weighted average remaining term of 37 months, or approximately 3.1 years. As of December 31, 2024, substantially all of our debt investments had a committed principal amount of between $6.0 million and $75.0 million and pay cash interest at annual interest rates between 6.3% and 16.8%.</w:t>
      </w:r>
    </w:p>
    <w:p>
      <w:pPr>
        <w:spacing w:after="0" w:line="17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6"/>
          <w:szCs w:val="16"/>
          <w:color w:val="231F20"/>
        </w:rPr>
        <w:t>The following table shows our dollar-weighted annualized yield by investment type for the years ended December 31, 2024, and December 31, 2023, and December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6"/>
                <w:szCs w:val="16"/>
                <w:b w:val="1"/>
                <w:bCs w:val="1"/>
                <w:color w:val="auto"/>
                <w:vertAlign w:val="superscript"/>
              </w:rPr>
              <w:t>(1)</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w w:val="95"/>
              </w:rPr>
              <w:t>Cost</w:t>
            </w:r>
            <w:r>
              <w:rPr>
                <w:rFonts w:ascii="Times New Roman" w:cs="Times New Roman" w:eastAsia="Times New Roman" w:hAnsi="Times New Roman"/>
                <w:sz w:val="16"/>
                <w:szCs w:val="16"/>
                <w:b w:val="1"/>
                <w:bCs w:val="1"/>
                <w:color w:val="auto"/>
                <w:w w:val="95"/>
                <w:vertAlign w:val="superscript"/>
              </w:rPr>
              <w:t>(2)</w:t>
            </w: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2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0"/>
        </w:trPr>
        <w:tc>
          <w:tcPr>
            <w:tcW w:w="2140" w:type="dxa"/>
            <w:vAlign w:val="bottom"/>
          </w:tcPr>
          <w:p>
            <w:pPr>
              <w:spacing w:after="0"/>
              <w:rPr>
                <w:sz w:val="14"/>
                <w:szCs w:val="14"/>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4"/>
                <w:szCs w:val="14"/>
                <w:color w:val="auto"/>
              </w:rPr>
            </w:pP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4"/>
                <w:szCs w:val="14"/>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6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56"/>
        </w:trPr>
        <w:tc>
          <w:tcPr>
            <w:tcW w:w="2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investments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15.78</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4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58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Equity interest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2.66</w:t>
            </w:r>
          </w:p>
        </w:tc>
        <w:tc>
          <w:tcPr>
            <w:tcW w:w="5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48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58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All investments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15.20</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4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58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jc w:val="both"/>
        <w:ind w:left="360" w:right="80"/>
        <w:spacing w:after="0" w:line="206"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80" w:lineRule="exact"/>
        <w:rPr>
          <w:sz w:val="20"/>
          <w:szCs w:val="20"/>
          <w:color w:val="auto"/>
        </w:rPr>
      </w:pPr>
    </w:p>
    <w:p>
      <w:pPr>
        <w:ind w:left="360" w:right="120"/>
        <w:spacing w:after="0" w:line="212"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amortized cost of the investment type outstanding during the period, including any investments on non- accrual status. The dollar-weighted annualized yield represents the portfolio yield and will be higher than what investors will realize because it does not reflect our expenses or any sales load paid by investors.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RGC</w:t>
      </w:r>
    </w:p>
    <w:p>
      <w:pPr>
        <w:spacing w:after="0" w:line="1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We are externally managed by Runway Growth Capital LLC ("RGC" or the "Adviser"), an investment adviser that has registered with the U.S. Securities and Exchange Commission ("SEC") under the Investment Advisers Act of 1940, as amended (together with the rules and regulations promulgated thereunder, the "Advisers Act"). Runway Administrator Services LLC (the "Administrator"), a wholly-owned subsidiary of RGC, provides all administrative services necessary for us to operate. Subject to the overall supervision of our board of directors ("Board of Directors"), RGC manages our day-to-day operations and provides us with investment advisory services pursuant to an investment advisory agreement (as amended and restated, the "Advisory Agreement"). Under the terms of the Advisory Agreement, RGC:</w:t>
      </w:r>
    </w:p>
    <w:p>
      <w:pPr>
        <w:spacing w:after="0" w:line="140" w:lineRule="exact"/>
        <w:rPr>
          <w:sz w:val="20"/>
          <w:szCs w:val="20"/>
          <w:color w:val="auto"/>
        </w:rPr>
      </w:pPr>
    </w:p>
    <w:p>
      <w:pPr>
        <w:ind w:left="360" w:right="1120"/>
        <w:spacing w:after="0" w:line="360" w:lineRule="auto"/>
        <w:rPr>
          <w:sz w:val="20"/>
          <w:szCs w:val="20"/>
          <w:color w:val="auto"/>
        </w:rPr>
      </w:pPr>
      <w:r>
        <w:rPr>
          <w:rFonts w:ascii="Times New Roman" w:cs="Times New Roman" w:eastAsia="Times New Roman" w:hAnsi="Times New Roman"/>
          <w:sz w:val="16"/>
          <w:szCs w:val="16"/>
          <w:color w:val="auto"/>
        </w:rPr>
        <w:t>•determines the composition of our portfolio, the nature and timing of the changes to the portfolio and the manner of implementing such changes; •identifies, evaluates and negotiates the structure of the investments we make; •executes, closes and monitors the investments we make;</w:t>
      </w:r>
    </w:p>
    <w:p>
      <w:pPr>
        <w:ind w:left="360"/>
        <w:spacing w:after="0"/>
        <w:rPr>
          <w:sz w:val="20"/>
          <w:szCs w:val="20"/>
          <w:color w:val="auto"/>
        </w:rPr>
      </w:pPr>
      <w:r>
        <w:rPr>
          <w:rFonts w:ascii="Times New Roman" w:cs="Times New Roman" w:eastAsia="Times New Roman" w:hAnsi="Times New Roman"/>
          <w:sz w:val="16"/>
          <w:szCs w:val="16"/>
          <w:color w:val="auto"/>
        </w:rPr>
        <w:t>•determines the securities and other assets that we will purchase, retain or sell;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•performs due diligence on prospective investments;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•provides us with other such investment advisory, research and related services as we may, from time to time, reasonably require for the investment of our funds.</w:t>
      </w:r>
    </w:p>
    <w:p>
      <w:pPr>
        <w:spacing w:after="0" w:line="211" w:lineRule="exact"/>
        <w:rPr>
          <w:sz w:val="20"/>
          <w:szCs w:val="20"/>
          <w:color w:val="auto"/>
        </w:rPr>
      </w:pPr>
    </w:p>
    <w:p>
      <w:pPr>
        <w:spacing w:after="0" w:line="186" w:lineRule="exact"/>
        <w:rPr>
          <w:sz w:val="20"/>
          <w:szCs w:val="20"/>
          <w:color w:val="auto"/>
        </w:rPr>
      </w:pPr>
      <w:r>
        <w:rPr>
          <w:rFonts w:ascii="Times New Roman" w:cs="Times New Roman" w:eastAsia="Times New Roman" w:hAnsi="Times New Roman"/>
          <w:sz w:val="16"/>
          <w:szCs w:val="16"/>
          <w:color w:val="auto"/>
        </w:rPr>
        <w:t>Pursuant to the Advisory Agreement, we pay RGC a fee for its investment advisory and management services consisting of two components: a base management fee and an incentive fee. The cost of both the base management fee and incentive fee are ultimately borne by our stockholders. See "Note 3</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Related Party Agreements and Transactions" to our consolidated financial statements in Part II, Item 8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more information on the Advisory Agreement and the fee structure thereunder.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 w:name="page5"/>
    <w:bookmarkEnd w:id="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On October 31, 2024, RGC announced a definitive agreement to be acquired by affiliates of BC Partners Advisors L.P. ("BC Partners") and join the BC Partners credit platform (the "BCP Transaction"). BC Partners is a leading international investment firm in private equity, private debt, and real estate strategies. BC Partners Credit was launched in February 2017, with a focus on identifying attractive credit opportunities in any market environment, often in complex market segments. The platform leverages the broader firm's deep industry and operating resources to provide flexible financing solutions to middle-market companies across Business Services, Industrials, Healthcare and other select sectors. The BCP Transaction was completed on January 30, 2025. Refer to "Note 13 – Subsequent Events" to our consolidated financial statements in Part II, Item 8 of this Annual Report on Form 10-K for more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Following the closing of the BCP transaction, RGC remains the investment adviser to investment funds, including the Company, and other private funds. RGC's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team and investment personnel continue to serve as officers and senior management. Management believes the Company and RGC will be well positioned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capitalize on a broader range of investments and value creation opportunities with access to BC Partners' origination capabilities and expansive platform. Management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believes the BC Partners Credit/RGC combination will deliver increased value for stockholders of the Company and borrowers in the near- and long-term. We expect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strategic partnership to position the Company to expand our offerings to both target companies and sponsors, with global loan originations in our ideal range of</w:t>
      </w:r>
    </w:p>
    <w:p>
      <w:pPr>
        <w:spacing w:after="0"/>
        <w:rPr>
          <w:sz w:val="20"/>
          <w:szCs w:val="20"/>
          <w:color w:val="auto"/>
        </w:rPr>
      </w:pPr>
      <w:r>
        <w:rPr>
          <w:rFonts w:ascii="Times New Roman" w:cs="Times New Roman" w:eastAsia="Times New Roman" w:hAnsi="Times New Roman"/>
          <w:sz w:val="14"/>
          <w:szCs w:val="14"/>
          <w:color w:val="auto"/>
        </w:rPr>
        <w:t>$30-$150 million, with the Company's allocation being in the range of $20-$45 million. The combination will enhance our capabilities by introducing structured equity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preferred investments, asset-based lending, and the ability to operate in new strategies such as equipment leasing, while strengthening our sponsor relationships through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fund finance and other fund-level offerings. By combining BC Partners’ resources and scale with the RGC network, expertise and differentiated presence in the market,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believe the Company will be able to deliver more comprehensive financing solutions for a wider range of companies.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Payment of Our Expenses</w:t>
      </w:r>
    </w:p>
    <w:p>
      <w:pPr>
        <w:spacing w:after="0" w:line="19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All professionals of RGC, when and to the extent engaged in providing investment advisory and management services to us, and the compensation and routine overhead expenses of personnel allocable to these services to us, are provided and paid for by RGC and not by us. We bear all other out-of-pocket costs and expenses of our operations and transactions, including, without limitation, those relating to:</w:t>
      </w:r>
    </w:p>
    <w:p>
      <w:pPr>
        <w:spacing w:after="0" w:line="164" w:lineRule="exact"/>
        <w:rPr>
          <w:sz w:val="20"/>
          <w:szCs w:val="20"/>
          <w:color w:val="auto"/>
        </w:rPr>
      </w:pPr>
    </w:p>
    <w:p>
      <w:pPr>
        <w:ind w:left="360" w:right="2820"/>
        <w:spacing w:after="0" w:line="360" w:lineRule="auto"/>
        <w:rPr>
          <w:sz w:val="20"/>
          <w:szCs w:val="20"/>
          <w:color w:val="auto"/>
        </w:rPr>
      </w:pPr>
      <w:r>
        <w:rPr>
          <w:rFonts w:ascii="Times New Roman" w:cs="Times New Roman" w:eastAsia="Times New Roman" w:hAnsi="Times New Roman"/>
          <w:sz w:val="16"/>
          <w:szCs w:val="16"/>
          <w:color w:val="auto"/>
        </w:rPr>
        <w:t>•our pro-rata portion of fees and expenses related to an initial public offering in connection with a spin-off transaction; •fees and expenses related to public and private offerings, sales and repurchases of the Company’s securities; •calculating our net asset value (including the cost and expenses of any independent valuation firm);</w:t>
      </w:r>
    </w:p>
    <w:p>
      <w:pPr>
        <w:ind w:left="360" w:right="200"/>
        <w:spacing w:after="0" w:line="247" w:lineRule="auto"/>
        <w:rPr>
          <w:sz w:val="20"/>
          <w:szCs w:val="20"/>
          <w:color w:val="auto"/>
        </w:rPr>
      </w:pPr>
      <w:r>
        <w:rPr>
          <w:rFonts w:ascii="Times New Roman" w:cs="Times New Roman" w:eastAsia="Times New Roman" w:hAnsi="Times New Roman"/>
          <w:sz w:val="16"/>
          <w:szCs w:val="16"/>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payable on debt incurred to finance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and purchases of our common stock and other securities;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•investment advisory and management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•administration fees payable under the administration agreement with the Administrator (the "Administration Agreement");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and state registration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•all costs of registration and listing our securities on any securities exchange;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•U.S. federal, state and local taxes;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•independent directors’ fees and expenses;</w:t>
      </w:r>
    </w:p>
    <w:p>
      <w:pPr>
        <w:spacing w:after="0" w:line="92" w:lineRule="exact"/>
        <w:rPr>
          <w:sz w:val="20"/>
          <w:szCs w:val="20"/>
          <w:color w:val="auto"/>
        </w:rPr>
      </w:pPr>
    </w:p>
    <w:p>
      <w:pPr>
        <w:ind w:left="360" w:right="1320"/>
        <w:spacing w:after="0" w:line="384" w:lineRule="auto"/>
        <w:rPr>
          <w:sz w:val="20"/>
          <w:szCs w:val="20"/>
          <w:color w:val="auto"/>
        </w:rPr>
      </w:pPr>
      <w:r>
        <w:rPr>
          <w:rFonts w:ascii="Times New Roman" w:cs="Times New Roman" w:eastAsia="Times New Roman" w:hAnsi="Times New Roman"/>
          <w:sz w:val="16"/>
          <w:szCs w:val="16"/>
          <w:color w:val="auto"/>
        </w:rPr>
        <w:t>•costs of preparing and filing reports or other documents required by the SEC, the Financial Industry Regulatory Authority or other regulators; •costs of any reports, proxy statements or other notices to stockholders, including printing costs;</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 w:name="page6"/>
    <w:bookmarkEnd w:id="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allocable portion of any fidelity bond, directors’ and officers’ errors and omissions liability insurance, and any other insurance premiums;</w:t>
      </w:r>
    </w:p>
    <w:p>
      <w:pPr>
        <w:spacing w:after="0" w:line="92"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•direct costs and expenses of administration, including printing, mailing, long distance telephone, copying, secretarial and other staff, independent auditors and outside legal costs; and</w:t>
      </w:r>
    </w:p>
    <w:p>
      <w:pPr>
        <w:spacing w:after="0" w:line="59" w:lineRule="exact"/>
        <w:rPr>
          <w:sz w:val="20"/>
          <w:szCs w:val="20"/>
          <w:color w:val="auto"/>
        </w:rPr>
      </w:pPr>
    </w:p>
    <w:p>
      <w:pPr>
        <w:ind w:left="360" w:right="140"/>
        <w:spacing w:after="0" w:line="247" w:lineRule="auto"/>
        <w:rPr>
          <w:sz w:val="20"/>
          <w:szCs w:val="20"/>
          <w:color w:val="auto"/>
        </w:rPr>
      </w:pPr>
      <w:r>
        <w:rPr>
          <w:rFonts w:ascii="Times New Roman" w:cs="Times New Roman" w:eastAsia="Times New Roman" w:hAnsi="Times New Roman"/>
          <w:sz w:val="16"/>
          <w:szCs w:val="16"/>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Committee</w:t>
      </w:r>
    </w:p>
    <w:p>
      <w:pPr>
        <w:spacing w:after="0" w:line="190"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RGC’s investment committee (the "Investment Committee") consists of R. David Spreng, our President and Chief Executive Officer and RGC's founder and Chief Executive Officer, Thomas B. Raterman, our Chief Financial Officer, Chief Operating Officer, Treasurer and Secretary, and RGC's Chief Financial Officer and Chief Operating Officer, and Greg Greifeld, RGC's Chief Investment Officer. The Investment Committee meets regularly to consider our investments, review our strategic initiatives and supervise the actions taken by RGC on our behalf. In addition, the Investment Committee reviews and monitors the performance of our investment portfolio. Each investment must be approved by a majority of the Investment Committee.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Board Approval of the Advisory Agreement</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Our Board of Directors, including a majority of the directors who were not "interested persons," as defined in Section 2(a)(19) of the 1940 Act, of us or RGC ("the Independent Directors"), approved the Advisory Agreement at a virtual meeting on April 7, 2021 and recommended that our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our stockholders at a special meeting of stockholders of the Company. The Advisory Agreement amended the prior advisory agreement to include certain revisions to the management and incentive fee calculation mechanisms and clarify language relating to liquidity events. In its consideration of the approval of the Advisory Agreement, our Board of Directors focused on information it had received relating to, among other things:</w:t>
      </w:r>
    </w:p>
    <w:p>
      <w:pPr>
        <w:spacing w:after="0" w:line="170" w:lineRule="exact"/>
        <w:rPr>
          <w:sz w:val="20"/>
          <w:szCs w:val="20"/>
          <w:color w:val="auto"/>
        </w:rPr>
      </w:pPr>
    </w:p>
    <w:p>
      <w:pPr>
        <w:ind w:left="360" w:right="1880"/>
        <w:spacing w:after="0" w:line="360" w:lineRule="auto"/>
        <w:rPr>
          <w:sz w:val="20"/>
          <w:szCs w:val="20"/>
          <w:color w:val="auto"/>
        </w:rPr>
      </w:pPr>
      <w:r>
        <w:rPr>
          <w:rFonts w:ascii="Times New Roman" w:cs="Times New Roman" w:eastAsia="Times New Roman" w:hAnsi="Times New Roman"/>
          <w:sz w:val="16"/>
          <w:szCs w:val="16"/>
          <w:color w:val="auto"/>
        </w:rPr>
        <w:t>•the nature, quality and extent of the advisory and other services provided to us by RGC under the terms of the Advisory Agreement; •our investment performance and the investment performance of RGC;</w:t>
      </w:r>
    </w:p>
    <w:p>
      <w:pPr>
        <w:ind w:left="360" w:right="2400"/>
        <w:spacing w:after="0" w:line="411" w:lineRule="auto"/>
        <w:rPr>
          <w:sz w:val="20"/>
          <w:szCs w:val="20"/>
          <w:color w:val="auto"/>
        </w:rPr>
      </w:pPr>
      <w:r>
        <w:rPr>
          <w:rFonts w:ascii="Times New Roman" w:cs="Times New Roman" w:eastAsia="Times New Roman" w:hAnsi="Times New Roman"/>
          <w:sz w:val="14"/>
          <w:szCs w:val="14"/>
          <w:color w:val="auto"/>
        </w:rPr>
        <w:t>•comparative data with respect to advisory fees or similar expenses paid by other BDCs with similar investment objectives; •information about the services being performed and the personnel performing such services under the Advisory Agreement;</w:t>
      </w:r>
    </w:p>
    <w:p>
      <w:pPr>
        <w:spacing w:after="0" w:line="1"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•our projected operating expenses and expense ratio compared to BDCs with similar investment objectives, including expenses related to investment due diligence, travel and investigating and monitoring investments;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existing and potential sources of indirect income to RGC from its relationship with us and RGC’s profitability;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extent to which economies of scale would be realized as we grow and whether fee levels reflect these economies of scale for the benefit of our stockholders.</w:t>
      </w:r>
    </w:p>
    <w:p>
      <w:pPr>
        <w:spacing w:after="0" w:line="21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Our Board of Directors did not quantify, rank or otherwise assign relative weights to the specific factors it considered in reaching its decision. Our Board of Directors did not undertake to make any specific determination as to whether any particular factor, or any aspect of any particular factor, was favorable or unfavorable to its ultimate determination. Rather, our Board of Directors based its approval on the totality of information presented to, and the investigation conducted by, it. In considering the factors discussed above, individual directors may have given different weights to different factors. Based on its review of the above-mentioned factors and discussion of the Advisory Agreement, our Board of Directors approved the Advisory Agreement as being in our and our stockholders’ best interests and recommended that our stockholders approve the Advisory Agreement as well. On April 30, 2024, the Board of Directors renewed the Advisory Agreement for a period of twelve months commencing on May 27, 2024.</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 w:name="page7"/>
    <w:bookmarkEnd w:id="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October 29, 2024, the Board of Directors, including the Independent Directors, approved an amended and restated advisory agreement (the "Third Amended and Restated Advisory Agreement") and recommended that our stockholders approve the Third Amended and Restated Advisory Agreement. On January 23, 2025, our stockholders approved the Third Amended and Restated Advisory Agreement at a special meeting of stockholders of the Company, and the Third Amended and Restated Advisory Agreement became effective on January 30, 2025 upon the closing of the BCP Transaction. Although the ownership of the Adviser changed in connection with the completion of the BCP Transaction, the management of the Adviser did not change, nor did the terms of the Third Amended and Restated Advisory Agreement compared to the Advisory Agreement. See "Note 13 – Subsequent Events" to our consolidated financial statements in Part II, Item 8 of this Annual Report on Form 10-K for more information.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Duration and Termination</w:t>
      </w:r>
    </w:p>
    <w:p>
      <w:pPr>
        <w:spacing w:after="0" w:line="190" w:lineRule="exact"/>
        <w:rPr>
          <w:sz w:val="20"/>
          <w:szCs w:val="20"/>
          <w:color w:val="auto"/>
        </w:rPr>
      </w:pPr>
    </w:p>
    <w:p>
      <w:pPr>
        <w:ind w:right="20"/>
        <w:spacing w:after="0" w:line="184" w:lineRule="exact"/>
        <w:rPr>
          <w:sz w:val="20"/>
          <w:szCs w:val="20"/>
          <w:color w:val="auto"/>
        </w:rPr>
      </w:pPr>
      <w:r>
        <w:rPr>
          <w:rFonts w:ascii="Times New Roman" w:cs="Times New Roman" w:eastAsia="Times New Roman" w:hAnsi="Times New Roman"/>
          <w:sz w:val="16"/>
          <w:szCs w:val="16"/>
          <w:color w:val="auto"/>
        </w:rPr>
        <w:t>Unless terminated earlier as described below, the Advisory Agreement will continue automatically for successive annual periods provided that such continuance is specifically approved at least annually by (i) (A) the affirmative vote of a majority of our Board of Directors or (B) the affirmative vote of a majority of our outstanding voting securities, and (ii) the affirmative vote of a majority of our Independent Directors. The Advisory Agreement automatically terminates in the event of its assignment, as defined in the 1940 Act, and may be terminated, without penalty, upon not more than 60 days’ written notice, by (i) the affirmative vote of a majority of our outstanding voting securities, (ii) the affirmative vote of a majority of our Board of Directors, including a majority of our Independent Directors, or (iii) RGC. See "Risk Factors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Risks Related to our Business and Structure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 in Part I, Item 1A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Our Administrator</w:t>
      </w:r>
    </w:p>
    <w:p>
      <w:pPr>
        <w:spacing w:after="0" w:line="19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have entered into the Administration Agreement with our Administrator, a wholly-owned subsidiary of RGC, pursuant to which our Administrator is responsible for furnishing us with office facilities and equipment and provides us with clerical, bookkeeping, recordkeeping and other administrative services at such facilities. Pursuant to the Administration Agreement, we pay our Administrator an amount equal to our allocable portion (subject to the review of our Board of Directors) of our Administrator’s overhead resulting from its obligations under the Administration Agreement, including rent and the allocable portion of the cost of our Chief Compliance Officer and Chief Financial Officer and their respective staffs associated with performing compliance functions.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Runway-Cadma I LLC Joint Venture</w:t>
      </w:r>
    </w:p>
    <w:p>
      <w:pPr>
        <w:spacing w:after="0" w:line="190"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Effective March 6, 2024, the Company entered into a joint venture agreement with Cadma Capital Partners LLC (“Cadma”) to create and co-manage Runway-Cadma I LLC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in respect of the JV must be approved by the board of managers of the JV, consisting of an equal number of representatives of the Company and Cadma. Capital contributions are called from the Company and Cadma on a pro-rata basis based on their total capital commitments.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 with Oaktree Capital Management, L.P. and OCM Growth Holdings</w:t>
      </w:r>
    </w:p>
    <w:p>
      <w:pPr>
        <w:spacing w:after="0" w:line="1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(each as defined in "Note 9 – Net Assets" in Part II, Item 8 of this Form 10-K). Oaktree Opportunities Fund Xb Holdings (Delaware), L.P. purchased 24,100 shares of our common stock in secondary transactions in 2020 and 2022. As of December 31, 2024, OCM Growth owns 10,779,668 shares of our common stock, or 28.9% of our outstanding shares. Pursuant to an irrevocable proxy, certain shares held by OCM Growth must be voted in the same proportion that our other stockholders vote their shares. Of the 10,779,668 shares of our common stock owned by OCM Growth, 10,294,926 shares, or approximately 27.6% of our outstanding shares, are subject to this proxy voting arrangement.</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 w:name="page8"/>
    <w:bookmarkEnd w:id="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 connection with OCM Growth’s commitment, the Company entered into a stockholder agreement (the "OCM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our Board of Directors as OCM Growth’s director nominee and is considered an Independent Director.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Strategy and Approach</w:t>
      </w:r>
    </w:p>
    <w:p>
      <w:pPr>
        <w:spacing w:after="0" w:line="190" w:lineRule="exact"/>
        <w:rPr>
          <w:sz w:val="20"/>
          <w:szCs w:val="20"/>
          <w:color w:val="auto"/>
        </w:rPr>
      </w:pPr>
    </w:p>
    <w:p>
      <w:pPr>
        <w:jc w:val="both"/>
        <w:ind w:right="300"/>
        <w:spacing w:after="0" w:line="243" w:lineRule="auto"/>
        <w:rPr>
          <w:sz w:val="20"/>
          <w:szCs w:val="20"/>
          <w:color w:val="auto"/>
        </w:rPr>
      </w:pPr>
      <w:r>
        <w:rPr>
          <w:rFonts w:ascii="Times New Roman" w:cs="Times New Roman" w:eastAsia="Times New Roman" w:hAnsi="Times New Roman"/>
          <w:sz w:val="16"/>
          <w:szCs w:val="16"/>
          <w:color w:val="auto"/>
        </w:rPr>
        <w:t>Our investment objective is to maximize our total return to our stockholders primarily through current income on our loan portfolio, and secondarily through capital gains on our warrants and other equity positions. We invest in senior secured term loans and other senior debt obligations and may on occasion invest in second lien loans. We have and continue to expect to acquire warrants and other equity securities from portfolio companies in connection with our investments in loans to these companies.</w:t>
      </w:r>
    </w:p>
    <w:p>
      <w:pPr>
        <w:spacing w:after="0" w:line="16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We focus on lending to late and growth stage companies in technology, life sciences, healthcare information and services, business services, financial services, select consumer services and products and other high-growth industries.</w:t>
      </w:r>
    </w:p>
    <w:p>
      <w:pPr>
        <w:spacing w:after="0" w:line="15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We are typically the sole lender to our portfolio companies and do not actively syndicate the loans we originate to other lenders nor do we participate in syndications built by other lenders.</w:t>
      </w:r>
    </w:p>
    <w:p>
      <w:pPr>
        <w:spacing w:after="0" w:line="155"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We originate our investments through two strategies: Sponsored Growth Lending and Non-Sponsored Growth Lending. In addition to our core strategy of providing Sponsored Growth Lending and Non-Sponsored Growth Lending, we may also opportunistically participate in the secondary markets for investments that are consistent with our broader investment strategy.</w:t>
      </w:r>
    </w:p>
    <w:p>
      <w:pPr>
        <w:spacing w:after="0" w:line="16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We seek to construct a balanced portfolio with diversification among sponsored and non-sponsored transactions, diversification among sponsors within the Sponsored Growth Lending strategy, diversification among industry, geography, and stage of development, all contributing to a favorable risk adjusted return for the portfolio viewed as a whole. Borrowers tend to use the proceeds of our financings to invest in sales and marketing, expand capacity of the overall business or refinance existing debt.</w:t>
      </w:r>
    </w:p>
    <w:p>
      <w:pPr>
        <w:spacing w:after="0" w:line="16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Sponsored Growth Lending. </w:t>
      </w:r>
      <w:r>
        <w:rPr>
          <w:rFonts w:ascii="Times New Roman" w:cs="Times New Roman" w:eastAsia="Times New Roman" w:hAnsi="Times New Roman"/>
          <w:sz w:val="16"/>
          <w:szCs w:val="16"/>
          <w:color w:val="auto"/>
        </w:rPr>
        <w:t>Our Sponsored Growth Lending generally includes loans to late and growth stage companies that are already backed by established venture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capital and private equity firms. Our Sponsored Growth Lending strategy typically includes the receipt of warrants and/or other equity from the venture-backed companies.</w:t>
      </w:r>
    </w:p>
    <w:p>
      <w:pPr>
        <w:spacing w:after="0" w:line="1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We believe that our Sponsored Growth Lending strategy is particularly attractive because the loans we make typically have higher investment yields relative to lending to larger, more mature companies and usually include additional equity upside potential. We believe our Sponsored Growth Lending strategy:</w:t>
      </w:r>
    </w:p>
    <w:p>
      <w:pPr>
        <w:spacing w:after="0" w:line="155" w:lineRule="exact"/>
        <w:rPr>
          <w:sz w:val="20"/>
          <w:szCs w:val="20"/>
          <w:color w:val="auto"/>
        </w:rPr>
      </w:pPr>
    </w:p>
    <w:p>
      <w:pPr>
        <w:ind w:left="360" w:right="3000"/>
        <w:spacing w:after="0" w:line="360" w:lineRule="auto"/>
        <w:rPr>
          <w:sz w:val="20"/>
          <w:szCs w:val="20"/>
          <w:color w:val="auto"/>
        </w:rPr>
      </w:pPr>
      <w:r>
        <w:rPr>
          <w:rFonts w:ascii="Times New Roman" w:cs="Times New Roman" w:eastAsia="Times New Roman" w:hAnsi="Times New Roman"/>
          <w:sz w:val="16"/>
          <w:szCs w:val="16"/>
          <w:color w:val="auto"/>
        </w:rPr>
        <w:t>•provides us access to many high-quality companies backed by top-tier venture capital and private equity investors; •delivers consistent returns through double-digit loan yields; and</w:t>
      </w:r>
    </w:p>
    <w:p>
      <w:pPr>
        <w:ind w:left="360"/>
        <w:spacing w:after="0"/>
        <w:rPr>
          <w:sz w:val="20"/>
          <w:szCs w:val="20"/>
          <w:color w:val="auto"/>
        </w:rPr>
      </w:pPr>
      <w:r>
        <w:rPr>
          <w:rFonts w:ascii="Times New Roman" w:cs="Times New Roman" w:eastAsia="Times New Roman" w:hAnsi="Times New Roman"/>
          <w:sz w:val="16"/>
          <w:szCs w:val="16"/>
          <w:color w:val="auto"/>
        </w:rPr>
        <w:t>•often offers us the ability to participate in equity upside of portfolio companies through the acquisition of warrants.</w:t>
      </w:r>
    </w:p>
    <w:p>
      <w:pPr>
        <w:spacing w:after="0" w:line="186"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6"/>
          <w:szCs w:val="16"/>
          <w:i w:val="1"/>
          <w:iCs w:val="1"/>
          <w:color w:val="auto"/>
        </w:rPr>
        <w:t>Non-Sponsored Growth Lending</w:t>
      </w:r>
      <w:r>
        <w:rPr>
          <w:rFonts w:ascii="Times New Roman" w:cs="Times New Roman" w:eastAsia="Times New Roman" w:hAnsi="Times New Roman"/>
          <w:sz w:val="16"/>
          <w:szCs w:val="16"/>
          <w:color w:val="auto"/>
        </w:rPr>
        <w:t>. Our Non-Sponsored Growth Lending strategy generally includes loans to late and growth stage, private companies that are funded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directly by entrepreneurs and founders, or companies that no longer require institutional equity investment (which may selectively include publicly traded companies). We refer to these target borrowers as "non-sponsored growth companies".</w:t>
      </w:r>
    </w:p>
    <w:p>
      <w:pPr>
        <w:spacing w:after="0" w:line="1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Generally, financing available to these non-sponsored companies is predicated on the underlying value of the business’s assets, in an orderly liquidation scenario, and/or the entrepreneur’s own personal financial resources. These options frequently provide insufficient capital to fund growth plans and do not consider the underlying enterprise value of the business which may be substantial relative to the value of tangible assets deployed in the business. We are frequently the only senior lender to non-sponsored growth companies and evaluate business fundamentals, the commitment of the entrepreneur and secondary sources of repayment in our underwriting approach.</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 w:name="page9"/>
    <w:bookmarkEnd w:id="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Exemptive Relief</w:t>
      </w:r>
    </w:p>
    <w:p>
      <w:pPr>
        <w:spacing w:after="0" w:line="1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As a BDC, we are generally limited in our ability to invest in any portfolio company in which RGC or any of its affiliates currently has an investment or to make any co-investments with RGC or its affiliates without an exemptive order from the SEC, subject to certain exceptions. On August 10, 2020, as amended on August 30, 2022, we, RGC, and certain other funds and accounts sponsored or managed by RGC were granted an exemptive order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Opportunity</w:t>
      </w:r>
    </w:p>
    <w:p>
      <w:pPr>
        <w:spacing w:after="0" w:line="19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We believe that the market environment is favorable for us to continue to pursue an investment strategy primarily focused on late stage and high-growth companies in technology, healthcare, business services, financial services, and select consumer services and products in other high-growth industries.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Focus on Innovative Companies Across a Variety of High-Growth Industries</w:t>
      </w:r>
    </w:p>
    <w:p>
      <w:pPr>
        <w:spacing w:after="0" w:line="190"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Diversified high growth-potential industries: </w:t>
      </w:r>
      <w:r>
        <w:rPr>
          <w:rFonts w:ascii="Times New Roman" w:cs="Times New Roman" w:eastAsia="Times New Roman" w:hAnsi="Times New Roman"/>
          <w:sz w:val="16"/>
          <w:szCs w:val="16"/>
          <w:color w:val="auto"/>
        </w:rPr>
        <w:t>We target companies active in industries that support high-growth potential. Our Sponsored Growth Lending strategy 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focused on the largest industry sectors where venture capital investors are active, primarily technology, healthcare, business services, financial services, and select consumer services and products in other high -growth industries. These sectors’ continued growth is supported mostly by ongoing innovation and performance improvements in specific products as well as the adoption of innovative technologies and services across virtually all industries in response to competitive pressures. Term debt has been a loan product used by many of the largest, most successful venture-backed companies.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Sponsored and Non-Sponsored Growth Lending Represents an Attractive Source of Funding</w:t>
      </w:r>
    </w:p>
    <w:p>
      <w:pPr>
        <w:spacing w:after="0" w:line="19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Sponsored Growth Lending: </w:t>
      </w:r>
      <w:r>
        <w:rPr>
          <w:rFonts w:ascii="Times New Roman" w:cs="Times New Roman" w:eastAsia="Times New Roman" w:hAnsi="Times New Roman"/>
          <w:sz w:val="16"/>
          <w:szCs w:val="16"/>
          <w:color w:val="auto"/>
        </w:rPr>
        <w:t>An attractive market opportunity exists for a lender that invests in secured loans to late and growth stage companies that have not yet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achieved profitability. Sponsored growth lending provides an attractive source of funds for venture-backed companies, their management teams, and their equity capital investors, as it:</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•is typically less dilutive and complements equity financing from venture capital and private equity funds;</w:t>
      </w:r>
    </w:p>
    <w:p>
      <w:pPr>
        <w:spacing w:after="0" w:line="92" w:lineRule="exact"/>
        <w:rPr>
          <w:sz w:val="20"/>
          <w:szCs w:val="20"/>
          <w:color w:val="auto"/>
        </w:rPr>
      </w:pPr>
    </w:p>
    <w:p>
      <w:pPr>
        <w:ind w:left="360" w:right="100"/>
        <w:spacing w:after="0" w:line="259" w:lineRule="auto"/>
        <w:rPr>
          <w:sz w:val="20"/>
          <w:szCs w:val="20"/>
          <w:color w:val="auto"/>
        </w:rPr>
      </w:pPr>
      <w:r>
        <w:rPr>
          <w:rFonts w:ascii="Times New Roman" w:cs="Times New Roman" w:eastAsia="Times New Roman" w:hAnsi="Times New Roman"/>
          <w:sz w:val="16"/>
          <w:szCs w:val="16"/>
          <w:color w:val="auto"/>
        </w:rPr>
        <w:t>•often extends the time period during which a company can operate before seeking additional equity capital or pursuing a sale transaction or other liquidity event; and</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•generally allows companies to better match cash sources with uses.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 w:name="page10"/>
    <w:bookmarkEnd w:id="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Non-Sponsored Growth Lending: </w:t>
      </w:r>
      <w:r>
        <w:rPr>
          <w:rFonts w:ascii="Times New Roman" w:cs="Times New Roman" w:eastAsia="Times New Roman" w:hAnsi="Times New Roman"/>
          <w:sz w:val="16"/>
          <w:szCs w:val="16"/>
          <w:color w:val="auto"/>
        </w:rPr>
        <w:t>An attractive market opportunity exists for a lender that invests in secured loans to late and growth stage companies that have reached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profitability and need long-term growth capital but do not want the challenges that come with selling equity to venture capital or private equity firms. Non-Sponsored Growth Lending often provides all or some of the following benefits to our borrowers:</w:t>
      </w:r>
    </w:p>
    <w:p>
      <w:pPr>
        <w:spacing w:after="0" w:line="164" w:lineRule="exact"/>
        <w:rPr>
          <w:sz w:val="20"/>
          <w:szCs w:val="20"/>
          <w:color w:val="auto"/>
        </w:rPr>
      </w:pPr>
    </w:p>
    <w:p>
      <w:pPr>
        <w:ind w:left="360" w:right="1260"/>
        <w:spacing w:after="0" w:line="360" w:lineRule="auto"/>
        <w:rPr>
          <w:sz w:val="20"/>
          <w:szCs w:val="20"/>
          <w:color w:val="auto"/>
        </w:rPr>
      </w:pPr>
      <w:r>
        <w:rPr>
          <w:rFonts w:ascii="Times New Roman" w:cs="Times New Roman" w:eastAsia="Times New Roman" w:hAnsi="Times New Roman"/>
          <w:sz w:val="16"/>
          <w:szCs w:val="16"/>
          <w:color w:val="auto"/>
        </w:rPr>
        <w:t>•access to growth capital without the requirement to take on institutional-size investments that may exceed the company’s capital requirements; •tax deductible interest payments;</w:t>
      </w:r>
    </w:p>
    <w:p>
      <w:pPr>
        <w:ind w:left="360"/>
        <w:spacing w:after="0"/>
        <w:rPr>
          <w:sz w:val="20"/>
          <w:szCs w:val="20"/>
          <w:color w:val="auto"/>
        </w:rPr>
      </w:pPr>
      <w:r>
        <w:rPr>
          <w:rFonts w:ascii="Times New Roman" w:cs="Times New Roman" w:eastAsia="Times New Roman" w:hAnsi="Times New Roman"/>
          <w:sz w:val="16"/>
          <w:szCs w:val="16"/>
          <w:color w:val="auto"/>
        </w:rPr>
        <w:t>•no significant operational involvement;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 personal guarantees;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•very modest dilution, if any; and</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•no loss of managerial control or forced redemption.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Large and Growing Market for Debt Financing to Venture Capital-Backed Companies</w:t>
      </w:r>
    </w:p>
    <w:p>
      <w:pPr>
        <w:spacing w:after="0" w:line="19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Healthy, stable venture environment: </w:t>
      </w:r>
      <w:r>
        <w:rPr>
          <w:rFonts w:ascii="Times New Roman" w:cs="Times New Roman" w:eastAsia="Times New Roman" w:hAnsi="Times New Roman"/>
          <w:sz w:val="16"/>
          <w:szCs w:val="16"/>
          <w:color w:val="auto"/>
        </w:rPr>
        <w:t>Approximately 15,250 companies received venture capital financing in 2024, according to the Pitchbook-NVCA Venture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Monitor, a quarterly report published jointly by NVCA and Pitchbook on venture capital activity (“Pitchbook-NVCA”). Despite the broader economic challenges of 2024, we anticipate the market for borrowers will gradually improve over the coming quarters. The venture debt lending market, as defined in the Q4 2024 Pitchbook-NVCA Venture Monitor, is estimated at $53.3 billion or roughly 25.5% of total U.S. venture capital deal value.</w:t>
      </w:r>
    </w:p>
    <w:p>
      <w:pPr>
        <w:spacing w:after="0" w:line="16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Growing pool of target companies: </w:t>
      </w:r>
      <w:r>
        <w:rPr>
          <w:rFonts w:ascii="Times New Roman" w:cs="Times New Roman" w:eastAsia="Times New Roman" w:hAnsi="Times New Roman"/>
          <w:sz w:val="16"/>
          <w:szCs w:val="16"/>
          <w:color w:val="auto"/>
        </w:rPr>
        <w:t>The time from initial venture capital investment to transaction exit of such investment, either by an initial public offering or merger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acquisition transaction, compressed slightly over the last couple of years but increased in 2024. According to the Pitchbook-NVCA Q4 2024 Venture Monitor, in 2024 the average number of years from initial venture investment to initial public offering of a U.S. venture capital-backed company was 6.3 years, and the average number of years from initial venture investment to merger and acquisition transaction was 4.6 years. Exit transactions are a small proportion of companies financed by venture capital each year. As a result, the pool of target companies has grown larger with increased demand for private capital.</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Highly Fragmented, Underserved Market with High Barriers to Entry</w:t>
      </w:r>
    </w:p>
    <w:p>
      <w:pPr>
        <w:spacing w:after="0" w:line="1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Unfulfilled demand and limited competition: </w:t>
      </w:r>
      <w:r>
        <w:rPr>
          <w:rFonts w:ascii="Times New Roman" w:cs="Times New Roman" w:eastAsia="Times New Roman" w:hAnsi="Times New Roman"/>
          <w:sz w:val="16"/>
          <w:szCs w:val="16"/>
          <w:color w:val="auto"/>
        </w:rPr>
        <w:t>Many viable venture-backed companies have been unable to obtain sufficient growth financing from traditional lenders,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as commercial banks or asset-based finance companies, because traditional lenders normally underwrite to tangible asset values and/or operating cash flows. If such firms do provide financing, their loans normally contain financial performance covenants stipulating tangible asset coverages or setting standards of operating performance that do not apply to our target companies. Because sponsored growth lending and non-sponsored growth lending require specialized underwriting and investment structures that fit the distinct characteristics of venture-backed companies and non-sponsored growth companies, more traditional lending approaches largely do not apply to these companies. We also believe that our relationship-based approach to investing helps us to assess and manage investment risks and determine appropriate pricing for our debt investments in portfolio companies.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Competitive Advantages</w:t>
      </w:r>
    </w:p>
    <w:p>
      <w:pPr>
        <w:spacing w:after="0" w:line="190"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We believe we are well positioned to address the market for growth lending in a manner that will result in a competitive advantage over other established sponsored growth lenders. We believe our competitive strengths and key differentiators include: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Experienced, Proven Management Team Supported by a Deep Bench of Dedicated Investment Professionals</w:t>
      </w:r>
    </w:p>
    <w:p>
      <w:pPr>
        <w:spacing w:after="0" w:line="192"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RGC’s senior executive team, with an average of more than 34 years of experience, and our senior investment professionals, including origination and underwriting, with an average 23 years of experience, have developed a disciplined and repeatable approach to investing and managing investments in high-growth potential businesses. We believe that the experience, relationships and disciplined investment and risk management processes of RGC’s investment professionals are a competitive advantage for us.</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 w:name="page11"/>
    <w:bookmarkEnd w:id="1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Our President and Chief Executive Officer, David Spreng, who is also the founder and Chief Executive Officer of RGC, has a unique combination of experience as a senior executive of a $20 billion asset management firm and over 30 years as a venture capital equity and debt investor. Mr. Spreng has been a leader in applying risk management processes to investing in equity and debt of small, fast-growing, private companies. Our Chief Financial Officer, Chief Operating Officer, Treasurer and Secretary, Thomas Raterman, has more than 30 years of corporate finance, investment banking, private equity and financial executive management experience with rapidly growing entrepreneurial companies. Greg Greifeld, Chief Investment Officer at RGC, has over 16 years of lending, venture capital, and investment management experience.</w:t>
      </w:r>
    </w:p>
    <w:p>
      <w:pPr>
        <w:spacing w:after="0" w:line="17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RGC has a broad team of professionals focused on every aspect of the investment lifecycle. RGC has origination, underwriting and portfolio monitoring teams that manage and oversee the investment process from identification of investment opportunity through negotiations of final term sheet and investment in a portfolio company followed by active portfolio monitoring. The team members serving investment management and oversight functions have significant operating experience and are not associated with origination functions to avoid any biased views of performance. This structure helps originators focus on identifying investment opportunities while other team members continue building relationships with our portfolio companies.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Provide Capital to Robust, High-Growth Venture-backed Companies</w:t>
      </w:r>
    </w:p>
    <w:p>
      <w:pPr>
        <w:spacing w:after="0" w:line="19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We believe we are favorably positioned within the venture lending ecosystem, targeting primarily growth focused technology and life sciences companies. We believe the technology and life sciences industries are among the most attractive industries within the venture lending space, primarily representing large, addressable markets with strong and consistent growth. According to the Q4 2024 Pitchbook NVCA Venture Monitor and Pitchbook -NVCA industry classifications, venture capital deal volume for technology totaled approximately $183.8 billion in 2024, representing a 12.0% CAGR from 2014 to 2024. Venture capital deal volume for life science totaled approximately $36.3 billion in 2024, representing a 9.6% CAGR from 2014 to 2024. We believe companies within these industries can often be characterized as having asset-light business models, attractive recurring revenue streams and strong growth trajectories.</w:t>
      </w:r>
    </w:p>
    <w:p>
      <w:pPr>
        <w:spacing w:after="0" w:line="17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We invest across industries to diversify risk and deliver more stable returns. The investment professionals at RGC have extensive experience investing in the industries on which we focus, including technology, healthcare, business services, financial services, and select consumer services and products in other high- growth industries. Our ability to invest across diverse industries is supported by our Sponsored Growth Lending strategy and relationships with leading venture firms, who are generally industry experts in the areas in which they invest. We are able to leverage our relationships across equity providers, lenders, and advisers to source deals within the venture industry.</w:t>
      </w:r>
    </w:p>
    <w:p>
      <w:pPr>
        <w:spacing w:after="0" w:line="169"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4"/>
          <w:szCs w:val="14"/>
          <w:color w:val="auto"/>
        </w:rPr>
        <w:t>We believe we are able to access opportunities to finance companies that are both backed by venture capital sponsors as well as through direct lead generation and other relationships. While many growth lenders focus solely on sponsored lending, we believe we are differentiated in our approach by offering both sponsored growth lending and non-sponsored growth lending that are secured by the assets of many of the most dynamic, innovative and fastest growing companies in the United States.</w:t>
      </w: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 w:name="page12"/>
    <w:bookmarkEnd w:id="1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Robust Disciplined Investment Process and Credit Analysis</w:t>
      </w:r>
    </w:p>
    <w:p>
      <w:pPr>
        <w:spacing w:after="0" w:line="192"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RGC’s senior investment professionals draw upon their substantial experience, including operating, lending, venture capital and growth investing, to manage the underwriting investment process. Credit analysis, which is a fundamental part of our investment process, is driven by our credit-first philosophy and utilizes the core competencies the team has developed. A strong assessment of underwriting transactions often enables development of structure and pricing terms to win deals and produce strong returns for risks taken versus other lenders that take a more formulaic approach to the business.</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believe the focused and disciplined approach that RGC applies to our lending strategy enables us to deliver strong, consistent returns to our investors. As of December 31, 2024, our debt portfolio is 97.9% first lien senior secured. Of our $2.9 billion total commitments since inception, our cumulative gross loss rate, as a percentage of total commitments since inception, has been 0.94% and our net losses, as a percentage of total commitments since inception, has been 0.77%. At the point of origination, our current portfolio companies have raised on average $127.6 million of equity proceeds relative to our average commitment size of $40.6 million. To achieve this, we do not follow an "index" strategy or a narrowly focused approach, and we do not lend only to those companies that are backed by a specific set of sponsors. We believe that careful selection among many opportunities will yield the optimal portfolio results within both sponsored and non-sponsored lending opportunities - although we do expect the sponsored segment to represent the majority of the portfolio for the foreseeable future.</w:t>
      </w:r>
    </w:p>
    <w:p>
      <w:pPr>
        <w:spacing w:after="0" w:line="17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We maintain rigorous underwriting, monitoring and risk management processes across our portfolio, which is underpinned by our two main lending principles, first the ability to price risk and second the ability to measure and track enterprise value. Our investment process differs from many of our competitors in that we have a dedicated credit team, separate from the origination team that manages the underwriting process. Unlike many of our competitors, we underwrite the company and the loan separately and spend significant time analyzing the enterprise value of the company and potential upside from the equity component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Proprietary Risk Analytics and Return Optimization.</w:t>
      </w:r>
    </w:p>
    <w:p>
      <w:pPr>
        <w:spacing w:after="0" w:line="19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Over the past 20 years, RGC’s senior investment professionals have iterated upon and built out an extensive due diligence process, which has resulted in the proprietary risk analysis used today. Mr. Spreng has overseen the development of a risk management model that helps to identify, analyze and mitigate risk within individual portfolio companies in the venture capital space. The model utilized by us today examines a consistent set of more than 30 quantitative and qualitative variables in four main risk areas (market, technology, management and financing) to generate a composite risk ranking for each portfolio company.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Flexible, Opportunity-Specific Pricing and Structure</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RGC’s comprehensive analysis assesses all factors and does not rely on any one criterion above or more than others. For example, we do not seek to provide financing to every early-stage company backed by top-tier venture firms, but only to those companies that, in our opinion, possess the most favorable risk and return characteristics for our investments. We seek to understand the attractiveness of each opportunity on its own merits. The quality of the venture investors involved is important, but it is only one component of our decision-making process. Within our Non-Sponsored Growth Lending strategy, we expect that many companies will have positive earnings before interest expense, income tax expenses, depreciation and amortization (“EBITDA”) but have been unable to access sufficient capital to fund current growth opportunities. We believe that gaining a comprehensive picture of an opportunity based on RGC’s defined assessment factors allows us to be more flexible, to identify price and structure inefficiencies in the debt market, better support our portfolio companies, and to maximize loan and warrant returns, while minimizing losses. In our Sponsored and Non-Sponsored Growth Lending strategies, we target our loan to be less than 25% of enterprise value at inception.</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2" w:name="page13"/>
    <w:bookmarkEnd w:id="1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Strong Reputation and Deep Relationships</w:t>
      </w:r>
    </w:p>
    <w:p>
      <w:pPr>
        <w:spacing w:after="0" w:line="19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RGC’s senior investment professionals enjoy reputations as innovative thought leaders, ingrained in the fabric of the venture community. RGC’s senior investment professionals have been active in venture capital investing, private lending, growth equity investing, corporate finance, and investment banking for more than two decades and are viewed as trustworthy partners to both management and venture investors as well as entrepreneurs. Our investment professionals’ experience has often encouraged private companies to work with a lender that can manage challenges and deviations from plans that often arise in developing companies.</w:t>
      </w:r>
    </w:p>
    <w:p>
      <w:pPr>
        <w:spacing w:after="0" w:line="1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RGC’s senior investment professionals also have established a network of relationships over two decades with various venture capital firms, venture banks, institutional investors, entrepreneurs and other venture capital market participants, which has allowed RGC to develop a variety of channels for investment originations and referrals. These investment professionals maintain ongoing dialogue with a number of venture capital firms across the country, leverage a suite of technologies to identify potential borrowers and often seek to be the first contact for new investment opportunities.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6"/>
          <w:szCs w:val="16"/>
          <w:color w:val="auto"/>
        </w:rPr>
        <w:t>Our primary competitors for investments include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or to the distribution and other requirements we must satisfy to qualify and maintain our qualification as a RIC. We do not compete primarily on the financing terms we offer and believe that some competitors make loans with rates that are comparable to or lower than our rates. For additional information concerning the competitive risks we face, see "Risk Factors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Risks Related to Our Business and Structure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We operate in a highly competitive market for investment opportunities and we may not be able to compete effectively." in Part I, Item 1A of this Form 10 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Staffing</w:t>
      </w:r>
    </w:p>
    <w:p>
      <w:pPr>
        <w:spacing w:after="0" w:line="19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We do not currently have any employees. R. David Spreng, our President, Chief Executive Officer and Chairman of our Board of Directors, is also the founder, President and Chief Executive Officer of RGC. Thomas B. Raterman is our Chief Financial Officer, Chief Operating Officer, Treasurer, and Secretary, and serves as the Chief Financial Officer and Chief Operating Officer of RGC. Mr. Raterman performs his functions for us under the terms of our Administration Agreement. Our Board of Directors has appointed Colleen Corwell of Kroll Associates, Inc. to serve as our Chief Compliance Officer pursuant to an agreement between the Company and Kroll Associates, Inc. Ms. Corwell also serves as the Chief Compliance Officer for RGC pursuant to an agreement between RGC and Kroll Associates, Inc.</w:t>
      </w:r>
    </w:p>
    <w:p>
      <w:pPr>
        <w:spacing w:after="0" w:line="140"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Our day-to-day investment and administrative operations are managed by RGC and our Administrator. The Investment Committee is supported by a team of additional experienced investment professionals. RGC and our Administrator may hire additional investment and administrative professionals in the future to provide services to us, based upon our needs.</w:t>
      </w:r>
    </w:p>
    <w:p>
      <w:pPr>
        <w:spacing w:after="0" w:line="164"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In addition, we reimburse the Administrator for its costs and expenses and our allocable portion of overhead incurred by it in performing its obligations under the Administration Agreement, including rent and the allocable portion of the compensation paid to our Chief Compliance Officer and Chief Financial Officer and their respective staffs.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w:t>
      </w:r>
    </w:p>
    <w:p>
      <w:pPr>
        <w:spacing w:after="0" w:line="190" w:lineRule="exact"/>
        <w:rPr>
          <w:sz w:val="20"/>
          <w:szCs w:val="20"/>
          <w:color w:val="auto"/>
        </w:rPr>
      </w:pPr>
    </w:p>
    <w:p>
      <w:pPr>
        <w:ind w:left="360" w:right="2360" w:hanging="347"/>
        <w:spacing w:after="0" w:line="357" w:lineRule="auto"/>
        <w:rPr>
          <w:sz w:val="20"/>
          <w:szCs w:val="20"/>
          <w:color w:val="auto"/>
        </w:rPr>
      </w:pPr>
      <w:r>
        <w:rPr>
          <w:rFonts w:ascii="Times New Roman" w:cs="Times New Roman" w:eastAsia="Times New Roman" w:hAnsi="Times New Roman"/>
          <w:sz w:val="14"/>
          <w:szCs w:val="14"/>
          <w:color w:val="auto"/>
        </w:rPr>
        <w:t>We currently are, and expect to remain, an "emerging growth company," as that term is used in the JOBS Act until the earliest of: •the last day of our fiscal year following the fifth anniversary of the closing of our IPO, which occurred on October 25, 2021; •the last day of the first fiscal year in which our annual gross revenues are equal to or greater than $1.235 billion;</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date on which we have, during the preceding three-year period, issued more than $1.0 billion in non-convertible debt; and</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13" w:name="page14"/>
    <w:bookmarkEnd w:id="1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right="80"/>
        <w:spacing w:after="0" w:line="200" w:lineRule="exact"/>
        <w:rPr>
          <w:sz w:val="20"/>
          <w:szCs w:val="20"/>
          <w:color w:val="auto"/>
        </w:rPr>
      </w:pPr>
      <w:r>
        <w:rPr>
          <w:rFonts w:ascii="Times New Roman" w:cs="Times New Roman" w:eastAsia="Times New Roman" w:hAnsi="Times New Roman"/>
          <w:sz w:val="16"/>
          <w:szCs w:val="16"/>
          <w:color w:val="auto"/>
        </w:rPr>
        <w:t>•the date that we become a "large accelerated filer"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under the Exchange Act, which would occur if the market value of our common stock that is held by non-affiliates exceeds $700.0 million as of any June 30.</w:t>
      </w:r>
    </w:p>
    <w:p>
      <w:pPr>
        <w:spacing w:after="0" w:line="97" w:lineRule="exact"/>
        <w:rPr>
          <w:sz w:val="20"/>
          <w:szCs w:val="20"/>
          <w:color w:val="auto"/>
        </w:rPr>
      </w:pPr>
    </w:p>
    <w:p>
      <w:pPr>
        <w:ind w:right="140"/>
        <w:spacing w:after="0" w:line="184" w:lineRule="exact"/>
        <w:rPr>
          <w:sz w:val="20"/>
          <w:szCs w:val="20"/>
          <w:color w:val="auto"/>
        </w:rPr>
      </w:pPr>
      <w:r>
        <w:rPr>
          <w:rFonts w:ascii="Times New Roman" w:cs="Times New Roman" w:eastAsia="Times New Roman" w:hAnsi="Times New Roman"/>
          <w:sz w:val="16"/>
          <w:szCs w:val="16"/>
          <w:color w:val="auto"/>
        </w:rPr>
        <w:t xml:space="preserve">Under the JOBS Act, we are exempt from the provisions of Section 404(b) of the Sarbanes-Oxley Act, which would require that our independent registered public accounting firm provide an attestation report on the effectiveness of our internal control over financial reporting. This may increase the risk that material weaknesses or other deficiencies in our internal control over financial reporting go undetected. See Part I, Item 1A of this Form 10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"Risk Factors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Risks Related to Our Business and Structure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U.S. Federal Income Tax Considerations</w:t>
      </w:r>
    </w:p>
    <w:p>
      <w:pPr>
        <w:spacing w:after="0" w:line="190" w:lineRule="exact"/>
        <w:rPr>
          <w:sz w:val="20"/>
          <w:szCs w:val="20"/>
          <w:color w:val="auto"/>
        </w:rPr>
      </w:pPr>
    </w:p>
    <w:p>
      <w:pPr>
        <w:jc w:val="both"/>
        <w:ind w:right="180"/>
        <w:spacing w:after="0" w:line="190" w:lineRule="exact"/>
        <w:rPr>
          <w:sz w:val="20"/>
          <w:szCs w:val="20"/>
          <w:color w:val="auto"/>
        </w:rPr>
      </w:pPr>
      <w:r>
        <w:rPr>
          <w:rFonts w:ascii="Times New Roman" w:cs="Times New Roman" w:eastAsia="Times New Roman" w:hAnsi="Times New Roman"/>
          <w:sz w:val="16"/>
          <w:szCs w:val="16"/>
          <w:color w:val="auto"/>
        </w:rPr>
        <w:t>The following discussion is a general summary of certain U.S. federal income tax considerations applicable to us and to an investment in shares of our common stock. This discussion is based on the provisions of the Code and the regulations of the U.S. Department of Treasury promulgated thereunder, or "Treasury regulations," each as in effect as of the date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6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These provisions are subject to differing interpretations and change by legislative or administrative action, and any change may be retroactive.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w:t>
      </w:r>
    </w:p>
    <w:p>
      <w:pPr>
        <w:spacing w:after="0" w:line="4" w:lineRule="exact"/>
        <w:rPr>
          <w:sz w:val="20"/>
          <w:szCs w:val="20"/>
          <w:color w:val="auto"/>
        </w:rPr>
      </w:pPr>
    </w:p>
    <w:p>
      <w:pPr>
        <w:jc w:val="both"/>
        <w:ind w:right="100"/>
        <w:spacing w:after="0" w:line="237" w:lineRule="auto"/>
        <w:rPr>
          <w:sz w:val="20"/>
          <w:szCs w:val="20"/>
          <w:color w:val="auto"/>
        </w:rPr>
      </w:pPr>
      <w:r>
        <w:rPr>
          <w:rFonts w:ascii="Times New Roman" w:cs="Times New Roman" w:eastAsia="Times New Roman" w:hAnsi="Times New Roman"/>
          <w:sz w:val="16"/>
          <w:szCs w:val="16"/>
          <w:color w:val="auto"/>
        </w:rPr>
        <w:t>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Internal Revenue Service (the "IRS") regarding any matter discussed herein.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"U.S. stockholder" is a beneficial owner of shares of our common stock that is for U.S. federal income tax purposes: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92" w:lineRule="exact"/>
        <w:rPr>
          <w:sz w:val="20"/>
          <w:szCs w:val="20"/>
          <w:color w:val="auto"/>
        </w:rPr>
      </w:pPr>
    </w:p>
    <w:p>
      <w:pPr>
        <w:ind w:left="360" w:right="620"/>
        <w:spacing w:after="0" w:line="259" w:lineRule="auto"/>
        <w:rPr>
          <w:sz w:val="20"/>
          <w:szCs w:val="20"/>
          <w:color w:val="auto"/>
        </w:rPr>
      </w:pPr>
      <w:r>
        <w:rPr>
          <w:rFonts w:ascii="Times New Roman" w:cs="Times New Roman" w:eastAsia="Times New Roman" w:hAnsi="Times New Roman"/>
          <w:sz w:val="16"/>
          <w:szCs w:val="16"/>
          <w:color w:val="auto"/>
        </w:rPr>
        <w:t>•a corporation (or another entity taxable as a corporation) created or organized in or under the laws of the United States, any state thereof or the District of Columbia;</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92" w:lineRule="exact"/>
        <w:rPr>
          <w:sz w:val="20"/>
          <w:szCs w:val="20"/>
          <w:color w:val="auto"/>
        </w:rPr>
      </w:pPr>
    </w:p>
    <w:p>
      <w:pPr>
        <w:ind w:left="360" w:right="40"/>
        <w:spacing w:after="0" w:line="259" w:lineRule="auto"/>
        <w:rPr>
          <w:sz w:val="20"/>
          <w:szCs w:val="20"/>
          <w:color w:val="auto"/>
        </w:rPr>
      </w:pPr>
      <w:r>
        <w:rPr>
          <w:rFonts w:ascii="Times New Roman" w:cs="Times New Roman" w:eastAsia="Times New Roman" w:hAnsi="Times New Roman"/>
          <w:sz w:val="16"/>
          <w:szCs w:val="16"/>
          <w:color w:val="auto"/>
        </w:rPr>
        <w:t>•a trust if a court within the United States is able to exercise primary jurisdiction over the administration of the trust and one or more U.S. persons have authority to control all substantial decisions of the trust.</w:t>
      </w:r>
    </w:p>
    <w:p>
      <w:pPr>
        <w:spacing w:after="0" w:line="155" w:lineRule="exact"/>
        <w:rPr>
          <w:sz w:val="20"/>
          <w:szCs w:val="20"/>
          <w:color w:val="auto"/>
        </w:rPr>
      </w:pPr>
    </w:p>
    <w:p>
      <w:pPr>
        <w:ind w:right="740"/>
        <w:spacing w:after="0" w:line="259" w:lineRule="auto"/>
        <w:rPr>
          <w:sz w:val="20"/>
          <w:szCs w:val="20"/>
          <w:color w:val="auto"/>
        </w:rPr>
      </w:pPr>
      <w:r>
        <w:rPr>
          <w:rFonts w:ascii="Times New Roman" w:cs="Times New Roman" w:eastAsia="Times New Roman" w:hAnsi="Times New Roman"/>
          <w:sz w:val="16"/>
          <w:szCs w:val="16"/>
          <w:color w:val="auto"/>
        </w:rPr>
        <w:t>A "non-U.S. stockholder" means a beneficial owner of shares of our common stock that is for U.S. federal income tax purposes neither a U.S. stockholder nor partnership.</w:t>
      </w:r>
    </w:p>
    <w:p>
      <w:pPr>
        <w:spacing w:after="0" w:line="15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If a partnership or other entity classified as a partnership, for U.S. federal income tax purposes, holds our shares, the U.S. tax treatment of the partnership and each partner generally will depend on the status of the partner, the activities of the partnership and certain determinations made at the partner level. A partnership considering an investment in our common stock should consult its own tax advisers regarding the U.S. federal income tax consequences of the acquisition, ownership and disposition of shares by the partnership.</w:t>
      </w: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4" w:name="page15"/>
    <w:bookmarkEnd w:id="1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the Company</w:t>
      </w:r>
    </w:p>
    <w:p>
      <w:pPr>
        <w:spacing w:after="0" w:line="192" w:lineRule="exact"/>
        <w:rPr>
          <w:sz w:val="20"/>
          <w:szCs w:val="20"/>
          <w:color w:val="auto"/>
        </w:rPr>
      </w:pPr>
    </w:p>
    <w:p>
      <w:pPr>
        <w:ind w:right="280"/>
        <w:spacing w:after="0" w:line="331" w:lineRule="auto"/>
        <w:rPr>
          <w:sz w:val="20"/>
          <w:szCs w:val="20"/>
          <w:color w:val="auto"/>
        </w:rPr>
      </w:pPr>
      <w:r>
        <w:rPr>
          <w:rFonts w:ascii="Times New Roman" w:cs="Times New Roman" w:eastAsia="Times New Roman" w:hAnsi="Times New Roman"/>
          <w:sz w:val="14"/>
          <w:szCs w:val="14"/>
          <w:color w:val="auto"/>
        </w:rPr>
        <w:t>We have elected to be treated as a RIC under Subchapter M of the Code, and currently qualify and intend to continue to qualify for treatment as a RIC. As a RIC, we generally will not be subject to U.S. federal income taxes on any ordinary income or capital gains that we timely distribute to our stockholders as dividends.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qualify as a RIC, we must, among other things: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•meet the Annual Distribution Requirement (defined below);</w:t>
      </w:r>
    </w:p>
    <w:p>
      <w:pPr>
        <w:spacing w:after="0" w:line="92" w:lineRule="exact"/>
        <w:rPr>
          <w:sz w:val="20"/>
          <w:szCs w:val="20"/>
          <w:color w:val="auto"/>
        </w:rPr>
      </w:pPr>
    </w:p>
    <w:p>
      <w:pPr>
        <w:ind w:left="360" w:right="200"/>
        <w:spacing w:after="0" w:line="247" w:lineRule="auto"/>
        <w:rPr>
          <w:sz w:val="20"/>
          <w:szCs w:val="20"/>
          <w:color w:val="auto"/>
        </w:rPr>
      </w:pPr>
      <w:r>
        <w:rPr>
          <w:rFonts w:ascii="Times New Roman" w:cs="Times New Roman" w:eastAsia="Times New Roman" w:hAnsi="Times New Roman"/>
          <w:sz w:val="16"/>
          <w:szCs w:val="16"/>
          <w:color w:val="auto"/>
        </w:rPr>
        <w:t>•derive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•diversify our holdings so that, at the end of each quarter of each taxable year;</w:t>
      </w:r>
    </w:p>
    <w:p>
      <w:pPr>
        <w:spacing w:after="0" w:line="92" w:lineRule="exact"/>
        <w:rPr>
          <w:sz w:val="20"/>
          <w:szCs w:val="20"/>
          <w:color w:val="auto"/>
        </w:rPr>
      </w:pPr>
    </w:p>
    <w:p>
      <w:pPr>
        <w:ind w:left="360" w:right="240"/>
        <w:spacing w:after="0" w:line="247" w:lineRule="auto"/>
        <w:rPr>
          <w:sz w:val="20"/>
          <w:szCs w:val="20"/>
          <w:color w:val="auto"/>
        </w:rPr>
      </w:pPr>
      <w:r>
        <w:rPr>
          <w:rFonts w:ascii="Times New Roman" w:cs="Times New Roman" w:eastAsia="Times New Roman" w:hAnsi="Times New Roman"/>
          <w:sz w:val="16"/>
          <w:szCs w:val="16"/>
          <w:color w:val="auto"/>
        </w:rPr>
        <w:t>•at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w:t>
      </w:r>
    </w:p>
    <w:p>
      <w:pPr>
        <w:spacing w:after="0" w:line="68"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•not more than 25% of the value of our total assets is invested in the securities of any issuer (other than U.S. Government securities and the securities of other RICs), the securities of any two or more issuers that we control and that are determined to be engaged in the same business or similar or related trades or businesses (other than the securities of other RICs), or the securities of one or more QPTPs, or the "Diversification Tests."</w:t>
      </w:r>
    </w:p>
    <w:p>
      <w:pPr>
        <w:spacing w:after="0" w:line="164"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("SEC Certification"). We have not sought SEC Certification, but it is possible that we may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w:t>
      </w:r>
    </w:p>
    <w:p>
      <w:pPr>
        <w:spacing w:after="0" w:line="17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As a RIC, we must distribute an amount equal to at least the sum of (i) 90% of our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90% of our net tax-exempt interest income (which is the excess of our gross tax-exempt interest income over certain disallowed deductions), or the "Annual Distribution Requirement." We intend to distribute annually all or substantially all of such income. Generally, if we fail to meet this Annual Distribution Requirement for any taxable year, we will fail to qualify as a RIC for such taxable year. To the extent we meet the Annual Distribution Requirement for a taxable year, but retain our net capital gains for investment or any investment company taxable income, we will be subject to U.S. federal income tax on such retained capital gains and investment company taxable income. We may choose to retain our net capital gains for investment or any investment company taxable income, and pay the associated U.S. federal income tax, including any nondeductible 4% U.S. federal excise tax described below, if applicable.</w:t>
      </w:r>
    </w:p>
    <w:p>
      <w:pPr>
        <w:spacing w:after="0" w:line="170" w:lineRule="exact"/>
        <w:rPr>
          <w:sz w:val="20"/>
          <w:szCs w:val="20"/>
          <w:color w:val="auto"/>
        </w:rPr>
      </w:pPr>
    </w:p>
    <w:p>
      <w:pPr>
        <w:ind w:right="660"/>
        <w:spacing w:after="0" w:line="259" w:lineRule="auto"/>
        <w:rPr>
          <w:sz w:val="20"/>
          <w:szCs w:val="20"/>
          <w:color w:val="auto"/>
        </w:rPr>
      </w:pPr>
      <w:r>
        <w:rPr>
          <w:rFonts w:ascii="Times New Roman" w:cs="Times New Roman" w:eastAsia="Times New Roman" w:hAnsi="Times New Roman"/>
          <w:sz w:val="16"/>
          <w:szCs w:val="16"/>
          <w:color w:val="auto"/>
        </w:rPr>
        <w:t>We are subject to a nondeductible 4% U.S. federal excise tax on certain of our undistributed income, unless we timely distribute (or are deemed to have timely distributed) an amount equal to the sum of:</w:t>
      </w:r>
    </w:p>
    <w:p>
      <w:pPr>
        <w:spacing w:after="0" w:line="1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•at least 98% of our ordinary income (not taking into account any capital gains or losses) for the calendar year;</w:t>
      </w:r>
    </w:p>
    <w:p>
      <w:pPr>
        <w:spacing w:after="0" w:line="92"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•at least 98.2% of our capital gain net income for a one-year period generally ending on October 31 of the calendar year (unless an election is made by us to use our taxable year); and</w:t>
      </w:r>
    </w:p>
    <w:p>
      <w:pPr>
        <w:spacing w:after="0" w:line="59" w:lineRule="exact"/>
        <w:rPr>
          <w:sz w:val="20"/>
          <w:szCs w:val="20"/>
          <w:color w:val="auto"/>
        </w:rPr>
      </w:pPr>
    </w:p>
    <w:p>
      <w:pPr>
        <w:ind w:left="360" w:right="80"/>
        <w:spacing w:after="0" w:line="259" w:lineRule="auto"/>
        <w:rPr>
          <w:sz w:val="20"/>
          <w:szCs w:val="20"/>
          <w:color w:val="auto"/>
        </w:rPr>
      </w:pPr>
      <w:r>
        <w:rPr>
          <w:rFonts w:ascii="Times New Roman" w:cs="Times New Roman" w:eastAsia="Times New Roman" w:hAnsi="Times New Roman"/>
          <w:sz w:val="16"/>
          <w:szCs w:val="16"/>
          <w:color w:val="auto"/>
        </w:rPr>
        <w:t>•any net ordinary income and capital gain net income that we recognized for preceding years, but were not distributed during such years, and on which we paid no U.S. federal income tax.</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5" w:name="page16"/>
    <w:bookmarkEnd w:id="1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4"/>
          <w:szCs w:val="14"/>
          <w:color w:val="auto"/>
        </w:rPr>
        <w:t>While we intend to distribute any income and capital gains in order to avoid imposition of this nondeductible 4% U.S. federal excise tax, we may not be successful in avoiding entirely the imposition of this tax. In that case, we will be liable for the tax only on the amount by which we do not meet the foregoing distribution requirement.</w:t>
      </w:r>
    </w:p>
    <w:p>
      <w:pPr>
        <w:spacing w:after="0" w:line="108"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4"/>
          <w:szCs w:val="14"/>
          <w:color w:val="auto"/>
        </w:rPr>
        <w:t xml:space="preserve">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Regulation as a Business Development Company </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w:t>
      </w:r>
    </w:p>
    <w:p>
      <w:pPr>
        <w:spacing w:after="0" w:line="14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A RIC is limited in its ability to deduct expenses in excess of its "investment company taxable income" (which is, generally, ordinary income plus the excess of net short-term capital gains over net long- 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stockholders may receive a larger capital gain distribution than they would have received in the absence of such transactions.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Qualify as a RIC</w:t>
      </w:r>
    </w:p>
    <w:p>
      <w:pPr>
        <w:spacing w:after="0" w:line="1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While we have elected to be treated as a RIC and intend to qualify to be treated as a RIC annually, no assurance can be provided that we will qualify for tax treatment as a RIC for any taxable year. If we fail to satisfy the 90% Gross Income Test or the Diversification Tests for any taxable year, we may nevertheless continue to qualify as a RIC for such year if certain relief provisions are applicable (which may, among other things, require us to pay certain U.S. federal income tax at corporate rates or to dispose of certain assets). 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may qualify as qualified dividends that are subject to U.S. federal income tax at a rate of 20% to the extent of our current and accumulated earnings and profits provided certain holding period and other requirements were met. Subject to certain limitations under the Code, corporate distributees may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w:t>
      </w:r>
    </w:p>
    <w:p>
      <w:pPr>
        <w:spacing w:after="0" w:line="33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 qualifying year, we could be subject to tax on any unrealized net built-in gains in the assets held by us during the period in which we failed to qualify as a RIC that are recognized within the subsequent five years, unless we made a special election to pay U.S. federal income tax at corporate rates on such built-in gain at the time of our requalification as a RIC.</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remainder of this discussion assumes that we qualify as a RIC for each taxable year.</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6" w:name="page17"/>
    <w:bookmarkEnd w:id="1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Company Investments</w:t>
      </w:r>
    </w:p>
    <w:p>
      <w:pPr>
        <w:spacing w:after="0" w:line="19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4"/>
          <w:szCs w:val="14"/>
          <w:color w:val="auto"/>
        </w:rPr>
        <w:t>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 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w:t>
      </w:r>
    </w:p>
    <w:p>
      <w:pPr>
        <w:spacing w:after="0" w:line="14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i w:val="1"/>
          <w:iCs w:val="1"/>
          <w:color w:val="auto"/>
        </w:rPr>
        <w:t xml:space="preserve">Debt Instruments. </w:t>
      </w:r>
      <w:r>
        <w:rPr>
          <w:rFonts w:ascii="Times New Roman" w:cs="Times New Roman" w:eastAsia="Times New Roman" w:hAnsi="Times New Roman"/>
          <w:sz w:val="16"/>
          <w:szCs w:val="16"/>
          <w:color w:val="auto"/>
        </w:rPr>
        <w:t>In certain circumstances, we may be required to recognize taxable income prior to the time at which we receive cash. For example, if we hold debt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instruments that are treated under applicable tax rules as having original issue discount (such as debt instruments with an end-of-term payment and/or payment-in-kind ("PIK") interest payment or, in certain cases, increasing interest rates or issued with warrants), we must include in taxable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w:t>
      </w:r>
    </w:p>
    <w:p>
      <w:pPr>
        <w:spacing w:after="0" w:line="170"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Warrants. </w:t>
      </w:r>
      <w:r>
        <w:rPr>
          <w:rFonts w:ascii="Times New Roman" w:cs="Times New Roman" w:eastAsia="Times New Roman" w:hAnsi="Times New Roman"/>
          <w:sz w:val="16"/>
          <w:szCs w:val="16"/>
          <w:color w:val="auto"/>
        </w:rPr>
        <w:t>Gain or loss realized by us from the sale or exchange of warrants acquired by us as well as any loss attributable to the lapse of such warrants generally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treated as capital gain or loss. The treatment of such gain or loss as long-term or short-term generally depends on how long we held a particular warrant and on the nature of the disposition transaction.</w:t>
      </w:r>
    </w:p>
    <w:p>
      <w:pPr>
        <w:spacing w:after="0" w:line="162"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Foreign Investments. </w:t>
      </w:r>
      <w:r>
        <w:rPr>
          <w:rFonts w:ascii="Times New Roman" w:cs="Times New Roman" w:eastAsia="Times New Roman" w:hAnsi="Times New Roman"/>
          <w:sz w:val="16"/>
          <w:szCs w:val="16"/>
          <w:color w:val="auto"/>
        </w:rPr>
        <w:t>In the event we invest in foreign securities, we may be subject to withholding and other foreign taxes with respect to those securities. We do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expect to satisfy the requirement to pass through to our stockholders their share of the foreign taxes paid by us.</w:t>
      </w:r>
    </w:p>
    <w:p>
      <w:pPr>
        <w:spacing w:after="0" w:line="15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4"/>
          <w:szCs w:val="14"/>
          <w:i w:val="1"/>
          <w:iCs w:val="1"/>
          <w:color w:val="auto"/>
        </w:rPr>
        <w:t xml:space="preserve">Passive Foreign Investment Companies. </w:t>
      </w:r>
      <w:r>
        <w:rPr>
          <w:rFonts w:ascii="Times New Roman" w:cs="Times New Roman" w:eastAsia="Times New Roman" w:hAnsi="Times New Roman"/>
          <w:sz w:val="14"/>
          <w:szCs w:val="14"/>
          <w:color w:val="auto"/>
        </w:rPr>
        <w:t>We may invest in the stock of a foreign corporation which is classified as a "passive foreign investment company" (within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meaning of Section 1297 of the Code), or "PFIC." As a result, we may be subject to U.S. federal income tax on a portion of any "excess distribution" or gain from the disposition of such shares. Additional charges in the nature of interest may be imposed on us in respect of deferred taxes arising from such distributions or gains. This additional tax and interest may apply even if we make a distribution in an amount equal to any "excess distribution" or gain from the disposition of such shares as a taxable dividend by us to our shareholders. If we invest in a PFIC and elect to treat the PFIC as a "qualified electing fund" under the Code (a "QEF"), in lieu of the foregoing requirements, we will be required to include in income each year a portion of the ordinary earnings and net capital gain of the QEF, even if such income is not distributed to us. Alternatively, we can elect to mark-to-market at the end of each taxable year our shares in a PFIC; in this case, we will recognize as ordinary income any increase in the value of such shares, and as ordinary loss any decrease in such value to the extent it does not exceed prior increases included in income. Under either election, we may be required to recognize in a year income in excess of our distributions from PFICs and our proceeds from dispositions of PFIC stock during that year, and such income will nevertheless be subject to the Annual Distribution Requirement and will be taken into account for purposes of the 4% U.S. federal excise tax. No assurances can be given that any such election will be available or that, if available, we will make such an election.</w:t>
      </w:r>
    </w:p>
    <w:p>
      <w:pPr>
        <w:spacing w:after="0" w:line="32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i w:val="1"/>
          <w:iCs w:val="1"/>
          <w:color w:val="auto"/>
        </w:rPr>
        <w:t>Controlled Foreign Corporations</w:t>
      </w:r>
      <w:r>
        <w:rPr>
          <w:rFonts w:ascii="Times New Roman" w:cs="Times New Roman" w:eastAsia="Times New Roman" w:hAnsi="Times New Roman"/>
          <w:sz w:val="16"/>
          <w:szCs w:val="16"/>
          <w:color w:val="auto"/>
        </w:rPr>
        <w:t>. If we hold more than 10% of the shares in a foreign corporation that is treated as a controlled foreign corporation, or "CFC," we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treated as receiving a deemed distribution (taxable as ordinary income) each year from such foreign corporation in an amount equal to our pro rata share of the corporation’s income for the tax year (including both ordinary earnings and capital gains), whether or not the corporation makes an actual distribution during such year. In general, a foreign corporation will be classified as a CFC if more than 50% of the shares of the corporation, measured by reference to combined voting power or value, is owned (directly, indirectly or by attribution) by U.S. shareholders. A "U.S. shareholder," for this purpose, is any U.S. person that possesses (actually or constructively) 10% or more of the combined voting power or 10% or more of the total value of all classes of shares of a corporation. If we are treated as receiving a deemed distribution from a CFC, we will be required to include such distribution in our investment company taxable income regardless of whether we receive any actual distributions from such CFC, and we must distribute such income to satisfy the Annual Distribution Requirement and will the income be taken into account for purposes of the 4% excise tax.</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7" w:name="page18"/>
    <w:bookmarkEnd w:id="1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331" w:lineRule="auto"/>
        <w:rPr>
          <w:sz w:val="20"/>
          <w:szCs w:val="20"/>
          <w:color w:val="auto"/>
        </w:rPr>
      </w:pPr>
      <w:r>
        <w:rPr>
          <w:rFonts w:ascii="Times New Roman" w:cs="Times New Roman" w:eastAsia="Times New Roman" w:hAnsi="Times New Roman"/>
          <w:sz w:val="14"/>
          <w:szCs w:val="14"/>
          <w:color w:val="auto"/>
        </w:rPr>
        <w:t>Income inclusions from a QEF or CFC will be "good income" for purposes of the 90% Gross Income Test provided that they are derived in connection with our business of investing in stocks and securities or the QEF or CFC distributes such income to us in the same taxable year to which the income is included in our income.</w:t>
      </w:r>
    </w:p>
    <w:p>
      <w:pPr>
        <w:spacing w:after="0" w:line="10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6"/>
          <w:szCs w:val="16"/>
          <w:i w:val="1"/>
          <w:iCs w:val="1"/>
          <w:color w:val="auto"/>
        </w:rPr>
        <w:t xml:space="preserve">Foreign Currency Transactions. </w:t>
      </w:r>
      <w:r>
        <w:rPr>
          <w:rFonts w:ascii="Times New Roman" w:cs="Times New Roman" w:eastAsia="Times New Roman" w:hAnsi="Times New Roman"/>
          <w:sz w:val="16"/>
          <w:szCs w:val="16"/>
          <w:color w:val="auto"/>
        </w:rPr>
        <w:t>Under the Code, gains or losses attributable to fluctuations in exchange rates which occur between the time we accrue income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as a Business Development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2"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have elected to be regulated as a BDC under the 1940 Act. A BDC must be organized in the United States for the purpose of investing in or lending to primarily private companies and offering significant managerial assistance to them. A BDC may use capital provided by stockholders and from other sources to make long- term, private investments in businesses. A BDC provides stockholders the ability to retain the liquidity of a publicly traded stock while sharing in the possible benefits, if any, of investing in primarily privately-owned companies.</w:t>
      </w:r>
    </w:p>
    <w:p>
      <w:pPr>
        <w:spacing w:after="0" w:line="16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1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6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As a BDC, we are generally required to meet an asset coverage ratio, defined under the 1940 Act as the ratio of our gross assets (less all liabilities and indebtedness not represented by senior securities) to our outstanding senior securities, of at least 150% (at least 200% prior to June 16, 2022) after each issuance of senior securities if certain requirements are met. On June 16, 2022, our stockholders approved the reduced asset coverage ratio at our 2022 annual meeting of stockholders. The reduced asset coverage ratio of 150% became effective upon receiving stockholder approval.</w:t>
      </w:r>
    </w:p>
    <w:p>
      <w:pPr>
        <w:spacing w:after="0" w:line="167" w:lineRule="exact"/>
        <w:rPr>
          <w:sz w:val="20"/>
          <w:szCs w:val="20"/>
          <w:color w:val="auto"/>
        </w:rPr>
      </w:pPr>
    </w:p>
    <w:p>
      <w:pPr>
        <w:ind w:right="240"/>
        <w:spacing w:after="0" w:line="331" w:lineRule="auto"/>
        <w:rPr>
          <w:sz w:val="20"/>
          <w:szCs w:val="20"/>
          <w:color w:val="auto"/>
        </w:rPr>
      </w:pPr>
      <w:r>
        <w:rPr>
          <w:rFonts w:ascii="Times New Roman" w:cs="Times New Roman" w:eastAsia="Times New Roman" w:hAnsi="Times New Roman"/>
          <w:sz w:val="14"/>
          <w:szCs w:val="14"/>
          <w:color w:val="auto"/>
        </w:rPr>
        <w:t>We may also be prohibited under the 1940 Act from knowingly participating in certain transactions with our affiliates without the prior approval of our directors who are not "interested persons," as defined in Section 2(a)(19) of the 1940 Act, of us, RGC or our respective affiliates and, in some cases, prior approval by the SEC.</w:t>
      </w:r>
    </w:p>
    <w:p>
      <w:pPr>
        <w:spacing w:after="0" w:line="1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do not intend to acquire securities issued by any investment company that exceed the limits imposed by the 1940 Act and the rules and regulations thereunder. Under these limits, we generally cannot acquire more than 3% of the voting stock of any registered investment company (as defined in the 1940 Act), invest more than 5% of the value of our total assets in the securities of one investment company, or invest more than 10% of the value of our total assets in the securities of more than one investment company. The SEC rules permit us to exceed these limits without obtaining exemptive relief if we comply with certain conditions. If we invest in securities issued by investment companies, if any, it should be noted that such investments might subject our stockholders to additional expenses as they will be indirectly responsible for the costs and expenses of such companies. Our investment portfolio is also subject to diversification requirements by virtue of our election to be treated as a RIC for U.S. federal income tax purposes and our intention to continue to operate in a manner so as to qualify for the tax treatment applicable to RICs. See "Risk Factors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Risks Related to Our Business and Structure" in Part I, Item 1A of this Form 10-K for more information.</w:t>
      </w:r>
    </w:p>
    <w:p>
      <w:pPr>
        <w:spacing w:after="0" w:line="3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8" w:name="page19"/>
    <w:bookmarkEnd w:id="1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6"/>
          <w:szCs w:val="16"/>
          <w:color w:val="auto"/>
        </w:rPr>
        <w:t>In addition, investment companies registered under the 1940 Act and private funds that are excluded from the definition of</w:t>
      </w:r>
      <w:r>
        <w:rPr>
          <w:rFonts w:ascii="Arial" w:cs="Arial" w:eastAsia="Arial" w:hAnsi="Arial"/>
          <w:sz w:val="16"/>
          <w:szCs w:val="16"/>
          <w:color w:val="auto"/>
        </w:rPr>
        <w:t>  </w:t>
      </w:r>
      <w:r>
        <w:rPr>
          <w:rFonts w:ascii="Times New Roman" w:cs="Times New Roman" w:eastAsia="Times New Roman" w:hAnsi="Times New Roman"/>
          <w:sz w:val="16"/>
          <w:szCs w:val="16"/>
          <w:color w:val="auto"/>
        </w:rPr>
        <w:t xml:space="preserve">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69" w:lineRule="exact"/>
        <w:rPr>
          <w:sz w:val="20"/>
          <w:szCs w:val="20"/>
          <w:color w:val="auto"/>
        </w:rPr>
      </w:pPr>
    </w:p>
    <w:p>
      <w:pPr>
        <w:ind w:right="40"/>
        <w:spacing w:after="0" w:line="183" w:lineRule="exact"/>
        <w:rPr>
          <w:sz w:val="20"/>
          <w:szCs w:val="20"/>
          <w:color w:val="auto"/>
        </w:rPr>
      </w:pPr>
      <w:r>
        <w:rPr>
          <w:rFonts w:ascii="Times New Roman" w:cs="Times New Roman" w:eastAsia="Times New Roman" w:hAnsi="Times New Roman"/>
          <w:sz w:val="16"/>
          <w:szCs w:val="16"/>
          <w:color w:val="auto"/>
        </w:rPr>
        <w:t>We are generally not able to issue and sell our common stock at a price below net asset value per share. See "Risk Factors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Risks Related to Our Business and Structure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Regulations governing our operation as a BDC affect our ability to raise additional capital and the way in which we do so. As a BDC, the necessity of raising additional capital may expose us to risks, including the typical risks associated with leverage." in Part I, Item 1A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7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4"/>
          <w:szCs w:val="14"/>
          <w:color w:val="auto"/>
        </w:rPr>
        <w:t>As a BDC, we are generally limited in our ability to invest in any portfolio company in which RGC or any of its affiliates currently has an investment or to make any co-investments with our investment adviser or its affiliates without an exemptive order from the SEC, subject to certain exceptions. On August 10, 2020, we, RGC, and certain other funds and accounts sponsored or managed by RGC were granted the Order, as amended on August 30, 2022, that permits us greater flexibility than the</w:t>
      </w:r>
    </w:p>
    <w:p>
      <w:pPr>
        <w:spacing w:after="0" w:line="1"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16"/>
          <w:szCs w:val="16"/>
          <w:color w:val="auto"/>
        </w:rPr>
        <w:t>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positions, policies, strategies and restrictions as well as regulatory requirements and other pertinent factors.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are subject to periodic examination by the SEC for compliance with the 1940 Act.</w:t>
      </w:r>
    </w:p>
    <w:p>
      <w:pPr>
        <w:spacing w:after="0" w:line="172"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As a BDC, we are subject to certain risks and uncertainties. See "Risk Factors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Risks Related to Our Business and Structure" in Part I, Item 1A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9" w:name="page20"/>
    <w:bookmarkEnd w:id="1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Qualifying Assets</w:t>
      </w:r>
    </w:p>
    <w:p>
      <w:pPr>
        <w:spacing w:after="0" w:line="192"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6"/>
          <w:szCs w:val="16"/>
          <w:color w:val="auto"/>
        </w:rPr>
        <w:t>Under the 1940 Act, a BDC may not acquire any asset other than assets of the type listed in Section 55(a) of the 1940 Act, which are referred to as qualifying assets, unless, at the time the acquisition is made, qualifying assets represent at least 70% of the Company’s total gross assets. The principal categories of qualifying assets relevant to our business are any of the following:</w:t>
      </w:r>
    </w:p>
    <w:p>
      <w:pPr>
        <w:spacing w:after="0" w:line="164"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(1)Securities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(a)is organized under the laws of, and has its principal place of business in, the United States;</w:t>
      </w:r>
    </w:p>
    <w:p>
      <w:pPr>
        <w:spacing w:after="0" w:line="92" w:lineRule="exact"/>
        <w:rPr>
          <w:sz w:val="20"/>
          <w:szCs w:val="20"/>
          <w:color w:val="auto"/>
        </w:rPr>
      </w:pPr>
    </w:p>
    <w:p>
      <w:pPr>
        <w:ind w:left="700" w:right="260"/>
        <w:spacing w:after="0" w:line="259" w:lineRule="auto"/>
        <w:rPr>
          <w:sz w:val="20"/>
          <w:szCs w:val="20"/>
          <w:color w:val="auto"/>
        </w:rPr>
      </w:pPr>
      <w:r>
        <w:rPr>
          <w:rFonts w:ascii="Times New Roman" w:cs="Times New Roman" w:eastAsia="Times New Roman" w:hAnsi="Times New Roman"/>
          <w:sz w:val="16"/>
          <w:szCs w:val="16"/>
          <w:color w:val="auto"/>
        </w:rPr>
        <w:t>(b)is not an investment company (other than a small business investment company wholly owned by the BDC) or a company that would be an investment company but for certain exclusions under the 1940 Act; and</w:t>
      </w:r>
    </w:p>
    <w:p>
      <w:pPr>
        <w:spacing w:after="0" w:line="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(c)satisfies any of the following:</w:t>
      </w:r>
    </w:p>
    <w:p>
      <w:pPr>
        <w:spacing w:after="0" w:line="9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(i)does not have any class of securities that is traded on a national securities exchange;</w:t>
      </w:r>
    </w:p>
    <w:p>
      <w:pPr>
        <w:spacing w:after="0" w:line="92" w:lineRule="exact"/>
        <w:rPr>
          <w:sz w:val="20"/>
          <w:szCs w:val="20"/>
          <w:color w:val="auto"/>
        </w:rPr>
      </w:pPr>
    </w:p>
    <w:p>
      <w:pPr>
        <w:ind w:left="1060" w:right="220"/>
        <w:spacing w:after="0" w:line="259" w:lineRule="auto"/>
        <w:rPr>
          <w:sz w:val="20"/>
          <w:szCs w:val="20"/>
          <w:color w:val="auto"/>
        </w:rPr>
      </w:pPr>
      <w:r>
        <w:rPr>
          <w:rFonts w:ascii="Times New Roman" w:cs="Times New Roman" w:eastAsia="Times New Roman" w:hAnsi="Times New Roman"/>
          <w:sz w:val="16"/>
          <w:szCs w:val="16"/>
          <w:color w:val="auto"/>
        </w:rPr>
        <w:t>(ii)has a class of securities listed on a national securities exchange, but has an aggregate market value of outstanding voting and non-voting common equity of less than $250.0 million;</w:t>
      </w:r>
    </w:p>
    <w:p>
      <w:pPr>
        <w:spacing w:after="0" w:line="59" w:lineRule="exact"/>
        <w:rPr>
          <w:sz w:val="20"/>
          <w:szCs w:val="20"/>
          <w:color w:val="auto"/>
        </w:rPr>
      </w:pPr>
    </w:p>
    <w:p>
      <w:pPr>
        <w:ind w:left="1060" w:right="260"/>
        <w:spacing w:after="0" w:line="259" w:lineRule="auto"/>
        <w:rPr>
          <w:sz w:val="20"/>
          <w:szCs w:val="20"/>
          <w:color w:val="auto"/>
        </w:rPr>
      </w:pPr>
      <w:r>
        <w:rPr>
          <w:rFonts w:ascii="Times New Roman" w:cs="Times New Roman" w:eastAsia="Times New Roman" w:hAnsi="Times New Roman"/>
          <w:sz w:val="16"/>
          <w:szCs w:val="16"/>
          <w:color w:val="auto"/>
        </w:rPr>
        <w:t>(iii)is controlled by a BDC or a group of companies including a BDC and the BDC has an affiliated person who is a director of the eligible portfolio company; or</w:t>
      </w:r>
    </w:p>
    <w:p>
      <w:pPr>
        <w:spacing w:after="0" w:line="5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(iv)is a small and solvent company having total assets of not more than $4.0 million and capital and surplus of not less than $2.0 million.</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(2)Securities of any eligible portfolio company which we control.</w:t>
      </w:r>
    </w:p>
    <w:p>
      <w:pPr>
        <w:spacing w:after="0" w:line="92" w:lineRule="exact"/>
        <w:rPr>
          <w:sz w:val="20"/>
          <w:szCs w:val="20"/>
          <w:color w:val="auto"/>
        </w:rPr>
      </w:pPr>
    </w:p>
    <w:p>
      <w:pPr>
        <w:jc w:val="both"/>
        <w:ind w:left="360" w:right="160"/>
        <w:spacing w:after="0" w:line="247" w:lineRule="auto"/>
        <w:rPr>
          <w:sz w:val="20"/>
          <w:szCs w:val="20"/>
          <w:color w:val="auto"/>
        </w:rPr>
      </w:pPr>
      <w:r>
        <w:rPr>
          <w:rFonts w:ascii="Times New Roman" w:cs="Times New Roman" w:eastAsia="Times New Roman" w:hAnsi="Times New Roman"/>
          <w:sz w:val="16"/>
          <w:szCs w:val="16"/>
          <w:color w:val="auto"/>
        </w:rPr>
        <w:t>(3)Securities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68" w:lineRule="exact"/>
        <w:rPr>
          <w:sz w:val="20"/>
          <w:szCs w:val="20"/>
          <w:color w:val="auto"/>
        </w:rPr>
      </w:pPr>
    </w:p>
    <w:p>
      <w:pPr>
        <w:jc w:val="both"/>
        <w:ind w:left="360" w:right="160"/>
        <w:spacing w:after="0" w:line="259" w:lineRule="auto"/>
        <w:rPr>
          <w:sz w:val="20"/>
          <w:szCs w:val="20"/>
          <w:color w:val="auto"/>
        </w:rPr>
      </w:pPr>
      <w:r>
        <w:rPr>
          <w:rFonts w:ascii="Times New Roman" w:cs="Times New Roman" w:eastAsia="Times New Roman" w:hAnsi="Times New Roman"/>
          <w:sz w:val="16"/>
          <w:szCs w:val="16"/>
          <w:color w:val="auto"/>
        </w:rPr>
        <w:t>(4)Securities of an eligible portfolio company purchased from any person in a private transaction if there is no ready market for such securities and the Company already owns 60% of the outstanding equity of the eligible portfolio company.</w:t>
      </w:r>
    </w:p>
    <w:p>
      <w:pPr>
        <w:spacing w:after="0" w:line="59"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(5)Securities received in exchange for or distributed on or with respect to securities described in (1) through (4) above, or pursuant to the exercise of warrants or rights relating to such securities.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(6)Cash, cash equivalents, U.S. government securities or high-quality debt securities maturing in one year or less from the time of investment.</w:t>
      </w:r>
    </w:p>
    <w:p>
      <w:pPr>
        <w:spacing w:after="0" w:line="188"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In addition, a BDC must be operated for the purpose of making investments in the types of securities described in (1), (2) or (3) above. Control, as defined by the 1940 Act, is presumed to exist where a BDC beneficially owns more than 25% of the outstanding voting securities of the portfolio company but may exist in other circumstances based on the facts and circumstances. The regulations defining qualifying assets may change over time. The Company may adjust its investment focus as needed to comply with and/or take advantage of any regulatory, legislative, administrative, or judicial actions.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0" w:name="page21"/>
    <w:bookmarkEnd w:id="2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Managerial Assistance to Portfolio Companies</w:t>
      </w:r>
    </w:p>
    <w:p>
      <w:pPr>
        <w:spacing w:after="0" w:line="19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4"/>
          <w:szCs w:val="14"/>
          <w:color w:val="auto"/>
        </w:rPr>
        <w:t>In addition, a BDC must have been organized and have its principal place of business in the United States and must be operated for the purpose of making investments in the types of securities described above in Qualifying Assets categories (1), (2) or (3). However, in order to count portfolio securities as qualifying assets for the purpose of the 70% test, the BDC must either control the issuer of the securities or must offer to make available to the issuer of the securities (other than small and solvent companies described above in Qualifying Assets category (1)(c)(iv))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 We may also receive fees for these services. RGC may provide, or arrange for the provision of, such managerial assistance on our behalf to portfolio companies that request this assistance, subject to reimbursement of any fees or expenses incurred on our behalf by RGC in accordance with our Advisory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Temporary Investments</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Pending investment in other types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RGC monitors the creditworthiness of the counterparties with which we enter into repurchase agreement transactions.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w:t>
      </w:r>
    </w:p>
    <w:p>
      <w:pPr>
        <w:spacing w:after="0" w:line="192"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4"/>
          <w:szCs w:val="14"/>
          <w:color w:val="auto"/>
        </w:rPr>
        <w:t>Under the 1940 Act, a BDC is subject to restrictions on the issuance, terms and number of warrants, options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stockholders authorize the proposal to issue such warrants, and the Board of Directors approves such issuance on the basis that the issuance is in our best interests and the stockholders best interests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Senior Securities; Coverage Ratio</w:t>
      </w:r>
    </w:p>
    <w:p>
      <w:pPr>
        <w:spacing w:after="0" w:line="19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We are generally permitted, under specified conditions, to issue multiple classes of indebtedness and one class of stock senior to our common stock if our asset coverage, as defined in the 1940 Act, is at least equal to 150% immediately after each such issuance. On June 16, 2022, our stockholders approved the reduced asset coverage ratio at our 2022 annual meeting of stockholders. The reduced asset coverage ratio of 150% became effective upon receiving stockholder approval.</w:t>
      </w:r>
    </w:p>
    <w:p>
      <w:pPr>
        <w:spacing w:after="0" w:line="164" w:lineRule="exact"/>
        <w:rPr>
          <w:sz w:val="20"/>
          <w:szCs w:val="20"/>
          <w:color w:val="auto"/>
        </w:rPr>
      </w:pPr>
    </w:p>
    <w:p>
      <w:pPr>
        <w:ind w:right="60"/>
        <w:spacing w:after="0" w:line="186" w:lineRule="exact"/>
        <w:rPr>
          <w:sz w:val="20"/>
          <w:szCs w:val="20"/>
          <w:color w:val="auto"/>
        </w:rPr>
      </w:pPr>
      <w:r>
        <w:rPr>
          <w:rFonts w:ascii="Times New Roman" w:cs="Times New Roman" w:eastAsia="Times New Roman" w:hAnsi="Times New Roman"/>
          <w:sz w:val="16"/>
          <w:szCs w:val="16"/>
          <w:color w:val="auto"/>
        </w:rPr>
        <w:t xml:space="preserve">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purposes without regard to asset coverage. For a discussion of the risks associated with leverage, see "Risk Factors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Risks Related to Our Business and Structure</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We may borrow money, which would magnify the potential for gain or loss on amounts invested and may increase the risk of investing in us." in Part I, Item 1A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3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1" w:name="page22"/>
    <w:bookmarkEnd w:id="2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Compliance Policies and Procedures</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and RGC have adopted and implemented written policies and procedures reasonably designed to detect and prevent violation of the federal securities laws and are required to review these compliance policies and procedures annually for their adequacy and the effectiveness of their implementation. Colleen Corwell currently serves as our Chief Compliance Officer and is responsible for administering the policies and procedures.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Sarbanes-Oxley Act of 2002</w:t>
      </w:r>
    </w:p>
    <w:p>
      <w:pPr>
        <w:spacing w:after="0" w:line="19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Sarbanes-Oxley Act imposes a wide variety of regulatory requirements on publicly held companies and their insiders. Many of these requirements affect us. For example:</w:t>
      </w:r>
    </w:p>
    <w:p>
      <w:pPr>
        <w:spacing w:after="0" w:line="139" w:lineRule="exact"/>
        <w:rPr>
          <w:sz w:val="20"/>
          <w:szCs w:val="20"/>
          <w:color w:val="auto"/>
        </w:rPr>
      </w:pPr>
    </w:p>
    <w:p>
      <w:pPr>
        <w:ind w:left="360" w:right="280"/>
        <w:spacing w:after="0" w:line="200" w:lineRule="exact"/>
        <w:rPr>
          <w:sz w:val="20"/>
          <w:szCs w:val="20"/>
          <w:color w:val="auto"/>
        </w:rPr>
      </w:pPr>
      <w:r>
        <w:rPr>
          <w:rFonts w:ascii="Times New Roman" w:cs="Times New Roman" w:eastAsia="Times New Roman" w:hAnsi="Times New Roman"/>
          <w:sz w:val="16"/>
          <w:szCs w:val="16"/>
          <w:color w:val="auto"/>
        </w:rPr>
        <w:t>•pursuant to Rule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14 of the Exchange Act, our Chief Executive Officer and Chief Financial Officer must certify the accuracy of the consolidated financial statements contained in our periodic reports;</w:t>
      </w:r>
    </w:p>
    <w:p>
      <w:pPr>
        <w:spacing w:after="0" w:line="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•pursuant to Item 307 of Regulation S-K, our periodic reports must disclose our conclusions about the effectiveness of our disclosure controls and procedures;</w:t>
      </w:r>
    </w:p>
    <w:p>
      <w:pPr>
        <w:spacing w:after="0" w:line="76" w:lineRule="exact"/>
        <w:rPr>
          <w:sz w:val="20"/>
          <w:szCs w:val="20"/>
          <w:color w:val="auto"/>
        </w:rPr>
      </w:pPr>
    </w:p>
    <w:p>
      <w:pPr>
        <w:jc w:val="both"/>
        <w:ind w:left="360"/>
        <w:spacing w:after="0" w:line="193" w:lineRule="exact"/>
        <w:rPr>
          <w:sz w:val="20"/>
          <w:szCs w:val="20"/>
          <w:color w:val="auto"/>
        </w:rPr>
      </w:pPr>
      <w:r>
        <w:rPr>
          <w:rFonts w:ascii="Times New Roman" w:cs="Times New Roman" w:eastAsia="Times New Roman" w:hAnsi="Times New Roman"/>
          <w:sz w:val="16"/>
          <w:szCs w:val="16"/>
          <w:color w:val="auto"/>
        </w:rPr>
        <w:t xml:space="preserve">•pursuant to Rule 13a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 of the Exchange Act, our management must prepare a report regarding its assessment of our internal control over financial reporting and, starting from the date on which we cease to be an emerging growth company under the JOBS Act, must obtain an audit of the effectiveness of internal control over financial reporting performed by our independent registered public accounting firm should we become an accelerated filer; and</w:t>
      </w:r>
    </w:p>
    <w:p>
      <w:pPr>
        <w:spacing w:after="0" w:line="59" w:lineRule="exact"/>
        <w:rPr>
          <w:sz w:val="20"/>
          <w:szCs w:val="20"/>
          <w:color w:val="auto"/>
        </w:rPr>
      </w:pPr>
    </w:p>
    <w:p>
      <w:pPr>
        <w:jc w:val="both"/>
        <w:ind w:left="360" w:right="160"/>
        <w:spacing w:after="0" w:line="193" w:lineRule="exact"/>
        <w:rPr>
          <w:sz w:val="20"/>
          <w:szCs w:val="20"/>
          <w:color w:val="auto"/>
        </w:rPr>
      </w:pPr>
      <w:r>
        <w:rPr>
          <w:rFonts w:ascii="Times New Roman" w:cs="Times New Roman" w:eastAsia="Times New Roman" w:hAnsi="Times New Roman"/>
          <w:sz w:val="16"/>
          <w:szCs w:val="16"/>
          <w:color w:val="auto"/>
        </w:rPr>
        <w:t>•pursuant to Item 308 of Regulation S-K and Rule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 of the Exchange Act, our periodic reports must disclose whether there were significant changes in our internal control over financial reporting or in other factors that could significantly affect these controls subsequent to the date of their evaluation, including any corrective actions with regard to significant deficiencies and material weaknesses.</w:t>
      </w:r>
    </w:p>
    <w:p>
      <w:pPr>
        <w:spacing w:after="0" w:line="17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Proxy Voting Policies and Procedures</w:t>
      </w:r>
    </w:p>
    <w:p>
      <w:pPr>
        <w:spacing w:after="0" w:line="19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have delegated our proxy voting responsibility to RGC. The proxy voting policies and procedures of RGC are set forth below. The guidelines will be reviewed periodically by RGC and our independent directors, and, accordingly, are subject to change. For purposes of the Proxy Voting Policies and Procedures described below, "we," "our" and "us" refers to RGC.</w:t>
      </w:r>
    </w:p>
    <w:p>
      <w:pPr>
        <w:spacing w:after="0" w:line="164"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As an investment adviser registered under the Advisers Act, RGC has a fiduciary duty to act solely in the best interests of its clients. As part of this duty, RGC recognizes that it must vote client securities in a timely manner, free of conflicts of interest and in the best interests of our clients.</w:t>
      </w:r>
    </w:p>
    <w:p>
      <w:pPr>
        <w:spacing w:after="0" w:line="139" w:lineRule="exact"/>
        <w:rPr>
          <w:sz w:val="20"/>
          <w:szCs w:val="20"/>
          <w:color w:val="auto"/>
        </w:rPr>
      </w:pPr>
    </w:p>
    <w:p>
      <w:pPr>
        <w:ind w:right="440"/>
        <w:spacing w:after="0" w:line="200" w:lineRule="exact"/>
        <w:rPr>
          <w:sz w:val="20"/>
          <w:szCs w:val="20"/>
          <w:color w:val="auto"/>
        </w:rPr>
      </w:pPr>
      <w:r>
        <w:rPr>
          <w:rFonts w:ascii="Times New Roman" w:cs="Times New Roman" w:eastAsia="Times New Roman" w:hAnsi="Times New Roman"/>
          <w:sz w:val="16"/>
          <w:szCs w:val="16"/>
          <w:color w:val="auto"/>
        </w:rPr>
        <w:t>These policies and procedures for voting proxies for RGC's investment advisory clients are intended to comply with Section 206 of, and Rule 206(4)</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6 under, the Advisers Act.</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22" w:name="page23"/>
    <w:bookmarkEnd w:id="2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Proxy Policies</w:t>
      </w:r>
    </w:p>
    <w:p>
      <w:pPr>
        <w:spacing w:after="0" w:line="192" w:lineRule="exact"/>
        <w:rPr>
          <w:sz w:val="20"/>
          <w:szCs w:val="20"/>
          <w:color w:val="auto"/>
        </w:rPr>
      </w:pPr>
    </w:p>
    <w:p>
      <w:pPr>
        <w:ind w:right="460"/>
        <w:spacing w:after="0" w:line="247" w:lineRule="auto"/>
        <w:rPr>
          <w:sz w:val="20"/>
          <w:szCs w:val="20"/>
          <w:color w:val="auto"/>
        </w:rPr>
      </w:pPr>
      <w:r>
        <w:rPr>
          <w:rFonts w:ascii="Times New Roman" w:cs="Times New Roman" w:eastAsia="Times New Roman" w:hAnsi="Times New Roman"/>
          <w:sz w:val="16"/>
          <w:szCs w:val="16"/>
          <w:color w:val="auto"/>
        </w:rPr>
        <w:t>RGC will vote proxies relating to our portfolio securities in the best interest of its clients’ stockholders. RGC will review on a case-by-case basis each proposal submitted to a stockholder vote to determine its impact on the portfolio securities held by us. Although RGC will generally vote against proposals that may have a negative impact on its clients’ portfolio securities, RGC may vote for such a proposal if there exist compelling long-term reasons to do so.</w:t>
      </w:r>
    </w:p>
    <w:p>
      <w:pPr>
        <w:spacing w:after="0" w:line="164"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4"/>
          <w:szCs w:val="14"/>
          <w:color w:val="auto"/>
        </w:rPr>
        <w:t>RGC's proxy-voting decisions will be made by the senior officers who are responsible for monitoring each of its clients’ investments. To ensure that its vote is not the product of a conflict of interest, RGC will require that: (1) anyone involved in the decision-making process disclose to its management any potential conflict that he or she is aware of and any contact that he or she has had with any interested party regarding a proxy vote; and (2) employees involved in the decision- making process or vote administration are prohibited from revealing how RGC intend to vote on a proposal in order to reduce any attempted influence from interested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Proxy Voting Records</w:t>
      </w:r>
    </w:p>
    <w:p>
      <w:pPr>
        <w:spacing w:after="0" w:line="192"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You may obtain information about how we voted proxies by making a written request for proxy voting information to: Runway Growth Capital LLC, 205 N. Michigan Ave., Suite 4200, Chicago, IL 60601.</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Privacy Principles</w:t>
      </w:r>
    </w:p>
    <w:p>
      <w:pPr>
        <w:spacing w:after="0" w:line="19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We are committed to maintaining the privacy of our stockholders and to safeguarding their non- public personal information. The following information is provided to help you understand what personal information we collect, how we protect that information and why, in certain cases, we may share information with select other parties.</w:t>
      </w:r>
    </w:p>
    <w:p>
      <w:pPr>
        <w:spacing w:after="0" w:line="16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Pursuant to our privacy policy,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We may collect non-public information about investors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information that we collect from our stockholders or former stockholders, as described above, only to our affiliates and service providers and only as allowed by applicable law or regulation. Any party that receives this information uses it only for the services required by us and as allowed by applicable law or regulation and is not permitted to share or use this information for any other purpose. To protect the non-public personal information of individuals, we restrict access to non-public personal information about our stockholders to employees of RGC and its affiliates with a legitimate business need for the information. In order to guard our stockholders’ non-public personal information, we maintain physical, electronic and procedural safeguards that are designed to comply with applicable law. Non-public personal information that we collect about our stockholders is generally stored on secured servers located in the United States. An individual stockholder’s right to privacy extends to all forms of contact with us, including telephone, written correspondence, and electronic media, such as the Internet.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Reporting Obligations</w:t>
      </w:r>
    </w:p>
    <w:p>
      <w:pPr>
        <w:spacing w:after="0" w:line="19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We furnish our stockholders with annual reports containing audited consolidated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48" w:lineRule="exact"/>
        <w:rPr>
          <w:sz w:val="20"/>
          <w:szCs w:val="20"/>
          <w:color w:val="auto"/>
        </w:rPr>
      </w:pPr>
    </w:p>
    <w:p>
      <w:pPr>
        <w:ind w:right="160"/>
        <w:spacing w:after="0" w:line="193" w:lineRule="exact"/>
        <w:rPr>
          <w:sz w:val="20"/>
          <w:szCs w:val="20"/>
          <w:color w:val="auto"/>
        </w:rPr>
      </w:pPr>
      <w:r>
        <w:rPr>
          <w:rFonts w:ascii="Times New Roman" w:cs="Times New Roman" w:eastAsia="Times New Roman" w:hAnsi="Times New Roman"/>
          <w:sz w:val="16"/>
          <w:szCs w:val="16"/>
          <w:color w:val="auto"/>
        </w:rPr>
        <w:t>Our annual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quarterly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as well as reports on Forms 3, 4 and 5 regarding directors, officers, or our 10% beneficial owners, filed or furnished pursuant to section 13(a), 15(d) or 16(a) of the Exchange Act, are available on our website free of charge (https://investors.runwaygrowth.com/financial-information/sec-filings).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and the public may also view any materials we file with the SEC on the SEC’s website (http://www.sec.gov).</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3" w:name="page24"/>
    <w:bookmarkEnd w:id="2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9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risk factors described below are a summary of the principal risk factors associated with an investment in us. These are not the only risks we face. You should carefully consider these risk factors, together with the risk factors set forth in the following section, Item 1A. of this Annual Report on Form 10-K, and the other reports and documents filed by us with the SEC.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the Economy</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•Political, social and economic uncertainty creates and exacerbates risks.</w:t>
      </w:r>
    </w:p>
    <w:p>
      <w:pPr>
        <w:spacing w:after="0" w:line="92" w:lineRule="exact"/>
        <w:rPr>
          <w:sz w:val="20"/>
          <w:szCs w:val="20"/>
          <w:color w:val="auto"/>
        </w:rPr>
      </w:pPr>
    </w:p>
    <w:p>
      <w:pPr>
        <w:ind w:left="360" w:right="260"/>
        <w:spacing w:after="0" w:line="259" w:lineRule="auto"/>
        <w:rPr>
          <w:sz w:val="20"/>
          <w:szCs w:val="20"/>
          <w:color w:val="auto"/>
        </w:rPr>
      </w:pPr>
      <w:r>
        <w:rPr>
          <w:rFonts w:ascii="Times New Roman" w:cs="Times New Roman" w:eastAsia="Times New Roman" w:hAnsi="Times New Roman"/>
          <w:sz w:val="16"/>
          <w:szCs w:val="16"/>
          <w:color w:val="auto"/>
        </w:rPr>
        <w:t>•Disruption in the capital markets may cause unstable economic conditions. Such market conditions may materially and adversely affect debt and equity capital markets, which may have a negative impact on our business and operations.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•Economic recessions or downturns could impair our portfolio companies and harm our operating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Our Business and Structure</w:t>
      </w:r>
    </w:p>
    <w:p>
      <w:pPr>
        <w:spacing w:after="0" w:line="188"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•Our investment portfolio is recorded at fair value, with our Board of Directors determining, in good faith, the fair value of our investment portfolio and, as a result, there is uncertainty as to the value of our portfolio investments.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financial condition and results of operations depend on our ability to effectively manage and deploy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operate in a highly competitive market for investment opportunities and we may not be able to compete effectively.</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need to raise additional capital to grow because we must distribute most of our income.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•Any defaults under our Credit Facility or other borrowings, including the 2026 or 2027 Notes, could adversely affect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Our Investments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investments are very risky and highly speculative.</w:t>
      </w:r>
    </w:p>
    <w:p>
      <w:pPr>
        <w:spacing w:after="0" w:line="92" w:lineRule="exact"/>
        <w:rPr>
          <w:sz w:val="20"/>
          <w:szCs w:val="20"/>
          <w:color w:val="auto"/>
        </w:rPr>
      </w:pPr>
    </w:p>
    <w:p>
      <w:pPr>
        <w:ind w:left="360" w:right="320"/>
        <w:spacing w:after="0" w:line="259" w:lineRule="auto"/>
        <w:rPr>
          <w:sz w:val="20"/>
          <w:szCs w:val="20"/>
          <w:color w:val="auto"/>
        </w:rPr>
      </w:pPr>
      <w:r>
        <w:rPr>
          <w:rFonts w:ascii="Times New Roman" w:cs="Times New Roman" w:eastAsia="Times New Roman" w:hAnsi="Times New Roman"/>
          <w:sz w:val="16"/>
          <w:szCs w:val="16"/>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spacing w:after="0" w:line="59" w:lineRule="exact"/>
        <w:rPr>
          <w:sz w:val="20"/>
          <w:szCs w:val="20"/>
          <w:color w:val="auto"/>
        </w:rPr>
      </w:pPr>
    </w:p>
    <w:p>
      <w:pPr>
        <w:ind w:left="360" w:right="580"/>
        <w:spacing w:after="0" w:line="259" w:lineRule="auto"/>
        <w:rPr>
          <w:sz w:val="20"/>
          <w:szCs w:val="20"/>
          <w:color w:val="auto"/>
        </w:rPr>
      </w:pPr>
      <w:r>
        <w:rPr>
          <w:rFonts w:ascii="Times New Roman" w:cs="Times New Roman" w:eastAsia="Times New Roman" w:hAnsi="Times New Roman"/>
          <w:sz w:val="16"/>
          <w:szCs w:val="16"/>
          <w:color w:val="auto"/>
        </w:rPr>
        <w:t>•An investment strategy focused primarily on privately held companies presents certain challenges, including the lack of available information about these companies and a greater vulnerability to economic downturns.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•Inflation may adversely affect our and our portfolio companies’ business, results of operations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Our Conflicts of Interest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•There are significant potential conflicts of interest which could impact our investment returns.</w:t>
      </w:r>
    </w:p>
    <w:p>
      <w:pPr>
        <w:spacing w:after="0" w:line="92" w:lineRule="exact"/>
        <w:rPr>
          <w:sz w:val="20"/>
          <w:szCs w:val="20"/>
          <w:color w:val="auto"/>
        </w:rPr>
      </w:pPr>
    </w:p>
    <w:p>
      <w:pPr>
        <w:ind w:left="360" w:right="60"/>
        <w:spacing w:after="0" w:line="259" w:lineRule="auto"/>
        <w:rPr>
          <w:sz w:val="20"/>
          <w:szCs w:val="20"/>
          <w:color w:val="auto"/>
        </w:rPr>
      </w:pPr>
      <w:r>
        <w:rPr>
          <w:rFonts w:ascii="Times New Roman" w:cs="Times New Roman" w:eastAsia="Times New Roman" w:hAnsi="Times New Roman"/>
          <w:sz w:val="16"/>
          <w:szCs w:val="16"/>
          <w:color w:val="auto"/>
        </w:rPr>
        <w:t>•RGC’s liability is limited under the Advisory Agreement and we have agreed to indemnify RGC against certain liabilities, which may lead RGC to act in a riskier manner on our behalf than it would when acting for its own account.</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4" w:name="page25"/>
    <w:bookmarkEnd w:id="2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Our Common Stock</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•Shares of our common stock have traded at a discount from net asset value and may do so in the future.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 stockholder’s interest in us will be diluted if we issue additional shares, which could reduce the overall value of an investment in us.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of substantial amounts of our common stock in the public market may have an adverse effect on the market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Risks Related to RIC Tax Treatment</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will be subject to U.S. federal income tax at corporate rates if we are unable to qualify as a RIC.</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have difficulty paying our required distributions if we recognize income before or without receiving cash representing such income.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General Risks</w:t>
      </w:r>
    </w:p>
    <w:p>
      <w:pPr>
        <w:spacing w:after="0" w:line="1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may experience fluctuations in our quarterly and annual results.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•Government intervention in the credit markets could adversely affect our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Economy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Political, social and economic uncertainty creates and exacerbates risks.</w:t>
      </w:r>
    </w:p>
    <w:p>
      <w:pPr>
        <w:spacing w:after="0" w:line="19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Social, political, economic and other conditions and events (such as natural disasters, epidemics and pandemics, terrorism, conflicts and social unrest) will occur that create uncertainty and have significant impacts on issuers, industries, governments and other systems, including the financial markets, to which companies and their investments are exposed. As global systems, economies and financial markets are increasingly interconnected, events that once had only local impact are now more likely to have regional or even global effects. Events that occur in one country, region or financial market will, more frequently, adversely impact issuers in other countries, regions or markets, including in established markets such as the United States. These impacts can be exacerbated by failures of governments and societies to adequately respond to an emerging event or threat.</w:t>
      </w:r>
    </w:p>
    <w:p>
      <w:pPr>
        <w:spacing w:after="0" w:line="17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Uncertainty can result in or coincide with, among other things: increased volatility in the financial markets for securities, derivatives, loans, credit and currency; a decrease in the reliability of market prices and difficulty in valuing assets (including portfolio company assets); greater fluctuations in spreads on debt investments and currency exchange rates; increased risk of default (by both government and private obligors and issuers); further social, economic, and political instability; nationalization of private enterprise; greater governmental involvement in the economy or in social factors that impact the economy; changes to governmental regulation and supervision of the loan, securities, derivatives and currency markets and market participants and decreased or revised monitoring of such markets by governments or self-regulatory organizations and reduced enforcement of regulations; limitations on the activities of investors in such markets; controls or restrictions on foreign investment, capital controls and limitations on repatriation of invested capital; the significant loss of liquidity and the inability to purchase, sell and otherwise fund investments or settle transactions (including, but not limited to,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w:t>
      </w:r>
    </w:p>
    <w:p>
      <w:pPr>
        <w:spacing w:after="0" w:line="268"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Disruption in the capital markets may cause unstable economic conditions. Such market conditions may materially and adversely affect debt and equity capital markets, which may have a negative impact on our business and operations.</w:t>
      </w:r>
    </w:p>
    <w:p>
      <w:pPr>
        <w:spacing w:after="0" w:line="15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The capital markets have experienced extreme volatility in recent periods, and as a result, there has been and may continue to be uncertainty in the financial markets in general. Unpredictable general economic conditions may materially and adversely impact the broader financial and credit markets which could reduce the availability of debt and equity capital for the market as a whole. These conditions could continue for a prolonged period of time or worsen in the future.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5" w:name="page26"/>
    <w:bookmarkEnd w:id="2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It is difficult to predict the full impact that unstable market conditions may have on our business. The extent of such impact will depend on future developments, which are highly uncertain and current market conditions, and the related adverse local and national economic consequences, we could be subject to any of the following risks, any of which could have a material, adverse effect on our business, financial condition, liquidity, and results of operations:</w:t>
      </w:r>
    </w:p>
    <w:p>
      <w:pPr>
        <w:spacing w:after="0" w:line="164" w:lineRule="exact"/>
        <w:rPr>
          <w:sz w:val="20"/>
          <w:szCs w:val="20"/>
          <w:color w:val="auto"/>
        </w:rPr>
      </w:pPr>
    </w:p>
    <w:p>
      <w:pPr>
        <w:ind w:left="360" w:right="140"/>
        <w:spacing w:after="0" w:line="243" w:lineRule="auto"/>
        <w:rPr>
          <w:sz w:val="20"/>
          <w:szCs w:val="20"/>
          <w:color w:val="auto"/>
        </w:rPr>
      </w:pPr>
      <w:r>
        <w:rPr>
          <w:rFonts w:ascii="Times New Roman" w:cs="Times New Roman" w:eastAsia="Times New Roman" w:hAnsi="Times New Roman"/>
          <w:sz w:val="16"/>
          <w:szCs w:val="16"/>
          <w:color w:val="auto"/>
        </w:rPr>
        <w:t>•Unstable market conditions may make it difficult to raise equity capital because, subject to some limited exceptions, as a BDC, we are generally not able to issue additional shares of our common stock at a price less than the NAV per share without first obtaining approval for such issuance from our stockholders and our independent directors. In addition, these market conditions may make it difficult to access or obtain new indebtedness with similar terms to our existing indebtedness.</w:t>
      </w:r>
    </w:p>
    <w:p>
      <w:pPr>
        <w:spacing w:after="0" w:line="71" w:lineRule="exact"/>
        <w:rPr>
          <w:sz w:val="20"/>
          <w:szCs w:val="20"/>
          <w:color w:val="auto"/>
        </w:rPr>
      </w:pPr>
    </w:p>
    <w:p>
      <w:pPr>
        <w:ind w:left="360" w:right="40"/>
        <w:spacing w:after="0" w:line="247" w:lineRule="auto"/>
        <w:rPr>
          <w:sz w:val="20"/>
          <w:szCs w:val="20"/>
          <w:color w:val="auto"/>
        </w:rPr>
      </w:pPr>
      <w:r>
        <w:rPr>
          <w:rFonts w:ascii="Times New Roman" w:cs="Times New Roman" w:eastAsia="Times New Roman" w:hAnsi="Times New Roman"/>
          <w:sz w:val="16"/>
          <w:szCs w:val="16"/>
          <w:color w:val="auto"/>
        </w:rPr>
        <w:t>•Significant changes or volatility in the capital markets may also have a negative effect on the valuations of our investments. While most of our investments are not publicly traded, applicable accounting standards require us to assume as part of our valuation process that our investments are sold in a principal market to market participants (even if we plan on holding an investment through its maturity).</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•Significant changes in the capital markets may adversely affect the pace of our investment activity and economic activity generally.</w:t>
      </w:r>
    </w:p>
    <w:p>
      <w:pPr>
        <w:spacing w:after="0" w:line="92" w:lineRule="exact"/>
        <w:rPr>
          <w:sz w:val="20"/>
          <w:szCs w:val="20"/>
          <w:color w:val="auto"/>
        </w:rPr>
      </w:pPr>
    </w:p>
    <w:p>
      <w:pPr>
        <w:ind w:left="360"/>
        <w:spacing w:after="0" w:line="299" w:lineRule="auto"/>
        <w:rPr>
          <w:sz w:val="20"/>
          <w:szCs w:val="20"/>
          <w:color w:val="auto"/>
        </w:rPr>
      </w:pPr>
      <w:r>
        <w:rPr>
          <w:rFonts w:ascii="Times New Roman" w:cs="Times New Roman" w:eastAsia="Times New Roman" w:hAnsi="Times New Roman"/>
          <w:sz w:val="14"/>
          <w:szCs w:val="14"/>
          <w:color w:val="auto"/>
        </w:rPr>
        <w:t>•The illiquidity of our investments may make it difficult for us to sell such investments to access capital if required, and as a result, we could realize significantly less than the value at which we have recorded our investments if we were required to sell them for liquidity purposes. An inability to raise or access capital, and any required sale of all or a portion of our investments as a result, could have a material adverse effect on our business, financial condition or results of operations.</w:t>
      </w:r>
    </w:p>
    <w:p>
      <w:pPr>
        <w:spacing w:after="0" w:line="223" w:lineRule="exact"/>
        <w:rPr>
          <w:sz w:val="20"/>
          <w:szCs w:val="20"/>
          <w:color w:val="auto"/>
        </w:rPr>
      </w:pPr>
    </w:p>
    <w:p>
      <w:pPr>
        <w:ind w:right="4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The current period of capital markets disruption and economic uncertainty may make it difficult to extend the maturity of, or refinance, our existing indebtedness or obtain new indebtedness and any failure to do so could have a material adverse effect on our business, financial condition or results of operations.</w:t>
      </w:r>
    </w:p>
    <w:p>
      <w:pPr>
        <w:spacing w:after="0" w:line="10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Current market conditions may make it difficult to extend the maturity of or refinance our existing indebtedness or obtain new indebtedness with similar terms and any failure to do so could have a material adverse effect on our business. The debt capital that will be available to us in the future, if at all, may be at a higher cost and on less favorable terms and conditions than what we currently experience, including being at a higher cost in rising rate environments. If we are unable to raise or refinance debt, then our equity investors may not benefit from the potential for increased returns on equity resulting from leverage and we may be limited in our ability to make new commitments or to fund existing commitments to our portfolio companies. An inability to extend the maturity of, or refinance, our existing indebtedness or obtain new indebtedness could have a material adverse effect on our business, financial condition or results of operations.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Economic recessions or downturns could impair our portfolio companies and harm our operating results.</w:t>
      </w:r>
    </w:p>
    <w:p>
      <w:pPr>
        <w:spacing w:after="0" w:line="19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6"/>
          <w:szCs w:val="16"/>
          <w:color w:val="auto"/>
        </w:rPr>
        <w:t>Many of the portfolio companies in which we make investments may be susceptible to economic slowdowns or recessions and may be unable to repay the loans we made to them during these periods.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In similar fashion, increasing or excessive levels of inflation and rising interest rates could also impair our portfolio companies cash flow and operations. These events could prevent us from increasing investments and harm our operating results.</w:t>
      </w:r>
    </w:p>
    <w:p>
      <w:pPr>
        <w:spacing w:after="0" w:line="1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6" w:name="page27"/>
    <w:bookmarkEnd w:id="2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Further downgrades of the U.S. credit rating could negatively impact our liquidity, financial conditions and earnings and the impact of any government budgetary disruptions.</w:t>
      </w:r>
    </w:p>
    <w:p>
      <w:pPr>
        <w:spacing w:after="0" w:line="15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U.S. debt ceiling and budget deficit concerns have raised the possibility of additional credit-rating downgrades and economic slowdowns in the United States and globally. Congress has passed legislation to raise the debt ceiling on several recent occasions, but there is no guarantee that any such legislation will be passed in the future. Despite such actions to suspend the debt ceiling, ratings agencies have considered lowering the long-term sovereign credit rating of the United States. Downgrades by rating agencies to the U.S. government’s credit rating or concerns about its credit and deficit levels in general could cause interest rates and borrowing costs to rise, which may negatively impact both the perception of credit risk associated with our debt portfolio and our ability to access the debt markets on favorable terms. In addition, a decreased U.S. government credit rating could create broader financial turmoil and uncertainty, which may weigh heavily on our financial performance and the value of our common stock. In addition, disputes over the federal budget have in the past and may in the future cause the U.S. federal government to shut down for periods of time. Such adverse political and economic conditions could have a material adverse impact on our business, financial condition and results of operations.</w:t>
      </w:r>
    </w:p>
    <w:p>
      <w:pPr>
        <w:spacing w:after="0" w:line="262"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Global economic, political and market conditions may adversely affect our business, financial condition and results of operations, including our revenue growth and profitability.</w:t>
      </w:r>
    </w:p>
    <w:p>
      <w:pPr>
        <w:spacing w:after="0" w:line="15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Uncertainty and instability in global financial markets may pose a risk to our business. Financial markets have been affected at times by a number of global macroeconomic events, including the following: large sovereign debts and fiscal deficits of several countries in Europe and in emerging markets jurisdictions, the effect of the United Kingdom (the "U.K.") leaving the European Union (the "EU"), instability in the Chinese capital markets and the residual effects of the COVID-19 pandemic, such as inflation and supply chain issues. Global market and economic disruptions have affected, and may in the future affect, the U.S. capital markets, which could adversely affect our business, financial condition or results of operations. We cannot assure you that market disruptions in Europe and other regions or countries, including the increased cost of funding for certain governments and financial institutions, will not impact the global economy, and we cannot assure you that global economic instability will not adversely impact our business. Specifically, such instability may cause sector-specific and broad- based corrections and/or downturns in the equity and credit markets. Any of the foregoing could have a significant impact on the markets in which we operate and could have a material adverse impact on our business prospects and financial condition.</w:t>
      </w:r>
    </w:p>
    <w:p>
      <w:pPr>
        <w:spacing w:after="0" w:line="17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Various social and political circumstances in the U.S. and around the world (including wars and other forms of conflict, including rising trade tensions between the United States and China, and other uncertainties regarding actual and potential shifts in the United States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ongoing conflict between Russia and Ukraine, and the ongoing conflict in the Middle East and the resulting market volatility, could adversely affect our business, financial condition or results of operations. In response to the conflict between Russia and Ukraine, the United States and other countries have imposed sanctions and taken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spacing w:after="0" w:line="17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Additionally, the Federal Reserve may further raise, or may announce its intention to further raise, the Federal Funds Rate in 2024. These developments, along with the United States government’s credit and deficit concerns, global economic uncertainties and market volatility could cause interest rates to be volatile, which may negatively impact our ability to access the debt markets and capital markets on favorable terms.</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7" w:name="page28"/>
    <w:bookmarkEnd w:id="2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to U.S. tariff and import/export regulations may have a negative effect on our portfolio companies and, in turn, negatively impact us.</w:t>
      </w:r>
    </w:p>
    <w:p>
      <w:pPr>
        <w:spacing w:after="0" w:line="1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There has been ongoing discussion and commentary regarding potential significant changes to U.S. trade policies, treaties and tariffs. The current U.S. presidential administration, along with the U.S. Congress, has created significant uncertainty about the future relationship between the United States and certain other countries with respect to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United States. Any of these factors could depress economic activity, and restrict our portfolio companies’ access to suppliers or customers or the cost of such goods and have a material adverse effect on their business, financial condition and results of operations, which in turn could negatively impact us.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Structure</w:t>
      </w:r>
    </w:p>
    <w:p>
      <w:pPr>
        <w:spacing w:after="0" w:line="282"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investment portfolio is recorded at fair value, with our Board of Directors determining, in good faith, the fair value of our investment portfolio and, as a result, there is uncertainty as to the value of our portfolio investments.</w:t>
      </w:r>
    </w:p>
    <w:p>
      <w:pPr>
        <w:spacing w:after="0" w:line="1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Under the 1940 Act, we are required to carry our portfolio investments at market value or, if there is no readily available market value, at fair value as determined by our Board of Directors. Typically, there will not be a public market for the securities of the privately held companies in which we invest. As a result, our Board of Directors values these securities quarterly at fair value based on input from management, a third- party independent valuation firm and the audit committee of our Board of Directors (the "Audit Committee"). The fair value of such securities may meaningfully change between the date of the fair value determination by our Board of Directors, as assisted by third-party independent valuation firms and the Audit Committee, and the release of the financial results for the corresponding period and/or the next date at which fair value is determined.</w:t>
      </w:r>
    </w:p>
    <w:p>
      <w:pPr>
        <w:spacing w:after="0" w:line="17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external events, such as private mergers, sales and acquisitions involving comparable companies. Because such valuations, and particularly valuations of private securities and private companies, are inherently uncertain, they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on one or more of our investments. As a result, investors purchasing our common stock based on an overstated net asset value would pay a higher price than the value of our investments might warrant. Conversely, investors selling shares of our common stock during a period in which the net asset value understates the value of our investments will receive a lower price for their shares of our common stock than the value of our investments might warrant.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financial condition and results of operations depend on our ability to effectively manage and deploy capital.</w:t>
      </w:r>
    </w:p>
    <w:p>
      <w:pPr>
        <w:spacing w:after="0" w:line="192"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Our ability to achieve our investment objective depends on our ability to effectively manage and deploy capital, which depends, in turn, on RGC’s ability to identify, originate, evaluate and monitor, and our ability to finance and invest in, companies that meet our investment criteria.</w:t>
      </w:r>
    </w:p>
    <w:p>
      <w:pPr>
        <w:spacing w:after="0" w:line="15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Accomplishing our investment objective on a cost-effective basis is largely a function of RGC’s handling of the investment process, its ability to provide competent, attentive and efficient services and our access to investments offering acceptable terms. In addition to monitoring the performance of our existing investments and other responsibilities under the Advisory Agreement, RGC’s investment team may also be called upon, from time to time, to provide managerial assistance to some of our portfolio companies. These demands may distract our investment team or slow the rate at which we may make investments.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8" w:name="page29"/>
    <w:bookmarkEnd w:id="2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Even if we are able to grow and build upon our investment portfolio, any failure to manage our growth effectively could have a material adverse effect on our business, financial condition, results of operations and prospects. Our results of operations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dividends.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investment opportunities and we may not be able to compete effectively.</w:t>
      </w:r>
    </w:p>
    <w:p>
      <w:pPr>
        <w:spacing w:after="0" w:line="19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Our primary competitors for investments include both existing and newly formed debt, and to a lesser extent equity, focused public and private funds, other BDCs, commercial and investment banks, venture-oriented commercial banks, commercial financing companies and, to the extent they provide an alternative form of financing, private equity and hedge funds. Many of our competitors are substantially larger and have considerably greater financial, technical and marketing resources than we do. For example, we believe some competitors may have a lower cost of capital and access to funding sources that are not available to us. In addition, some of our competitors may have higher risk tolerances or different risk assessments than we have, which could allow them to consider a wider variety of investments and establish more relationships than we can. Furthermore, many of our competitors are not subject to the regulatory restrictions that the 1940 Act imposes on us as a BDC or to the distribution and other requirements we must satisfy to maintain our ability to be subject to taxation as a RIC. These characteristics could allow our competitors to consider a wider variety of investments, establish more relationships and offer better pricing and more flexible structuring than we are able to offer. In recent years, substantial investor capital has been allocated to the private credit and direct lending asset classes, creating and increasing competition among lenders. Increased competition across all segments of the private credit and direct lending markets, has reduced credit spreads, and along with historically low interest rates, has reduced investment yields and resulted in more borrower friendly terms and conditions. For instance, typically when interest rates are low and a credit cycle extended, new entrants will enter traditionally higher yielding markets creating additional competition and pressures and temporarily compressing yields. We believe the credit markets, and in particular the market for our lending strategies, are presently experiencing such pressures. New competitors, including established private credit platforms in other segments, have entered the sponsored and non-sponsored growth lending market and a similar competitive dynamic is possible. While their entry may or may not be permanent, their entry could lead to competitive pressure on our investment yields and other terms and conditions in the short-term.</w:t>
      </w:r>
    </w:p>
    <w:p>
      <w:pPr>
        <w:spacing w:after="0" w:line="32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We do not compete primarily on the financing terms we offer and some competitors make loans with rates that are comparable or lower than our rates. We may lose some investment opportunities if we do not match our competitors’ pricing, terms and structure. However, if we match our competitors’ pricing, terms and structure, we may experience decreased net interest income, lower yields and increased risk of credit loss. As a result of this competition, we may not be able to take advantage of attractive investment opportunities from time to time, and we may not be able to identify and make investments that are consistent with our investment objective. The competitive pressures we face may have a material adverse effect on our financial condition, results of operations and cash flows.</w:t>
      </w:r>
    </w:p>
    <w:p>
      <w:pPr>
        <w:spacing w:after="0" w:line="261"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model depends to a significant extent upon strong referral relationships. Any inability of RGC to maintain or develop these relationships, or the failure of these relationships to generate investment opportunities, could adversely affect our business.</w:t>
      </w:r>
    </w:p>
    <w:p>
      <w:pPr>
        <w:spacing w:after="0" w:line="15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depend upon RGC to maintain its relationships with venture capital and private equity firms, placement agents, investment banks, management groups and other financial institutions, and we expect to rely to a significant extent upon these relationships to provide us with potential investment opportunities. If RGC fails to maintain such existing relationships, or to develop new relationships with other sources of investment opportunities, we may not be able to grow our investment portfolio. In addition, individuals with whom RGC has relationships are not obligated to provide us with investment opportunities, and we can offer no assurance that these relationships will generate investment opportunities for us in the future. The failure of RGC to maintain existing relationships, grow new relationships, or for any of those relationships to generate investment opportunities could have an adverse effect on our business, financial condition and results of operations.</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9" w:name="page30"/>
    <w:bookmarkEnd w:id="2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dependent upon RGC’s key personnel for our future success.</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depend on the diligence, skill and investment acumen of R. David Spreng, the founder and Chief Executive Officer of RGC, along with the senior officers and other investment professionals at RGC, including Thomas Raterman, Chief Operating Officer and Chief Financial Officer, and Greg Greifeld, Chief Investment Officer at RGC. Mr. Spreng, Mr. Raterman, Mr. Greifeld and the other members of RGC’s senior management evaluate, negotiate, structure, close and monitor our investments. Our future success depends on the continued service of these members of RGC’s senior management. We cannot assure you that unforeseen business, medical, personal or other circumstances would not lead any such individual to terminate his or her relationship with us. The loss of Mr. Spreng, Mr. Raterman, Mr. Greifeld and/or any of the other members of RGC’s senior management could have a material adverse effect on our ability to achieve our investment objective as well as on our financial condition and results of operations. In addition, we can offer no assurance that RGC will continue indefinitely as RGC.</w:t>
      </w:r>
    </w:p>
    <w:p>
      <w:pPr>
        <w:spacing w:after="0" w:line="17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The members of RGC’s senior management are and may in the future become affiliated with entities engaged in business activities similar to those intended to be conducted by us and may have conflicts of interest in allocating their time. RGC may also manage and sub-advise private investment funds and accounts, and may manage other such funds and accounts in the future, which have investment mandates that are similar, in whole or in part, with ours. Accordingly, RGC’s senior management may have obligations to investors in those entities, the fulfillment of which might not be in the best interests of us or our stockholders. For example, RGC’s senior management may face conflicts of interest in the allocation of investment opportunities to us and such other existing and future funds and accounts.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on the ability of RGC to attract and retain qualified personnel in a competitive environment.</w:t>
      </w:r>
    </w:p>
    <w:p>
      <w:pPr>
        <w:spacing w:after="0" w:line="192"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4"/>
          <w:szCs w:val="14"/>
          <w:color w:val="auto"/>
        </w:rPr>
        <w:t>Our growth requires that RGC retains and attracts new investment and administrative personnel in a competitive market. RGC’s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venture capital funds, private equity funds and mezzanine funds) and traditional financial services companies, with which RGC competes for experienced personnel have greater resources than it possesses, which could have a negative impact on RGC’s ability to attract and retain qualified personnel and, as a result, have a material adverse effect on our business and results of operations.</w:t>
      </w:r>
    </w:p>
    <w:p>
      <w:pPr>
        <w:spacing w:after="0" w:line="232" w:lineRule="exact"/>
        <w:rPr>
          <w:sz w:val="20"/>
          <w:szCs w:val="20"/>
          <w:color w:val="auto"/>
        </w:rPr>
      </w:pPr>
    </w:p>
    <w:p>
      <w:pPr>
        <w:ind w:right="6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compensation we pay to RGC and our Administrator was not determined on an arm’s-length basis. Thus, the terms of such compensation may be less advantageous to us than if such terms had been the subject of arm’s-length negotiations.</w:t>
      </w:r>
    </w:p>
    <w:p>
      <w:pPr>
        <w:spacing w:after="0" w:line="1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compensation we pay to RGC and our Administrator was not determined on an arm’s-length basis with an unaffiliated third party. As a result, the form and amount of such compensation may be less favorable to us than if the respective agreements had been entered into through arm’s-length transactions with an unaffiliated third party. In addition, we may choose not to enforce, or to enforce less vigorously, our respective rights and remedies under the Advisory Agreement and the Administration Agreement because of our desire to maintain our ongoing relationship with RGC, our Administrator and their respective affiliates. Any such decision, however, could cause us to breach our fiduciary obligations to our stockholders.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management fee may induce RGC to purchase assets with borrowed funds and to use leverage despite any enhanced risk.</w:t>
      </w:r>
    </w:p>
    <w:p>
      <w:pPr>
        <w:spacing w:after="0" w:line="1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The management fee payable by us to RGC may create an incentive for RGC to purchase assets with borrowed funds when it is unwise to do so or to pursue investments on our behalf that are riskier or more speculative than would be the case in the absence of such compensation arrangement. The management fee payable to RGC is calculated based on the amount of our gross assets, which includes assets purchased with borrowed funds or other forms of leverage. Under certain circumstances, the use of leverage may increase the likelihood of default, which would impair the value of our common stock.</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0" w:name="page31"/>
    <w:bookmarkEnd w:id="3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capital gains portion of our incentive fee may induce RGC to make speculative investments.</w:t>
      </w:r>
    </w:p>
    <w:p>
      <w:pPr>
        <w:spacing w:after="0" w:line="1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RGC receives the incentive fee based, in part, upon net capital gains realized on our investments. Under the incentive fee structure, RGC may benefit when we recognize capital gains and, because RGC, in certain circumstances, will determine when to sell an investment, RGC will control the timing of the recognition of such capital gains. As a result, in certain situations RGC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261"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general increase in interest rates will likely have the effect of making it easier for RGC to receive incentive fees, without necessarily resulting in an increase in our net earnings.</w:t>
      </w:r>
    </w:p>
    <w:p>
      <w:pPr>
        <w:spacing w:after="0" w:line="151"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4"/>
          <w:szCs w:val="14"/>
          <w:color w:val="auto"/>
        </w:rPr>
        <w:t>Given the structure of the Advisory Agreement, any general increase in interest rates can be expected to lead to higher interest rates applicable to our debt investments and will likely have the effect of making it easier for RGC to meet the quarterly hurdle rate for payment of income incentive fees under the Advisory Agreement without any additional increase in relative performance on the part of RGC. This may occur without a corresponding increase in distributions to our stockholders. In addition, in view of the catch-up provision applicable to income incentive fees under the Advisory Agreement, RGC could potentially receive a significant portion of the increase in our investment income attributable to such a general increase in interest rates. If that were to occur, our increase in net earnings, if any, would likely be significantly smaller than the relative increase in RGC’s income incentive fee resulting from such a general increase in interest rates.</w:t>
      </w:r>
    </w:p>
    <w:p>
      <w:pPr>
        <w:spacing w:after="0" w:line="23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RGC and our Administrator have the right to resign upon not more than 60 days’ notice, and we may not be able to find a suitable replacement for either within that time, or at all, resulting in a disruption in our operations that could adversely affect our financial condition, business and results of operations.</w:t>
      </w:r>
    </w:p>
    <w:p>
      <w:pPr>
        <w:spacing w:after="0" w:line="15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RGC has the right, under the Advisory Agreement, to resign at any time upon not more than 60 days’ written notice, regardless of whether we have found a replacement. Similarly, our Administrator has the right under the Administration Agreement to resign at any time upon not more than 60 days’ written notice, regardless of whether we have found a replacement. If RGC or our Administrator were to resign, we may not be able to find a new investment adviser or administrator or hire internal management with similar expertise and ability to provide the same or equivalent services on acceptable terms prior to the resignation of RGC or our Administrator, or at all. If we are unable to do so quickly, our operations are likely to experience a disruption, our financial condition, business and results of operations, as well as our ability to pay distributions, are likely to be materially and adversely affected. In addition, the coordination of our internal management and investment or administrative activities, as applicable, are likely to suffer if we are unable to identify and reach an agreement with a single institution or group of executives having the expertise possessed by RGC, our Administrator and their respective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results of operations and cash flows.</w:t>
      </w:r>
    </w:p>
    <w:p>
      <w:pPr>
        <w:spacing w:after="0" w:line="3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31" w:name="page32"/>
    <w:bookmarkEnd w:id="3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need to raise additional capital to grow because we must distribute most of our income.</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may need additional capital to fund growth in our investments. A reduction in the availability of new capital could limit our ability to grow. We must distribute at least 90% of our investment company taxable income to our stockholders to maintain our tax treatment as a RIC. As a result, any such cash earnings may not be available to fund investment originations. We have and may, in the future, borrow under debt facilities from financial institutions and issue additional debt and equity securities. If we fail to obtain funds from such sources or from other sources to fund our investments, it could limit our ability to grow, which may have an adverse effect on the value of our securities. In addition, as a BDC, our ability to borrow or issue preferred stock may be restricted if our total assets are less than 150% of our total borrowings and preferred stock. See "— 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70" w:lineRule="exact"/>
        <w:rPr>
          <w:sz w:val="20"/>
          <w:szCs w:val="20"/>
          <w:color w:val="auto"/>
        </w:rPr>
      </w:pPr>
    </w:p>
    <w:p>
      <w:pPr>
        <w:jc w:val="both"/>
        <w:ind w:right="120"/>
        <w:spacing w:after="0" w:line="299" w:lineRule="auto"/>
        <w:rPr>
          <w:sz w:val="20"/>
          <w:szCs w:val="20"/>
          <w:color w:val="auto"/>
        </w:rPr>
      </w:pPr>
      <w:r>
        <w:rPr>
          <w:rFonts w:ascii="Times New Roman" w:cs="Times New Roman" w:eastAsia="Times New Roman" w:hAnsi="Times New Roman"/>
          <w:sz w:val="14"/>
          <w:szCs w:val="14"/>
          <w:color w:val="auto"/>
        </w:rPr>
        <w:t>In addition, shares of BDCs have recently traded at discounts to their net asset values. If our common stock trades below its net asset value, we will not be able to issue additional shares of our common stock at its market price without first obtaining the approval for such issuance from our stockholders and our independent directors. If additional funds are not available to us, we could be forced to curtail or cease new lending and investment activities and our net asset value could decline.</w:t>
      </w:r>
    </w:p>
    <w:p>
      <w:pPr>
        <w:spacing w:after="0" w:line="13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 reduction in the availability of new capital or an inability on our part to access the capital markets successfully could limit our ability to grow our business and execute our business strategy fully and decrease our earnings, if any, which could have a material adverse effect on our business, financial condition, results of operations and 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failure on our part to maintain our status as a BDC or fail to qualify as a RIC would reduce our operating flexibility.</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The 1940 Act imposes numerous constraints on the operations of BDCs. For example, BDCs are required to invest at least 70% of their gross assets in specified types of</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 xml:space="preserve"> "qualifying assets," primarily in private U.S. companies or thinly-traded U.S. public companies, cash, cash equivalents, U.S. government securities and other high-quality debt investments that mature in one year or less. In addition, subject to certain limited exceptions, an investment in an issuer that has outstanding securities listed on a national exchange may be treated as a qualifying asset only if such issuer has a market capitalization that is less than $250.0 million at the time of such investment. Moreover, as a RIC, the treatment for which we intend to qualify annually, we are required to satisfy certain source -of-income, diversification and distribution requirements. Therefore, we may be precluded from investing in what we believe are attractive investments if such investments are not qualifying assets. Conversely, if we fail to invest a sufficient portion of our assets in qualifying assets, we could lose our status as a BDC, which would have a material adverse effect on our business, financial condition and results of operations. Similarly, these constraints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 These constraints, among others, may hinder our ability to take advantage of attractive investment opportunities and to achieve our investment objective.</w:t>
      </w:r>
    </w:p>
    <w:p>
      <w:pPr>
        <w:spacing w:after="0" w:line="334"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qualify, or maintain our qualification, as a BDC, we will be subject to the substantially greater regulation under the 1940 Act as a closed-end investment company. Compliance with such regulations would significantly decrease our operating flexibility and could significantly increase our costs of doing business.</w:t>
      </w:r>
    </w:p>
    <w:p>
      <w:pPr>
        <w:spacing w:after="0" w:line="261"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BDC affect our ability to raise additional capital and the way in which we do so. As a BDC, the necessity of raising additional capital may expose us to risks, including the typical risks associated with leverage.</w:t>
      </w:r>
    </w:p>
    <w:p>
      <w:pPr>
        <w:spacing w:after="0" w:line="1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may issue debt securities or preferred stock and/or borrow money from banks or other financial institutions, which we refer to collectively as "senior securities," up to the maximum amount permitted by the 1940 Act. Under the provisions of the 1940 Act, we are generally permitted, as a BDC, to issue senior securities in amounts such that our asset coverage ratio, as defined in the 1940 Act, equals at least 150% of gross assets less all liabilities and indebtedness not represented by senior securities, after each issuance of senior securities.</w:t>
      </w:r>
    </w:p>
    <w:p>
      <w:pPr>
        <w:spacing w:after="0" w:line="167" w:lineRule="exact"/>
        <w:rPr>
          <w:sz w:val="20"/>
          <w:szCs w:val="20"/>
          <w:color w:val="auto"/>
        </w:rPr>
      </w:pPr>
    </w:p>
    <w:p>
      <w:pPr>
        <w:jc w:val="both"/>
        <w:ind w:right="460"/>
        <w:spacing w:after="0" w:line="247" w:lineRule="auto"/>
        <w:rPr>
          <w:sz w:val="20"/>
          <w:szCs w:val="20"/>
          <w:color w:val="auto"/>
        </w:rPr>
      </w:pPr>
      <w:r>
        <w:rPr>
          <w:rFonts w:ascii="Times New Roman" w:cs="Times New Roman" w:eastAsia="Times New Roman" w:hAnsi="Times New Roman"/>
          <w:sz w:val="16"/>
          <w:szCs w:val="16"/>
          <w:color w:val="auto"/>
        </w:rPr>
        <w:t>If the value of our assets decline, we may be unable to satisfy the asset coverage test. If that happens, we may be required to sell a portion of our investments and, depending on the nature of our leverage, repay a portion of our indebtedness at a time when such sales may be disadvantageous. Also, any amounts that we use to service our indebtedness would not be available for distributions to our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2" w:name="page33"/>
    <w:bookmarkEnd w:id="3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common stockholders. Furthermore, as a result of issuing senior securities, we would also be exposed to typical risks associated with leverage, including an increased risk of loss.</w:t>
      </w:r>
    </w:p>
    <w:p>
      <w:pPr>
        <w:spacing w:after="0" w:line="155"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If we issue preferred stock, the preferred stock would rank "senior" to common stock in our capital structure, preferred stockholders would have separate voting rights on certain matters and might have other rights, preferences, or privileges more favorable than those of our common stockholders, and the issuance of preferred stock could have the effect of delaying, deferring or preventing a transaction or a change of control that might involve a premium price for holders of our common stock or otherwise be in your best interest.</w:t>
      </w:r>
    </w:p>
    <w:p>
      <w:pPr>
        <w:spacing w:after="0" w:line="16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are generally not able to issue and sell our common stock at a price below net asset value per share. We may, however, sell our common stock, or warrants, options or rights to acquire our common stock, at a price below the then-current net asset value per share of our common stock if our Board of Directors determines that such sale is in the best interests of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or senior securities convertible into, or exchangeable for, our common stock, then the percentage ownership of our stockholders at that time will decrease, and you may experience dilution.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borrow money, which could magnify the potential for gain or loss on amounts invested and may increase the risk of investing in us.</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The use of leverage magnifies the potential for gain or loss on amounts invested and, therefore, increases the risks associated with investing in our securities. We borrow from and issue, and may continue to in the future, senior debt securities to banks, insurance companies and other lenders. Holders of these senior securities will have fixed dollar claims on our assets that are superior to the claims of our common stockholders, and we would expect such lenders to seek recovery against our assets in the event of a default.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investment income to increase more than it would without the leverage, while any decrease in our income would cause net income to decline more sharply than it would have had we not borrowed. Such a decline could also negatively affect our ability to make dividend payments on our common stock, scheduled debt payments or other payments related to our securities. Leverage is generally considered a speculative investment technique. Our ability to service any debt that we incur will depend largely on our financial performance and will be subject to prevailing economic conditions and competitive pressures. In addition, our common stockholders will bear the burden of any increase in our expenses, including our interest expense, as a result of leverage.</w:t>
      </w:r>
    </w:p>
    <w:p>
      <w:pPr>
        <w:spacing w:after="0" w:line="17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As a BDC, we are generally required to meet an asset coverage ratio, defined under the 1940 Act as the ratio of our gross assets (less all liabilities and indebtedness not represented by senior securities) to our outstanding senior securities, of at least 150% after each issuance of senior securities. If this ratio declines below 150%, we may not be able to incur additional debt and could be required by law to sell a portion of our investments to repay some debt when it is disadvantageous to do so, which could have a material adverse effect on our operations, and we may not be able to make distributions. The amount of leverage that we employ will depend on RGC’s and our Board of Director's assessment of market and other factors at the time of any proposed borrowing. We cannot assure you that we will be able to obtain credit at all or on terms acceptable to us. 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qualify as a RIC.</w:t>
      </w:r>
    </w:p>
    <w:p>
      <w:pPr>
        <w:spacing w:after="0" w:line="147"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The following table illustrates the effect of leverage on returns from an investment in our common stock assuming various annual returns on our portfolio as of December 31, 2024,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6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Assumed Return on Our Portfolio</w:t>
            </w: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3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of Expenses)</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6"/>
        </w:trPr>
        <w:tc>
          <w:tcPr>
            <w:tcW w:w="3640" w:type="dxa"/>
            <w:vAlign w:val="bottom"/>
            <w:shd w:val="clear" w:color="auto" w:fill="CFF0FC"/>
          </w:tcPr>
          <w:p>
            <w:pPr>
              <w:spacing w:after="0"/>
              <w:rPr>
                <w:sz w:val="13"/>
                <w:szCs w:val="13"/>
                <w:color w:val="auto"/>
              </w:rPr>
            </w:pPr>
          </w:p>
        </w:tc>
        <w:tc>
          <w:tcPr>
            <w:tcW w:w="1920" w:type="dxa"/>
            <w:vAlign w:val="bottom"/>
            <w:shd w:val="clear" w:color="auto" w:fill="CFF0FC"/>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-10%</w:t>
            </w:r>
          </w:p>
        </w:tc>
        <w:tc>
          <w:tcPr>
            <w:tcW w:w="90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-5%</w:t>
            </w:r>
          </w:p>
        </w:tc>
        <w:tc>
          <w:tcPr>
            <w:tcW w:w="2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0%</w:t>
            </w:r>
          </w:p>
        </w:tc>
        <w:tc>
          <w:tcPr>
            <w:tcW w:w="840" w:type="dxa"/>
            <w:vAlign w:val="bottom"/>
            <w:shd w:val="clear" w:color="auto" w:fill="CFF0FC"/>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5%</w:t>
            </w:r>
          </w:p>
        </w:tc>
        <w:tc>
          <w:tcPr>
            <w:tcW w:w="120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10%</w:t>
            </w:r>
          </w:p>
        </w:tc>
      </w:tr>
      <w:tr>
        <w:trPr>
          <w:trHeight w:val="219"/>
        </w:trPr>
        <w:tc>
          <w:tcPr>
            <w:tcW w:w="3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Corresponding return to common stockholder</w:t>
            </w:r>
            <w:r>
              <w:rPr>
                <w:rFonts w:ascii="Times New Roman" w:cs="Times New Roman" w:eastAsia="Times New Roman" w:hAnsi="Times New Roman"/>
                <w:sz w:val="16"/>
                <w:szCs w:val="16"/>
                <w:color w:val="auto"/>
                <w:vertAlign w:val="superscript"/>
              </w:rPr>
              <w:t>(1)</w:t>
            </w:r>
          </w:p>
        </w:tc>
        <w:tc>
          <w:tcPr>
            <w:tcW w:w="1920" w:type="dxa"/>
            <w:vAlign w:val="bottom"/>
          </w:tcPr>
          <w:p>
            <w:pPr>
              <w:jc w:val="right"/>
              <w:ind w:right="374"/>
              <w:spacing w:after="0"/>
              <w:rPr>
                <w:sz w:val="20"/>
                <w:szCs w:val="20"/>
                <w:color w:val="auto"/>
              </w:rPr>
            </w:pPr>
            <w:r>
              <w:rPr>
                <w:rFonts w:ascii="Times New Roman" w:cs="Times New Roman" w:eastAsia="Times New Roman" w:hAnsi="Times New Roman"/>
                <w:sz w:val="13"/>
                <w:szCs w:val="13"/>
                <w:color w:val="auto"/>
              </w:rPr>
              <w:t>-29.3%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20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w:t>
            </w:r>
          </w:p>
        </w:tc>
        <w:tc>
          <w:tcPr>
            <w:tcW w:w="84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2.5%</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670750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ind w:left="280" w:right="60"/>
        <w:spacing w:after="0" w:line="206"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Assumes (i) $1.1 billion in total assets, (ii) $558.3 million in outstanding indebtedness, (iii) $514.9 million in net assets and (iv) weighted average interest rate, excluding fees (such as fees on undrawn amounts and amortization of financing costs) of 7.51%.</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3" w:name="page34"/>
    <w:bookmarkEnd w:id="3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Any defaults under our Credit Facility or other borrowings, including the 2026 or 2027 Notes, could adversely affect our business.</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On May 31, 2019 (as subsequently amended), we entered into a credit agreement ("Credit Facility") by and among us, as borrower, the financial institutions party thereto as lenders, KeyBank National Association, as administrative agent, syndication agent, and a lender, CIBC Bank USA, as documentation agent and a lender, MUFG Union Bank, N.A., as co-documentation agent and lender and U.S. Bank National Association, as paying agent.</w:t>
      </w:r>
    </w:p>
    <w:p>
      <w:pPr>
        <w:spacing w:after="0" w:line="16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On December 10, 2021, we entered into a master note purchase agreement in connection with a private debt offering of $70.0 million in aggregate principal amount of 4.25% interest-bearing unsecured Series 2021A Senior Notes due 2026 (the “December 2026 Notes”). On April 13, 2023, we entered into the first supplement to the master note purchase agreement in connection with an additional private debt offering of $ 25.0 million in aggregate principal amount of 8.54% interest-bearing unsecured Series 2023A Senior Notes due 2026 (the “April 2026 Notes” and together with the December 2026 Notes, the “2026 Notes”).</w:t>
      </w:r>
    </w:p>
    <w:p>
      <w:pPr>
        <w:spacing w:after="0" w:line="16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On July 28, 2022, we issued and sold $80.5 million in aggregate principal amount of 7.50% interest-bearing unsecured Notes due 2027 (the “July 2027 Notes”), pursuant to a base indenture by and between us and U.S. Bank Trust Company, National Association, as trustee, dated July 28, 2022 (the “Base Indenture”), and the first supplemental indenture thereto, dated July 28, 2022. On August 31, 2022, we issued and sold $20.0 million in aggregate principal amount of 7.00% interest -bearing unsecured Series 2022A Senior Notes due 2027 (the “August 2027 Notes”) to HCM Master Fund Limited in a private debt offering. On December 7, 2022, we issued and sold $ 51.75 million in aggregate principal amount of 8.00% interest-bearing unsecured Notes due 2027 (the “December 2027 Notes” and together with the July 2027 Notes and the August 2027 Notes, the “2027 Notes”), pursuant to the Base Indenture and the second supplemental indenture thereto, dated December 7, 2022.</w:t>
      </w:r>
    </w:p>
    <w:p>
      <w:pPr>
        <w:spacing w:after="0" w:line="14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In the event we default under our Credit Facility, or other borrowings, including the 2026 Notes and 2027 Notes, our business could be adversely affected as we may be forced to sell a portion of our investments quickly and prematurely at what may be unfavorable prices to us in order to meet our outstanding payment obligations and/or support working capital requirements under such borrowing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obtain additional debt financing, or if our borrowing capacity is materially reduced, our business could be materially adversely affected.</w:t>
      </w:r>
    </w:p>
    <w:p>
      <w:pPr>
        <w:spacing w:after="0" w:line="19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We may want to obtain additional debt financing or need to do so upon maturity of the Credit Facility, in order to obtain funds that may be made available for investments. The availability period under the Credit Facility expires on April 20, 2025 and is followed by a one year amortization period. The stated maturity date under the Credit Facility is April 20, 2026, unless extended. If we are unable to increase, renew or replace the Credit Facility and enter into new debt financing facilities or other debt financing on commercially reasonable terms, our liquidity may be reduced significantly. In addition, if we are unable to repay amounts outstanding under any such facilities and are declared in default or are unable to renew or refinance these facilities, we may not be able to make new investments or operate our business in the normal course. These situations may arise due to circumstances that we may be unable to control, such as lack of access to the credit markets, a severe decline in the value of the U.S. dollar, an economic downturn or an operational problem that affects us or third parties, and could materially damage our business operations, results of operations and financial condition.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interest rates may affect our cost of capital, the ability of our portfolio companies to service their debt obligations and our net investment income.</w:t>
      </w:r>
    </w:p>
    <w:p>
      <w:pPr>
        <w:spacing w:after="0" w:line="1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Following a period of elevated interest rates to address inflation concerns, in the third quarter of 2024, the Federal Reserve cut rates for the first time since March 2020 and, most recently, cut rates in the fourth quarter of 2024. The Federal Reserve has indicated that there may be additional rate cuts in the future; however future reductions to the benchmark rate are not certain. General interest rate fluctuations and changes in credit spreads on floating rate loans may have a substantial negative impact on our investments and investment opportunities and, accordingly, may have a material adverse effect on our rate of return on invested capital, our net investment income, and our net asset value. Substantially all of our debt investments will have variable interest rates that reset periodically based on benchmarks such as the SOFR and Prime rates.</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4" w:name="page35"/>
    <w:bookmarkEnd w:id="3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4"/>
          <w:szCs w:val="14"/>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such increases cause our borrowing costs to rise at a rate in excess of the rate that our investments yield. 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4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addition, to the extent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to the extent we use debt to finance our investments. In periods of rising interest rates, our cost of funds would increase, which could reduce our net investment income. In addition, in a prolonged low interest rate environment, including a reduction of SOFR or Prime rate to zero, the difference between the total interest income earned on interest earning assets and the total interest expense incurred on interest bearing borrowings may be compressed, reducing our net interest income and potentially adversely affecting our operating results.</w:t>
      </w:r>
    </w:p>
    <w:p>
      <w:pPr>
        <w:spacing w:after="0" w:line="17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 addition, a rise in the general level of interest rates can be expected to lead to higher interest rates applicable to our debt investments. Accordingly, an increase in interest rates would make it easier for us to meet or exceed the incentive fee hurdle rate and may result in a substantial increase of the amount of incentive fees payable to RGC with respect to our pre-incentive fee net investment income.</w:t>
      </w:r>
    </w:p>
    <w:p>
      <w:pPr>
        <w:spacing w:after="0" w:line="16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Alternatively, in a prolonged low interest rate environment, including a reduction of base rates, such as SOFR,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256"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w:t>
      </w:r>
    </w:p>
    <w:p>
      <w:pPr>
        <w:spacing w:after="0" w:line="16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A large percentage of our portfolio investments are in the form of debt investments that are not publicly traded. The fair value of these securities is not readily determinable. We value these investments on at least a quarterly basis in accordance with our valuation policy, which is at all times consistent with generally accepted accounting principles in the United States ("U.S. GAAP"). Our Board of Directors utilizes the services of certain independent third-party valuation firms to aid it in determining the fair value of these investments. The Board of Directors discusses valuations and determines the fair value in good faith based on the input of RGC, the Audit Committee and the applicable third -party valuation firm. The participation of RGC in our valuation process could result in a conflict of interest, since the management fees are based in part on our gross assets and also because RGC is receiving performance -based incentive fees. The factors that are considered in the fair value pricing of our investments include the nature and realizable value of any collateral, the portfolio company’s ability to make payments on loans and its earnings, the markets in which the portfolio company does business, comparisons to publicly traded companies, discounted cash flow, relevant credit market indices, and other relevant factors. Because such valuations, and particularly valuations of private investments and private companies, are inherently uncertain, may fluctuate over short periods of time and are often based on estimates, our determinations of fair value may differ materially from the values that would have been used if a ready market for these securities existed. In addition, the valuation of these types of securities may result in substantial write-downs and earnings volatility.</w:t>
      </w:r>
    </w:p>
    <w:p>
      <w:pPr>
        <w:spacing w:after="0" w:line="32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Our net asset value as of a particular date may be materially greater than or less than the value that would be realized if our assets were to be liquidated as of such date. For example, if we were required to sell a certain asset or all or a substantial portion of its assets on a particular date, the actual price that we would realize upon the disposition of such asset or assets could be materially less than the value of such asset or assets as reflected in our net asset value. Volatile market conditions could also cause reduced liquidity in the market for certain assets, which could result in liquidation values that are materially less than the values of such assets as reflected in our net asset value.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5" w:name="page36"/>
    <w:bookmarkEnd w:id="3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may change our investment objective, operating policies and strategies without prior notice or stockholder approval, the effects of which may be adverse.</w:t>
      </w:r>
    </w:p>
    <w:p>
      <w:pPr>
        <w:spacing w:after="0" w:line="15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Our Board of Directors has the authority to modify or waive our investment objective, current operating policies, investment criteria and strategies without prior notice (except as required by the 1940 Act) and without stockholder approval. However, absent stockholder approval, we may not change the nature of our business so as to cease to be, or withdraw our election as, a BDC. We cannot predict the effect any changes to our current operating policies, investment criteria and strategies would have on our business, net asset value, operating results and value of our stock. However, the effects of changes to our investment objective or criteria by our Board might be adverse, which could negatively impact our ability to pay you dividends and cause you to lose all or part of your investment.</w:t>
      </w:r>
    </w:p>
    <w:p>
      <w:pPr>
        <w:spacing w:after="0" w:line="26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To the extent original issue discount and PIK-interest constitute a portion of our income, we are exposed to typical risks associated with such income being required to be included in taxable and accounting income prior to receipt of cash representing such income.</w:t>
      </w:r>
    </w:p>
    <w:p>
      <w:pPr>
        <w:spacing w:after="0" w:line="15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Certain of our investments include original -issue-discount instruments and contractual PIK-interest arrangements. To the extent original issue discount or PIK-interest constitutes a portion of our income, we are exposed to typical risks associated with such income being required to be included in taxable and accounting income prior to receipt of cash, including the following:</w:t>
      </w:r>
    </w:p>
    <w:p>
      <w:pPr>
        <w:spacing w:after="0" w:line="164" w:lineRule="exact"/>
        <w:rPr>
          <w:sz w:val="20"/>
          <w:szCs w:val="20"/>
          <w:color w:val="auto"/>
        </w:rPr>
      </w:pPr>
    </w:p>
    <w:p>
      <w:pPr>
        <w:jc w:val="both"/>
        <w:ind w:left="360" w:right="120"/>
        <w:spacing w:after="0" w:line="247" w:lineRule="auto"/>
        <w:rPr>
          <w:sz w:val="20"/>
          <w:szCs w:val="20"/>
          <w:color w:val="auto"/>
        </w:rPr>
      </w:pPr>
      <w:r>
        <w:rPr>
          <w:rFonts w:ascii="Times New Roman" w:cs="Times New Roman" w:eastAsia="Times New Roman" w:hAnsi="Times New Roman"/>
          <w:sz w:val="16"/>
          <w:szCs w:val="16"/>
          <w:color w:val="auto"/>
        </w:rPr>
        <w:t>•The higher interest rates of original issue discount and PIK instruments reflect the payment deferral, which results in a higher principal amount at the maturity of the instrument as compared to the original principal amount of the instrument. Increased credit risk associated with these instruments, and original issue discount and PIK instruments generally, represent a significantly higher credit risk than coupon loans.</w:t>
      </w:r>
    </w:p>
    <w:p>
      <w:pPr>
        <w:spacing w:after="0" w:line="68"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•Even if the accounting conditions for income accrual are met, the borrower could still default when our actual collection is supposed to occur at the maturity of the obligation.</w:t>
      </w:r>
    </w:p>
    <w:p>
      <w:pPr>
        <w:spacing w:after="0" w:line="59" w:lineRule="exact"/>
        <w:rPr>
          <w:sz w:val="20"/>
          <w:szCs w:val="20"/>
          <w:color w:val="auto"/>
        </w:rPr>
      </w:pPr>
    </w:p>
    <w:p>
      <w:pPr>
        <w:ind w:left="360" w:right="260"/>
        <w:spacing w:after="0" w:line="247" w:lineRule="auto"/>
        <w:rPr>
          <w:sz w:val="20"/>
          <w:szCs w:val="20"/>
          <w:color w:val="auto"/>
        </w:rPr>
      </w:pPr>
      <w:r>
        <w:rPr>
          <w:rFonts w:ascii="Times New Roman" w:cs="Times New Roman" w:eastAsia="Times New Roman" w:hAnsi="Times New Roman"/>
          <w:sz w:val="16"/>
          <w:szCs w:val="16"/>
          <w:color w:val="auto"/>
        </w:rPr>
        <w:t>•Original issue discount and PIK instruments may have unreliable valuations because their continuing accruals require continuing judgments about the collectability of the deferred payments and the value of any associated collateral. Original issue discount and PIK-income may also create uncertainty about the source of our cash distributions.</w:t>
      </w:r>
    </w:p>
    <w:p>
      <w:pPr>
        <w:spacing w:after="0" w:line="68" w:lineRule="exact"/>
        <w:rPr>
          <w:sz w:val="20"/>
          <w:szCs w:val="20"/>
          <w:color w:val="auto"/>
        </w:rPr>
      </w:pPr>
    </w:p>
    <w:p>
      <w:pPr>
        <w:jc w:val="both"/>
        <w:ind w:left="360" w:right="40"/>
        <w:spacing w:after="0" w:line="247" w:lineRule="auto"/>
        <w:rPr>
          <w:sz w:val="20"/>
          <w:szCs w:val="20"/>
          <w:color w:val="auto"/>
        </w:rPr>
      </w:pPr>
      <w:r>
        <w:rPr>
          <w:rFonts w:ascii="Times New Roman" w:cs="Times New Roman" w:eastAsia="Times New Roman" w:hAnsi="Times New Roman"/>
          <w:sz w:val="16"/>
          <w:szCs w:val="16"/>
          <w:color w:val="auto"/>
        </w:rPr>
        <w:t>•To the extent we provide loans with interest -only payments or moderate loan amortization, the majority of the principal payment or amortization of principal may be deferred until loan maturity. Because this debt generally allows the borrower to make a large lump-sum payment of principal at the end of the loan term, there is a risk of loss if the borrower is unable to pay the lump sum or refinance the amount owed at maturity.</w:t>
      </w:r>
    </w:p>
    <w:p>
      <w:pPr>
        <w:spacing w:after="0" w:line="68" w:lineRule="exact"/>
        <w:rPr>
          <w:sz w:val="20"/>
          <w:szCs w:val="20"/>
          <w:color w:val="auto"/>
        </w:rPr>
      </w:pPr>
    </w:p>
    <w:p>
      <w:pPr>
        <w:ind w:left="360" w:right="80"/>
        <w:spacing w:after="0" w:line="243" w:lineRule="auto"/>
        <w:rPr>
          <w:sz w:val="20"/>
          <w:szCs w:val="20"/>
          <w:color w:val="auto"/>
        </w:rPr>
      </w:pPr>
      <w:r>
        <w:rPr>
          <w:rFonts w:ascii="Times New Roman" w:cs="Times New Roman" w:eastAsia="Times New Roman" w:hAnsi="Times New Roman"/>
          <w:sz w:val="16"/>
          <w:szCs w:val="16"/>
          <w:color w:val="auto"/>
        </w:rPr>
        <w:t>•For accounting purposes, any cash distributions to stockholders representing original issue discount and PIK- income are not treated as coming from paid-in capital, even though the cash to pay them comes from the offering proceeds. As a result, despite the fact that a distribution representing original issue discount and PIK -income could be paid out of amounts invested by our stockholders, the 1940 Act does not require that stockholders be given notice of this fact by reporting it as a return of capital.</w:t>
      </w:r>
    </w:p>
    <w:p>
      <w:pPr>
        <w:spacing w:after="0" w:line="71"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•In certain cases, we may recognize taxable income before or without receiving corresponding cash payments and, as a result, we may have difficulty meeting the Annual Distribution Requirement necessary to maintain our tax treatment as a RIC.</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6" w:name="page37"/>
    <w:bookmarkEnd w:id="3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and will continue to expend significant financial and other resources to comply with the requirements of being a public reporting entity.</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As a public reporting company, we are subject to the reporting requirements of the Exchange Act and certain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 over financial reporting, which are discussed below. See "Business – Regulation as a Business Development Company" in Part I, Item 1 of this Form 10-K. In order to maintain and improve the effectiveness of our disclosure controls and procedures and internal controls, significant resources and management oversight is required. We will continue to implement procedures, processes, policies and practices for the purpose of addressing the standards and requirements applicable to public companies. These activities may divert management’s attention from other initiatives, strategies or business concerns, which could have a material adverse effect on our business, financial condition, results of operations and cash flows. We expect to incur significant annual expenses related to these steps and, among other things, directors’ and officers’ liability insurance, director fees, reporting requirements of the SEC, transfer agent fees, additional administrative expenses payable to our Administrator to compensate them for hiring additional accounting, legal and administrative personnel, increased auditing and legal fees and similar expenses.</w:t>
      </w:r>
    </w:p>
    <w:p>
      <w:pPr>
        <w:spacing w:after="0" w:line="176"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6"/>
          <w:szCs w:val="16"/>
          <w:color w:val="auto"/>
        </w:rPr>
        <w:t>The systems and resources necessary to comply with public company reporting requirements will increase further once we cease to be an "emerging growth company" under the Jumpstart Our Business Startups Act of 2012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We will remain an emerging growth company for up to five years following our IPO, which we completed on October 25, 2021, although we would cease to be an emerging growth company as of the following December 31 if (i) the market value of our common stock that is held by non-affiliates exceeds $700.0 million as of any June 30 before that time, (ii) our annual gross revenue for the fiscal year exceeds $1.235 billion, or (iii) we issue an aggregate of $1.0 billion in non-convertible debt securities in any three year period. See "Business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Implications of Being an Emerging Growth Company" in Part I, Item 1 of this Form 10-K.</w:t>
      </w:r>
    </w:p>
    <w:p>
      <w:pPr>
        <w:spacing w:after="0" w:line="263" w:lineRule="exact"/>
        <w:rPr>
          <w:sz w:val="20"/>
          <w:szCs w:val="20"/>
          <w:color w:val="auto"/>
        </w:rPr>
      </w:pPr>
    </w:p>
    <w:p>
      <w:pPr>
        <w:ind w:right="28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are obligated to maintain proper and effective internal control over financial reporting. Failure to achieve and maintain effective internal controls over financial reporting in accordance with Section 404 of the Sarbanes-Oxley Act could have a material adverse effect on our business and the value of our common stock.</w:t>
      </w:r>
    </w:p>
    <w:p>
      <w:pPr>
        <w:spacing w:after="0" w:line="164" w:lineRule="exact"/>
        <w:rPr>
          <w:sz w:val="20"/>
          <w:szCs w:val="20"/>
          <w:color w:val="auto"/>
        </w:rPr>
      </w:pPr>
    </w:p>
    <w:p>
      <w:pPr>
        <w:jc w:val="both"/>
        <w:ind w:right="140"/>
        <w:spacing w:after="0" w:line="239" w:lineRule="auto"/>
        <w:rPr>
          <w:sz w:val="20"/>
          <w:szCs w:val="20"/>
          <w:color w:val="auto"/>
        </w:rPr>
      </w:pPr>
      <w:r>
        <w:rPr>
          <w:rFonts w:ascii="Times New Roman" w:cs="Times New Roman" w:eastAsia="Times New Roman" w:hAnsi="Times New Roman"/>
          <w:sz w:val="16"/>
          <w:szCs w:val="16"/>
          <w:color w:val="auto"/>
        </w:rPr>
        <w:t>We are obligated to maintain proper and effective internal control over financial reporting, including the internal control evaluation and certification requirements of Section 404 of the Sarbanes-Oxley Act ("Section 404"). We are required to conduct annual management assessments of the effectiveness of our internal controls over financial reporting. However, our independent registered public accounting firm will not be required to formally attest to the effectiveness of our internal control over financial reporting until the date (i) we are no longer an "emerging growth company" under the JOBS Act, and (ii) we become an "accelerated filer" as defined in Rule 12b-2 under the Exchange Act. Accordingly, our internal controls over financial reporting may not currently meet all of the standards contemplated by Section 404 that we will eventually be required to meet.</w:t>
      </w:r>
    </w:p>
    <w:p>
      <w:pPr>
        <w:spacing w:after="0" w:line="173"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16"/>
          <w:szCs w:val="16"/>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consolidated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are very risky and highly speculative.</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We invest primarily in senior secured term loans and other senior debt obligations and may on occasion invest in second lien loans issued by high growth-potential companies. We also have and continue to expect to acquire warrants and other equity securities from portfolio companies in connection with our investments in loans to these companies. We invest primarily in secured loans made to companies whose debt has generally not been rated by any rating agency, although we would expect such debt, if rated, to fall below investment grade. Securities rated below investment grade are often referred to as "high yield" securities and "junk bonds," and are considered "high risk" and speculative in nature compared to debt instruments that are rated above investment grade.</w:t>
      </w:r>
    </w:p>
    <w:p>
      <w:pPr>
        <w:spacing w:after="0" w:line="3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37" w:name="page38"/>
    <w:bookmarkEnd w:id="3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i w:val="1"/>
          <w:iCs w:val="1"/>
          <w:color w:val="auto"/>
        </w:rPr>
        <w:t xml:space="preserve">Senior Secured Loans. </w:t>
      </w:r>
      <w:r>
        <w:rPr>
          <w:rFonts w:ascii="Times New Roman" w:cs="Times New Roman" w:eastAsia="Times New Roman" w:hAnsi="Times New Roman"/>
          <w:sz w:val="16"/>
          <w:szCs w:val="16"/>
          <w:color w:val="auto"/>
        </w:rPr>
        <w:t>There is a risk that the collateral securing our loans may decrease in value over time, may be difficult to sell in a timely manner, may be difficult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appraise and may fluctuate in value based upon the success of the business and market conditions, including as a result of the inability of the portfolio company to raise additional capital. In some circumstances, our liens on the collateral securing our loans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compelled to enforce our remedies.</w:t>
      </w:r>
    </w:p>
    <w:p>
      <w:pPr>
        <w:spacing w:after="0" w:line="168"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Second Lien Secured Loans. </w:t>
      </w:r>
      <w:r>
        <w:rPr>
          <w:rFonts w:ascii="Times New Roman" w:cs="Times New Roman" w:eastAsia="Times New Roman" w:hAnsi="Times New Roman"/>
          <w:sz w:val="16"/>
          <w:szCs w:val="16"/>
          <w:color w:val="auto"/>
        </w:rPr>
        <w:t>In structuring our loans, we may subordinate our security interest in certain assets of a borrower to another lender, usually a bank. In these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situations, all of the risks identified above in Senior Secured Loans would be true and additional risks inherent in holding a junior security position would also be present, including, but not limited to those outlined below in "Second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69"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6"/>
          <w:szCs w:val="16"/>
          <w:i w:val="1"/>
          <w:iCs w:val="1"/>
          <w:color w:val="auto"/>
        </w:rPr>
        <w:t>Equity Investments</w:t>
      </w:r>
      <w:r>
        <w:rPr>
          <w:rFonts w:ascii="Times New Roman" w:cs="Times New Roman" w:eastAsia="Times New Roman" w:hAnsi="Times New Roman"/>
          <w:sz w:val="16"/>
          <w:szCs w:val="16"/>
          <w:color w:val="auto"/>
        </w:rPr>
        <w:t>. When we invest in secured loans, we may acquire equity securities as well, including warrants. In addition, we may also, on a limited basis, invest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directly in the equity securities of portfolio companies. The equity interests we receive may not appreciate in value and may in fact decline in value. Accordingly, we may not be able to realize gains from our equity interests, and any gains that we do realize on the disposition of any equity interests may not be sufficient to offset any other losses we experience.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investing in small, fast-growing, private companies involves a number of significant risks, including the following:</w:t>
      </w:r>
    </w:p>
    <w:p>
      <w:pPr>
        <w:spacing w:after="0" w:line="188" w:lineRule="exact"/>
        <w:rPr>
          <w:sz w:val="20"/>
          <w:szCs w:val="20"/>
          <w:color w:val="auto"/>
        </w:rPr>
      </w:pPr>
    </w:p>
    <w:p>
      <w:pPr>
        <w:ind w:left="360" w:right="300"/>
        <w:spacing w:after="0" w:line="247" w:lineRule="auto"/>
        <w:rPr>
          <w:sz w:val="20"/>
          <w:szCs w:val="20"/>
          <w:color w:val="auto"/>
        </w:rPr>
      </w:pPr>
      <w:r>
        <w:rPr>
          <w:rFonts w:ascii="Times New Roman" w:cs="Times New Roman" w:eastAsia="Times New Roman" w:hAnsi="Times New Roman"/>
          <w:sz w:val="16"/>
          <w:szCs w:val="16"/>
          <w:color w:val="auto"/>
        </w:rPr>
        <w:t>•they may have limited financial resources and may be unable to meet their obligations under their debt securities that we hold. This failure to meet obligations may be accompanied by a deterioration in the value of any collateral and a reduction in the likelihood of us realizing any guarantees we may have obtained in connection with our investment;</w:t>
      </w:r>
    </w:p>
    <w:p>
      <w:pPr>
        <w:spacing w:after="0" w:line="68" w:lineRule="exact"/>
        <w:rPr>
          <w:sz w:val="20"/>
          <w:szCs w:val="20"/>
          <w:color w:val="auto"/>
        </w:rPr>
      </w:pPr>
    </w:p>
    <w:p>
      <w:pPr>
        <w:ind w:left="360" w:right="680"/>
        <w:spacing w:after="0" w:line="259" w:lineRule="auto"/>
        <w:rPr>
          <w:sz w:val="20"/>
          <w:szCs w:val="20"/>
          <w:color w:val="auto"/>
        </w:rPr>
      </w:pPr>
      <w:r>
        <w:rPr>
          <w:rFonts w:ascii="Times New Roman" w:cs="Times New Roman" w:eastAsia="Times New Roman" w:hAnsi="Times New Roman"/>
          <w:sz w:val="16"/>
          <w:szCs w:val="16"/>
          <w:color w:val="auto"/>
        </w:rPr>
        <w:t>•they typically have shorter operating histories, narrower product lines and smaller market shares than larger businesses, which tend to render them more vulnerable to competitors’ actions, market conditions, and general economic downturns;</w:t>
      </w:r>
    </w:p>
    <w:p>
      <w:pPr>
        <w:spacing w:after="0" w:line="59"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9" w:lineRule="exact"/>
        <w:rPr>
          <w:sz w:val="20"/>
          <w:szCs w:val="20"/>
          <w:color w:val="auto"/>
        </w:rPr>
      </w:pPr>
    </w:p>
    <w:p>
      <w:pPr>
        <w:ind w:left="360" w:right="40"/>
        <w:spacing w:after="0" w:line="243" w:lineRule="auto"/>
        <w:rPr>
          <w:sz w:val="20"/>
          <w:szCs w:val="20"/>
          <w:color w:val="auto"/>
        </w:rPr>
      </w:pPr>
      <w:r>
        <w:rPr>
          <w:rFonts w:ascii="Times New Roman" w:cs="Times New Roman" w:eastAsia="Times New Roman" w:hAnsi="Times New Roman"/>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RGC may, in the ordinary course of business, be named as defendants in litigation arising from our investments in the portfolio companies; and</w:t>
      </w:r>
    </w:p>
    <w:p>
      <w:pPr>
        <w:spacing w:after="0" w:line="71" w:lineRule="exact"/>
        <w:rPr>
          <w:sz w:val="20"/>
          <w:szCs w:val="20"/>
          <w:color w:val="auto"/>
        </w:rPr>
      </w:pPr>
    </w:p>
    <w:p>
      <w:pPr>
        <w:ind w:left="360" w:right="180"/>
        <w:spacing w:after="0" w:line="259" w:lineRule="auto"/>
        <w:rPr>
          <w:sz w:val="20"/>
          <w:szCs w:val="20"/>
          <w:color w:val="auto"/>
        </w:rPr>
      </w:pPr>
      <w:r>
        <w:rPr>
          <w:rFonts w:ascii="Times New Roman" w:cs="Times New Roman" w:eastAsia="Times New Roman" w:hAnsi="Times New Roman"/>
          <w:sz w:val="16"/>
          <w:szCs w:val="16"/>
          <w:color w:val="auto"/>
        </w:rPr>
        <w:t>•they may have difficulty accessing the capital markets to meet future capital needs, which may limit their ability to grow or to repay their outstanding debt upon maturity.</w:t>
      </w:r>
    </w:p>
    <w:p>
      <w:pPr>
        <w:spacing w:after="0" w:line="15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many of our loans could be considered covenant-lite by traditional lending standards. We use the term "covenant-lite" loans to refer generally to loans that do not require a borrower to comply with financial maintenance covenants. Generally, covenant- lite loans permit borrowers more opportunity to negatively impact lenders because their covenants are incurrence-based, which means they are only tested and can only be breached following certain actions of the borrower, rather than by a deterioration in the borrower’s financial condition. Accordingly, because we make and have exposure to covenant- lite loans, we may have less protection from borrower actions and may have a greater risk of loss on such investments as compared to investments in or exposure to loans with financial maintenance covenants.</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8" w:name="page39"/>
    <w:bookmarkEnd w:id="3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Investing in high growth-potential, private companies involves a high degree of risk, and our financial results may be affected adversely if one or more of our significant portfolio investments defaults on its loans or fails to perform as we expect.</w:t>
      </w:r>
    </w:p>
    <w:p>
      <w:pPr>
        <w:spacing w:after="0" w:line="15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We expect that our portfolio will continue to consist primarily of debt investments in privately-owned companies, and to a lesser extent equity investments in privately-owned companies. Investing in these companies involves a number of significant risks. Typically, the debt in which we intend to invest will not be initially rated by any rating agency; however, we believe that if such investments were rated, they would generally be below investment grade. Securities rated below investment grade are often referred to as "high yield" securities and "junk bonds," and are considered "high risk" and speculative in nature compared to debt instruments that are rated investment grade. Compared to larger publicly owned companies, these companies may be in a weaker financial position and may experience wider variations in their operating results, which may make them more vulnerable to economic downturns. Typically, these companies need more capital to compete; however, their access to capital is limited and their cost of capital is often higher than that of their competitors. Our portfolio companies face intense competition from larger companies with greater financial, technical, and marketing resources and their success typically depends on the managerial talents and efforts of an individual or a small group of persons. Therefore, the loss of any of its key employees could affect a portfolio company’s ability to compete effectively and harm its financial condition. Further, some of these companies conduct business in regulated industries that are susceptible to regulatory changes, resulting in increased compliance measures and possibly more susceptibility to regulatory breaches or violations. These factors could impair the cash flow of our portfolio companies and result in other events, such as bankruptcy. These events could limit a portfolio company’s ability to repay its obligations to us, which may have an adverse effect on the return on, or the recovery of, our investment in these businesses. Deterioration in a borrower’s financial condition and prospects may be accompanied by deterioration in the value of the loan’s collateral.</w:t>
      </w:r>
    </w:p>
    <w:p>
      <w:pPr>
        <w:spacing w:after="0" w:line="33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Some of these companies cannot obtain financing from public capital markets or from traditional credit sources, such as commercial banks. Accordingly, the loans we make to these types of companies pose a higher default risk than loans made to companies that have access to traditional credit sources.</w:t>
      </w:r>
    </w:p>
    <w:p>
      <w:pPr>
        <w:spacing w:after="0" w:line="247" w:lineRule="exact"/>
        <w:rPr>
          <w:sz w:val="20"/>
          <w:szCs w:val="20"/>
          <w:color w:val="auto"/>
        </w:rPr>
      </w:pPr>
    </w:p>
    <w:p>
      <w:pPr>
        <w:ind w:right="6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 investment strategy focused primarily on privately held companies presents certain challenges, including the lack of available information about these companies and a greater vulnerability to economic downturns.</w:t>
      </w:r>
    </w:p>
    <w:p>
      <w:pPr>
        <w:spacing w:after="0" w:line="15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We invest primarily in high growth-potential, privately held companies and these companies may not have third-party credit ratings or audited consolidated financial statements subject to public accounting standards or otherwise. Generally, little public information exists about these companies, and we are required to rely on the ability of RGC’s investment team to obtain adequate financial or other information to evaluate the potential returns from investing in these companies. Furthermore, private companies and their financial information will not generally be subject to the Sarbanes-Oxley Act and other rules that govern public companies. If we are unable to uncover all material information about these companies through our diligence and underwriting process, we may not make a fully informed investment decision. This could adversely affect our investment returns as compared to companies investing primarily in the securities of public companies.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our and our portfolio companies’ business, results of operations and financial condition.</w:t>
      </w:r>
    </w:p>
    <w:p>
      <w:pPr>
        <w:spacing w:after="0" w:line="192"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Some of our portfolio companies may be adversely impacted during times of inflation. If such portfolio companies are unable to pass any increases in their costs along to their customers, it could adversely affect their results and impact their ability to pay interest and principal on our loans. In addition, any projected future decreases in our portfolio companies’ operating results due to inflation could adversely impact the fair value of those investments. Any decreases in the fair value of our investments could result in future unrealized losses and therefore reduce our net assets resulting from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companies may have limited operating histories and financial resources.</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Our portfolio consists of investments in companies that may have relatively limited operating histories. Generally, limited public information exists about these companies, and we are required to rely on the ability of RGC’s investment team to obtain adequate information to evaluate the potential returns from investing in these companies. If we are unable to uncover all material information about these companies, we may not make a fully informed investment decision, and we may lose money on our investments. These companies may be particularly vulnerable to U.S. economic downturns and may have limited access to capital. These companies also frequently have less diverse product lines and a smaller market presence than larger competitors and may experience substantial variations in operating results. These companies may face intense competition, including from companies with greater financial,</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39" w:name="page40"/>
    <w:bookmarkEnd w:id="3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technical, operational and marketing resources, and typically depend upon the expertise and experience of a single individual executive or a small management team. Our success depends, in large part, upon the abilities of the key management personnel of our portfolio companies, who are responsible for the day-to-day operations of our portfolio companies. Competition for qualified personnel is intense at any stage of a company’s development, but even more so at the growth stage of the companies we typically invest in. The inability to attract and retain and/or the loss of one or more key managers can hinder or delay a company’s implementation of its business plan and harm its financial condition, which could negatively affect our investment returns.</w:t>
      </w:r>
    </w:p>
    <w:p>
      <w:pPr>
        <w:spacing w:after="0" w:line="16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color w:val="auto"/>
        </w:rPr>
        <w:t>In addition, our existing and future portfolio companies may compete with each other for investment or business opportunities and the success of one could negatively impact the other. Furthermore, some of our portfolio companies do business in regulated industries and could be affected by changes in government regulation. Accordingly, these factors could impair their cash flow or result in other events, such as bankruptcy, which could limit their ability to repay their obligations to us, and may materially and adversely affect the return on, or the recovery of, our investment. As a result, we may lose our entire investment in any of our portfolio companies.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financial projections of our portfolio companies could prove inaccurate.</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generally evaluate the capital structure of portfolio companies on the basis of financial projections prepared by the management of such portfolio companies. These projected operating results are normally based primarily on judgments of the management of the portfolio companies. In all cases, projections are only estimates of future results that are based upon assumptions made at the time that the projections are developed. General economic conditions, which are not predictable with accuracy, along with other macroeconomic factors and specific factors of the portfolio company, may cause actual performance to fall short of the financial projections that were used to establish a given portfolio company’s capital structure. Because of the leverage that is typically employed by our portfolio companies, this could cause a substantial decrease in the value of our investment in the portfolio company. The inaccuracy of financial projections of portfolio companies could thus cause our performance to fall short of our expectations.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portfolio companies may incur debt that ranks equally with, or senior to, our investments in such companies.</w:t>
      </w:r>
    </w:p>
    <w:p>
      <w:pPr>
        <w:spacing w:after="0" w:line="192"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We invest primarily in senior secured loans made to high growth-potential private companies but, on occasion make second lien loans to portfolio companies. Our portfolio companies may have, or may be permitted to incur, other debt that ranks equally with, or in some cases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 In the case of second lien loans that we make to portfolio companies, we would not recover any of our principal amount of the loan until the first lien holder is fully repaid, which would likely result in us recovering less or no amounts due on our loan and, in turn, could have a materials adverse effect on our operations and financial condition.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may be circumstances in which our debt investments could be subordinated to claims of other creditors or we could be subject to lender liability claims.</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Even though we intend to structure most of our debt investments as secured loans, if one of our portfolio companies were to go bankrupt, depending on the facts and circumstances, and based upon principles of equitable subordination as defined by existing case law, a bankruptcy court could subordinate all or a portion of our claim to that of other creditors and transfer any lien securing such subordinated claim to the bankruptcy estate. The principles of equitable subordination defined by case law have generally indicated that a claim may be subordinated only if its holder is guilty of misconduct or where the senior loan is re-characterized as an equity investment and the senior lender has actually provided significant managerial assistance to the bankrupt debtor. In our case, we may, if requested to do so, provide managerial assistance to our portfolio companies.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 or actions to compel and collect payments from the borrower outside the ordinary course of business.</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0" w:name="page41"/>
    <w:bookmarkEnd w:id="4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Second priority liens on collateral securing loans that we make to our portfolio companies may be subject to control by senior creditors with first priority liens. If there is a default, the value of the collateral may not be sufficient to repay in full both the first priority creditors and us.</w:t>
      </w:r>
    </w:p>
    <w:p>
      <w:pPr>
        <w:spacing w:after="0" w:line="151"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6"/>
          <w:szCs w:val="16"/>
          <w:color w:val="auto"/>
        </w:rPr>
        <w:t>Certain loans that we make will be secured by a second priority security interest in the same collateral pledged by a portfolio company to secure senior debt owed by the portfolio company to commercial banks or other traditional lenders. Often the senior lender has procured covenants from the portfolio company prohibiting the incurrence of additional secured debt without the senior lender’s consent. Prior to and as a condition of permitting the portfolio company to borrow money from us secured by the same collateral pledged to the senior lender, the senior lender may require assurances that it will control the disposition of any collateral in the event of bankruptcy or other default. In many such cases, the senior lender will require us to enter into an intercreditor agreement prior to permitting the portfolio company to borrow from us. Typically the intercreditor agreements we will be requested to execute will expressly subordinate our debt instruments to those held by the senior lender and further provide that the senior lender will control: (1) the commencement of foreclosure or other proceedings to liquidate and collect on the collateral; (2) the nature, timing, and conduct of foreclosure or other collection proceedings; (3) the amendment of any collateral document; (4) the release of the security interests in respect of any collateral; and (5) the waiver of defaults under any security agreement. Because of the control we may cede to senior lenders under intercreditor agreements we may enter, we may be unable to realize the proceeds of any collateral securing some of our loans.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risks associated with our investments in covenant-lite loans.</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Venture lenders, in general, focus on a limited set of key financial performance metrics, including minimum liquidity, performance to plan, and investor abandonment, in lieu of a full set of financial performance covenants that do not meaningfully assess the risk of companies at the stage of development of companies in which venture lenders typically invest. As such, some of our loans could be considered covenant-lite by traditional lending standards. We have made and may in the future make or obtain significant exposure to covenant-lite loans, which generally are loans that do not require a borrower to comply with financial maintenance covenants, and may not include terms that allow the lender to monitor the financial performance of the borrower, including financial ratios, and declare a default if certain financial criteria are breached.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generally required under a covenant-heavy loan agreement. Generally, covenant-lite loans permit borrowers more opportunity to negatively impact lenders because their covenants, if any, tend to be incurrence-based, which means they are only tested and can only be breached following certain actions of the borrower, rather than by a deterioration in the borrower’s financial condition. Our investment in or exposure to a covenant-lite loan may potentially hinder our ability to reprice credit risk associated with the issuer and reduce our ability to restructure a problematic loan and mitigate potential loss. As a result, our exposure to losses may be increased, which could result in an adverse impact on our revenues, net income and net asset value.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lack of liquidity in our investments may adversely affect our business.</w:t>
      </w:r>
    </w:p>
    <w:p>
      <w:pPr>
        <w:spacing w:after="0" w:line="19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typically invest in companies whose securities are not publicly traded, and whose securities will be subject to legal and other restrictions on resale or will otherwise be less liquid than publicly traded securities. There is typically no established trading market for the securities in which we invest. The illiquidity of these investments may make it difficult for us to sell these investments when desired. In addition, if we are required to liquidate all or a portion of our portfolio quickly, we may realize significantly less than the value at which we had previously recorded these investments. As a result, we do not expect to achieve liquidity in our investments in the near-term and, in particular, with respect to the equity securities we acquire in our portfolio companies. Our investments are typically subject to contractual or legal restrictions on resale or are otherwise illiquid because there is no established trading market for such investments. The illiquidity of our investments may make it difficult for us to dispose of them at a favorable price or at all, and we may suffer losses as a result.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1" w:name="page42"/>
    <w:bookmarkEnd w:id="4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failure to make follow-on investments in our portfolio companies could impair the value of our portfolio.</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a subsequent financing; or (3) attempt to preserve or enhance the value of our investment. However, we may elect not to make follow-on investments or lack sufficient funds to make those investments. We will have the discretion to make any follow-on investments, subject to the availability of capital resources.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do not want to increase our concentration of risk, we prefer other opportunities, we are subject to BDC requirements that would prevent such follow-on investments, or the follow-on investment would affect our qualification as a RIC.</w:t>
      </w:r>
    </w:p>
    <w:p>
      <w:pPr>
        <w:spacing w:after="0" w:line="26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may lack diversification among portfolio companies, which subjects us to a risk of significant loss if one or more of these companies default on their repayment obligations under any of their debt instruments.</w:t>
      </w:r>
    </w:p>
    <w:p>
      <w:pPr>
        <w:spacing w:after="0" w:line="1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Our portfolio may hold a limited number of portfolio companies. Beyond the asset diversification requirements associated with our qualification as a RIC, we do not have fixed guidelines for diversification, and our investments may be concentrated in relatively few companies. As our portfolio is less diversified than the portfolios of some larger funds, we are more susceptible to failure if a single loan fails. As a result, if a significant loan fails to perform as expected, our business, financial condition, results of operation and cash flows could be more negatively affected and the magnitude of the loss could be more significant than if we had made smaller investments in more companies. Similarly, the aggregate returns we realize may be significantly adversely affected if a small number of investments perform poorly or if we need to write down the value of any one investment.</w:t>
      </w:r>
    </w:p>
    <w:p>
      <w:pPr>
        <w:spacing w:after="0" w:line="26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may be concentrated in a limited number of industries, which will subject us to a risk of significant loss if there is a downturn in a particular industry in which a number of our investments are concentrated.</w:t>
      </w:r>
    </w:p>
    <w:p>
      <w:pPr>
        <w:spacing w:after="0" w:line="15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Our portfolio is concentrated in a limited number of industries. We invest primarily in companies focused in technology, life sciences, healthcare information and services, business services, financial services, select consumer services and products and other high growth industries. A downturn in any particular industry in which we are invested could significantly impact the aggregate returns we realize. As our portfolio may be less diversified than the portfolios of other investment vehicles, we may be more susceptible to losses if a single loan is not repaid. Similarly, the aggregate returns we realize may be significantly adversely affected if a small number of investments perform poorly or if we need to write down the value of any one investment.</w:t>
      </w:r>
    </w:p>
    <w:p>
      <w:pPr>
        <w:spacing w:after="0" w:line="261" w:lineRule="exact"/>
        <w:rPr>
          <w:sz w:val="20"/>
          <w:szCs w:val="20"/>
          <w:color w:val="auto"/>
        </w:rPr>
      </w:pPr>
    </w:p>
    <w:p>
      <w:pPr>
        <w:ind w:right="4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may lack diversification among our Sponsored Growth Lending and Non-Sponsored Growth Lending strategies and among sponsors within the Sponsored Growth Lending strategy.</w:t>
      </w:r>
    </w:p>
    <w:p>
      <w:pPr>
        <w:spacing w:after="0" w:line="1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Our objective is to build a balanced portfolio with diversification among sponsored and non-sponsored transactions, diversification among sponsors within the Sponsored Growth Lending strategy, and diversification among industry, geography, and stage of development generally, which we believe will contribute to a favorable risk adjusted return for the portfolio viewed as a whole. If we are unable to achieve diversification or retain it, we may not achieve favorable risk adjusted returns for the portfolio viewed as a whole.</w:t>
      </w:r>
    </w:p>
    <w:p>
      <w:pPr>
        <w:spacing w:after="0" w:line="259"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invest in sectors including technology, life sciences, healthcare information and services, business services, financial services, select consumer services and products and other high-growth industries, which are subject to specific risks related to each.</w:t>
      </w:r>
    </w:p>
    <w:p>
      <w:pPr>
        <w:spacing w:after="0" w:line="15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intend to continue to invest the largest portions of our portfolio in technology, life sciences, healthcare information and services, business services, financial services, select consumer services and products and other high-growth industries. Our portfolio companies may address needs in technology-related industries and markets. We expect that our technology portfolio will consist of companies that commercialize and integrate products targeted at technology-related markets. There are risks in investing in companies that target technology-related markets, including rapid and sometimes dramatic price erosion of products, the reliance on capital and debt markets to finance large capital outlays, including fabrication facilities, the reliance on partners outside of the United States, particularly in Asia, and inherent cyclicality of the technology market in general. As a result of multiple factors, access to capital may be difficult or impossible for companies in our portfolio that are pursuing these markets.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2" w:name="page43"/>
    <w:bookmarkEnd w:id="4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risks associated with our investments in life sciences-related companies.</w:t>
      </w:r>
    </w:p>
    <w:p>
      <w:pPr>
        <w:spacing w:after="0" w:line="1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Our life sciences portfolio consists primarily of companies that commercialize and integrate products in life sciences-related industries, including biotechnology, drug discovery, drug delivery, bioinformatics and medical devices. There are risks in investing in companies that target life sciences-related industries, including, but not limited to, the uncertainty of timing and results of clinical trials to demonstrate the safety and efficacy of products; failure to obtain any required regulatory approval of products; failure to develop manufacturing processes that meet regulatory standards; competition, in particular from companies that develop rival products; and the ability to protect proprietary technology. Adverse developments in any of these areas may adversely affect the value of our life sciences portfolio.</w:t>
      </w:r>
    </w:p>
    <w:p>
      <w:pPr>
        <w:spacing w:after="0" w:line="14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This life sciences industry is dominated by large multinational corporations with substantially greater financial and technical resources than generally will be available to our portfolio companies. Such large corporations may be better able to adapt to the challenges presented by continuing rapid and major scientific, regulatory and technological changes as well as related changes in governmental and third-party reimbursement policies.</w:t>
      </w:r>
    </w:p>
    <w:p>
      <w:pPr>
        <w:spacing w:after="0" w:line="16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Within the life sciences industry, the development of products generally is a costly and time-consuming process. Many highly promising products ultimately fail to prove to be safe and effective. There can be no assurance that the research or product development efforts of our portfolio companies or those of their collaborative partners will be successfully completed, that specific products can be manufactured in adequate quantities at an acceptable cost and with appropriate quality, or that such products can be successfully marketed or achieve customer acceptance. There can be no assurance that a product will be relevant and/or be competitive with products from other companies following the costly, time-consuming process of its development.</w:t>
      </w:r>
    </w:p>
    <w:p>
      <w:pPr>
        <w:spacing w:after="0" w:line="16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research, development, manufacturing, and marketing of products developed by some life sciences companies are subject to extensive regulation by numerous government authorities in the United States and other countries. There can be no assurance that products developed by the portfolio companies will ever be approved by such governmental authorities.</w:t>
      </w:r>
    </w:p>
    <w:p>
      <w:pPr>
        <w:spacing w:after="0" w:line="164" w:lineRule="exact"/>
        <w:rPr>
          <w:sz w:val="20"/>
          <w:szCs w:val="20"/>
          <w:color w:val="auto"/>
        </w:rPr>
      </w:pPr>
    </w:p>
    <w:p>
      <w:pPr>
        <w:jc w:val="both"/>
        <w:ind w:right="440"/>
        <w:spacing w:after="0" w:line="247" w:lineRule="auto"/>
        <w:rPr>
          <w:sz w:val="20"/>
          <w:szCs w:val="20"/>
          <w:color w:val="auto"/>
        </w:rPr>
      </w:pPr>
      <w:r>
        <w:rPr>
          <w:rFonts w:ascii="Times New Roman" w:cs="Times New Roman" w:eastAsia="Times New Roman" w:hAnsi="Times New Roman"/>
          <w:sz w:val="16"/>
          <w:szCs w:val="16"/>
          <w:color w:val="auto"/>
        </w:rPr>
        <w:t>Many life sciences portfolio companies will depend heavily upon intellectual property for their competitive position. There can be no assurance that the portfolio companies will be able to obtain patents for key inventions. Moreover, within the life sciences industry, patent challenges are frequent. Even if patents held by the portfolio companies are upheld, any challenges thereto may be costly and distracting to the portfolio companies’ management.</w:t>
      </w:r>
    </w:p>
    <w:p>
      <w:pPr>
        <w:spacing w:after="0" w:line="16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Some of the life sciences portfolio companies will be at least partially dependent for their success upon governmental and third-party reimbursement policies that are under constant review and are subject to change at any time. Any such change could adversely affect the viability of one or more portfolio companies.</w:t>
      </w:r>
    </w:p>
    <w:p>
      <w:pPr>
        <w:spacing w:after="0" w:line="247"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Technology-related sectors, including those involving data processing and outsourced services, in which we invest are subject to many risks, including volatility, intense competition, decreasing life cycles, product obsolescence, changing consumer preferences and periodic downturns.</w:t>
      </w:r>
    </w:p>
    <w:p>
      <w:pPr>
        <w:spacing w:after="0" w:line="151"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Given the experience of RGC’s senior investment professionals within the technology space, a number of the companies in which we intend to invest operate in technology-related sectors. The revenue, income (or losses) and valuations of technology-related companies can and often do fluctuate suddenly and dramatically. In addition, because of rapid technological change, the average selling prices of products and some services provided by technology-related sectors have historically decreased over their productive lives. As a result, the average selling prices of products and services offered by our portfolio companies that operated in technology-related sectors may decrease over time, which could adversely affect their operating results and, correspondingly, the value of any securities that we may hold. This could, in turn, materially adversely affect our business, financial condition and results of operations. Specifically, our investments in electronic equipment may be subject to risks unique to this industry. The products manufactured in the electronic equipment industry are subject to rapid technological change and intense competition. The electronic equipment industry is also subject to fluctuations in demand, which may adversely affect the operating results of our portfolio companies in this industry.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3" w:name="page44"/>
    <w:bookmarkEnd w:id="4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Certain technology-related industries are subject to extensive government regulation, which exposes us to the risk of significant loss if any of these industry sectors experiences a downturn.</w:t>
      </w:r>
    </w:p>
    <w:p>
      <w:pPr>
        <w:spacing w:after="0" w:line="1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Our portfolio companies in technology-related industries may be subject to extensive regulation by U.S. and foreign federal, state and/or local agencies. Changes in existing laws, rules or regulations, or judicial or administrative interpretations thereof, or new laws, rules or regulations could have an adverse impact on the business and industries of our portfolio companies. In addition, changes in government priorities or limitations on government resources could also adversely impact our portfolio companies. We are unable to predict whether any such changes in laws, rules or regulations will occur and, if they do occur, the impact of these changes on our portfolio companies and our investment returns. Furthermore, if any of our portfolio companies were to fail to comply with applicable regulations, they could be subject to significant penalties and claims that could materially and adversely affect their operations. Our portfolio companies may be subject to the expense, delay and uncertainty of the regulatory approval process for their products and, even if approved, these products may not be accepted in the marketplace.</w:t>
      </w:r>
    </w:p>
    <w:p>
      <w:pPr>
        <w:spacing w:after="0" w:line="170"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6"/>
          <w:szCs w:val="16"/>
          <w:color w:val="auto"/>
        </w:rPr>
        <w:t>As of December 31, 2024, our investments in healthcare technology represented 20.3% of our portfolio at fair value. Our investments in healthcare technology are subject to substantial risks, including, but not limited to, the risk that the laws and regulations governing the business of health care companies, and interpretations thereof, may change frequently. Current or future laws and regulations could force our portfolio companies engaged in health care, to change their policies related to how they operate, restrict revenue, change costs, change reserve levels and change business practices.</w:t>
      </w:r>
    </w:p>
    <w:p>
      <w:pPr>
        <w:spacing w:after="0" w:line="25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Any of our portfolio companies operating in the healthcare information and services industry are subject to extensive government regulation and certain other risks particular to that industry.</w:t>
      </w:r>
    </w:p>
    <w:p>
      <w:pPr>
        <w:spacing w:after="0" w:line="151"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Our portfolio companies may be subject to extensive regulation by U.S. and foreign federal, stated and/or local agencies. Our healthcare information and services portfolio companies provide technology to companies that are subject to extensive regulation, including Medicare and Medicaid payment rules and regulation, the False Claims Act and federal and state laws regarding the collection, use and disclosure of patient health information and the storage handling and administration of pharmaceuticals. Changes in existing laws, rules or regulations, or judicial or administrative interpretations, or new laws, rules or regulations could have an adverse impact on the business and industries of our portfolio companies. In addition, changes in government priorities or limitations on government resources could also adversely impact our portfolio companies. If any of our portfolio companies or the companies to which they provide such technology fail to comply with applicable regulations, they could be subject to significant penalties and claims that could materially and adversely affect their operations. Portfolio companies in the healthcare information and services industry are also subject to the risk that changes in applicable regulations will render their technology obsolete or less desirable in the marketplace. We are unable to predict whether any such changes in laws, rules or regulations will occur and, if they do occur, the impact of these changes on our portfolio companies and our investment returns.</w:t>
      </w:r>
    </w:p>
    <w:p>
      <w:pPr>
        <w:spacing w:after="0" w:line="17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Portfolio companies in the healthcare information and services industry may also have a limited number of suppliers of necessary components or a limited number of manufacturers for their products, and therefore face a risk of disruption to their manufacturing process if they are unable to find alternative suppliers when needed. Any of these factors could materially and adversely affect the operations of a portfolio company in this industry and, in turn, impair our ability to timely collect principal and interest payments owed to us.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internet retail industry is subject to many risks and is highly competitive.</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A number of the companies in which we invest operate in the internet retail industry. The internet retail industry is highly competitive. This competition is increasingly intense as a number of internet-based retailers have started and failed in recent years. Competitors include larger companies than the portfolio companies in which we invest, which, in particular, may have access to greater resources, and may be more successful in the recruitment and retention of qualified employees which may give them a competitive advantage. In addition, actual or potential competitors may be strengthened through the acquisition of additional assets and interests. If our portfolio companies are unable to compete effectively or adequately respond to competitive pressures, this inability may materially adversely affect our results of operation and financial condition.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4" w:name="page45"/>
    <w:bookmarkEnd w:id="4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risks associated with our investments in the software industry.</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Portfolio companies in the software industry are subject to a number of risks. The revenue, income (or losses) and valuations of software and other technology-related companies can and often do fluctuate suddenly and dramatically. In addition, because of rapid technological change, the average selling prices of software products have historically decreased over their productive lives. As a result, the average selling prices of software offered by our portfolio companies may decrease over time, which could adversely affect their operating results and, correspondingly, the value of any securities that we may hold. Additionally, companies operating in the software industry are subject to vigorous competition, changing technology, changing client and end-consumer needs, evolving industry standards and frequent introductions of new products and services. Our portfolio companies in the software industry compete with several companies that operate in the global, regional and local software industries, and certain of those current or potential competitors may be engaged in a greater range of businesses, have a larger installed base of customers for their existing products and services or have greater financial, technical, sales or other resources than our portfolio companies do. Our portfolio companies may lose market share if their competitors introduce or acquire new products that compete with their software and related services or add new features to their products. Any of this could, in turn, materially adversely affect our business, financial condition and results of operations.</w:t>
      </w:r>
    </w:p>
    <w:p>
      <w:pPr>
        <w:spacing w:after="0" w:line="268"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portfolio companies operating in the human resources and employment services industry operate in a complex regulatory environment, and failure to comply with applicable laws and regulations could adversely affect the business of our portfolio companies.</w:t>
      </w:r>
    </w:p>
    <w:p>
      <w:pPr>
        <w:spacing w:after="0" w:line="15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Certain of our portfolio companies that operate in the human resource industry are subject to a broad range of complex and evolving laws and regulations, including those applicable to payroll practices, benefits administration, employment practices, workers’ compensation coverage, and privacy. Because our portfolio companies have clients with employees in many states throughout the United States, our portfolio companies must perform services in compliance with the legal and regulatory requirements of multiple jurisdictions. Some of these laws and regulations may be difficult to ascertain or interpret and may change from time to time. Violation of such laws and regulations could subject our portfolio companies to fines and penalties, damage their reputation, constitute a breach of client agreements, impair our portfolio companies’ ability to obtain and renew required licenses, and decrease our portfolio companies’ profitability or competitiveness. If any of these effects were to occur, our operating results and financial condition could be adversely affected.</w:t>
      </w:r>
    </w:p>
    <w:p>
      <w:pPr>
        <w:spacing w:after="0" w:line="262" w:lineRule="exact"/>
        <w:rPr>
          <w:sz w:val="20"/>
          <w:szCs w:val="20"/>
          <w:color w:val="auto"/>
        </w:rPr>
      </w:pPr>
    </w:p>
    <w:p>
      <w:pPr>
        <w:ind w:right="7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Because we generally do not hold controlling equity interests in our portfolio companies, we may not be in a position to exercise control over our portfolio companies or to prevent decisions by management of our portfolio companies that could decrease the value of our investments.</w:t>
      </w:r>
    </w:p>
    <w:p>
      <w:pPr>
        <w:spacing w:after="0" w:line="15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Although in some instances, we may control our portfolio companies or provide our portfolio companies with significant managerial assistance, we typically do not hold controlling equity positions in our portfolio companies. Thus, we generally do not, and do not expect to, control the decision making in many of our portfolio companies. As a result, we are subject to the risk that a portfolio company in which we invest will make business decisions with which we disagree and the management of such company, as representatives of the holders of their common equity, will take risks or otherwise act in ways that do not serve our interests as debt investors. Due to the lack of liquidity of the debt and equity investments that we typically hold in our portfolio companies, we may not be able to dispose of our interests as readily as we would like or at an appropriate valuation in the event we disagree with the actions of a portfolio company. As a result, a portfolio company may make decisions that would decrease the value of our investments.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Defaults by our portfolio companies will harm our operating results.</w:t>
      </w:r>
    </w:p>
    <w:p>
      <w:pPr>
        <w:spacing w:after="0" w:line="19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6"/>
          <w:szCs w:val="16"/>
          <w:color w:val="auto"/>
        </w:rPr>
        <w:t>A portfolio company’s failure to satisfy financial or operating covenants imposed by us or other lenders could lead to defaults and, potentially, termination of its loans and foreclosure on its secured assets, which could trigger cross -defaults under other agreements and jeopardize a portfolio company’s ability to meet its obligations under the debt or equity securities that we hold. We may incur expenses to the extent necessary to seek recovery upon default or to negotiate new terms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which may include the waiver of certain financial covenants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with a defaulting portfolio company. These expenses could materially and adversely affect our operating results and cash flow.</w:t>
      </w:r>
    </w:p>
    <w:p>
      <w:pPr>
        <w:spacing w:after="0" w:line="36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45" w:name="page46"/>
    <w:bookmarkEnd w:id="4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portfolio companies are unable to commercialize their technologies, products, business concepts or services, the returns on our investments could be adversely affected.</w:t>
      </w:r>
    </w:p>
    <w:p>
      <w:pPr>
        <w:spacing w:after="0" w:line="15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value of our investments in our portfolio companies may decline if they are not able to commercialize their technology, products, business concepts or services. Additionally, although some of our portfolio companies may already have a commercially successful product or product line at the time of our investment, information technology, e-commerce and life science products and services often have a more limited market or life span than products in other industries. Thus, the ultimate success of these companies often depends on their ability to continually innovate in increasingly competitive markets. If they are unable to do so, our investment returns could be adversely affected and their ability to service their debt obligations to us over the term of the loan could be impaired. Our portfolio companies may be unable to successfully acquire or develop any new products, and the intellectual property they currently hold may not remain viable. Even if our portfolio companies are able to develop commercially viable products, the market for new products and services is highly competitive and rapidly changing. Neither our portfolio companies nor we will have any control over the pace of technology development. Commercial success is difficult to predict, and the marketing efforts of our portfolio companies may not be successful.</w:t>
      </w:r>
    </w:p>
    <w:p>
      <w:pPr>
        <w:spacing w:after="0" w:line="262" w:lineRule="exact"/>
        <w:rPr>
          <w:sz w:val="20"/>
          <w:szCs w:val="20"/>
          <w:color w:val="auto"/>
        </w:rPr>
      </w:pPr>
    </w:p>
    <w:p>
      <w:pPr>
        <w:ind w:right="4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portfolio companies are unable to protect their intellectual property rights, our business and prospects could be harmed, and if portfolio companies are required to devote significant resources to protecting their intellectual property rights, the value of our investment could be reduced.</w:t>
      </w:r>
    </w:p>
    <w:p>
      <w:pPr>
        <w:spacing w:after="0" w:line="15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Our future success and competitive position will depend in part upon the ability of our portfolio companies to obtain, maintain and protect proprietary technology used in their products and services. The intellectual property held by our portfolio companies often represents a substantial portion of the collateral securing our investments and/or constitutes a significant portion of the portfolio companies’ value and may be available in a downside scenario to repay our loans. Our portfolio companies rely, in part, on patent, trade secret, and trademark law to protect that technology, but competitors may misappropriate their intellectual property, and disputes as to ownership of intellectual property may arise. Portfolio companies may, from time to time, be required to institute litigation to enforce their patents, copyrights, or other intellectual property rights; protect their trade secrets; determine the validity and scope of the proprietary rights of others; or defend against claims of infringement. Such litigation could result in substantial costs and diversion of resources. Similarly, if a portfolio company is found to infringe or misappropriate a third party’s patent or other proprietary rights, it could be required to pay damages to the third party, alter its products or processes, obtain a license from the third party, and/or cease activities utilizing the proprietary rights, including making or selling products utilizing the proprietary rights. Any of the foregoing events could negatively affect both the portfolio company’s ability to service our debt investment and the value of any related debt and equity securities that we own, as well as any collateral securing our investment.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unrealized losses we experience on our loan portfolio may be an indication of future realized losses, which could reduce our income available for distribution.</w:t>
      </w:r>
    </w:p>
    <w:p>
      <w:pPr>
        <w:spacing w:after="0" w:line="21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As a BDC,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loan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Prepayments of our debt investments by our portfolio companies could adversely impact our results of operations and reduce our return on equity.</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are subject to the risk that the investments we make in our portfolio companies may be repaid prior to maturity. When this occurs, we will generally reinvest these proceeds in temporary investments, pending future investment in new portfolio companies. These temporary investments will typically have substantially lower yields than the yields of the loans being prepaid and we could experience significant delays in reinvesting these amounts. Any future investment in a new portfolio company may also be at lower yields than the debt that was previously prepaid by a portfolio company. As a result, our results of operations could be materially adversely affected if any of our portfolio companies elect to prepay amounts owed to us. Additionally, prepayments of loans made to portfolio companies could negatively impact our return on equity.</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6" w:name="page47"/>
    <w:bookmarkEnd w:id="4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leveraged portfolio companies may be risky, and you could lose all or part of your investment.</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Some of our portfolio companies may be highly leveraged, which may have adverse consequences to these companies and to us as an investor. These companies may be subject to restrictive financial and operating covenants and the leverage may impair these companies’ ability to finance their future operations and capital needs. As a result, these companies’ flexibility to respond to changing business and economic conditions and to take advantage of business opportunities may be limited. Further, a leveraged company’s income and net assets will tend to increase or decrease at a greater rate than if borrowed money were not used. Leveraged companies may enter into bankruptcy proceedings at higher rates than companies that are not leveraged.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gains from our equity investments.</w:t>
      </w:r>
    </w:p>
    <w:p>
      <w:pPr>
        <w:spacing w:after="0" w:line="156"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Investments in equity securities involve a number of significant risks, including the risk of further dilution as a result of additional issuances, inability to access additional capital and failure to pay current distributions. Investments in preferred securities involve special risks, such as the risk of deferred distributions, credit risk, illiquidity restraining our ability to transfer or sell such securities and limited voting rights. In addition, we may from time to time make non- control, equity investments in portfolio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will sometimes seek puts or similar rights to give us the right to sell our equity securities back to the portfolio company issuer. We may be unable to exercise these put rights for the consideration provided in our investment documents if the issuer is in financial distress.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expose ourselves to risks if we engage in hedging transactions.</w:t>
      </w:r>
    </w:p>
    <w:p>
      <w:pPr>
        <w:spacing w:after="0" w:line="1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If we engage in hedging transactions, we may expose ourselves to risks associated with such transactions. We may utilize instruments such as forward contracts, credit default swaps,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portfolio companies may expose us to environmental risks.</w:t>
      </w:r>
    </w:p>
    <w:p>
      <w:pPr>
        <w:spacing w:after="0" w:line="19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We may invest in portfolio companies that are subject to changing and increasingly stringent environmental and health and safety laws, regulations and permit requirements and environmental costs that could place increasing financial burdens on such portfolio entities. Required expenditures for environmental compliance may adversely impact investment returns on portfolio companies. The imposition of new environmental and other laws, regulations and initiatives could adversely affect the business operations and financial stability of such portfolio companies.</w:t>
      </w:r>
    </w:p>
    <w:p>
      <w:pPr>
        <w:spacing w:after="0" w:line="131"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4"/>
          <w:szCs w:val="14"/>
          <w:color w:val="auto"/>
        </w:rPr>
        <w:t>There can be no guarantee that all costs and risks regarding compliance with environmental laws and regulations can be identified. New and more stringent environmental and health and safety laws, regulations and permit requirements or stricter interpretations of current laws or regulations could impose substantial additional costs on our portfolio companies. Compliance with such current or future environmental requirements does not ensure that the operations of the portfolio companies will not cause injury to the environment or to people under all circumstances or that the portfolio companies will not be required to incur additional unforeseen environmental expenditures. Moreover, failure to comply with any such requirements could have a material adverse effect on a portfolio company, and we can offer no assurance that any such portfolio companies will at all times comply with all applicable environmental laws, regulations and permit requirements.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7" w:name="page48"/>
    <w:bookmarkEnd w:id="4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Conflicts of Interest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relationship with Oaktree may create conflicts of interest.</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As of December 31, 2024, OCM Growth owned 28.9% of our outstanding common stock. Pursuant to an irrevocable proxy, the shares of our common stock held by OCM Growth must be voted in the same manner that our other stockholders vote their shares. OCM Growth has a right to nominate a member of our Board of Directors for election for so long as OCM Growth holds shares of our common stock in an amount equal to, in the aggregate, at least one-third (33.33%) of OCM Growth’s initial $125.0 million capital commitment to us, which percentage shall be determined based on the dollar value of the shares of common stock owned by OCM Growth. OCM Growth holds the right to appoint a nominee to the Board of Directors, subject to the conditions previously described, regardless of the Company's size (e.g., assets under management or market capitalization) or the beneficial ownership interests of other stockholders.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w:t>
      </w:r>
    </w:p>
    <w:p>
      <w:pPr>
        <w:spacing w:after="0" w:line="173" w:lineRule="exact"/>
        <w:rPr>
          <w:sz w:val="20"/>
          <w:szCs w:val="20"/>
          <w:color w:val="auto"/>
        </w:rPr>
      </w:pPr>
    </w:p>
    <w:p>
      <w:pPr>
        <w:ind w:right="180"/>
        <w:spacing w:after="0" w:line="331" w:lineRule="auto"/>
        <w:rPr>
          <w:sz w:val="20"/>
          <w:szCs w:val="20"/>
          <w:color w:val="auto"/>
        </w:rPr>
      </w:pPr>
      <w:r>
        <w:rPr>
          <w:rFonts w:ascii="Times New Roman" w:cs="Times New Roman" w:eastAsia="Times New Roman" w:hAnsi="Times New Roman"/>
          <w:sz w:val="14"/>
          <w:szCs w:val="14"/>
          <w:color w:val="auto"/>
        </w:rPr>
        <w:t>As a result of the relationship with Oaktree and OCM Growth, we are presumed to be an affiliate of Oaktree and OCM Growth under the 1940 Act. As a result, we are not able to invest in the same portfolio companies in which any funds managed by Oaktree or OCM Growth invest without seeking exemptive relief from the SEC.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There are significant potential conflicts of interest which could impact our investment returns.</w:t>
      </w:r>
    </w:p>
    <w:p>
      <w:pPr>
        <w:spacing w:after="0" w:line="192"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Our executive officers and directors, as well as the current and future members of RGC,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w:t>
      </w:r>
    </w:p>
    <w:p>
      <w:pPr>
        <w:spacing w:after="0" w:line="16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An affiliate of the Adviser manages BC Partners Lending Corporation, Portman Ridge Finance Corporation and Logan Ridge Finance Corporation, each of which is a BDC that invests primarily in the debt and equity of privately -held middle-market companies. There may be certain investment opportunities that satisfy the investment criteria for those BDCs and us. Each of BC Partners Lending Corporation, Portman Ridge Finance Corporation and Logan Ridge Finance Corporation currently operate as distinct and separate companies and any investment in our common stock will not be an investment in any of those BDCs. In addition, certain of our independent directors serve as independent directors of those BDCs.</w:t>
      </w:r>
    </w:p>
    <w:p>
      <w:pPr>
        <w:spacing w:after="0" w:line="16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Additionally, affiliates of RGC manage, and may manage in the future, other vehicles with strategies that may be similar to our investment objective. Neither RGC nor its employees or affiliates are generally prohibited from raising capital for and managing other investment entities that make the same types of investments that we target. As a result, the time and resources that these individuals may devote to us may be diverted. In addition, we may compete with any such investment entity for the same investors and investment opportunities.</w:t>
      </w:r>
    </w:p>
    <w:p>
      <w:pPr>
        <w:spacing w:after="0" w:line="16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In the course of our investing activities, we pay management and incentive fees to RGC and reimburse our Administrator for certain expenses it incurs on our behalf. As a result, investors in our common stock invest on a "gross" basis and receive distributions on a "net" basis after expenses, resulting in a lower rate of return than an investor might achieve through direct investments. Accordingly, there may be times when the management team of RGC will have interests that differ from those of our stockholders, giving rise to a conflict.</w:t>
      </w:r>
    </w:p>
    <w:p>
      <w:pPr>
        <w:spacing w:after="0" w:line="167"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We entered into a license agreement with RGC (the "License Agreement") pursuant to which RGC has granted us a personal, non -exclusive, royalty-free right and license to use the name "Runway Growth Finance". Under the License Agreement, we have the right to use the "Runway Growth Finance" name for so long as RGC or one of its affiliates remains our investment adviser. Other than with respect to this limited license, we have no legal right to the "Runway Growth Finance" name.</w:t>
      </w:r>
    </w:p>
    <w:p>
      <w:pPr>
        <w:spacing w:after="0" w:line="13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In addition, we pay our Administrator, a wholly-owned subsidiary of RGC, our allocable portion of overhead and other expenses incurred by our Administrator in performing its obligations under the Administration Agreement, including rent, the fees and expenses associated with performing accounting and compliance functions. These arrangements may create conflicts of interest that our Board of Directors must monitor.</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8" w:name="page49"/>
    <w:bookmarkEnd w:id="4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RGC’s liability is limited under the Advisory Agreement and we have agreed to indemnify RGC against certain liabilities, which may lead RGC to act in a riskier manner on our behalf than it would when acting for its own account.</w:t>
      </w:r>
    </w:p>
    <w:p>
      <w:pPr>
        <w:spacing w:after="0" w:line="15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Under the Advisory Agreement, RGC has not assumed any responsibility to us other than to render the services called for under that agreement. It is not responsible for any action of our Board of Directors in following or declining to follow RGC’s advice or recommendations. Under the Advisory Agreement, RGC and its professionals and any person controlling or controlled by RGC are not liable to us, any subsidiary of ours, our directors, our stockholders or any subsidiary’s stockholders or partners for acts or omissions performed in accordance with and pursuant to the Advisory Agreement, except those resulting from acts constituting gross negligence, willful misfeasance, bad faith or reckless disregard of the duties that RGC owes to us under the Advisory Agreement. In addition, as part of the Advisory Agreement, we will indemnify RGC and its professionals from and against any claims or liabilities, including reasonable legal fees and other expenses reasonably incurred, arising out of or in connection with our business and operations or any action taken or omitted on our behalf pursuant to authority granted by the Advisory Agreement, except where attributable to gross negligence, willful misfeasance, bad faith or reckless disregard of such person’s duties under the Advisory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valuation process for certain of our investments may create a conflict of interest.</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For the majority of our investments, no market-based price quotation is available. As a result, our Board of Directors determines the fair value of these securities in good faith as described in "— Our portfolio securities may not have a readily available market price and, in such a case, we will value these securities at fair value as determined in good faith under procedures adopted by our Board of Directors, which valuation is inherently subjective and may not reflect what we may actually realize for the sale of the investment." In connection with that determination, RGC’s investment team provides our Board of Directors with valuation recommendations based upon the most recent and available information, which generally includes industry outlook, capitalization, consolidated financial statements and projected financial results of each portfolio company. Our Board of Directors utilizes the services of certain independent third -party valuation firms to aid it in determining the fair value of these investments. The Board of Directors discusses valuations and determines the fair value in good faith based on the input of RGC, the Audit Committee of the Board of Directors and the applicable third-party valuation firm. The participation of RGC’s investment team in our valuation process, and the pecuniary interest in RGC by certain members of our Board of Directors, could result in a conflict of interest as RGC’s base management fee is based, in part, on the value of our average adjusted gross assets, and RGC’s incentive fee is based, in part, on realized gains and realized and unrealized losses.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pay the Adviser an incentive fee on certain investments that include a deferred interest feature.</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We underwrite our loans to generally include an end-of-term payment, a PIK interest payment and/or original issue discount. Our end-of-term payments are contractual and fixed interest payments due at the maturity date of the loan, including upon prepayment, and are generally a fixed percentage of the original principal balance of the loan. The portion of our end-of-term payments, which equal the difference between our yield -to-maturity and the stated interest rate on the loan, are recognized as non-cash income or original issue discount until they are paid. In addition, in connection with our equity-related investments, we may be required to accrue original issue discount, which decreases the balance on our secured loans by an amount equal to the value of the warrant investment we receive in connection with the applicable secured loan over its lifetime. Under these types of investments, we accrue interest during the life of the loan on the end-of-term payment, PIK interest payment and/or original issue discount but do not receive the cash income from the investment until the end of the term. However, our pre-incentive fee net investment income, which is used to calculate the income portion of our incentive fee, includes accrued interest. Thus, a portion of this incentive fee is based on income that we have not yet received in cash, such as an end-of-term payment, a PIK interest payment and/or original issue discount.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49" w:name="page50"/>
    <w:bookmarkEnd w:id="4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Common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Shares of our common stock have traded at a discount from net asset value and may do so in the future.</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Our common stock has at times traded below our net asset value per share since our IPO on October 25, 2021. Our shares may also trade at a discount to net asset value in the future. The possibility that our shares of common stock may trade at a discount from net asset value over the long term is separate and distinct from the risk that our net asset value will decrease. We cannot predict whether shares of our common stock will trade above, at or below our net asset value. If our common stock trades below our net asset value, we will generally not be able to issue additional shares of our common stock without first obtaining the approval for such issuance from our stockholders and our Independent Directors. As a result, we may be forced to curtail or cease our new lending and investment activities, our net asset value could decrease, and our level of distributions could be impacted.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stockholder’s interest in us will be diluted if we issue additional shares, which could reduce the overall value of an investment in us.</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Our stockholders do not have preemptive rights to purchase any shares we issue in the future. Our charter authorizes us to issue up to 100.0 million shares of common stock. Pursuant to our charter, a majority of our entire Board of Directors may amend our charter to increase the number of shares of common stock we may issue without stockholder approval. Our Board of Directors may elect to sell additional shares in the future or issue equity interests in private offerings. To the extent we issue additional equity interests at or below net asset value, your percentage ownership interest in us may be diluted. In addition, depending upon the terms and pricing of any additional offerings and the value of our investments, you may also experience dilution in the book value and fair value of your shares.</w:t>
      </w:r>
    </w:p>
    <w:p>
      <w:pPr>
        <w:spacing w:after="0" w:line="16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Under the 1940 Act, we generally are prohibited from issuing or selling our common stock at a price below net asset value per share, which may be a disadvantage as compared with certain public companies. We may, however, sell our common stock, or warrants, options, or rights to acquire our common stock, at a price below the current net asset value of our common stock if our Board of Directors and independent directors determine that such sale is in our best interests and the best interests of our stockholders, and our stockholders approve such sale. In any such case, the price at which our securities are to be issued and sold may not be less than a price that, in the determination of our Board of Directors, closely approximates the fair value of such securities (less any distributing commission or discount). If we raise additional funds by issuing common stock or senior securities convertible into, or exchangeable for, our common stock, then the percentage ownership of our stockholders at that time will decrease and you will experience dilution.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of substantial amounts of our common stock in the public market may have an adverse effect on the market price of our common stock.</w:t>
      </w:r>
    </w:p>
    <w:p>
      <w:pPr>
        <w:spacing w:after="0" w:line="192"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4"/>
          <w:szCs w:val="14"/>
          <w:color w:val="auto"/>
        </w:rPr>
        <w:t>Any shares of our common stock that were outstanding prior to the completion of the IPO are "restricted securities" under the meaning of Rule 144 promulgated under the Securities Act and may only be sold if such sale is registered under the Securities Act or exempt from registration, including the exemption under Rule 144.</w:t>
      </w:r>
    </w:p>
    <w:p>
      <w:pPr>
        <w:spacing w:after="0" w:line="108"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4"/>
          <w:szCs w:val="14"/>
          <w:color w:val="auto"/>
        </w:rPr>
        <w:t>As of December 31, 2024, OCM Growth owned 28.9% of our total outstanding shares. Subject to applicable securities laws, including Rule 144, sales of substantial amounts of our common stock, or the perception that such sales could occur, could adversely affect the prevailing market prices for our common stock. If these sales occur,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in our common stock involves a high degree of risk.</w:t>
      </w:r>
    </w:p>
    <w:p>
      <w:pPr>
        <w:spacing w:after="0" w:line="19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investments we make in accordance with our investment objective may result in a higher amount of risk than alternative investment options, including volatility or loss of principal. Our investments in portfolio companies may be highly speculative and aggressive and, therefore, an investment in our common stock may not be suitable for someone with lower risk tolerance.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50" w:name="page51"/>
    <w:bookmarkEnd w:id="5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value of our common stock may fluctuate significantly.</w:t>
      </w:r>
    </w:p>
    <w:p>
      <w:pPr>
        <w:spacing w:after="0" w:line="19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market value and liquidity, if any, of the market for shares of our common stock may be significantly affected by numerous factors, some of which are beyond our control and may not be directly related to our operating performance. These factors include:</w:t>
      </w:r>
    </w:p>
    <w:p>
      <w:pPr>
        <w:spacing w:after="0" w:line="155" w:lineRule="exact"/>
        <w:rPr>
          <w:sz w:val="20"/>
          <w:szCs w:val="20"/>
          <w:color w:val="auto"/>
        </w:rPr>
      </w:pPr>
    </w:p>
    <w:p>
      <w:pPr>
        <w:ind w:left="360" w:right="480"/>
        <w:spacing w:after="0" w:line="259" w:lineRule="auto"/>
        <w:rPr>
          <w:sz w:val="20"/>
          <w:szCs w:val="20"/>
          <w:color w:val="auto"/>
        </w:rPr>
      </w:pPr>
      <w:r>
        <w:rPr>
          <w:rFonts w:ascii="Times New Roman" w:cs="Times New Roman" w:eastAsia="Times New Roman" w:hAnsi="Times New Roman"/>
          <w:sz w:val="16"/>
          <w:szCs w:val="16"/>
          <w:color w:val="auto"/>
        </w:rPr>
        <w:t>•changes in the value of our portfolio of investments and derivative instruments as a result of changes in market factors, such as interest rate shifts, and also portfolio specific performance, such as portfolio company defaults, among other reasons;</w:t>
      </w:r>
    </w:p>
    <w:p>
      <w:pPr>
        <w:spacing w:after="0" w:line="59" w:lineRule="exact"/>
        <w:rPr>
          <w:sz w:val="20"/>
          <w:szCs w:val="20"/>
          <w:color w:val="auto"/>
        </w:rPr>
      </w:pPr>
    </w:p>
    <w:p>
      <w:pPr>
        <w:ind w:left="360" w:right="4460"/>
        <w:spacing w:after="0" w:line="360" w:lineRule="auto"/>
        <w:rPr>
          <w:sz w:val="20"/>
          <w:szCs w:val="20"/>
          <w:color w:val="auto"/>
        </w:rPr>
      </w:pPr>
      <w:r>
        <w:rPr>
          <w:rFonts w:ascii="Times New Roman" w:cs="Times New Roman" w:eastAsia="Times New Roman" w:hAnsi="Times New Roman"/>
          <w:sz w:val="16"/>
          <w:szCs w:val="16"/>
          <w:color w:val="auto"/>
        </w:rPr>
        <w:t>•changes in regulatory policies or tax guidelines, particularly with respect to RICs or BDCs; •loss of RIC or BDC status;</w:t>
      </w:r>
    </w:p>
    <w:p>
      <w:pPr>
        <w:ind w:left="360" w:right="3560"/>
        <w:spacing w:after="0" w:line="360" w:lineRule="auto"/>
        <w:rPr>
          <w:sz w:val="20"/>
          <w:szCs w:val="20"/>
          <w:color w:val="auto"/>
        </w:rPr>
      </w:pPr>
      <w:r>
        <w:rPr>
          <w:rFonts w:ascii="Times New Roman" w:cs="Times New Roman" w:eastAsia="Times New Roman" w:hAnsi="Times New Roman"/>
          <w:sz w:val="16"/>
          <w:szCs w:val="16"/>
          <w:color w:val="auto"/>
        </w:rPr>
        <w:t>•distributions that exceed our net investment income and net income as reported according to U.S. GAAP; •changes in earnings or variations in operating results;</w:t>
      </w:r>
    </w:p>
    <w:p>
      <w:pPr>
        <w:ind w:left="360"/>
        <w:spacing w:after="0"/>
        <w:rPr>
          <w:sz w:val="20"/>
          <w:szCs w:val="20"/>
          <w:color w:val="auto"/>
        </w:rPr>
      </w:pPr>
      <w:r>
        <w:rPr>
          <w:rFonts w:ascii="Times New Roman" w:cs="Times New Roman" w:eastAsia="Times New Roman" w:hAnsi="Times New Roman"/>
          <w:sz w:val="16"/>
          <w:szCs w:val="16"/>
          <w:color w:val="auto"/>
        </w:rPr>
        <w:t>•changes in accounting guidelines governing valuation of our investments;</w:t>
      </w:r>
    </w:p>
    <w:p>
      <w:pPr>
        <w:spacing w:after="0" w:line="92" w:lineRule="exact"/>
        <w:rPr>
          <w:sz w:val="20"/>
          <w:szCs w:val="20"/>
          <w:color w:val="auto"/>
        </w:rPr>
      </w:pPr>
    </w:p>
    <w:p>
      <w:pPr>
        <w:ind w:left="360" w:right="4040"/>
        <w:spacing w:after="0" w:line="360" w:lineRule="auto"/>
        <w:rPr>
          <w:sz w:val="20"/>
          <w:szCs w:val="20"/>
          <w:color w:val="auto"/>
        </w:rPr>
      </w:pPr>
      <w:r>
        <w:rPr>
          <w:rFonts w:ascii="Times New Roman" w:cs="Times New Roman" w:eastAsia="Times New Roman" w:hAnsi="Times New Roman"/>
          <w:sz w:val="16"/>
          <w:szCs w:val="16"/>
          <w:color w:val="auto"/>
        </w:rPr>
        <w:t>•any shortfall in revenue or net income or any increase in losses from levels expected by investors; •departure of our Adviser or certain of its key personnel; •general economic trends and other external factors; and</w:t>
      </w:r>
    </w:p>
    <w:p>
      <w:pPr>
        <w:ind w:left="360"/>
        <w:spacing w:after="0"/>
        <w:rPr>
          <w:sz w:val="20"/>
          <w:szCs w:val="20"/>
          <w:color w:val="auto"/>
        </w:rPr>
      </w:pPr>
      <w:r>
        <w:rPr>
          <w:rFonts w:ascii="Times New Roman" w:cs="Times New Roman" w:eastAsia="Times New Roman" w:hAnsi="Times New Roman"/>
          <w:sz w:val="16"/>
          <w:szCs w:val="16"/>
          <w:color w:val="auto"/>
        </w:rPr>
        <w:t>•loss of a major funding source.</w:t>
      </w:r>
    </w:p>
    <w:p>
      <w:pPr>
        <w:spacing w:after="0" w:line="280" w:lineRule="exact"/>
        <w:rPr>
          <w:sz w:val="20"/>
          <w:szCs w:val="20"/>
          <w:color w:val="auto"/>
        </w:rPr>
      </w:pPr>
    </w:p>
    <w:p>
      <w:pPr>
        <w:jc w:val="both"/>
        <w:ind w:right="1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The amount of any distributions we may make is uncertain. We may not be able to pay you distributions, or be able to sustain distributions at any particular level, and our distributions per share, if any, may not grow over time, and our distributions per share may be reduced. We have not established any limit on the extent to which we may use borrowings, if any, to sustain distributions and we may also use offering proceeds to fund distributions (which may reduce the amount of capital we ultimately invest in portfolio companies).</w:t>
      </w:r>
    </w:p>
    <w:p>
      <w:pPr>
        <w:spacing w:after="0" w:line="16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Subject to our Board of Director’s discretion and applicable legal restrictions, we intend to authorize and declare cash distributions and pay such distributions on a quarterly basis. We expect to pay distributions out of assets legally available for distribution. However, we cannot assure you that we will achieve investment results that will allow us to make a consistent targeted level of distributions or year-to-year increases in distributions. Our ability to pay distributions might be adversely affected by the impact of the risks described herein. In addition, the inability to satisfy the asset coverage test applicable to us as a BDC under the 1940 Act can limit our ability to pay distributions. Distributions from offering proceeds also could reduce the amount of capital we ultimately invest in debt or equity securities of portfolio companies. We cannot assure you that we will pay distributions to our stockholders in the future. See "Business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Regulation as a Business Development Company" in Part I, Item 1 of this Form 10-K.</w:t>
      </w:r>
    </w:p>
    <w:p>
      <w:pPr>
        <w:spacing w:after="0" w:line="261"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Distributions on our common stock may exceed our taxable earnings and profits. Therefore, portions of the distributions that we pay may represent a return of capital to you.</w:t>
      </w:r>
    </w:p>
    <w:p>
      <w:pPr>
        <w:spacing w:after="0" w:line="151"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6"/>
          <w:szCs w:val="16"/>
          <w:color w:val="auto"/>
        </w:rPr>
        <w:t>A return of capital is a return of a portion of your original investment in shares of our common stock. As a result, a return of capital will (i) lower your adjusted tax basis in your shares and thereby increase the amount of capital gain (or decrease the amount of capital loss) realized upon a subsequent sale or redemption of such shares, and (ii) reduce the amount of funds we have for investment in portfolio companies.</w:t>
      </w:r>
    </w:p>
    <w:p>
      <w:pPr>
        <w:spacing w:after="0" w:line="16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We may pay our distributions from offering proceeds in anticipation of future cash flow, which may constitute a return of your capital and will lower your adjusted tax basis in your shares, thereby increasing the amount of capital gain (or decreasing the amount of capital loss) realized upon a subsequent sale or redemption of such shares, even if such shares have not increased in value or have, in fact, lost value.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1" w:name="page52"/>
    <w:bookmarkEnd w:id="5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Stockholders may experience dilution in the net asset value of their shares if they do not participate in our Dividend Reinvestment Plan and if our shares are trading at a discount to net asset value.</w:t>
      </w:r>
    </w:p>
    <w:p>
      <w:pPr>
        <w:spacing w:after="0" w:line="15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All distributions declared in cash payable to stockholders that are participants in our Dividend Reinvestment Plan will be automatically reinvested in shares of our common stock. In addition, stockholders who elect not to participate in our Dividend Reinvestment Plan may experience accretion to the net asset value of their shares if our shares are trading at a premium to net asset value and dilution if our shares are trading at a discount to net asset value. The level of accretion or discount would depend on various factors, including the proportion of our stockholders who participate in the plan, the level of premium or discount at which our shares are trading and the amount of the distribution payable to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issue preferred stock or convertible debt securities, the net asset value of our common stock may become more volatile.</w:t>
      </w:r>
    </w:p>
    <w:p>
      <w:pPr>
        <w:spacing w:after="0" w:line="15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We may issue preferred stock or convertible debt in the future. We cannot assure you that the issuance of preferred stock and/or convertible debt securities would result in a higher yield or return to the holders of our common stock. The issuance of preferred stock or convertible debt would likely cause the net asset value of our common stock to become more volatile. If the dividend rate on the preferred stock, or the interest rate on the convertible debt securities, were to approach the net rate of return on our investment portfolio, the benefit of such leverage to the holders of our common stock would be reduced. If the dividend rate on the preferred stock, or the interest rate on the convertible debt securities, were to exceed the net rate of return on our portfolio, the use of leverage would result in a lower rate of return to the holders of common stock than if we had not issued the preferred stock or convertible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or debt securities. This decline in net asset value would also tend to cause a greater decline in the market price, if any, for our common stock.</w:t>
      </w:r>
    </w:p>
    <w:p>
      <w:pPr>
        <w:spacing w:after="0" w:line="17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There is also a risk that, in the event of a sharp decline in the value of our net assets, we would be in danger of failing to maintain required asset coverage ratios, which may be required by the preferred stock or convertible debt, or our current investment income might not be sufficient to meet the dividend requirements on the preferred stock or the interest payments on the debt securities. In order to counteract such an event, we might need to liquidate investments in order to fund the redemption of some or all of the preferred stock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or convertible debt may have different interests than holders of common stock and may at times have disproportionate influence over our affairs.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of the MGCL and of our charter and bylaws could deter takeover attempts and have an adverse impact on the price of our common stock.</w:t>
      </w:r>
    </w:p>
    <w:p>
      <w:pPr>
        <w:spacing w:after="0" w:line="15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Under Maryland General Corporation Law (the "MGCL"), our charter and bylaws contain provisions that may discourage, delay or make more difficult a change in control of us or the removal of our directors. We are subject to the Maryland Business Combination Act (the "Business Combination Act"), subject to any applicable requirements of the 1940 Act. Our Board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 Our bylaws exempt from the Maryland Control Share Acquisition Act (the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The SEC staff has rescinded its position that, under the 1940 Act, an investment company may not avail itself of the Control Share Act. As a result, we will amend our bylaws to be subject to the Control Share Act only if our Board of Directors determines it would be in our best interests.</w:t>
      </w:r>
    </w:p>
    <w:p>
      <w:pPr>
        <w:spacing w:after="0" w:line="17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We have also adopted measures that may make it difficult for a third party to obtain control of us, including provisions of our charter classifying our Board in three classes serving staggered three- year terms, authorizing our Board to classify or reclassify shares of our common stock in one or more classes or series, to cause the issuance of additional shares of our common stock, and to amend our bylaws without stockholder approval and to increase or decrease the number of shares of common stock that we have authority to issue. These provisions, as well as other provisions of our charter and bylaws, may delay, defer or prevent a transaction or a change in control that might otherwise be in the best interests of our stockholders.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2" w:name="page53"/>
    <w:bookmarkEnd w:id="5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1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Under the MGCL and our charter, our Board of Directors is authorized to classify and reclassify any authorized but unissued shares of stock into one or more classes of stock, including preferred stock. Prior to the issuance of shares of each class or series, the Board of Directors is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existing common stockholders. Certain matters under the 1940 Act require the separate vote of the holders of any issued and outstanding preferred stock. For example, holders of preferred stock would vote separately from the holders of common stock on a proposal to cease operations as a BDC. In addition, the 1940 Act provides that holders of preferred stock are entitled to vote separately from holders of common stock to elect two preferred stock directors. We currently have no plans to issue preferred stock, but may determine to do so in the future. The issuance of preferred stock convertible into shares of common stock might also reduce the net income per share and net asset value per share of our common stock upon conversion, provided, that we will only be permitted to issue such convertible preferred stock to the extent we comply with the requirements of Section 61 of the 1940 Act, including obtaining common stockholder approval. These effects, among others, could have an adverse effect on an investment in our common stock.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investors are limited in their ability to make significant investments in us.</w:t>
      </w:r>
    </w:p>
    <w:p>
      <w:pPr>
        <w:spacing w:after="0" w:line="192"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6"/>
          <w:szCs w:val="16"/>
          <w:color w:val="auto"/>
        </w:rPr>
        <w:t>Private funds that are excluded from the definition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are also generally subject to this restriction as well as other limitations under the 1940 Act that would restrict the amount that they are able to invest in our securities.</w:t>
      </w:r>
    </w:p>
    <w:p>
      <w:pPr>
        <w:spacing w:after="0" w:line="261" w:lineRule="exact"/>
        <w:rPr>
          <w:sz w:val="20"/>
          <w:szCs w:val="20"/>
          <w:color w:val="auto"/>
        </w:rPr>
      </w:pPr>
    </w:p>
    <w:p>
      <w:pPr>
        <w:ind w:right="3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5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in the BDC space in recent years.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53" w:name="page54"/>
    <w:bookmarkEnd w:id="5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RIC Tax Treatment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be subject to U.S. federal income tax at corporate rates if we are unable to qualify as a RIC.</w:t>
      </w:r>
    </w:p>
    <w:p>
      <w:pPr>
        <w:spacing w:after="0" w:line="192" w:lineRule="exact"/>
        <w:rPr>
          <w:sz w:val="20"/>
          <w:szCs w:val="20"/>
          <w:color w:val="auto"/>
        </w:rPr>
      </w:pPr>
    </w:p>
    <w:p>
      <w:pPr>
        <w:ind w:right="620"/>
        <w:spacing w:after="0" w:line="247" w:lineRule="auto"/>
        <w:rPr>
          <w:sz w:val="20"/>
          <w:szCs w:val="20"/>
          <w:color w:val="auto"/>
        </w:rPr>
      </w:pPr>
      <w:r>
        <w:rPr>
          <w:rFonts w:ascii="Times New Roman" w:cs="Times New Roman" w:eastAsia="Times New Roman" w:hAnsi="Times New Roman"/>
          <w:sz w:val="16"/>
          <w:szCs w:val="16"/>
          <w:color w:val="auto"/>
        </w:rPr>
        <w:t>Although we have elected to be treated as a RIC under Subchapter M of the Code, no assurance can be given that we will be able to qualify as and maintain our qualification as a RIC. To maintain our tax treatment as a RIC, we must meet the 90% Gross Income Test, Diversification Tests, and the Annual Distribution Requirement described above.</w:t>
      </w:r>
    </w:p>
    <w:p>
      <w:pPr>
        <w:spacing w:after="0" w:line="164"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Failure to meet the Diversification Tests may result in our having to dispose of certain investments quickly in order to prevent the loss of our qualification as a RIC. Because most of our investments will be in private companies, and therefore will be relatively illiquid, any such dispositions could be made at disadvantageous prices and could result in substantial losses.</w:t>
      </w:r>
    </w:p>
    <w:p>
      <w:pPr>
        <w:spacing w:after="0" w:line="16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Because we may use debt financing, we are subject to certain asset coverage ratio requirements under the 1940 Act and financial covenants under loan and credit agreements that could, under certain circumstances, restrict us from making distributions necessary to satisfy the Annual Distribution Requirement. If we are unable to obtain cash from other sources, we could fail to qualify for tax treatment as a RIC.</w:t>
      </w:r>
    </w:p>
    <w:p>
      <w:pPr>
        <w:spacing w:after="0" w:line="16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If we fail to qualify as a RIC for any reason and therefore become subject to U.S. federal income tax at corporate rates, the resulting corporate taxes could substantially reduce our net assets, the amount of income available for distribution and the amount of our distributions.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difficulty paying our required distributions if we recognize income before or without receiving cash representing such income.</w:t>
      </w:r>
    </w:p>
    <w:p>
      <w:pPr>
        <w:spacing w:after="0" w:line="1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For U.S. federal income tax purposes, we will include in our taxable income certain amounts that we have not yet received in cash, such as original issue discount, which may arise if we receive warrants in connection with the origination of a loan or possibly in other circumstances, or contractual PIK interest, which represents contractual interest added to the loan balance and due at the end of the loan term. Such original issue discount or increases in loan balances as a result of contractual PIK arrangements will be included in our taxable income before we receive any corresponding cash payments. We also may be required to include in our taxable income certain other amounts that we will not receive in cash.</w:t>
      </w:r>
    </w:p>
    <w:p>
      <w:pPr>
        <w:spacing w:after="0" w:line="169"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Since, in certain cases, we may recognize taxable income before or without receiving corresponding cash payments, we may have difficulty meeting the Annual Distribution Requirement necessary to maintain our qualification as a RIC. Accordingly, to satisfy our RIC distribution requirements, we may have to sell some of our investments at times and/or at prices we would not consider advantageous, raise additional debt or equity capital or forgo new investment opportunities. If we are not able to obtain cash from other sources, we may fail to qualify for tax treatment as a RIC and thus become subject to U.S. federal income tax at corporate rates. For additional discussion regarding the tax implications of our election to be taxed as a RIC, please see "Business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Certain U.S. Federal Income Tax Considerations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Taxation of the Company" in Part I, Item 1 of this Form 10-K.</w:t>
      </w:r>
    </w:p>
    <w:p>
      <w:pPr>
        <w:spacing w:after="0" w:line="264"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Due to ongoing healthcare emergencies or other disruptions in the economy, we may reduce or defer our dividends and choose to incur U.S. federal excise tax in order preserve cash and maintain flexibility.</w:t>
      </w:r>
    </w:p>
    <w:p>
      <w:pPr>
        <w:spacing w:after="0" w:line="1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As a BDC, we are not required to make any distributions to stockholders other than in connection with our election to be taxed as a RIC under subchapter M of the Code. In order to maintain our tax treatment as a RIC, we must meet the Annual Distribution Requirement. If we qualify for taxation as a RIC, we generally will not be subject to U.S. federal income tax at corporate rates on our investment company taxable income and net capital gains (i.e., realized net long- term capital gains in excess of realized net short-term capital losses) that we timely distribute to stockholders. We will be subject to a 4% U.S. federal excise tax on undistributed earnings of a RIC unless we distribute each calendar year at least the sum of (i) 98% of our ordinary income for the calendar year, (ii) 98.2% of our capital gains in excess of capital losses for the one -year period ending on October 31 of the calendar year, and (iii) any ordinary income and net capital gains for preceding years that were not distributed during such years and on which we paid no federal income tax.</w:t>
      </w:r>
    </w:p>
    <w:p>
      <w:pPr>
        <w:spacing w:after="0" w:line="17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4" w:name="page55"/>
    <w:bookmarkEnd w:id="5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payable to stockholders of record in the current year, the dividend will be treated for all US federal tax purposes as if it were paid on December 31 of the current year. In addition, under the Code, we may pay dividends, referred to as "spillback dividends," that are paid during the following taxable year that will allow us to maintain our qualification for taxation as a RIC and eliminate our liability for U.S. federal income tax. Under these spillback dividend procedures, we may defer distribution of income earned during the current year until December of the following year. For example, we may defer distributions of income earned during 2024 until as late as December 31, 2024. If we choose to pay a spillback dividend, we will incur the nondeductible 4% U.S. federal excise tax on some or all of the distribution.</w:t>
      </w:r>
    </w:p>
    <w:p>
      <w:pPr>
        <w:spacing w:after="0" w:line="140"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We may take certain actions with respect to the timing and amounts of our distributions in order to preserve cash and maintain flexibility. For example, we may reduce our dividends and/or defer our dividends to the following taxable year. If we defer our dividends, we may choose to utilize the spillback dividend rules discussed above and incur the 4% U.S. federal excise tax on such amounts. To further preserve cash, we may combine these reductions or deferrals of dividends with one or more distributions that are payable partially in our stock as discussed below under "—We may choose to pay distributions in our own stock, including in connection with our Dividend Reinvestment Plan, in which case you may be required to pay U.S. federal income tax in excess of the cash you receive."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choose to pay distributions in our own stock, including in connection with our Dividend Reinvestment Plan, in which case you may be required to pay U.S.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federal income tax in excess of the cash you receive.</w:t>
      </w:r>
    </w:p>
    <w:p>
      <w:pPr>
        <w:spacing w:after="0" w:line="17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color w:val="auto"/>
        </w:rPr>
        <w:t>We may distribute taxable distributions that are payable in cash or shares of our common stock, including in connection with our Dividend Reinvestment Plan. Under certain applicable provisions of the Code and published IRS guidance, distributions payable from a publicly offered RIC that are payable in cash or in shares of stock at the election of stockholders may be treated as taxable distributions. The IRS has issued a revenue procedure indicating that this rule will apply if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shares of our common stock). We currently expect to qualify as a publicly offered RIC. If we qualify as a publicly offered RIC and decide to make any distributions consistent with this revenue procedures that are payable in part in shares of our common stock, taxable stockholders receiving such distributions will be required to include the full amount of the distribution (whether received in cash,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U.S. federal income tax with respect to such distributions in excess of any cash received. If a U.S. stockholder sells the stock it receives as a distribution in order to pay this tax, the sales proceeds may be less than the amount included in income with respect to the distribution, depending on the net asset value of our stock at the time of the sale. Furthermore, with respect to non-U.S. stockholders, we may be required to withhold U.S. federal tax with respect to such distributions, including in respect of all or a portion of such distribution that is payable in stock. In addition, if a significant number of our stockholders sell shares of our common stock in order to pay U.S. federal income taxes owed on distributions, it may put downward pressure on the net asset value of our common stock.</w:t>
      </w:r>
    </w:p>
    <w:p>
      <w:pPr>
        <w:spacing w:after="0" w:line="200" w:lineRule="exact"/>
        <w:rPr>
          <w:sz w:val="20"/>
          <w:szCs w:val="20"/>
          <w:color w:val="auto"/>
        </w:rPr>
      </w:pPr>
    </w:p>
    <w:p>
      <w:pPr>
        <w:spacing w:after="0" w:line="22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we are not treated as a "publicly offered regulated investment company," as defined in the Code, certain U.S. stockholders will be treated as having received a dividend from us in the amount of such U.S. stockholders’ allocable share of the management and incentive fees paid to RGC and certain of our other expenses, and these fees and expenses will be treated as miscellaneous itemized deductions of such U.S. stockholders.</w:t>
      </w:r>
    </w:p>
    <w:p>
      <w:pPr>
        <w:spacing w:after="0" w:line="164"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6"/>
          <w:szCs w:val="16"/>
          <w:color w:val="auto"/>
        </w:rPr>
        <w:t>A "publicly offered RIC" is a RIC whose shares are either (i) continuously offered pursuant to a public offering, (ii) regularly traded on an established securities market or (iii) held by at least 500 persons at all times during the taxable year. 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and incentive fees paid to RGC and certain of our other expenses for the calendar year, and will be deductible by such shareholder only to the extent permitted under the limitations described below. For non-corporate U.S. stockholders, including individuals, trusts, and estates, significant limitations generally apply to the deductibility of certain expenses of a non-publicly offered RIC. In particular, these expenses, referred to as miscellaneous itemized deductions, currently are not deductible by non-corporate U.S. stockholders (and beginning in 2026, will be deductible only to non-corporate U.S. stockholders to the extent they exceed 2% of such non-corporate U.S. stockholders’ adjusted gross income, and will not be deductible for alternative minimum tax purposes).</w:t>
      </w: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5" w:name="page56"/>
    <w:bookmarkEnd w:id="5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Risks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quarterly and annual results.</w:t>
      </w:r>
    </w:p>
    <w:p>
      <w:pPr>
        <w:spacing w:after="0" w:line="19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We may experience fluctuations in our quarterly and annual operating results due to a number of factors, including, but not limited to, our ability or inability to make investments in companies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 intervention in the credit markets could adversely affect our business.</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central banks and, in particular, the U.S. Federal Reserve, have taken unprecedented steps to combat issues such as the economic impact of the COVID-19 pandemic and high inflation rates. It is impossible to predict if, how, and to what extent the United States and other governments may further intervene in the credit markets. Such intervention is often prompted by politically sensitive issues involving family homes, student loans, real estate speculation, credit card receivables, pandemics, etc., and could, as a result, be contrary to the actions that we may expect to be taken in response to such events.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Political uncertainty could adversely affect our business.</w:t>
      </w:r>
    </w:p>
    <w:p>
      <w:pPr>
        <w:spacing w:after="0" w:line="1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U.S. and non -U.S. markets could experience political uncertainty and/or change that subjects investments to heightened risks, including, for instance, the risks related to the elections in the U.S. These heightened risks could also include: increased risk of default (by both government and private issuers); greater social, trade, economic and political instability (including the risk of war or terrorist activity); greater governmental involvement in the economy; greater governmental supervision and regulation of the securities markets and market participants resulting in increased expenses related to compliance; greater fluctuations in currency exchange rates; controls or restrictions on foreign investment and/or trade, capital controls and limitations on repatriation of invested capital and on the ability to exchange currencies; inability to purchase and sell investments or otherwise settle security or derivative transactions (i.e., a market freeze); unavailability of currency hedging techniques; and slower clearance. During times of political uncertainty and/or change, global markets often become more volatile. There could also be a lower level of monitoring and regulation of markets while a country is experiencing political uncertainty and/or change, and the activities of investors in such markets and enforcement of existing regulations could become more limited. Markets experiencing political uncertainty and/or change could have substantial, and in some periods extremely high, rates of inflation for many years. Inflation and rapid fluctuations in inflation rates typically have negative effects on such countries’ economies and markets. Tax laws could change materially, and any changes in tax laws could have an unpredictable effect on us, our investments and our investors. There can be no assurance that political changes will not cause us or our investors to suffer losses.</w:t>
      </w:r>
    </w:p>
    <w:p>
      <w:pPr>
        <w:spacing w:after="0" w:line="26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Terrorist attacks, acts of war or widespread health emergencies or natural disasters may affect any market for our common stock, impact the businesses in which we invest and harm our business, operating results and financial condition.</w:t>
      </w:r>
    </w:p>
    <w:p>
      <w:pPr>
        <w:spacing w:after="0" w:line="15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Terrorist acts, acts of war, widespread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widespread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natural disasters and widespread health emergencies are generally uninsurable.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the use of service providers, including custodians, administrators and other agents.</w:t>
      </w:r>
    </w:p>
    <w:p>
      <w:pPr>
        <w:spacing w:after="0" w:line="1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depend on the services of custodians, administrators and other agents to carry out certain securities transactions and administrative services for us. In the event of the insolvency of a custodian, we may not be able to recover equivalent assets in full as we will rank among the custodian’s unsecured creditors in relation to assets which the custodian borrows, lends or otherwise uses. In addition, our</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6" w:name="page57"/>
    <w:bookmarkEnd w:id="5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cash held with a custodian may not be segregated from the custodian’s own cash, and we therefore may rank as unsecured creditors in relation thereto. The inability to recover assets from the custodian could have a material impact on our performance.</w:t>
      </w:r>
    </w:p>
    <w:p>
      <w:pPr>
        <w:spacing w:after="0" w:line="247"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16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We and our portfolio companies are subject to laws and regulations at the U.S. federal, state and local levels and, in some cases, foreign levels. These laws and regulations, as well as their interpretation, could change from time to time, including as the result of interpretive guidance or other directives from the U.S. President and others in the executive branch, and new laws, regulations and interpretations could also come into effect. For example, the current U.S. presidential administration could support an enhanced regulatory agenda that imposes greater costs on all sectors and on financial services companies in particular. Any such new or changed laws or regulations could have a material adverse effect on our business, and political uncertainty could increase regulatory uncertainty in the near term.</w:t>
      </w:r>
    </w:p>
    <w:p>
      <w:pPr>
        <w:spacing w:after="0" w:line="140"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6"/>
          <w:szCs w:val="16"/>
          <w:color w:val="auto"/>
        </w:rPr>
        <w:t>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w:t>
      </w:r>
    </w:p>
    <w:p>
      <w:pPr>
        <w:spacing w:after="0" w:line="155"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169" w:lineRule="exact"/>
        <w:rPr>
          <w:sz w:val="20"/>
          <w:szCs w:val="20"/>
          <w:color w:val="auto"/>
        </w:rPr>
      </w:pPr>
    </w:p>
    <w:p>
      <w:pPr>
        <w:ind w:right="280"/>
        <w:spacing w:after="0" w:line="243" w:lineRule="auto"/>
        <w:rPr>
          <w:sz w:val="20"/>
          <w:szCs w:val="20"/>
          <w:color w:val="auto"/>
        </w:rPr>
      </w:pPr>
      <w:r>
        <w:rPr>
          <w:rFonts w:ascii="Times New Roman" w:cs="Times New Roman" w:eastAsia="Times New Roman" w:hAnsi="Times New Roman"/>
          <w:sz w:val="16"/>
          <w:szCs w:val="16"/>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6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Additionally, any changes to the laws and regulations governing our operations relating to permitted investments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RGC’s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Internal and external cyber threats, as well as other disasters, could impair our ability to conduct business effectively.</w:t>
      </w:r>
    </w:p>
    <w:p>
      <w:pPr>
        <w:spacing w:after="0" w:line="192"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The occurrence of a disaster, such as a cyber-attack against us or against a third-party that has access to our data or networks, a natural catastrophe, an industrial accident, failure of our disaster recovery systems, or consequential employee error, could have an adverse effect on our ability to communicate or conduct business, negatively impacting our operations and financial condition. This adverse effect can become particularly acute if those events affect our electronic data processing, transmission, storage, and retrieval systems, or impact the availability, integrity, or confidentiality of our data.</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We depend heavily upon computer systems to perform necessary business functions. Despite our implementation of a variety of security measures, our computer systems, networks, and data, like those of other companies, could be subject to cyber-attacks and unauthorized access, use, alteration, or destruction, such as from physical and electronic break- 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57" w:name="page58"/>
    <w:bookmarkEnd w:id="5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incidents that adversely affects our data, resulting in increased costs and other consequences as described above.</w:t>
      </w:r>
    </w:p>
    <w:p>
      <w:pPr>
        <w:spacing w:after="0" w:line="167"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6"/>
          <w:szCs w:val="16"/>
          <w:color w:val="auto"/>
        </w:rPr>
        <w:t>We and our service providers continue to be impacted by an increase in the ability of employees to work from external locations, including their homes. Policies of extended periods of remote working, whether by us or our service providers, could strain technology resources, introduce operational risks and otherwise heighten the risks described above. Remote working environments may be less secure and more susceptible to hacking attacks, including phishing and social engineering attempts. Accordingly, the risks described above, are heightened under the current conditions.</w:t>
      </w:r>
    </w:p>
    <w:p>
      <w:pPr>
        <w:spacing w:after="0" w:line="259" w:lineRule="exact"/>
        <w:rPr>
          <w:sz w:val="20"/>
          <w:szCs w:val="20"/>
          <w:color w:val="auto"/>
        </w:rPr>
      </w:pPr>
    </w:p>
    <w:p>
      <w:pPr>
        <w:ind w:right="80"/>
        <w:spacing w:after="0" w:line="337" w:lineRule="auto"/>
        <w:rPr>
          <w:sz w:val="20"/>
          <w:szCs w:val="20"/>
          <w:color w:val="auto"/>
        </w:rPr>
      </w:pPr>
      <w:r>
        <w:rPr>
          <w:rFonts w:ascii="Times New Roman" w:cs="Times New Roman" w:eastAsia="Times New Roman" w:hAnsi="Times New Roman"/>
          <w:sz w:val="14"/>
          <w:szCs w:val="14"/>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0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4"/>
          <w:szCs w:val="14"/>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33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social responsibility.</w:t>
      </w:r>
    </w:p>
    <w:p>
      <w:pPr>
        <w:spacing w:after="0" w:line="19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On the other hand, we may similarly face damage to our brand or reputation if we do not adequately address differing stakeholder and regulator perspectives on ESG policies and disclosure. Some stakeholders and regulators have increasingly expressed or pursued opposing views, legislation and investment expectations with respect to ESG initiatives. This divergence increases the risk that any action or lack thereof with respect to ESG matters will be perceived negatively by at least some stakeholders and could adversely impact our reputation and business. Rules, regulations and stakeholder expectations concerning ESG matters have been subject to increased attention and shifting focus in recent years. If we do not successfully manage expectations across varied stakeholder interests, it could erode stakeholder trust, impact our reputation and constrain our investment opportunities.</w:t>
      </w: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58" w:name="page59"/>
    <w:bookmarkEnd w:id="5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predict how new tax legislation will affect us, our investments, or our stockholders, and any such legislation could adversely affect our business.</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Legislative or other actions relating to taxes could have a negative effect on us. The rules dealing with U.S. federal income taxation are constantly under review by persons involved in the legislative process and by the Internal Revenue Service and the U.S. Treasury Department. Additionally, there are a number of proposals in Congress that would modify the existing U.S. tax rules. The likelihood of any such legislation being enacted is uncertain, but new legislation and any U.S. Treasury regulations, administrative interpretations or court decisions interpreting such legislation could significantly and negatively affect our ability to qualify for tax treatment as a RIC or the U.S. federal income tax consequences to us and our investors of such qualification, or could have other adverse consequences. Investors are urged to consult with their tax advisor regarding tax legislative, regulatory, or administrative developments and proposals and their potential effect on an investment in our common stock.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1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have processes in place for assessing, identifying, and managing material risks from potential unauthorized occurrences on or through our electronic information systems that could negatively impact the confidentiality, integrity, or availability of our information systems or the information held on such systems. These processes include controls, procedures, systems and tools that are designed to prevent, detect, or mitigate data loss, theft, misuse, unauthorized access, or other security incidents or vulnerabilities affecting the data. Such processes are set forth in our joint Cybersecurity Policy and Disaster Recovery Plan (collectively, the “Cybersecurity Policy”). The Cybersecurity Policy sets forth the role of the information security committee ("Information Security Committee") in preparing, implementing, and maintaining incident response procedures in consultation with senior management of the Adviser and Administrator.</w:t>
      </w:r>
    </w:p>
    <w:p>
      <w:pPr>
        <w:spacing w:after="0" w:line="173"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Our Information Security Committee is responsible for the development and implementation of policies and technical measures to reasonably prevent security incidents. The Information Security Committee includes our Chief Financial Officer, Chief Compliance Officer and legal representative. At times we may also engage assessors, consultants, or other third parties to assist with assessing, identifying and managing cybersecurity risk. As part of our risk management process, we conduct assessment and penetration testing, including regular trainings completed by employees of RGC who provide services to us pursuant to the Advisory Agreement and Administration Agreement.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Impact of Cybersecurity Risks</w:t>
      </w:r>
    </w:p>
    <w:p>
      <w:pPr>
        <w:spacing w:after="0" w:line="19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6"/>
          <w:szCs w:val="16"/>
          <w:color w:val="auto"/>
        </w:rPr>
        <w:t>As of the date of this annual report on Form 10-K, we are not aware of any material risks from cybersecurity threats that have materially affected, or are reasonably likely to materially affect, the Company, including our business strategy, results of operations, or financial condition. However, future incidents could have a material impact on our business. Additional information about the cybersecurity risks that we face is discussed in Item 1A of Part I, “Risk Factors” in this Annual Report on Form 10-K under the heading “Cybersecurity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Oversight of Cybersecurity Risks</w:t>
      </w:r>
    </w:p>
    <w:p>
      <w:pPr>
        <w:spacing w:after="0" w:line="19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Our cybersecurity risks and associated mitigation strategies are evaluated by our management and the Information Security Committee as needed, but no less frequently than annually. On at least a quarterly basis, management and the Information Security Committee report to our Board of Directors on developments to cybersecurity risks we face. Such reports include, among other things, an overview of the controls and procedures related to assessing, identifying, and managing risks related to cybersecurity threats, oversight of third-party service providers and related cybersecurity threats, and management’s evaluation of cybersecurity risks that are material to us.</w:t>
      </w: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9" w:name="page60"/>
    <w:bookmarkEnd w:id="5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90" w:lineRule="exact"/>
        <w:rPr>
          <w:sz w:val="20"/>
          <w:szCs w:val="20"/>
          <w:color w:val="auto"/>
        </w:rPr>
      </w:pPr>
    </w:p>
    <w:p>
      <w:pPr>
        <w:ind w:right="120"/>
        <w:spacing w:after="0" w:line="331" w:lineRule="auto"/>
        <w:rPr>
          <w:sz w:val="20"/>
          <w:szCs w:val="20"/>
          <w:color w:val="auto"/>
        </w:rPr>
      </w:pPr>
      <w:r>
        <w:rPr>
          <w:rFonts w:ascii="Times New Roman" w:cs="Times New Roman" w:eastAsia="Times New Roman" w:hAnsi="Times New Roman"/>
          <w:sz w:val="14"/>
          <w:szCs w:val="14"/>
          <w:color w:val="auto"/>
        </w:rPr>
        <w:t>Our corporate headquarters are located at 205 N. Michigan Ave., Suite 4200, Chicago, IL 60601 and are provided by the Administrator in accordance with the terms of the Administration Agreement. We and RGC also have offices located in Menlo Park, California and New York, New York. We do not own any real estate.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9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0" w:name="page61"/>
    <w:bookmarkEnd w:id="6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84" w:lineRule="exact"/>
        <w:rPr>
          <w:sz w:val="20"/>
          <w:szCs w:val="20"/>
          <w:color w:val="auto"/>
        </w:rPr>
      </w:pPr>
    </w:p>
    <w:p>
      <w:pPr>
        <w:ind w:right="2540" w:hanging="35"/>
        <w:spacing w:after="0" w:line="549" w:lineRule="auto"/>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Equity Securities Common Stock</w:t>
      </w:r>
    </w:p>
    <w:p>
      <w:pPr>
        <w:spacing w:after="0" w:line="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190"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As of March 17, 2025, there were 38 holders of record of our common stock, which does not include stockholders for whom shares are held in nominee or “street” name.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Price Range of Common Stock</w:t>
      </w:r>
    </w:p>
    <w:p>
      <w:pPr>
        <w:spacing w:after="0" w:line="19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4"/>
          <w:szCs w:val="14"/>
          <w:color w:val="auto"/>
        </w:rPr>
        <w:t>Our common stock began trading on the Nasdaq Global Select Market LLC on October 21, 2021 under the symbol "RWAY" in connection with our IPO of shares of our common stock. Shares of BDCs may trade at a market price that is less than the value of the net assets attributable to those shares. The possibility that our shares of common stock will trade at a discount from NAV per share or at premiums that are unsustainable over the long-term are separate and distinct from the risk that our NAV per share will decrease. It is not possible to predict whether our common stock will trade at, above, or below NAV per share. See "Item 1A. Risk Factors—Risks Related to an Investment in Our Common Stock." On March 17, 2025, the last reported closing sales price of our common stock on the Nasdaq Global Select Market LLC was $10.89 per share, which represented a discount of approximately 21% to our NAV per share of $13.79 as of December 31, 2024.</w:t>
      </w:r>
    </w:p>
    <w:p>
      <w:pPr>
        <w:spacing w:after="0" w:line="14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Prior to our IPO, the shares of our common stock were offered and sold in transactions exempt from registration under the Securities Act. As such, there was no public market for shares of our common stock through the period ended October 20, 2021.</w:t>
      </w:r>
    </w:p>
    <w:p>
      <w:pPr>
        <w:spacing w:after="0" w:line="155"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most recent fiscal quarter's NAV per share of our common stock, the high and low closing sales prices of our common stock, such sales prices as a percentage of NAV per share and quarterly distribution per share.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Price Range</w:t>
            </w:r>
          </w:p>
        </w:tc>
        <w:tc>
          <w:tcPr>
            <w:tcW w:w="940" w:type="dxa"/>
            <w:vAlign w:val="bottom"/>
          </w:tcPr>
          <w:p>
            <w:pPr>
              <w:spacing w:after="0"/>
              <w:rPr>
                <w:sz w:val="15"/>
                <w:szCs w:val="15"/>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Premium/Discount of</w:t>
            </w:r>
          </w:p>
        </w:tc>
        <w:tc>
          <w:tcPr>
            <w:tcW w:w="1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Premium/Discount of</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High Sales Price to</w:t>
            </w:r>
          </w:p>
        </w:tc>
        <w:tc>
          <w:tcPr>
            <w:tcW w:w="14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Low Sales Price to</w:t>
            </w:r>
          </w:p>
        </w:tc>
        <w:tc>
          <w:tcPr>
            <w:tcW w:w="1280" w:type="dxa"/>
            <w:vAlign w:val="bottom"/>
            <w:gridSpan w:val="2"/>
          </w:tcPr>
          <w:p>
            <w:pPr>
              <w:jc w:val="right"/>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Cash Distribution</w:t>
            </w:r>
          </w:p>
        </w:tc>
        <w:tc>
          <w:tcPr>
            <w:tcW w:w="0" w:type="dxa"/>
            <w:vAlign w:val="bottom"/>
          </w:tcPr>
          <w:p>
            <w:pPr>
              <w:spacing w:after="0"/>
              <w:rPr>
                <w:sz w:val="1"/>
                <w:szCs w:val="1"/>
                <w:color w:val="auto"/>
              </w:rPr>
            </w:pPr>
          </w:p>
        </w:tc>
      </w:tr>
      <w:tr>
        <w:trPr>
          <w:trHeight w:val="181"/>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900" w:type="dxa"/>
            <w:vAlign w:val="bottom"/>
          </w:tcPr>
          <w:p>
            <w:pPr>
              <w:spacing w:after="0"/>
              <w:rPr>
                <w:sz w:val="15"/>
                <w:szCs w:val="15"/>
                <w:color w:val="auto"/>
              </w:rPr>
            </w:pPr>
          </w:p>
        </w:tc>
        <w:tc>
          <w:tcPr>
            <w:tcW w:w="1160" w:type="dxa"/>
            <w:vAlign w:val="bottom"/>
          </w:tcPr>
          <w:p>
            <w:pPr>
              <w:jc w:val="right"/>
              <w:ind w:right="514"/>
              <w:spacing w:after="0" w:line="181" w:lineRule="exact"/>
              <w:rPr>
                <w:sz w:val="20"/>
                <w:szCs w:val="20"/>
                <w:color w:val="auto"/>
              </w:rPr>
            </w:pPr>
            <w:r>
              <w:rPr>
                <w:rFonts w:ascii="Times New Roman" w:cs="Times New Roman" w:eastAsia="Times New Roman" w:hAnsi="Times New Roman"/>
                <w:sz w:val="13"/>
                <w:szCs w:val="13"/>
                <w:b w:val="1"/>
                <w:bCs w:val="1"/>
                <w:color w:val="auto"/>
              </w:rPr>
              <w:t>NAV</w:t>
            </w:r>
            <w:r>
              <w:rPr>
                <w:rFonts w:ascii="Times New Roman" w:cs="Times New Roman" w:eastAsia="Times New Roman" w:hAnsi="Times New Roman"/>
                <w:sz w:val="16"/>
                <w:szCs w:val="16"/>
                <w:b w:val="1"/>
                <w:bCs w:val="1"/>
                <w:color w:val="auto"/>
                <w:vertAlign w:val="superscript"/>
              </w:rPr>
              <w:t>(1)</w:t>
            </w:r>
          </w:p>
        </w:tc>
        <w:tc>
          <w:tcPr>
            <w:tcW w:w="360" w:type="dxa"/>
            <w:vAlign w:val="bottom"/>
          </w:tcPr>
          <w:p>
            <w:pPr>
              <w:spacing w:after="0"/>
              <w:rPr>
                <w:sz w:val="15"/>
                <w:szCs w:val="15"/>
                <w:color w:val="auto"/>
              </w:rPr>
            </w:pPr>
          </w:p>
        </w:tc>
        <w:tc>
          <w:tcPr>
            <w:tcW w:w="1020" w:type="dxa"/>
            <w:vAlign w:val="bottom"/>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High</w:t>
            </w:r>
          </w:p>
        </w:tc>
        <w:tc>
          <w:tcPr>
            <w:tcW w:w="440" w:type="dxa"/>
            <w:vAlign w:val="bottom"/>
          </w:tcPr>
          <w:p>
            <w:pPr>
              <w:spacing w:after="0"/>
              <w:rPr>
                <w:sz w:val="15"/>
                <w:szCs w:val="15"/>
                <w:color w:val="auto"/>
              </w:rPr>
            </w:pPr>
          </w:p>
        </w:tc>
        <w:tc>
          <w:tcPr>
            <w:tcW w:w="94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Low</w:t>
            </w:r>
          </w:p>
        </w:tc>
        <w:tc>
          <w:tcPr>
            <w:tcW w:w="1180" w:type="dxa"/>
            <w:vAlign w:val="bottom"/>
          </w:tcPr>
          <w:p>
            <w:pPr>
              <w:jc w:val="center"/>
              <w:ind w:left="254"/>
              <w:spacing w:after="0" w:line="181" w:lineRule="exact"/>
              <w:rPr>
                <w:sz w:val="20"/>
                <w:szCs w:val="20"/>
                <w:color w:val="auto"/>
              </w:rPr>
            </w:pPr>
            <w:r>
              <w:rPr>
                <w:rFonts w:ascii="Times New Roman" w:cs="Times New Roman" w:eastAsia="Times New Roman" w:hAnsi="Times New Roman"/>
                <w:sz w:val="13"/>
                <w:szCs w:val="13"/>
                <w:b w:val="1"/>
                <w:bCs w:val="1"/>
                <w:color w:val="auto"/>
                <w:w w:val="93"/>
              </w:rPr>
              <w:t>NAV</w:t>
            </w:r>
            <w:r>
              <w:rPr>
                <w:rFonts w:ascii="Times New Roman" w:cs="Times New Roman" w:eastAsia="Times New Roman" w:hAnsi="Times New Roman"/>
                <w:sz w:val="16"/>
                <w:szCs w:val="16"/>
                <w:b w:val="1"/>
                <w:bCs w:val="1"/>
                <w:color w:val="auto"/>
                <w:w w:val="93"/>
                <w:vertAlign w:val="superscript"/>
              </w:rPr>
              <w:t>(2)</w:t>
            </w:r>
          </w:p>
        </w:tc>
        <w:tc>
          <w:tcPr>
            <w:tcW w:w="300" w:type="dxa"/>
            <w:vAlign w:val="bottom"/>
          </w:tcPr>
          <w:p>
            <w:pPr>
              <w:spacing w:after="0"/>
              <w:rPr>
                <w:sz w:val="15"/>
                <w:szCs w:val="15"/>
                <w:color w:val="auto"/>
              </w:rPr>
            </w:pPr>
          </w:p>
        </w:tc>
        <w:tc>
          <w:tcPr>
            <w:tcW w:w="1140" w:type="dxa"/>
            <w:vAlign w:val="bottom"/>
          </w:tcPr>
          <w:p>
            <w:pPr>
              <w:jc w:val="center"/>
              <w:ind w:left="254"/>
              <w:spacing w:after="0" w:line="181" w:lineRule="exact"/>
              <w:rPr>
                <w:sz w:val="20"/>
                <w:szCs w:val="20"/>
                <w:color w:val="auto"/>
              </w:rPr>
            </w:pPr>
            <w:r>
              <w:rPr>
                <w:rFonts w:ascii="Times New Roman" w:cs="Times New Roman" w:eastAsia="Times New Roman" w:hAnsi="Times New Roman"/>
                <w:sz w:val="13"/>
                <w:szCs w:val="13"/>
                <w:b w:val="1"/>
                <w:bCs w:val="1"/>
                <w:color w:val="auto"/>
                <w:w w:val="93"/>
              </w:rPr>
              <w:t>NAV</w:t>
            </w:r>
            <w:r>
              <w:rPr>
                <w:rFonts w:ascii="Times New Roman" w:cs="Times New Roman" w:eastAsia="Times New Roman" w:hAnsi="Times New Roman"/>
                <w:sz w:val="16"/>
                <w:szCs w:val="16"/>
                <w:b w:val="1"/>
                <w:bCs w:val="1"/>
                <w:color w:val="auto"/>
                <w:w w:val="93"/>
                <w:vertAlign w:val="superscript"/>
              </w:rPr>
              <w:t>(2)</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234"/>
              <w:spacing w:after="0" w:line="181" w:lineRule="exact"/>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Fourth Quarter</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13.79</w:t>
            </w:r>
          </w:p>
        </w:tc>
        <w:tc>
          <w:tcPr>
            <w:tcW w:w="3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10.96</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9.97</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Third Quarter</w:t>
            </w:r>
          </w:p>
        </w:tc>
        <w:tc>
          <w:tcPr>
            <w:tcW w:w="9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13.39</w:t>
            </w: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12.02</w:t>
            </w:r>
          </w:p>
        </w:tc>
        <w:tc>
          <w:tcPr>
            <w:tcW w:w="4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10.10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5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Second Quarter</w:t>
            </w:r>
          </w:p>
        </w:tc>
        <w:tc>
          <w:tcPr>
            <w:tcW w:w="90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13.14</w:t>
            </w:r>
          </w:p>
        </w:tc>
        <w:tc>
          <w:tcPr>
            <w:tcW w:w="360" w:type="dxa"/>
            <w:vAlign w:val="bottom"/>
          </w:tcPr>
          <w:p>
            <w:pPr>
              <w:spacing w:after="0"/>
              <w:rPr>
                <w:sz w:val="13"/>
                <w:szCs w:val="13"/>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13.25</w:t>
            </w:r>
          </w:p>
        </w:tc>
        <w:tc>
          <w:tcPr>
            <w:tcW w:w="440" w:type="dxa"/>
            <w:vAlign w:val="bottom"/>
          </w:tcPr>
          <w:p>
            <w:pPr>
              <w:spacing w:after="0"/>
              <w:rPr>
                <w:sz w:val="13"/>
                <w:szCs w:val="13"/>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11.57</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0.8</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0.47</w:t>
            </w: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First Quarter</w:t>
            </w:r>
          </w:p>
        </w:tc>
        <w:tc>
          <w:tcPr>
            <w:tcW w:w="9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13.36</w:t>
            </w: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13.67</w:t>
            </w:r>
          </w:p>
        </w:tc>
        <w:tc>
          <w:tcPr>
            <w:tcW w:w="4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11.56</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w:t>
            </w: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0.47</w:t>
            </w:r>
          </w:p>
        </w:tc>
        <w:tc>
          <w:tcPr>
            <w:tcW w:w="0" w:type="dxa"/>
            <w:vAlign w:val="bottom"/>
          </w:tcPr>
          <w:p>
            <w:pPr>
              <w:spacing w:after="0"/>
              <w:rPr>
                <w:sz w:val="1"/>
                <w:szCs w:val="1"/>
                <w:color w:val="auto"/>
              </w:rPr>
            </w:pPr>
          </w:p>
        </w:tc>
      </w:tr>
      <w:tr>
        <w:trPr>
          <w:trHeight w:val="156"/>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Fourth Quarter</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13.50</w:t>
            </w:r>
          </w:p>
        </w:tc>
        <w:tc>
          <w:tcPr>
            <w:tcW w:w="3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13.24</w:t>
            </w:r>
          </w:p>
        </w:tc>
        <w:tc>
          <w:tcPr>
            <w:tcW w:w="44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11.90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3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0.46</w:t>
            </w:r>
          </w:p>
        </w:tc>
        <w:tc>
          <w:tcPr>
            <w:tcW w:w="0" w:type="dxa"/>
            <w:vAlign w:val="bottom"/>
          </w:tcPr>
          <w:p>
            <w:pPr>
              <w:spacing w:after="0"/>
              <w:rPr>
                <w:sz w:val="1"/>
                <w:szCs w:val="1"/>
                <w:color w:val="auto"/>
              </w:rPr>
            </w:pPr>
          </w:p>
        </w:tc>
      </w:tr>
      <w:tr>
        <w:trPr>
          <w:trHeight w:val="156"/>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Third Quarter</w:t>
            </w:r>
          </w:p>
        </w:tc>
        <w:tc>
          <w:tcPr>
            <w:tcW w:w="900" w:type="dxa"/>
            <w:vAlign w:val="bottom"/>
          </w:tcPr>
          <w:p>
            <w:pPr>
              <w:spacing w:after="0"/>
              <w:rPr>
                <w:sz w:val="13"/>
                <w:szCs w:val="13"/>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14.08</w:t>
            </w:r>
          </w:p>
        </w:tc>
        <w:tc>
          <w:tcPr>
            <w:tcW w:w="360" w:type="dxa"/>
            <w:vAlign w:val="bottom"/>
          </w:tcPr>
          <w:p>
            <w:pPr>
              <w:spacing w:after="0"/>
              <w:rPr>
                <w:sz w:val="13"/>
                <w:szCs w:val="13"/>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13.55</w:t>
            </w:r>
          </w:p>
        </w:tc>
        <w:tc>
          <w:tcPr>
            <w:tcW w:w="440" w:type="dxa"/>
            <w:vAlign w:val="bottom"/>
          </w:tcPr>
          <w:p>
            <w:pPr>
              <w:spacing w:after="0"/>
              <w:rPr>
                <w:sz w:val="13"/>
                <w:szCs w:val="13"/>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12.15</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56"/>
        </w:trPr>
        <w:tc>
          <w:tcPr>
            <w:tcW w:w="1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Second Quarter</w:t>
            </w:r>
          </w:p>
        </w:tc>
        <w:tc>
          <w:tcPr>
            <w:tcW w:w="90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14.17</w:t>
            </w:r>
          </w:p>
        </w:tc>
        <w:tc>
          <w:tcPr>
            <w:tcW w:w="3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12.63</w:t>
            </w:r>
          </w:p>
        </w:tc>
        <w:tc>
          <w:tcPr>
            <w:tcW w:w="4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10.60</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3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2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209"/>
        </w:trPr>
        <w:tc>
          <w:tcPr>
            <w:tcW w:w="1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First Quarter</w:t>
            </w:r>
            <w:r>
              <w:rPr>
                <w:rFonts w:ascii="Times New Roman" w:cs="Times New Roman" w:eastAsia="Times New Roman" w:hAnsi="Times New Roman"/>
                <w:sz w:val="16"/>
                <w:szCs w:val="16"/>
                <w:color w:val="auto"/>
                <w:vertAlign w:val="superscript"/>
              </w:rPr>
              <w:t>(4)</w:t>
            </w:r>
          </w:p>
        </w:tc>
        <w:tc>
          <w:tcPr>
            <w:tcW w:w="900" w:type="dxa"/>
            <w:vAlign w:val="bottom"/>
          </w:tcPr>
          <w:p>
            <w:pPr>
              <w:spacing w:after="0"/>
              <w:rPr>
                <w:sz w:val="18"/>
                <w:szCs w:val="18"/>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14.07</w:t>
            </w:r>
          </w:p>
        </w:tc>
        <w:tc>
          <w:tcPr>
            <w:tcW w:w="360" w:type="dxa"/>
            <w:vAlign w:val="bottom"/>
          </w:tcPr>
          <w:p>
            <w:pPr>
              <w:spacing w:after="0"/>
              <w:rPr>
                <w:sz w:val="18"/>
                <w:szCs w:val="18"/>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13.85</w:t>
            </w:r>
          </w:p>
        </w:tc>
        <w:tc>
          <w:tcPr>
            <w:tcW w:w="440" w:type="dxa"/>
            <w:vAlign w:val="bottom"/>
          </w:tcPr>
          <w:p>
            <w:pPr>
              <w:spacing w:after="0"/>
              <w:rPr>
                <w:sz w:val="18"/>
                <w:szCs w:val="18"/>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10.89</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179133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ind w:left="360" w:right="300"/>
        <w:spacing w:after="0" w:line="187"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NAV per share is generally determined as of the last day in the relevant quarter and therefore may not reflect the NAV per share on the date of the high and low sales prices. The NAVs shown are based on outstanding shares at the end of each period.</w:t>
      </w:r>
    </w:p>
    <w:p>
      <w:pPr>
        <w:ind w:left="360"/>
        <w:spacing w:after="0" w:line="180" w:lineRule="auto"/>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2"/>
          <w:szCs w:val="12"/>
          <w:color w:val="auto"/>
        </w:rPr>
        <w:t>Calculated as the respective high or low closing price less net asset value, divided by net asset value (in each case, as of the applicable quarter).</w:t>
      </w:r>
    </w:p>
    <w:p>
      <w:pPr>
        <w:ind w:left="360"/>
        <w:spacing w:after="0" w:line="185" w:lineRule="auto"/>
        <w:rPr>
          <w:sz w:val="20"/>
          <w:szCs w:val="20"/>
          <w:color w:val="auto"/>
        </w:rPr>
      </w:pP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12"/>
          <w:szCs w:val="12"/>
          <w:color w:val="auto"/>
        </w:rPr>
        <w:t>Represents the dividend or distribution declared in the relevant quarter.</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3"/>
          <w:szCs w:val="13"/>
          <w:color w:val="auto"/>
        </w:rPr>
        <w:t>Shares of our common stock began trading on the Nasdaq Global Select Market LLC on October 21, 2021 under the trading symbol "RWAY."</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1" w:name="page62"/>
    <w:bookmarkEnd w:id="6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Distributions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Refer to "Note 9 – Net Assets" of our financial statements in Part II, Item 8 of this Form 10-K for a summary of the distributions declared and paid since inception.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Performance Graph</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following stock performance graph compares the cumulative stockholder return on our common stock from October 21, 2021 (the date our common stock commenced trading on the Nasdaq Global Select Market LLC) to December 31, 2024, with that of the Standard &amp; Poor’s 500 Stock Index, the NASDAQ Financial 100 Index, and the Wells Fargo BDC Index. This graph assumes that on October 21, 2021, $100 was invested in our common stock, the Standard &amp; Poor’s BDC Index, the NASDAQ Financial 100 Index, and the Wells Fargo BDC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stock price performance included in the below graph is not necessarily indicative of future stock performance.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COMPARISON OF CUMULATIVE TOTAL RETURN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Among Runway Growth Finance Corp., the S&amp;P 500 Index,</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The NASDAQ Financial 100 Index, and the S&amp;P BDC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116205</wp:posOffset>
            </wp:positionV>
            <wp:extent cx="5823585" cy="2446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3585" cy="2446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Cumulative stockholder return is calculated on the closing stock prices for each respective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Sales of Unregistered Securities and Use of Proceeds</w:t>
      </w:r>
    </w:p>
    <w:p>
      <w:pPr>
        <w:spacing w:after="0" w:line="174" w:lineRule="exact"/>
        <w:rPr>
          <w:sz w:val="20"/>
          <w:szCs w:val="20"/>
          <w:color w:val="auto"/>
        </w:rPr>
      </w:pPr>
    </w:p>
    <w:p>
      <w:pPr>
        <w:ind w:right="60"/>
        <w:spacing w:after="0" w:line="203" w:lineRule="exact"/>
        <w:rPr>
          <w:sz w:val="20"/>
          <w:szCs w:val="20"/>
          <w:color w:val="auto"/>
        </w:rPr>
      </w:pPr>
      <w:r>
        <w:rPr>
          <w:rFonts w:ascii="Times New Roman" w:cs="Times New Roman" w:eastAsia="Times New Roman" w:hAnsi="Times New Roman"/>
          <w:sz w:val="16"/>
          <w:szCs w:val="16"/>
          <w:color w:val="auto"/>
        </w:rPr>
        <w:t>Other than pursuant to our Dividend Reinvestment Plan, and except as previously reported by us on our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or quarterly reports on Form 10-Q, we did not sell any securities during the period covered by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that were not registered under the Securities Act.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2" w:name="page63"/>
    <w:bookmarkEnd w:id="6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382" w:lineRule="exact"/>
        <w:rPr>
          <w:sz w:val="20"/>
          <w:szCs w:val="20"/>
          <w:color w:val="auto"/>
        </w:rPr>
      </w:pPr>
    </w:p>
    <w:p>
      <w:pPr>
        <w:jc w:val="right"/>
        <w:ind w:right="444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555" w:right="1440" w:bottom="1440" w:gutter="0" w:footer="0" w:header="0"/>
        </w:sectPr>
      </w:pPr>
    </w:p>
    <w:bookmarkStart w:id="63" w:name="page64"/>
    <w:bookmarkEnd w:id="6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76" w:lineRule="exact"/>
        <w:rPr>
          <w:sz w:val="20"/>
          <w:szCs w:val="20"/>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This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 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•changes in political, economic or industry conditions, the interest rate environment or conditions affecting the financial and capital markets;</w:t>
      </w:r>
    </w:p>
    <w:p>
      <w:pPr>
        <w:spacing w:after="0" w:line="92" w:lineRule="exact"/>
        <w:rPr>
          <w:sz w:val="20"/>
          <w:szCs w:val="20"/>
          <w:color w:val="auto"/>
        </w:rPr>
      </w:pPr>
    </w:p>
    <w:p>
      <w:pPr>
        <w:ind w:left="360" w:right="100"/>
        <w:spacing w:after="0" w:line="259" w:lineRule="auto"/>
        <w:rPr>
          <w:sz w:val="20"/>
          <w:szCs w:val="20"/>
          <w:color w:val="auto"/>
        </w:rPr>
      </w:pPr>
      <w:r>
        <w:rPr>
          <w:rFonts w:ascii="Times New Roman" w:cs="Times New Roman" w:eastAsia="Times New Roman" w:hAnsi="Times New Roman"/>
          <w:sz w:val="16"/>
          <w:szCs w:val="16"/>
          <w:color w:val="auto"/>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spacing w:after="0" w:line="59" w:lineRule="exact"/>
        <w:rPr>
          <w:sz w:val="20"/>
          <w:szCs w:val="20"/>
          <w:color w:val="auto"/>
        </w:rPr>
      </w:pPr>
    </w:p>
    <w:p>
      <w:pPr>
        <w:ind w:left="360" w:right="5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360" w:right="1260"/>
        <w:spacing w:after="0" w:line="360" w:lineRule="auto"/>
        <w:rPr>
          <w:sz w:val="20"/>
          <w:szCs w:val="20"/>
          <w:color w:val="auto"/>
        </w:rPr>
      </w:pPr>
      <w:r>
        <w:rPr>
          <w:rFonts w:ascii="Times New Roman" w:cs="Times New Roman" w:eastAsia="Times New Roman" w:hAnsi="Times New Roman"/>
          <w:sz w:val="16"/>
          <w:szCs w:val="16"/>
          <w:color w:val="auto"/>
        </w:rPr>
        <w:t>•a contraction of available credit and/or an inability to access the equity markets that could impair our lending and investment activities; •interest rate volatility that could adversely affect our results, particularly to the extent that we use leverage as part of our investment strategy; •the impact of interest and inflation rates on our business prospects and the prospects of our portfolio companies; •our business prospects and the prospects of our portfolio companies</w:t>
      </w:r>
    </w:p>
    <w:p>
      <w:pPr>
        <w:ind w:left="360"/>
        <w:spacing w:after="0"/>
        <w:rPr>
          <w:sz w:val="20"/>
          <w:szCs w:val="20"/>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•competition with other entities and our affiliates for investment opportunities;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speculative and illiquid nature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use of borrowed money to finance a portion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adequacy of our financing sources and working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loss of key personnel and members of our management team;</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92" w:lineRule="exact"/>
        <w:rPr>
          <w:sz w:val="20"/>
          <w:szCs w:val="20"/>
          <w:color w:val="auto"/>
        </w:rPr>
      </w:pPr>
    </w:p>
    <w:p>
      <w:pPr>
        <w:ind w:left="360" w:right="20"/>
        <w:spacing w:after="0" w:line="360" w:lineRule="auto"/>
        <w:rPr>
          <w:sz w:val="20"/>
          <w:szCs w:val="20"/>
          <w:color w:val="auto"/>
        </w:rPr>
      </w:pPr>
      <w:r>
        <w:rPr>
          <w:rFonts w:ascii="Times New Roman" w:cs="Times New Roman" w:eastAsia="Times New Roman" w:hAnsi="Times New Roman"/>
          <w:sz w:val="16"/>
          <w:szCs w:val="16"/>
          <w:color w:val="auto"/>
        </w:rPr>
        <w:t>•the ability of our external investment adviser, Runway Growth Capital LLC, to locate suitable investments for us and to monitor and administer our investments; •the ability of Runway Growth Capital LLC to attract and retain highly talented professionals;</w:t>
      </w:r>
    </w:p>
    <w:p>
      <w:pPr>
        <w:ind w:left="360"/>
        <w:spacing w:after="0"/>
        <w:rPr>
          <w:sz w:val="20"/>
          <w:szCs w:val="20"/>
          <w:color w:val="auto"/>
        </w:rPr>
      </w:pPr>
      <w:r>
        <w:rPr>
          <w:rFonts w:ascii="Times New Roman" w:cs="Times New Roman" w:eastAsia="Times New Roman" w:hAnsi="Times New Roman"/>
          <w:sz w:val="16"/>
          <w:szCs w:val="16"/>
          <w:color w:val="auto"/>
        </w:rPr>
        <w:t>•our ability to qualify and maintain our qualification as a RIC under Subchapter M of the Code, and as a BDC;</w:t>
      </w:r>
    </w:p>
    <w:p>
      <w:pPr>
        <w:spacing w:after="0" w:line="92" w:lineRule="exact"/>
        <w:rPr>
          <w:sz w:val="20"/>
          <w:szCs w:val="20"/>
          <w:color w:val="auto"/>
        </w:rPr>
      </w:pPr>
    </w:p>
    <w:p>
      <w:pPr>
        <w:ind w:left="360" w:right="140"/>
        <w:spacing w:after="0" w:line="259" w:lineRule="auto"/>
        <w:rPr>
          <w:sz w:val="20"/>
          <w:szCs w:val="20"/>
          <w:color w:val="auto"/>
        </w:rPr>
      </w:pPr>
      <w:r>
        <w:rPr>
          <w:rFonts w:ascii="Times New Roman" w:cs="Times New Roman" w:eastAsia="Times New Roman" w:hAnsi="Times New Roman"/>
          <w:sz w:val="16"/>
          <w:szCs w:val="16"/>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effect of legal, tax, and regulatory changes; and</w:t>
      </w: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5" w:right="760" w:bottom="1440" w:gutter="0" w:footer="0" w:header="0"/>
        </w:sectPr>
      </w:pPr>
    </w:p>
    <w:bookmarkStart w:id="64" w:name="page65"/>
    <w:bookmarkEnd w:id="6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•the other risks, uncertainties and other factors we identify under "Risk Factors" in Part I, Item 1A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and in our other filings with the SEC.</w:t>
      </w:r>
    </w:p>
    <w:p>
      <w:pPr>
        <w:spacing w:after="0" w:line="204"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6"/>
          <w:szCs w:val="16"/>
          <w:color w:val="auto"/>
        </w:rPr>
        <w:t xml:space="preserve">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annual report on Form 10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should not be regarded as a representation by us that our plans and objectives will be achieved. These risks and uncertainties include those described or identified in "Risk Factors" in in Part I, Item 1A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48" w:lineRule="exact"/>
        <w:rPr>
          <w:sz w:val="20"/>
          <w:szCs w:val="20"/>
          <w:color w:val="auto"/>
        </w:rPr>
      </w:pPr>
    </w:p>
    <w:p>
      <w:pPr>
        <w:spacing w:after="0" w:line="191" w:lineRule="exact"/>
        <w:rPr>
          <w:sz w:val="20"/>
          <w:szCs w:val="20"/>
          <w:color w:val="auto"/>
        </w:rPr>
      </w:pPr>
      <w:r>
        <w:rPr>
          <w:rFonts w:ascii="Times New Roman" w:cs="Times New Roman" w:eastAsia="Times New Roman" w:hAnsi="Times New Roman"/>
          <w:sz w:val="16"/>
          <w:szCs w:val="16"/>
          <w:color w:val="auto"/>
        </w:rPr>
        <w:t xml:space="preserve">We have based the forward-looking statements included in this Form 10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on information available to us on the date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quarterly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64" w:lineRule="exact"/>
        <w:rPr>
          <w:sz w:val="20"/>
          <w:szCs w:val="20"/>
          <w:color w:val="auto"/>
        </w:rPr>
      </w:pPr>
    </w:p>
    <w:p>
      <w:pPr>
        <w:ind w:right="60"/>
        <w:spacing w:after="0" w:line="194" w:lineRule="exact"/>
        <w:rPr>
          <w:sz w:val="20"/>
          <w:szCs w:val="20"/>
          <w:color w:val="auto"/>
        </w:rPr>
      </w:pPr>
      <w:r>
        <w:rPr>
          <w:rFonts w:ascii="Times New Roman" w:cs="Times New Roman" w:eastAsia="Times New Roman" w:hAnsi="Times New Roman"/>
          <w:sz w:val="16"/>
          <w:szCs w:val="16"/>
          <w:color w:val="auto"/>
        </w:rPr>
        <w:t>The following analysis of our financial condition and results of operations should be read in conjunction with our consolidated financial statements and the related notes thereto contained elsewhere in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4"/>
          <w:szCs w:val="14"/>
          <w:color w:val="auto"/>
        </w:rPr>
        <w:t>Runway Growth Finance Corp. ("we," "us," "our," or the "Company"), a Maryland corporation formed on August 31, 2015, is structured as an externally managed, non-diversified closed- 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spacing w:after="0" w:line="1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7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12b- 2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73"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We are externally managed by Runway Growth Capital LLC ("RGC"), an investment adviser that has registered with the SEC under the Investment Advisers Act of 1940, as amended. Runway Administrator Services LLC (the "Administrator"), a wholly-owned subsidiary of RGC, provides all the administrative services necessary for us to operate.</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5" w:name="page66"/>
    <w:bookmarkEnd w:id="6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On August 10, 2020, as amended on August 30, 2022, we, RGC, and certain other funds and accounts sponsored or managed by RGC and/or its affiliates were granted an order (the “Order”) that permits us greater flexibility than the 1940 Act permits to negotiate the terms of co-investments if our Board of Directors determines that it would be advantageous for us to co-invest with other accounts sponsored or managed by RGC 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 -investment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Composition and Investment Activity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Composition</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As of December 31, 2024, we had investments in 57 portfolio companies, representing 23 companies in which we held debt and warrant investments, 5 companies in which we held debt investments and shares of common stock, preferred stock, or a combination with warrants, 4 companies in which we held a debt investment only, 17 companies in which we held warrant investments only, and 8 companies in which we held shares of common stock, preferred stock, equity interests only, or a combination thereof with warrants. As of December 31, 2023, we had investments in 52 portfolio companies, representing 22 companies in which we held debt and warrant investments, 3 companies in which we held debt investments and shares of common, preferred stock, or a combination with warrants, 4 companies in which we held a debt investment only, 16 companies in which we held warrant investments only, and 7 companies in which we held shares of common stock, preferred stock, or equity interests only, or a combination with warrants.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fair value of our investments, by asset class, as of December 31, 2024 and December 31,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5"/>
                <w:szCs w:val="15"/>
                <w:color w:val="auto"/>
              </w:rPr>
            </w:pPr>
          </w:p>
        </w:tc>
        <w:tc>
          <w:tcPr>
            <w:tcW w:w="96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40" w:type="dxa"/>
            <w:vAlign w:val="bottom"/>
          </w:tcPr>
          <w:p>
            <w:pPr>
              <w:spacing w:after="0"/>
              <w:rPr>
                <w:sz w:val="14"/>
                <w:szCs w:val="14"/>
                <w:color w:val="auto"/>
              </w:rPr>
            </w:pPr>
          </w:p>
        </w:tc>
        <w:tc>
          <w:tcPr>
            <w:tcW w:w="92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96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966,155</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950,092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88.24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977,947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964,099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90.35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Second Lien Term Loans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20,445</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20,152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14,278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14,399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Convertible Note</w:t>
            </w:r>
          </w:p>
        </w:tc>
        <w:tc>
          <w:tcPr>
            <w:tcW w:w="24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1,357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Preferred Stocks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77,247</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82,641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40,602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29,838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Stocks</w:t>
            </w:r>
          </w:p>
        </w:tc>
        <w:tc>
          <w:tcPr>
            <w:tcW w:w="24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9,141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2,833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9,141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1,420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Equity Interest</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6,550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6,940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24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24,345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14,182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20,560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12,947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Investments, excluding U.S. Treasury Bills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1,103,883</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1,076,840</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1,064,835</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1,025,010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96.06</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42,014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41,999</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2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1,103,883</w:t>
            </w:r>
          </w:p>
        </w:tc>
        <w:tc>
          <w:tcPr>
            <w:tcW w:w="280" w:type="dxa"/>
            <w:vAlign w:val="bottom"/>
            <w:gridSpan w:val="2"/>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10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1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1,106,849</w:t>
            </w:r>
          </w:p>
        </w:tc>
        <w:tc>
          <w:tcPr>
            <w:tcW w:w="1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1,067,009</w:t>
            </w:r>
          </w:p>
        </w:tc>
        <w:tc>
          <w:tcPr>
            <w:tcW w:w="1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2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231F20"/>
        </w:rPr>
        <w:t>For the years ended December 31, 2024, December 31, 2023, and December 31, 2022, our debt investment portfolio had a dollar -weighted annualized yield of 14.9%, 15.8%, and 13.7%, respectively. We calculate the yield on dollar-weighted debt investments for any period measured as (1) total related investment income during the period divided by (2) the daily average of the fair value of debt investments outstanding during the period, including any debt investments on non-accrual status. As of December 31, 2024, our debt investments had a dollar- weighted average term of 58 months at origination and a dollar-weighted average remaining term of 37 months, or approximately 3.1 years. As of December 31, 2024, substantially all of our debt investments had a committed principal amount of between $6.0 million and $75.0 million and pay cash interest at annual interest rates of between 6.3% and 16.8%.</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6" w:name="page67"/>
    <w:bookmarkEnd w:id="6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231F20"/>
        </w:rPr>
        <w:t>The following table shows our dollar-weighted annualized yield by investment type for the years ended December 31, 2024, December 31, 2023, and December 31,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6"/>
                <w:szCs w:val="16"/>
                <w:b w:val="1"/>
                <w:bCs w:val="1"/>
                <w:color w:val="auto"/>
                <w:vertAlign w:val="superscript"/>
              </w:rPr>
              <w:t>(1)</w:t>
            </w: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w w:val="95"/>
              </w:rPr>
              <w:t>Cost</w:t>
            </w:r>
            <w:r>
              <w:rPr>
                <w:rFonts w:ascii="Times New Roman" w:cs="Times New Roman" w:eastAsia="Times New Roman" w:hAnsi="Times New Roman"/>
                <w:sz w:val="16"/>
                <w:szCs w:val="16"/>
                <w:b w:val="1"/>
                <w:bCs w:val="1"/>
                <w:color w:val="auto"/>
                <w:w w:val="95"/>
                <w:vertAlign w:val="superscript"/>
              </w:rPr>
              <w:t>(2)</w:t>
            </w:r>
          </w:p>
        </w:tc>
        <w:tc>
          <w:tcPr>
            <w:tcW w:w="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2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70"/>
        </w:trPr>
        <w:tc>
          <w:tcPr>
            <w:tcW w:w="2140" w:type="dxa"/>
            <w:vAlign w:val="bottom"/>
          </w:tcPr>
          <w:p>
            <w:pPr>
              <w:spacing w:after="0"/>
              <w:rPr>
                <w:sz w:val="14"/>
                <w:szCs w:val="14"/>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4"/>
                <w:szCs w:val="14"/>
                <w:color w:val="auto"/>
              </w:rPr>
            </w:pP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c>
          <w:tcPr>
            <w:tcW w:w="78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48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4"/>
                <w:szCs w:val="14"/>
                <w:color w:val="auto"/>
              </w:rPr>
            </w:pPr>
          </w:p>
        </w:tc>
        <w:tc>
          <w:tcPr>
            <w:tcW w:w="1120" w:type="dxa"/>
            <w:vAlign w:val="bottom"/>
          </w:tcPr>
          <w:p>
            <w:pPr>
              <w:jc w:val="center"/>
              <w:ind w:left="29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4"/>
                <w:szCs w:val="14"/>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r>
      <w:tr>
        <w:trPr>
          <w:trHeight w:val="156"/>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6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r>
      <w:tr>
        <w:trPr>
          <w:trHeight w:val="156"/>
        </w:trPr>
        <w:tc>
          <w:tcPr>
            <w:tcW w:w="2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Debt investments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w:t>
            </w: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15.78</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4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w:t>
            </w:r>
          </w:p>
        </w:tc>
        <w:tc>
          <w:tcPr>
            <w:tcW w:w="58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Equity interest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0.61</w:t>
            </w: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2.66</w:t>
            </w:r>
          </w:p>
        </w:tc>
        <w:tc>
          <w:tcPr>
            <w:tcW w:w="520" w:type="dxa"/>
            <w:vAlign w:val="bottom"/>
            <w:shd w:val="clear" w:color="auto" w:fill="CFF0FC"/>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48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580" w:type="dxa"/>
            <w:vAlign w:val="bottom"/>
            <w:shd w:val="clear" w:color="auto" w:fill="CFF0FC"/>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All investments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w:t>
            </w:r>
          </w:p>
        </w:tc>
        <w:tc>
          <w:tcPr>
            <w:tcW w:w="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15.20</w:t>
            </w:r>
          </w:p>
        </w:tc>
        <w:tc>
          <w:tcPr>
            <w:tcW w:w="520" w:type="dxa"/>
            <w:vAlign w:val="bottom"/>
          </w:tcPr>
          <w:p>
            <w:pPr>
              <w:jc w:val="right"/>
              <w:ind w:right="3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4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580" w:type="dxa"/>
            <w:vAlign w:val="bottom"/>
          </w:tcPr>
          <w:p>
            <w:pPr>
              <w:jc w:val="right"/>
              <w:ind w:right="35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03" w:lineRule="exact"/>
        <w:rPr>
          <w:sz w:val="20"/>
          <w:szCs w:val="20"/>
          <w:color w:val="auto"/>
        </w:rPr>
      </w:pPr>
    </w:p>
    <w:p>
      <w:pPr>
        <w:jc w:val="both"/>
        <w:ind w:left="360" w:right="80"/>
        <w:spacing w:after="0" w:line="212"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81" w:lineRule="exact"/>
        <w:rPr>
          <w:sz w:val="20"/>
          <w:szCs w:val="20"/>
          <w:color w:val="auto"/>
        </w:rPr>
      </w:pPr>
    </w:p>
    <w:p>
      <w:pPr>
        <w:jc w:val="both"/>
        <w:ind w:left="360" w:right="120"/>
        <w:spacing w:after="0" w:line="212"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 -accrual status. The dollar-weighted annualized yield represents the portfolio yield and will be higher than what investors will realize because it does not reflect our expenses or any sales load paid by investors.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Activity</w:t>
      </w:r>
    </w:p>
    <w:p>
      <w:pPr>
        <w:spacing w:after="0" w:line="19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 -on investments as well as repayments and sales of existing investments. For the year ended December 31, 2024, we funded $220.4 million in 8 new portfolio companies, $5.6 million in one joint venture, and $28.1 million in 6 existing portfolio companies, net of upfront loan origination fees and refinances. We also received $224.4 million in sales and prepayments from 9 portfolio companies and $ 4.8 million in scheduled principal payments from two portfolio companies. There was $2.0 million in proceeds from the termination of warrants, sale of preferred stock, sale of equity interest, or sale of common stock during the year ended December 31, 2024. For the year ended December 31, 2023 we funded $82.7 million in four new portfolio companies, and $117.8 million in 14 existing portfolio companies, net of upfront loan origination fees and refinances. We also received $289.0 million in loan sales and prepayments from 12 portfolio companies and $ 7.3 million in scheduled principal payments from three portfolio companies. There was $44.0 thousand in proceeds from the termination of warrants, sale of preferred stock, sale of equity interest, or sale of common stock during the year ended December 31, 2023.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Reconciliation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our investment portfolio, including U.S. Treasury Bills, for the years ended December 31, 2024 and 2023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152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96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540" w:type="dxa"/>
            <w:vAlign w:val="bottom"/>
            <w:vMerge w:val="restart"/>
          </w:tcPr>
          <w:p>
            <w:pPr>
              <w:jc w:val="right"/>
              <w:ind w:right="10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Beginning investment portfolio</w:t>
            </w:r>
          </w:p>
        </w:tc>
        <w:tc>
          <w:tcPr>
            <w:tcW w:w="1520" w:type="dxa"/>
            <w:vAlign w:val="bottom"/>
            <w:shd w:val="clear" w:color="auto" w:fill="CFF0FC"/>
          </w:tcPr>
          <w:p>
            <w:pPr>
              <w:jc w:val="right"/>
              <w:ind w:right="1254"/>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1,067,009</w:t>
            </w:r>
          </w:p>
        </w:tc>
        <w:tc>
          <w:tcPr>
            <w:tcW w:w="1100" w:type="dxa"/>
            <w:vAlign w:val="bottom"/>
            <w:gridSpan w:val="2"/>
            <w:shd w:val="clear" w:color="auto" w:fill="CFF0FC"/>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1,126,309</w:t>
            </w:r>
          </w:p>
        </w:tc>
        <w:tc>
          <w:tcPr>
            <w:tcW w:w="0" w:type="dxa"/>
            <w:vAlign w:val="bottom"/>
          </w:tcPr>
          <w:p>
            <w:pPr>
              <w:spacing w:after="0"/>
              <w:rPr>
                <w:sz w:val="1"/>
                <w:szCs w:val="1"/>
                <w:color w:val="auto"/>
              </w:rPr>
            </w:pPr>
          </w:p>
        </w:tc>
      </w:tr>
      <w:tr>
        <w:trPr>
          <w:trHeight w:val="156"/>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Purchases of investments</w:t>
            </w:r>
          </w:p>
        </w:tc>
        <w:tc>
          <w:tcPr>
            <w:tcW w:w="152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254,106</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200,464</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U.S. Treasury Bills</w:t>
            </w:r>
          </w:p>
        </w:tc>
        <w:tc>
          <w:tcPr>
            <w:tcW w:w="15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5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76,973</w:t>
            </w:r>
          </w:p>
        </w:tc>
        <w:tc>
          <w:tcPr>
            <w:tcW w:w="0" w:type="dxa"/>
            <w:vAlign w:val="bottom"/>
          </w:tcPr>
          <w:p>
            <w:pPr>
              <w:spacing w:after="0"/>
              <w:rPr>
                <w:sz w:val="1"/>
                <w:szCs w:val="1"/>
                <w:color w:val="auto"/>
              </w:rPr>
            </w:pPr>
          </w:p>
        </w:tc>
      </w:tr>
      <w:tr>
        <w:trPr>
          <w:trHeight w:val="156"/>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PIK interest</w:t>
            </w:r>
          </w:p>
        </w:tc>
        <w:tc>
          <w:tcPr>
            <w:tcW w:w="152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12,265</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19,924</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Sales and prepayments of investments</w:t>
            </w:r>
          </w:p>
        </w:tc>
        <w:tc>
          <w:tcPr>
            <w:tcW w:w="15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(226,397)</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(289,078)</w:t>
            </w:r>
          </w:p>
        </w:tc>
        <w:tc>
          <w:tcPr>
            <w:tcW w:w="0" w:type="dxa"/>
            <w:vAlign w:val="bottom"/>
          </w:tcPr>
          <w:p>
            <w:pPr>
              <w:spacing w:after="0"/>
              <w:rPr>
                <w:sz w:val="1"/>
                <w:szCs w:val="1"/>
                <w:color w:val="auto"/>
              </w:rPr>
            </w:pPr>
          </w:p>
        </w:tc>
      </w:tr>
      <w:tr>
        <w:trPr>
          <w:trHeight w:val="156"/>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repayments of investments</w:t>
            </w:r>
          </w:p>
        </w:tc>
        <w:tc>
          <w:tcPr>
            <w:tcW w:w="15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Sales and maturities of U.S. Treasury Bills</w:t>
            </w:r>
          </w:p>
        </w:tc>
        <w:tc>
          <w:tcPr>
            <w:tcW w:w="15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(42,029)</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0" w:type="dxa"/>
            <w:vAlign w:val="bottom"/>
          </w:tcPr>
          <w:p>
            <w:pPr>
              <w:spacing w:after="0"/>
              <w:rPr>
                <w:sz w:val="1"/>
                <w:szCs w:val="1"/>
                <w:color w:val="auto"/>
              </w:rPr>
            </w:pPr>
          </w:p>
        </w:tc>
      </w:tr>
      <w:tr>
        <w:trPr>
          <w:trHeight w:val="156"/>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w:t>
            </w:r>
          </w:p>
        </w:tc>
        <w:tc>
          <w:tcPr>
            <w:tcW w:w="152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6,808</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8,682</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5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0" w:type="dxa"/>
            <w:vAlign w:val="bottom"/>
          </w:tcPr>
          <w:p>
            <w:pPr>
              <w:spacing w:after="0"/>
              <w:rPr>
                <w:sz w:val="1"/>
                <w:szCs w:val="1"/>
                <w:color w:val="auto"/>
              </w:rPr>
            </w:pPr>
          </w:p>
        </w:tc>
      </w:tr>
      <w:tr>
        <w:trPr>
          <w:trHeight w:val="156"/>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52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12,797</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(15,547)</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CFF0FC"/>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Ending investment portfolio</w:t>
            </w:r>
          </w:p>
        </w:tc>
        <w:tc>
          <w:tcPr>
            <w:tcW w:w="1520" w:type="dxa"/>
            <w:vAlign w:val="bottom"/>
            <w:tcBorders>
              <w:bottom w:val="single" w:sz="8" w:color="auto"/>
            </w:tcBorders>
            <w:shd w:val="clear" w:color="auto" w:fill="CFF0FC"/>
          </w:tcPr>
          <w:p>
            <w:pPr>
              <w:jc w:val="right"/>
              <w:ind w:right="12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26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auto"/>
            </w:tcBorders>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1,067,009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7" w:name="page68"/>
    <w:bookmarkEnd w:id="6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 Quality</w:t>
      </w:r>
    </w:p>
    <w:p>
      <w:pPr>
        <w:spacing w:after="0" w:line="192"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ectPr>
          <w:pgSz w:w="11900" w:h="16840" w:orient="portrait"/>
          <w:cols w:equalWidth="0" w:num="1">
            <w:col w:w="10560"/>
          </w:cols>
          <w:pgMar w:left="660" w:top="555" w:right="680" w:bottom="1440" w:gutter="0" w:footer="0" w:header="0"/>
        </w:sectPr>
      </w:pP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b w:val="1"/>
          <w:bCs w:val="1"/>
          <w:color w:val="auto"/>
        </w:rPr>
        <w:t>Investment</w:t>
      </w:r>
    </w:p>
    <w:p>
      <w:pPr>
        <w:spacing w:after="0" w:line="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b w:val="1"/>
          <w:bCs w:val="1"/>
          <w:color w:val="auto"/>
        </w:rPr>
        <w:t>Rating</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3"/>
          <w:szCs w:val="13"/>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12700</wp:posOffset>
            </wp:positionV>
            <wp:extent cx="6707505" cy="228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spacing w:after="0" w:line="23" w:lineRule="exact"/>
        <w:rPr>
          <w:sz w:val="20"/>
          <w:szCs w:val="20"/>
          <w:color w:val="auto"/>
        </w:rPr>
      </w:pPr>
    </w:p>
    <w:p>
      <w:pPr>
        <w:sectPr>
          <w:pgSz w:w="11900" w:h="16840" w:orient="portrait"/>
          <w:cols w:equalWidth="0" w:num="2">
            <w:col w:w="4680" w:space="720"/>
            <w:col w:w="5160"/>
          </w:cols>
          <w:pgMar w:left="660" w:top="555" w:right="680"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Performing above plan and/or strong enterprise profile, value, financial performance/coverage. Maintaining full covenant and payment compliance as</w:t>
      </w:r>
    </w:p>
    <w:p>
      <w:pPr>
        <w:sectPr>
          <w:pgSz w:w="11900" w:h="16840" w:orient="portrait"/>
          <w:cols w:equalWidth="0" w:num="1">
            <w:col w:w="10560"/>
          </w:cols>
          <w:pgMar w:left="660" w:top="555" w:right="680" w:bottom="1440" w:gutter="0" w:footer="0" w:header="0"/>
          <w:type w:val="continuous"/>
        </w:sectPr>
      </w:pPr>
    </w:p>
    <w:p>
      <w:pPr>
        <w:spacing w:after="0" w:line="16" w:lineRule="exact"/>
        <w:rPr>
          <w:sz w:val="20"/>
          <w:szCs w:val="20"/>
          <w:color w:val="auto"/>
        </w:rPr>
      </w:pPr>
    </w:p>
    <w:p>
      <w:pPr>
        <w:ind w:left="1200" w:hanging="780"/>
        <w:spacing w:after="0"/>
        <w:tabs>
          <w:tab w:leader="none" w:pos="12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agreed.</w:t>
      </w:r>
    </w:p>
    <w:p>
      <w:pPr>
        <w:ind w:left="120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at or reasonably close to plan. Acceptable business prospects, enterprise value, and financial coverage. Maintaining key covenant and</w:t>
      </w:r>
    </w:p>
    <w:p>
      <w:pPr>
        <w:ind w:left="1200" w:hanging="780"/>
        <w:spacing w:after="0" w:line="235" w:lineRule="auto"/>
        <w:tabs>
          <w:tab w:leader="none" w:pos="12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compliance as agreed. Generally, all new loans are initially graded Category 2.</w:t>
      </w:r>
    </w:p>
    <w:p>
      <w:pPr>
        <w:ind w:left="1200"/>
        <w:spacing w:after="0" w:line="23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Performing below plan of record. Potential elements of concern over performance, trends and business outlook. Loan-to-value remains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707505" cy="228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left="1200" w:hanging="780"/>
        <w:spacing w:after="0" w:line="235" w:lineRule="auto"/>
        <w:tabs>
          <w:tab w:leader="none" w:pos="12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key covenant non-compliance. Full payment compliance.</w:t>
      </w:r>
    </w:p>
    <w:p>
      <w:pPr>
        <w:spacing w:after="0" w:line="1" w:lineRule="exact"/>
        <w:rPr>
          <w:sz w:val="20"/>
          <w:szCs w:val="20"/>
          <w:color w:val="auto"/>
        </w:rPr>
      </w:pPr>
    </w:p>
    <w:p>
      <w:pPr>
        <w:ind w:left="1200" w:right="20"/>
        <w:spacing w:after="0" w:line="268" w:lineRule="auto"/>
        <w:rPr>
          <w:sz w:val="20"/>
          <w:szCs w:val="20"/>
          <w:color w:val="auto"/>
        </w:rPr>
      </w:pPr>
      <w:r>
        <w:rPr>
          <w:rFonts w:ascii="Times New Roman" w:cs="Times New Roman" w:eastAsia="Times New Roman" w:hAnsi="Times New Roman"/>
          <w:sz w:val="14"/>
          <w:szCs w:val="14"/>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w:t>
      </w:r>
    </w:p>
    <w:p>
      <w:pPr>
        <w:ind w:left="1200" w:hanging="780"/>
        <w:spacing w:after="0" w:line="235" w:lineRule="auto"/>
        <w:tabs>
          <w:tab w:leader="none" w:pos="12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possibility of loss of return but no loss of principal is expected.</w:t>
      </w: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Going concern nature in question. Substantial decline in enterprise value and all coverages. Covenant and payment default imminent if not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707505" cy="228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07505" cy="228600"/>
                    </a:xfrm>
                    <a:prstGeom prst="rect">
                      <a:avLst/>
                    </a:prstGeom>
                    <a:noFill/>
                  </pic:spPr>
                </pic:pic>
              </a:graphicData>
            </a:graphic>
          </wp:anchor>
        </w:drawing>
      </w:r>
    </w:p>
    <w:p>
      <w:pPr>
        <w:ind w:left="1200" w:hanging="780"/>
        <w:spacing w:after="0"/>
        <w:tabs>
          <w:tab w:leader="none" w:pos="12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 Investments are nearly always in workout. May experience partial and/or full loss.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investment ratings of our debt investments at fair value as of December 31, 2024 and December 31, 2023 (dollars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0" w:type="dxa"/>
            <w:vAlign w:val="bottom"/>
          </w:tcPr>
          <w:p>
            <w:pPr>
              <w:spacing w:after="0"/>
              <w:rPr>
                <w:sz w:val="1"/>
                <w:szCs w:val="1"/>
                <w:color w:val="auto"/>
              </w:rPr>
            </w:pPr>
          </w:p>
        </w:tc>
      </w:tr>
      <w:tr>
        <w:trPr>
          <w:trHeight w:val="138"/>
        </w:trPr>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0" w:type="dxa"/>
            <w:vAlign w:val="bottom"/>
          </w:tcPr>
          <w:p>
            <w:pPr>
              <w:spacing w:after="0"/>
              <w:rPr>
                <w:sz w:val="1"/>
                <w:szCs w:val="1"/>
                <w:color w:val="auto"/>
              </w:rPr>
            </w:pPr>
          </w:p>
        </w:tc>
      </w:tr>
      <w:tr>
        <w:trPr>
          <w:trHeight w:val="170"/>
        </w:trPr>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 Rating</w:t>
            </w:r>
          </w:p>
        </w:tc>
        <w:tc>
          <w:tcPr>
            <w:tcW w:w="16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Companies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100" w:type="dxa"/>
            <w:vAlign w:val="bottom"/>
          </w:tcPr>
          <w:p>
            <w:pPr>
              <w:spacing w:after="0"/>
              <w:rPr>
                <w:sz w:val="14"/>
                <w:szCs w:val="14"/>
                <w:color w:val="auto"/>
              </w:rPr>
            </w:pPr>
          </w:p>
        </w:tc>
        <w:tc>
          <w:tcPr>
            <w:tcW w:w="9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Companies</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27,217</w:t>
            </w:r>
          </w:p>
        </w:tc>
        <w:tc>
          <w:tcPr>
            <w:tcW w:w="13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2.53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60" w:type="dxa"/>
            <w:vAlign w:val="bottom"/>
          </w:tcPr>
          <w:p>
            <w:pPr>
              <w:spacing w:after="0"/>
              <w:rPr>
                <w:sz w:val="13"/>
                <w:szCs w:val="13"/>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671,839</w:t>
            </w:r>
          </w:p>
        </w:tc>
        <w:tc>
          <w:tcPr>
            <w:tcW w:w="13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62.39</w:t>
            </w:r>
          </w:p>
        </w:tc>
        <w:tc>
          <w:tcPr>
            <w:tcW w:w="180" w:type="dxa"/>
            <w:vAlign w:val="bottom"/>
          </w:tcPr>
          <w:p>
            <w:pPr>
              <w:spacing w:after="0"/>
              <w:rPr>
                <w:sz w:val="13"/>
                <w:szCs w:val="13"/>
                <w:color w:val="auto"/>
              </w:rPr>
            </w:pPr>
          </w:p>
        </w:tc>
        <w:tc>
          <w:tcPr>
            <w:tcW w:w="10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20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612,709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57.41</w:t>
            </w:r>
          </w:p>
        </w:tc>
        <w:tc>
          <w:tcPr>
            <w:tcW w:w="180" w:type="dxa"/>
            <w:vAlign w:val="bottom"/>
          </w:tcPr>
          <w:p>
            <w:pPr>
              <w:spacing w:after="0"/>
              <w:rPr>
                <w:sz w:val="13"/>
                <w:szCs w:val="13"/>
                <w:color w:val="auto"/>
              </w:rPr>
            </w:pP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231,488</w:t>
            </w:r>
          </w:p>
        </w:tc>
        <w:tc>
          <w:tcPr>
            <w:tcW w:w="13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21.50</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361,998</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33.93</w:t>
            </w:r>
          </w:p>
        </w:tc>
        <w:tc>
          <w:tcPr>
            <w:tcW w:w="1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2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60" w:type="dxa"/>
            <w:vAlign w:val="bottom"/>
          </w:tcPr>
          <w:p>
            <w:pPr>
              <w:spacing w:after="0"/>
              <w:rPr>
                <w:sz w:val="13"/>
                <w:szCs w:val="13"/>
                <w:color w:val="auto"/>
              </w:rPr>
            </w:pP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34,120</w:t>
            </w:r>
          </w:p>
        </w:tc>
        <w:tc>
          <w:tcPr>
            <w:tcW w:w="13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3.17</w:t>
            </w:r>
          </w:p>
        </w:tc>
        <w:tc>
          <w:tcPr>
            <w:tcW w:w="180" w:type="dxa"/>
            <w:vAlign w:val="bottom"/>
          </w:tcPr>
          <w:p>
            <w:pPr>
              <w:spacing w:after="0"/>
              <w:rPr>
                <w:sz w:val="13"/>
                <w:szCs w:val="13"/>
                <w:color w:val="auto"/>
              </w:rPr>
            </w:pPr>
          </w:p>
        </w:tc>
        <w:tc>
          <w:tcPr>
            <w:tcW w:w="10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3,791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180" w:type="dxa"/>
            <w:vAlign w:val="bottom"/>
          </w:tcPr>
          <w:p>
            <w:pPr>
              <w:spacing w:after="0"/>
              <w:rPr>
                <w:sz w:val="13"/>
                <w:szCs w:val="13"/>
                <w:color w:val="auto"/>
              </w:rPr>
            </w:pP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2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5,580</w:t>
            </w:r>
          </w:p>
        </w:tc>
        <w:tc>
          <w:tcPr>
            <w:tcW w:w="13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0.52</w:t>
            </w:r>
          </w:p>
        </w:tc>
        <w:tc>
          <w:tcPr>
            <w:tcW w:w="18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970,244</w:t>
            </w:r>
          </w:p>
        </w:tc>
        <w:tc>
          <w:tcPr>
            <w:tcW w:w="134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90.11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32</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978,498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91.70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Non-Accrual Status</w:t>
      </w:r>
    </w:p>
    <w:p>
      <w:pPr>
        <w:spacing w:after="0" w:line="19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6"/>
          <w:szCs w:val="16"/>
          <w:color w:val="auto"/>
        </w:rPr>
        <w:t>Generally, when interest and/or principal payments on a loan become past due, or if we otherwise do not expect the borrower to be able to service its debt and other obligations, we will place the loan on non- accrual status and will cease recognizing interest income on that loan for financial reporting purposes until all principal and interest have been brought current through payment or upon restructuring such that the interest income is deemed to be collectible. As of December 31, 2024, we had two senior secured term loans on non-accrual status; one loan to Mingle Healthcare Solutions, Inc. with a cost basis of $ 5.0 million and a fair value of $2.1 million, and one loan to JobGet Holdings, Inc. (fka Snagajob, Inc.), with a cost basis of $3.8 million and a fair value of $3.4 million, which together represent 0.5% our total investment portfolio. From being placed on non-accrual status through December 31, 2024, cumulative interest of $0.7 million would be receivable from Mingle Healthcare Solutions, Inc. and was not recorded in Interest income on the Consolidated Statements of Operations. From being placed on non-accrual status through December 31, 2024, cumulative interest of $ 4.2 million would be receivable from JobGet Holdings, Inc. (fka Snagajob, Inc.) and $0.3 million OID would be accreted into the cost basis, for a total of $4.5 million that was not recorded in Interest income on the Consolidated Statements of Operations. As of December 31, 2024, we had reversed interest income of $0.3 million related to the senior secured term loans on non-accrual status. As of December 31, 2023, we had no loans on non-accrual status and had not written off any accrued and uncollected interest income.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type w:val="continuous"/>
        </w:sectPr>
      </w:pPr>
    </w:p>
    <w:bookmarkStart w:id="68" w:name="page69"/>
    <w:bookmarkEnd w:id="6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192"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4"/>
          <w:szCs w:val="14"/>
          <w:color w:val="auto"/>
        </w:rPr>
        <w:t>An important measure of our financial performance is "Net increase (decrease) in net assets resulting from operations" on the Consolidated Statements of Operations, which includes "Net investment income (loss)", "Net realized gain (loss) on investments" and "Net change in unrealized gain (loss) on investments". "Net investment income (loss)" is the difference between our income from interest, dividends, fees and other income and our operating expenses, including interest on borrowed funds. "Net realized gain (loss) on investments" is the difference between the proceeds received from dispositions of portfolio investments and U.S. Treasury Bills and their amortized cost. "Net change in unrealized gain (loss) on investments" is the net change in the fair value of our investment portfolio.</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Years Ended December 31, 2024, 2023 and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is a comparison of the results of our operations for the years ended December 31, 2024, 2023, and 2022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4"/>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8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Per</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40" w:type="dxa"/>
            <w:vAlign w:val="bottom"/>
          </w:tcPr>
          <w:p>
            <w:pPr>
              <w:spacing w:after="0"/>
              <w:rPr>
                <w:sz w:val="19"/>
                <w:szCs w:val="19"/>
                <w:color w:val="auto"/>
              </w:rPr>
            </w:pPr>
          </w:p>
        </w:tc>
        <w:tc>
          <w:tcPr>
            <w:tcW w:w="9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w w:val="93"/>
              </w:rPr>
              <w:t>Share</w:t>
            </w:r>
            <w:r>
              <w:rPr>
                <w:rFonts w:ascii="Times New Roman" w:cs="Times New Roman" w:eastAsia="Times New Roman" w:hAnsi="Times New Roman"/>
                <w:sz w:val="16"/>
                <w:szCs w:val="16"/>
                <w:b w:val="1"/>
                <w:bCs w:val="1"/>
                <w:color w:val="auto"/>
                <w:w w:val="93"/>
                <w:vertAlign w:val="superscript"/>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3"/>
              </w:rPr>
              <w:t>Share</w:t>
            </w:r>
            <w:r>
              <w:rPr>
                <w:rFonts w:ascii="Times New Roman" w:cs="Times New Roman" w:eastAsia="Times New Roman" w:hAnsi="Times New Roman"/>
                <w:sz w:val="16"/>
                <w:szCs w:val="16"/>
                <w:b w:val="1"/>
                <w:bCs w:val="1"/>
                <w:color w:val="auto"/>
                <w:w w:val="93"/>
                <w:vertAlign w:val="superscript"/>
              </w:rPr>
              <w:t>(1)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0" w:type="dxa"/>
            <w:vAlign w:val="bottom"/>
          </w:tcPr>
          <w:p>
            <w:pPr>
              <w:spacing w:after="0"/>
              <w:rPr>
                <w:sz w:val="1"/>
                <w:szCs w:val="1"/>
                <w:color w:val="auto"/>
              </w:rPr>
            </w:pPr>
          </w:p>
        </w:tc>
      </w:tr>
      <w:tr>
        <w:trPr>
          <w:trHeight w:val="116"/>
        </w:trPr>
        <w:tc>
          <w:tcPr>
            <w:tcW w:w="4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fee and dividend income</w:t>
            </w:r>
          </w:p>
        </w:tc>
        <w:tc>
          <w:tcPr>
            <w:tcW w:w="24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144,101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3.71</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163,721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4.04</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107,749</w:t>
            </w:r>
          </w:p>
        </w:tc>
        <w:tc>
          <w:tcPr>
            <w:tcW w:w="4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56"/>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24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144,632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3.72</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164,209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4.05</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107,751</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2.63</w:t>
            </w:r>
          </w:p>
        </w:tc>
        <w:tc>
          <w:tcPr>
            <w:tcW w:w="0" w:type="dxa"/>
            <w:vAlign w:val="bottom"/>
          </w:tcPr>
          <w:p>
            <w:pPr>
              <w:spacing w:after="0"/>
              <w:rPr>
                <w:sz w:val="1"/>
                <w:szCs w:val="1"/>
                <w:color w:val="auto"/>
              </w:rPr>
            </w:pPr>
          </w:p>
        </w:tc>
      </w:tr>
      <w:tr>
        <w:trPr>
          <w:trHeight w:val="15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Management fees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15,694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0.40</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16,711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0.41</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11,882</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0.29</w:t>
            </w:r>
          </w:p>
        </w:tc>
        <w:tc>
          <w:tcPr>
            <w:tcW w:w="0" w:type="dxa"/>
            <w:vAlign w:val="bottom"/>
          </w:tcPr>
          <w:p>
            <w:pPr>
              <w:spacing w:after="0"/>
              <w:rPr>
                <w:sz w:val="1"/>
                <w:szCs w:val="1"/>
                <w:color w:val="auto"/>
              </w:rPr>
            </w:pPr>
          </w:p>
        </w:tc>
      </w:tr>
      <w:tr>
        <w:trPr>
          <w:trHeight w:val="156"/>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Incentive fees</w:t>
            </w:r>
          </w:p>
        </w:tc>
        <w:tc>
          <w:tcPr>
            <w:tcW w:w="24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14,579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19,046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0.47</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13,183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0.32</w:t>
            </w: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44,226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43,143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1.07</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16,761</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0.41</w:t>
            </w:r>
          </w:p>
        </w:tc>
        <w:tc>
          <w:tcPr>
            <w:tcW w:w="0" w:type="dxa"/>
            <w:vAlign w:val="bottom"/>
          </w:tcPr>
          <w:p>
            <w:pPr>
              <w:spacing w:after="0"/>
              <w:rPr>
                <w:sz w:val="1"/>
                <w:szCs w:val="1"/>
                <w:color w:val="auto"/>
              </w:rPr>
            </w:pPr>
          </w:p>
        </w:tc>
      </w:tr>
      <w:tr>
        <w:trPr>
          <w:trHeight w:val="156"/>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Professional fees</w:t>
            </w:r>
          </w:p>
        </w:tc>
        <w:tc>
          <w:tcPr>
            <w:tcW w:w="24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2,350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0.06</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2,133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Administration agreement expenses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1,986</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0.05</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2,125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0.05</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1,838</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0.04</w:t>
            </w:r>
          </w:p>
        </w:tc>
        <w:tc>
          <w:tcPr>
            <w:tcW w:w="0" w:type="dxa"/>
            <w:vAlign w:val="bottom"/>
          </w:tcPr>
          <w:p>
            <w:pPr>
              <w:spacing w:after="0"/>
              <w:rPr>
                <w:sz w:val="1"/>
                <w:szCs w:val="1"/>
                <w:color w:val="auto"/>
              </w:rPr>
            </w:pPr>
          </w:p>
        </w:tc>
      </w:tr>
      <w:tr>
        <w:trPr>
          <w:trHeight w:val="156"/>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Insurance expense</w:t>
            </w:r>
          </w:p>
        </w:tc>
        <w:tc>
          <w:tcPr>
            <w:tcW w:w="24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1,016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 expense</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392</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664</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291</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56"/>
        </w:trPr>
        <w:tc>
          <w:tcPr>
            <w:tcW w:w="40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expenses</w:t>
            </w:r>
          </w:p>
        </w:tc>
        <w:tc>
          <w:tcPr>
            <w:tcW w:w="24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851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80,881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2.08</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85,934</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2.12</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47,955</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5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4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63,751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78,275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59,796</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56"/>
        </w:trPr>
        <w:tc>
          <w:tcPr>
            <w:tcW w:w="4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Realized gain (loss) on investments</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(0.45)</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56"/>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 unrealized gain (loss) on investments</w:t>
            </w:r>
          </w:p>
        </w:tc>
        <w:tc>
          <w:tcPr>
            <w:tcW w:w="24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12,797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0.33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(26,485)</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0" w:type="dxa"/>
            <w:vAlign w:val="bottom"/>
          </w:tcPr>
          <w:p>
            <w:pPr>
              <w:spacing w:after="0"/>
              <w:rPr>
                <w:sz w:val="1"/>
                <w:szCs w:val="1"/>
                <w:color w:val="auto"/>
              </w:rPr>
            </w:pPr>
          </w:p>
        </w:tc>
      </w:tr>
      <w:tr>
        <w:trPr>
          <w:trHeight w:val="196"/>
        </w:trPr>
        <w:tc>
          <w:tcPr>
            <w:tcW w:w="4040" w:type="dxa"/>
            <w:vAlign w:val="bottom"/>
            <w:gridSpan w:val="2"/>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240" w:type="dxa"/>
            <w:vAlign w:val="bottom"/>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73,609</w:t>
            </w:r>
          </w:p>
        </w:tc>
        <w:tc>
          <w:tcPr>
            <w:tcW w:w="24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1.89</w:t>
            </w:r>
          </w:p>
        </w:tc>
        <w:tc>
          <w:tcPr>
            <w:tcW w:w="30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44,341</w:t>
            </w:r>
          </w:p>
        </w:tc>
        <w:tc>
          <w:tcPr>
            <w:tcW w:w="26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1.09</w:t>
            </w:r>
          </w:p>
        </w:tc>
        <w:tc>
          <w:tcPr>
            <w:tcW w:w="38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32,250</w:t>
            </w:r>
          </w:p>
        </w:tc>
        <w:tc>
          <w:tcPr>
            <w:tcW w:w="400" w:type="dxa"/>
            <w:vAlign w:val="bottom"/>
            <w:gridSpan w:val="2"/>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0.79</w:t>
            </w: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line="235"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The basic per share figures noted above are based on weighted averages of 38,852,271, 40,509,269, and 40,971,242 shares outstanding for the years ended December 31, 2024, 2023, and</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2022, respectively.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190"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 potential, private companies. We typically invest in senior secured loans that generally fall into two strategies: Sponsored Growth Lending and Non-Sponsored Growth Lending. We generally receive warrants and/or other equity from our investments. We expect our global loan originations will generally range from between $30-$150 million, with the Company's allocation being in the range of $20-$45 million.</w:t>
      </w:r>
    </w:p>
    <w:p>
      <w:pPr>
        <w:spacing w:after="0" w:line="16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4"/>
          <w:szCs w:val="14"/>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9" w:name="page70"/>
    <w:bookmarkEnd w:id="6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interest income. We record prepayment fees on debt investments as fee income. Dividend income, if any, will be recognized on an accrual basis to the extent that we expect to collect such amounts.</w:t>
      </w:r>
    </w:p>
    <w:p>
      <w:pPr>
        <w:spacing w:after="0" w:line="15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Investment income for the year ended December 31, 2024, 2023 and 2022 was $144.6 million, $164.2 million, and $107.8 million, respectively, and includes non-recurring income of $ 6.2 million, $11.4 million, and $3.5 million, respectively. Non-recurring income includes, but is not limited to, acceleration of unaccreted OID, prepayment fees, and amendment fees. The decrease in investment income for the year ended December 31, 2024 compared to the year ended December 31, 2023 was primarily due to decreased interest income and payment-in-kind interest income. The increase in investment income for the year ended December 31, 2023 compared to the year ended December 31, 2022 was primarily due to increased interest income driven by our deployment of capital and increased market interest rates.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Expenses</w:t>
      </w:r>
    </w:p>
    <w:p>
      <w:pPr>
        <w:spacing w:after="0" w:line="154"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32" w:lineRule="exact"/>
        <w:rPr>
          <w:sz w:val="20"/>
          <w:szCs w:val="20"/>
          <w:color w:val="auto"/>
        </w:rPr>
      </w:pPr>
    </w:p>
    <w:p>
      <w:pPr>
        <w:jc w:val="both"/>
        <w:ind w:left="360" w:right="60"/>
        <w:spacing w:after="0" w:line="243" w:lineRule="auto"/>
        <w:rPr>
          <w:sz w:val="20"/>
          <w:szCs w:val="20"/>
          <w:color w:val="auto"/>
        </w:rPr>
      </w:pPr>
      <w:r>
        <w:rPr>
          <w:rFonts w:ascii="Times New Roman" w:cs="Times New Roman" w:eastAsia="Times New Roman" w:hAnsi="Times New Roman"/>
          <w:sz w:val="16"/>
          <w:szCs w:val="16"/>
          <w:color w:val="auto"/>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spacing w:after="0" w:line="35" w:lineRule="exact"/>
        <w:rPr>
          <w:sz w:val="20"/>
          <w:szCs w:val="20"/>
          <w:color w:val="auto"/>
        </w:rPr>
      </w:pPr>
    </w:p>
    <w:p>
      <w:pPr>
        <w:ind w:left="360" w:right="3880"/>
        <w:spacing w:after="0" w:line="357" w:lineRule="auto"/>
        <w:rPr>
          <w:sz w:val="20"/>
          <w:szCs w:val="20"/>
          <w:color w:val="auto"/>
        </w:rPr>
      </w:pPr>
      <w:r>
        <w:rPr>
          <w:rFonts w:ascii="Times New Roman" w:cs="Times New Roman" w:eastAsia="Times New Roman" w:hAnsi="Times New Roman"/>
          <w:sz w:val="14"/>
          <w:szCs w:val="14"/>
          <w:color w:val="auto"/>
        </w:rPr>
        <w:t>•fees and expenses related to public and private offerings, sales and repurchases of our securities; •calculating our net asset value (including the cost and expenses of any independent valuation firm);</w:t>
      </w:r>
    </w:p>
    <w:p>
      <w:pPr>
        <w:spacing w:after="0" w:line="1" w:lineRule="exact"/>
        <w:rPr>
          <w:sz w:val="20"/>
          <w:szCs w:val="20"/>
          <w:color w:val="auto"/>
        </w:rPr>
      </w:pPr>
    </w:p>
    <w:p>
      <w:pPr>
        <w:ind w:left="360" w:right="120"/>
        <w:spacing w:after="0" w:line="247" w:lineRule="auto"/>
        <w:rPr>
          <w:sz w:val="20"/>
          <w:szCs w:val="20"/>
          <w:color w:val="auto"/>
        </w:rPr>
      </w:pPr>
      <w:r>
        <w:rPr>
          <w:rFonts w:ascii="Times New Roman" w:cs="Times New Roman" w:eastAsia="Times New Roman" w:hAnsi="Times New Roman"/>
          <w:sz w:val="16"/>
          <w:szCs w:val="16"/>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payable on debt incurred to finance our investments;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and purchases of our common stock and other securities;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•management fees and incentive fees;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•administration fees payable under the Administration Agreement;</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and state registration fees;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•all costs of registration and listing our securities on any securities exchange;</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•U.S. federal, state and local taxes;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•independent directors’ fees and expenses;</w:t>
      </w:r>
    </w:p>
    <w:p>
      <w:pPr>
        <w:spacing w:after="0" w:line="56" w:lineRule="exact"/>
        <w:rPr>
          <w:sz w:val="20"/>
          <w:szCs w:val="20"/>
          <w:color w:val="auto"/>
        </w:rPr>
      </w:pPr>
    </w:p>
    <w:p>
      <w:pPr>
        <w:ind w:left="360" w:right="1240"/>
        <w:spacing w:after="0" w:line="313" w:lineRule="auto"/>
        <w:rPr>
          <w:sz w:val="20"/>
          <w:szCs w:val="20"/>
          <w:color w:val="auto"/>
        </w:rPr>
      </w:pPr>
      <w:r>
        <w:rPr>
          <w:rFonts w:ascii="Times New Roman" w:cs="Times New Roman" w:eastAsia="Times New Roman" w:hAnsi="Times New Roman"/>
          <w:sz w:val="16"/>
          <w:szCs w:val="16"/>
          <w:color w:val="auto"/>
        </w:rPr>
        <w:t>•costs of preparing and filing reports or other documents required by the SEC, the Financial Industry Regulatory Authority or other regulators; •costs of any reports, proxy statements or other notices to stockholders, including printing costs;</w:t>
      </w:r>
    </w:p>
    <w:p>
      <w:pPr>
        <w:ind w:left="360"/>
        <w:spacing w:after="0"/>
        <w:rPr>
          <w:sz w:val="20"/>
          <w:szCs w:val="20"/>
          <w:color w:val="auto"/>
        </w:rPr>
      </w:pPr>
      <w:r>
        <w:rPr>
          <w:rFonts w:ascii="Times New Roman" w:cs="Times New Roman" w:eastAsia="Times New Roman" w:hAnsi="Times New Roman"/>
          <w:sz w:val="16"/>
          <w:szCs w:val="16"/>
          <w:color w:val="auto"/>
        </w:rPr>
        <w:t>•our allocable portion of any fidelity bond, directors’ and officers’ errors and omissions liability insurance, and any other insurance premiums;</w:t>
      </w:r>
    </w:p>
    <w:p>
      <w:pPr>
        <w:spacing w:after="0" w:line="56" w:lineRule="exact"/>
        <w:rPr>
          <w:sz w:val="20"/>
          <w:szCs w:val="20"/>
          <w:color w:val="auto"/>
        </w:rPr>
      </w:pPr>
    </w:p>
    <w:p>
      <w:pPr>
        <w:ind w:left="360" w:right="220"/>
        <w:spacing w:after="0" w:line="259" w:lineRule="auto"/>
        <w:rPr>
          <w:sz w:val="20"/>
          <w:szCs w:val="20"/>
          <w:color w:val="auto"/>
        </w:rPr>
      </w:pPr>
      <w:r>
        <w:rPr>
          <w:rFonts w:ascii="Times New Roman" w:cs="Times New Roman" w:eastAsia="Times New Roman" w:hAnsi="Times New Roman"/>
          <w:sz w:val="16"/>
          <w:szCs w:val="16"/>
          <w:color w:val="auto"/>
        </w:rPr>
        <w:t>•direct costs and expenses of administration, including printing, mailing, long distance telephone, copying, secretarial and other staff, independent auditors and outside legal costs; and</w:t>
      </w:r>
    </w:p>
    <w:p>
      <w:pPr>
        <w:spacing w:after="0" w:line="23" w:lineRule="exact"/>
        <w:rPr>
          <w:sz w:val="20"/>
          <w:szCs w:val="20"/>
          <w:color w:val="auto"/>
        </w:rPr>
      </w:pPr>
    </w:p>
    <w:p>
      <w:pPr>
        <w:ind w:left="360" w:right="100"/>
        <w:spacing w:after="0" w:line="247" w:lineRule="auto"/>
        <w:rPr>
          <w:sz w:val="20"/>
          <w:szCs w:val="20"/>
          <w:color w:val="auto"/>
        </w:rPr>
      </w:pPr>
      <w:r>
        <w:rPr>
          <w:rFonts w:ascii="Times New Roman" w:cs="Times New Roman" w:eastAsia="Times New Roman" w:hAnsi="Times New Roman"/>
          <w:sz w:val="16"/>
          <w:szCs w:val="16"/>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5" w:right="740" w:bottom="1440" w:gutter="0" w:footer="0" w:header="0"/>
        </w:sectPr>
      </w:pPr>
    </w:p>
    <w:bookmarkStart w:id="70" w:name="page71"/>
    <w:bookmarkEnd w:id="7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Operating expenses for the years ended December 31, 2024, 2023 and 2022 were $80.9 million, $85.9 million, and $48.0 million, respectively. Operating expenses decreased for the year ended December 31, 2024 from the year ended December 31, 2023 primarily due to a decrease in performance-based incentive fees and management fees. Operating expenses increased for the year ended December 31, 2023 from the year ended December 31, 2022, primarily due to increased interest and other debt financing expenses, as well as increased performance-based incentive fees and management fees. Operating expenses per share for the years ended December 31, 2024, 2023 and 2022 were $2.08 per share, $2.12 per share and $1.17 per share, respectively.</w:t>
      </w:r>
    </w:p>
    <w:p>
      <w:pPr>
        <w:spacing w:after="0" w:line="169" w:lineRule="exact"/>
        <w:rPr>
          <w:sz w:val="20"/>
          <w:szCs w:val="20"/>
          <w:color w:val="auto"/>
        </w:rPr>
      </w:pPr>
    </w:p>
    <w:p>
      <w:pPr>
        <w:ind w:right="400"/>
        <w:spacing w:after="0" w:line="243" w:lineRule="auto"/>
        <w:rPr>
          <w:sz w:val="20"/>
          <w:szCs w:val="20"/>
          <w:color w:val="auto"/>
        </w:rPr>
      </w:pPr>
      <w:r>
        <w:rPr>
          <w:rFonts w:ascii="Times New Roman" w:cs="Times New Roman" w:eastAsia="Times New Roman" w:hAnsi="Times New Roman"/>
          <w:sz w:val="16"/>
          <w:szCs w:val="16"/>
          <w:color w:val="auto"/>
        </w:rPr>
        <w:t>Management fees for the years ended December 31, 2024, 2023, and 2022 were $15.7 million, $16.7 million, and $11.9 million, respectively. Management fees decreased for the year ended December 31, 2024 as compared to the year ended December 31, 2023 due to decreased daily average gross assets. Management fees increased for the year ended December 31, 2023 as compared to the year ended December 31, 2022, due to an increase in the daily average gross assets offset by a decrease in the base management rate from 1.6% per annum in 2022 to 1.5% per annum in 2023.</w:t>
      </w:r>
    </w:p>
    <w:p>
      <w:pPr>
        <w:spacing w:after="0" w:line="16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Incentive fees for the years ended December 31, 2024, 2023, and 2022 were $14.6 million, $19.0 million and $13.2 million, respectively. Incentive fees decreased for the year ended December 31, 2024 from the year ended December 31, 2023 due to an decrease in net investment income. Incentive fees increased for the year ended December 31, 2023 from the year ended December 31, 2022 due to an increase in net investment income. For the year ended December 31, 2024, $13.6 million of the incentive fees were earned and payable in cash, and $1.0 million were deferred and accrued. For the year ended December 31, 2023, $14.9 million of the incentive fees were earned and payable in cash, and $4.1 million were deferred and accrued. For the year ended December 31, 2022, $11.8 million of the incentive fees were earned and payable in cash, and $1.4 million were deferred and accrued. Incentive fees related to PIK or deferred interest are accrued and payment is deferred until such interest is collected in cash. Incentive fees per share for the years ended December 31, 2024, 2023, and 2022 were $0.38 per share, $0.47 per share, and $0.32 per share, respectively.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Investment Income</w:t>
      </w:r>
    </w:p>
    <w:p>
      <w:pPr>
        <w:spacing w:after="0" w:line="19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Net investment income for the years ended December 31, 2024, 2023 and 2022 was $63.8 million, $78.3 million, and $59.8 million, respectively. Net investment income decreased for the year ended December 31, 2024 from the year ended December 31, 2023 primarily due to a decrease in investment income resulting from a decrease in the average outstanding principal on interest-earning debt investments and declining interest rates, partially offset by decreased performance-based incentive fees and management fees. Net investment income increased for the year ended December 31, 2023 from the year ended December 31, 2022 primarily due to increased investment income earned on our portfolio investments, partially offset by increased interest and other debt financing expenses, management fees, and incentive fees. Net investment income per share for the years ended December 31, 2024, 2023 and 2022 was $1.64 per share, $1.93 per share and $1.46 per share, respectively.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Realized Gain (Loss) on Investments</w:t>
      </w:r>
    </w:p>
    <w:p>
      <w:pPr>
        <w:spacing w:after="0" w:line="1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net realized loss on investments of $2.9 million for the year ended December 31, 2024 was attributable to losses in our senior secured term loan and convertible note to Jobget Holdings, Inc (fka Snagajob, Inc.), offset by a gain on the exercise of Dtex, Inc. warrants into preferred stock and subsequent sale. The net realized loss on investments of $18.4 million for the year ended December 31, 2023 was attributable to losses in our loan to Pivot3, Inc. that was previously on non-accrual status, as well as our warrant investments in CareCloud, Inc. and Gynesonics, Inc. The net realized loss on investments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$1.1 million for the year ended December 31, 2022 was primarily due to losses on our warrants in Aspen Group, Inc. and CareCloud, Inc. and a loss in our Pivot3 Holdings, Inc. preferred stock, offset by gains on the sale of Brilliant Earth Group, Inc.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Change in Unrealized Gain (Loss) on Investments</w:t>
      </w:r>
    </w:p>
    <w:p>
      <w:pPr>
        <w:spacing w:after="0" w:line="19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 xml:space="preserve">Net change in unrealized gain on investments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$12.8 million for the year ended December 31, 2024 was primarily due to an increase in the fair value of our senior secured loans to Gynesonics, Inc., our preferred stock investments in Gynesonics, Inc. and CareCloud, Inc., as well as a release of prior unrealized loss on the senior secured loan to Jobget Holdings, Inc. (fka Snagajob, Inc.), offset by decreases in fair value of our senior secured loans to Vesta Payment Solutions, Inc., Mingle Healthcare Solutions, Inc., 3PL Central LLC (dba Extensiv), Marleyspoon SE, and Blueshift Labs, Inc. Net change in unrealized loss on investments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$15.5 million for the year ended December 31, 2023 was primarily attributable to decreases in the fair value of CareCloud, Inc. and Gynesonics Inc. preferred stock, a decrease in the fair value of FiscalNote, Inc. common stock, decreases in the fair value of Aria Systems, Inc., INRIX, Inc., and ShareThis, Inc. warrants, and decreases in the fair value of our senior secured term loans to Gynesonics, Inc., FiscalNote, Inc., and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1" w:name="page72"/>
    <w:bookmarkEnd w:id="7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6"/>
          <w:szCs w:val="16"/>
          <w:color w:val="auto"/>
        </w:rPr>
        <w:t>Snagajob.com Inc., offset by an increase in fair value of Route 92 Medical, Inc. senior secured term loan and a release in prior unrealized loss in our loan to Pivot 3, Inc. Net change in unrealized loss on investments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$26.5 million for the year ended December 31, 2022 was primarily due to decreases in the fair value of a senior secured loan to Pivot3, Inc., and decreases in the fair value of our common stock in Brilliant Earth Group, Inc. and Quantum Corporation.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Increase in Net Assets Resulting from Operations</w:t>
      </w:r>
    </w:p>
    <w:p>
      <w:pPr>
        <w:spacing w:after="0" w:line="190"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6"/>
          <w:szCs w:val="16"/>
          <w:color w:val="auto"/>
        </w:rPr>
        <w:t>We had a net increase in net assets resulting from operations of $73.6 million</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for the year ended December 31, 2024, as compared to a net increase in net assets resulting from operations of $44.3 million and $32.3 million for the years ended December 31, 2023 and December 31, 2022, respectively. The increase for the year ended December 31, 2024 from the year ended December 31, 2023 is attributable to an increase net realized and unrealized gains on investments, offset by a decrease in net investment income. The net increase for the year ended December 31, 2023 from the year ended December 31, 2022 is attributable to an increase in net investment income and a decrease in net realized and unrealized gains on investments.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Condition, Liquidity, Capital Resources and Obligations</w:t>
      </w:r>
    </w:p>
    <w:p>
      <w:pPr>
        <w:spacing w:after="0" w:line="19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2024, we principally funded our operations from (i) cash receipts from interest, dividend, and fee income from our investment portfolio, (ii) cash proceeds from the realization of portfolio investments through the repayments of debt investments and the sale of debt and equity investments and (iii) net borrowings under our Credit Facility.</w:t>
      </w:r>
    </w:p>
    <w:p>
      <w:pPr>
        <w:spacing w:after="0" w:line="1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2023, we principally funded our operations from (i) cash receipts from interest, dividend, and fee income from our investment portfolio, (ii) cash proceeds from the realization of portfolio investments through the repayments of debt investments and the sale of debt and equity investments and (iii) proceeds from our 2026 Notes.</w:t>
      </w:r>
    </w:p>
    <w:p>
      <w:pPr>
        <w:spacing w:after="0" w:line="1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2022, we principally funded our operations from (i) cash receipts from interest, dividend, and fee income from our investment portfolio, (ii) cash proceeds from the realization of portfolio investments through the repayments of debt investments and the sale of debt and equity investments and (iii) net borrowings under our Credit Facility and proceeds from our 2026 and 2027 Notes.</w:t>
      </w:r>
    </w:p>
    <w:p>
      <w:pPr>
        <w:spacing w:after="0" w:line="164" w:lineRule="exact"/>
        <w:rPr>
          <w:sz w:val="20"/>
          <w:szCs w:val="20"/>
          <w:color w:val="auto"/>
        </w:rPr>
      </w:pPr>
    </w:p>
    <w:p>
      <w:pPr>
        <w:ind w:right="360"/>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2024, our operating activities provided $69.8 million of cash and cash equivalents, compared to $112.4 million provided by operating activities during the year ended December 31, 2023. The $ 42.7 million decrease in cash provided by operating activities from December 31, 2023 to December 31, 2024 was primarily due to a $58.2 million decrease in sales or repayments of investments and U.S. Treasury Bills and a $14.5 million decrease in net investment income, offset by a $23.3 million decrease in purchases of investments and U.S. Treasury Bills.</w:t>
      </w:r>
    </w:p>
    <w:p>
      <w:pPr>
        <w:spacing w:after="0" w:line="16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During the year ended December 31, 2023, our operating activities provided $112.4 million of cash and cash equivalents, compared to $359.8 million used in operating activities during the year ended December 31, 2022. The $472.3 million increase in cash flows from December 31, 2022 to December 31, 2023 was primarily due to a $345.3 million decrease in purchases of investments and U.S. Treasury Bills and a $117.5 million increase in sales and repayments of investments and U.S. Treasury Bills.</w:t>
      </w:r>
    </w:p>
    <w:p>
      <w:pPr>
        <w:spacing w:after="0" w:line="16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2024, our financing activities used $ 67.0 million of cash, compared to $115.2 million used in financing activities during the year ended December 31, 2023. The $48.3 million decrease in cash flows used in financing activities December 31, 2023 to December 31, 2024 was primarily due to an increase in net borrowing activity of $79.0 million, offset by an increase in share repurchases of $36.0 million.</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2" w:name="page73"/>
    <w:bookmarkEnd w:id="7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46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2023, our financing activities used $115.2 million of cash and cash equivalents, as compared to $360.9 million provided by financing activities during the year ended December 31, 2022. The $476.1 million decrease in cash provided by financing activities was primarily due to a $518.3 million decrease in net borrowings activity offset by a decrease in repayments of reverse repurchase agreements of $44.8 million.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 Liquidity and Capital Resources</w:t>
      </w:r>
    </w:p>
    <w:p>
      <w:pPr>
        <w:spacing w:after="0" w:line="19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As of December 31, 2024, we had $ 244.8 million in available liquidity, including $5.8 million in cash and cash equivalents, and approximately $239.0 million available under our Credit Facility, subject to borrowing base capacity. As of December 31, 2024, we had $311.0 million of secured debt outstanding under our Credit Facility, which are floating interest rate obligations and $247.3 million of unsecured debt outstanding under 2026 and 2027 Notes, which are all fixed interest rate debt obligations. Refer to "Note 7 – Borrowings" to our consolidated financial statements in Part II, Item 8 of this Form 10-K for additional discussion of our debt obligations.</w:t>
      </w:r>
    </w:p>
    <w:p>
      <w:pPr>
        <w:spacing w:after="0" w:line="169" w:lineRule="exact"/>
        <w:rPr>
          <w:sz w:val="20"/>
          <w:szCs w:val="20"/>
          <w:color w:val="auto"/>
        </w:rPr>
      </w:pPr>
    </w:p>
    <w:p>
      <w:pPr>
        <w:jc w:val="both"/>
        <w:ind w:right="120"/>
        <w:spacing w:after="0" w:line="247" w:lineRule="auto"/>
        <w:rPr>
          <w:sz w:val="20"/>
          <w:szCs w:val="20"/>
          <w:color w:val="auto"/>
        </w:rPr>
      </w:pPr>
      <w:r>
        <w:rPr>
          <w:rFonts w:ascii="Times New Roman" w:cs="Times New Roman" w:eastAsia="Times New Roman" w:hAnsi="Times New Roman"/>
          <w:sz w:val="16"/>
          <w:szCs w:val="16"/>
          <w:color w:val="auto"/>
        </w:rPr>
        <w:t>Pursuant to the 1940 Act, we are permitted to incur borrowings, issue debt securities, or issue preferred stock unless, immediately after the borrowings or issuance, the ratio of total assets (less total liabilities other than indebtedness) to total indebtedness plus preferred stock is at least 150% (at least 200% prior to June 17, 2022). As of December 31, 2024 and December 31, 2023, our asset coverage ratio was 192% and 205%, respectively.</w:t>
      </w:r>
    </w:p>
    <w:p>
      <w:pPr>
        <w:spacing w:after="0" w:line="164"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6"/>
          <w:szCs w:val="16"/>
          <w:color w:val="auto"/>
        </w:rPr>
        <w:t>As detailed above, our diverse and well-structured balance sheet is designed to provide a long-term focused and sustainable investment platform. Currently, we believe we have sufficient liquidity to support our near-term capital requirements.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Commitments and Obligations</w:t>
      </w:r>
    </w:p>
    <w:p>
      <w:pPr>
        <w:spacing w:after="0" w:line="190"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6"/>
          <w:szCs w:val="16"/>
          <w:color w:val="auto"/>
        </w:rPr>
        <w:t>Our significant contractual payment obligations relate to our borrowings and deferred incentive fees. As of December 31, 2024, we had $558.3 million of debt outstanding, none of which was due within the next year, $558.3 million within 1 to 3 years, and none due beyond 3 years. As of December 31, 2024, we had $10.1 million of deferred incentive fees, $2.6 million of which was due within the next year, $4.9 million within 1 to 3 years, and $2.6 million beyond 3 years.</w:t>
      </w:r>
    </w:p>
    <w:p>
      <w:pPr>
        <w:spacing w:after="0" w:line="164"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spacing w:after="0" w:line="164"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Our unfunded commitments may be significant from time to time. As of December 31, 2024, we had a total of $176.7 million in unfunded commitments which was comprised of $ 147.3 million to provide debt financing to its portfolio companies and $29.4 million in unfunded commitments to provide equity financing to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December 31, 2024, we had approximately $24.8 million of available unfunded commitments eligible to be drawn based on achieved milestones. Refer to “Note 8 – Commitments and Contingencies” to our consolidated financial statements in Part II, Item 8 of this Form 10-K for a summary of unfunded commitments by portfolio company as of December 31, 2024.</w:t>
      </w:r>
    </w:p>
    <w:p>
      <w:pPr>
        <w:spacing w:after="0" w:line="170"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cs="Times New Roman" w:eastAsia="Times New Roman" w:hAnsi="Times New Roman"/>
          <w:sz w:val="16"/>
          <w:szCs w:val="16"/>
          <w:i w:val="1"/>
          <w:iCs w:val="1"/>
          <w:color w:val="auto"/>
        </w:rPr>
        <w: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3" w:name="page74"/>
    <w:bookmarkEnd w:id="7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Repurchase Program</w:t>
      </w:r>
    </w:p>
    <w:p>
      <w:pPr>
        <w:spacing w:after="0" w:line="19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On February 24, 2022, our Board of Directors approved a share repurchase program (the “First Repurchase Program”) under which we were authorized to repurchase up to $25.0 million of our outstanding common stock, at management’s discretion from time to time in open-market transactions and in accordance with all applicable securities laws and regulations. We repurchased 871,345 shares in connection with the First Repurchase Program for an aggregate purchase price of $10.8 million. The First Repurchase Program expired on February 24, 2023.</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November 2, 2023, our Board of Directors approved a share repurchase program (the "Second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w:t>
      </w:r>
    </w:p>
    <w:p>
      <w:pPr>
        <w:spacing w:after="0" w:line="16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On July 30, 2024, our Board of Directors approved a share repurchase program (the "Third Repurchase Program") under which we may repurchase up to $15.0 million of our outstanding shares of common stock, at management's discretion from time to time in open-market transactions and in accordance with all applicable securities laws and regulations. If not renewed, the Third Repurchase Program will terminate upon the earlier of (i) July 30, 2025 or (ii) the repurchase of $ 15.0 million of our shares of common stock. As of December 31, 2024, we had repurchased 1,199,867 shares in connection with the Third Repurchase Program for an aggregate purchase price of $12.5 million.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6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For the years ended December 31, 2024, we declared and paid dividends in the amount of $69.9 million, of which $68.7 million was distributed in cash and the remainder distributed in shares to stockholders pursuant to our dividend reinvestment plan (the "Dividend Reinvestment Plan"). For year ended December 31, 2023, we declared dividends in the amount of $73.3 million, of which $70.8 million was distributed in cash and the remainder distributed in shares to stockholders pursuant to our Dividend Reinvestment Plan. For year ended December 31, 2022, we declared dividends in the amount of $51.6 million, of which $40.7 million was distributed in cash and the remainder distributed in shares to stockholders pursuant to our Dividend Reinvestment Plan.</w:t>
      </w:r>
    </w:p>
    <w:p>
      <w:pPr>
        <w:spacing w:after="0" w:line="169"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Refer to "Note 9 – Net Assets" of our consolidated financial statements in Part II, Item 8 of this Form 10-K for a summary of the distributions declared and paid since inception.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Estimates</w:t>
      </w:r>
    </w:p>
    <w:p>
      <w:pPr>
        <w:spacing w:after="0" w:line="19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 xml:space="preserve">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Summary of Significant Accounting Policies” to our consolidated financial statements in Part II, Item 8 of this Form 10-K . We consider the most significant accounting policies to be those related to our Fair Value Measurements and Income Taxes.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4" w:name="page75"/>
    <w:bookmarkEnd w:id="7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9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We commenced investment activities in portfolio securities during the quarter ended June 30, 2017 and commenced investment activities in U.S. Treasury Bills during the quarter ended December 31, 2016.</w:t>
      </w:r>
    </w:p>
    <w:p>
      <w:pPr>
        <w:spacing w:after="0" w:line="15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has introduced significant volatility in the financial markets, and the effects of this volatility could materially impact our market risks. For additional information concerning the risks we face and their potential impact on our business and our operating results, see Part I, Item 1A. Risk Factors.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19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are subject to financial market risks, including changes in interest rates. Interest rate risk is defined as the sensitivity of our current and future earnings to interest rate volatility, variability of spread relationships, the difference in re -pricing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spacing w:after="0" w:line="17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As of December 31, 2024, $947.1 million of par, or 96.4%, of our debt portfolio investments bore interest at variable rates, of which approximately 75.0% were based on SOFR and 25.0% were based on Prime.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$17.2 million and decrease our investment income by a maximum of $11.2 million, due to certain floors, on an annual basis.</w:t>
      </w:r>
    </w:p>
    <w:p>
      <w:pPr>
        <w:spacing w:after="0" w:line="137" w:lineRule="exact"/>
        <w:rPr>
          <w:sz w:val="20"/>
          <w:szCs w:val="20"/>
          <w:color w:val="auto"/>
        </w:rPr>
      </w:pPr>
    </w:p>
    <w:p>
      <w:pPr>
        <w:ind w:right="300"/>
        <w:spacing w:after="0" w:line="188" w:lineRule="exact"/>
        <w:rPr>
          <w:sz w:val="20"/>
          <w:szCs w:val="20"/>
          <w:color w:val="auto"/>
        </w:rPr>
      </w:pPr>
      <w:r>
        <w:rPr>
          <w:rFonts w:ascii="Times New Roman" w:cs="Times New Roman" w:eastAsia="Times New Roman" w:hAnsi="Times New Roman"/>
          <w:sz w:val="16"/>
          <w:szCs w:val="16"/>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see "Note 7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Borrowings" to our consolidated financial statements in Part II, Item 8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6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5" w:name="page76"/>
    <w:bookmarkEnd w:id="7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SWAP contracts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As of December 31, 2024, we did not have any hedging instruments.</w:t>
      </w:r>
    </w:p>
    <w:p>
      <w:pPr>
        <w:spacing w:after="0" w:line="169" w:lineRule="exact"/>
        <w:rPr>
          <w:sz w:val="20"/>
          <w:szCs w:val="20"/>
          <w:color w:val="auto"/>
        </w:rPr>
      </w:pPr>
    </w:p>
    <w:p>
      <w:pPr>
        <w:ind w:right="60"/>
        <w:spacing w:after="0" w:line="187" w:lineRule="exact"/>
        <w:rPr>
          <w:sz w:val="20"/>
          <w:szCs w:val="20"/>
          <w:color w:val="auto"/>
        </w:rPr>
      </w:pPr>
      <w:r>
        <w:rPr>
          <w:rFonts w:ascii="Times New Roman" w:cs="Times New Roman" w:eastAsia="Times New Roman" w:hAnsi="Times New Roman"/>
          <w:sz w:val="14"/>
          <w:szCs w:val="14"/>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 See "Risk Factors</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Risks Related to Our Business and Structure" in Part I, Item 1A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6" w:name="page77"/>
    <w:bookmarkEnd w:id="7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 Consolidated Financial Statements and Supplementary Data.</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Index to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520" w:type="dxa"/>
            <w:vAlign w:val="bottom"/>
          </w:tcPr>
          <w:p>
            <w:pPr>
              <w:jc w:val="center"/>
              <w:ind w:left="1623"/>
              <w:spacing w:after="0"/>
              <w:rPr>
                <w:sz w:val="20"/>
                <w:szCs w:val="20"/>
                <w:color w:val="auto"/>
              </w:rPr>
            </w:pPr>
            <w:r>
              <w:rPr>
                <w:rFonts w:ascii="Times New Roman" w:cs="Times New Roman" w:eastAsia="Times New Roman" w:hAnsi="Times New Roman"/>
                <w:sz w:val="13"/>
                <w:szCs w:val="13"/>
                <w:b w:val="1"/>
                <w:bCs w:val="1"/>
                <w:color w:val="auto"/>
              </w:rPr>
              <w:t>Page</w:t>
            </w:r>
            <w:r>
              <w:rPr>
                <w:rFonts w:ascii="Arial" w:cs="Arial" w:eastAsia="Arial" w:hAnsi="Arial"/>
                <w:sz w:val="13"/>
                <w:szCs w:val="13"/>
                <w:b w:val="1"/>
                <w:bCs w:val="1"/>
                <w:color w:val="auto"/>
              </w:rPr>
              <w:t xml:space="preserve">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2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7"/>
              </w:rPr>
            </w:pPr>
            <w:hyperlink w:anchor="page78">
              <w:r>
                <w:rPr>
                  <w:rFonts w:ascii="Times New Roman" w:cs="Times New Roman" w:eastAsia="Times New Roman" w:hAnsi="Times New Roman"/>
                  <w:sz w:val="16"/>
                  <w:szCs w:val="16"/>
                  <w:color w:val="0000FF"/>
                  <w:w w:val="97"/>
                </w:rPr>
                <w:t>Report of Independent Registered Public Accounting Firm (Deloitte &amp; Touche LLP; New York, New York, PCAOB ID No. 34)</w:t>
              </w:r>
            </w:hyperlink>
          </w:p>
        </w:tc>
        <w:tc>
          <w:tcPr>
            <w:tcW w:w="2520" w:type="dxa"/>
            <w:vAlign w:val="bottom"/>
          </w:tcPr>
          <w:p>
            <w:pPr>
              <w:jc w:val="center"/>
              <w:ind w:left="1603"/>
              <w:spacing w:after="0"/>
              <w:rPr>
                <w:sz w:val="20"/>
                <w:szCs w:val="20"/>
                <w:color w:val="auto"/>
              </w:rPr>
            </w:pPr>
            <w:r>
              <w:rPr>
                <w:rFonts w:ascii="Times New Roman" w:cs="Times New Roman" w:eastAsia="Times New Roman" w:hAnsi="Times New Roman"/>
                <w:sz w:val="16"/>
                <w:szCs w:val="16"/>
                <w:color w:val="auto"/>
                <w:w w:val="99"/>
              </w:rPr>
              <w:t>78</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8020" w:type="dxa"/>
            <w:vAlign w:val="bottom"/>
            <w:gridSpan w:val="8"/>
          </w:tcPr>
          <w:p>
            <w:pPr>
              <w:spacing w:after="0"/>
              <w:rPr>
                <w:rFonts w:ascii="Times New Roman" w:cs="Times New Roman" w:eastAsia="Times New Roman" w:hAnsi="Times New Roman"/>
                <w:sz w:val="16"/>
                <w:szCs w:val="16"/>
                <w:color w:val="0000FF"/>
              </w:rPr>
            </w:pPr>
            <w:hyperlink w:anchor="page79">
              <w:r>
                <w:rPr>
                  <w:rFonts w:ascii="Times New Roman" w:cs="Times New Roman" w:eastAsia="Times New Roman" w:hAnsi="Times New Roman"/>
                  <w:sz w:val="16"/>
                  <w:szCs w:val="16"/>
                  <w:color w:val="0000FF"/>
                </w:rPr>
                <w:t>Report of Independent Registered Public Accounting Firm (RSM US LLP; Chicago, Illinois, PCAOB ID No. 49)</w:t>
              </w:r>
            </w:hyperlink>
          </w:p>
        </w:tc>
        <w:tc>
          <w:tcPr>
            <w:tcW w:w="2520" w:type="dxa"/>
            <w:vAlign w:val="bottom"/>
            <w:vMerge w:val="restart"/>
          </w:tcPr>
          <w:p>
            <w:pPr>
              <w:jc w:val="center"/>
              <w:ind w:left="1603"/>
              <w:spacing w:after="0"/>
              <w:rPr>
                <w:sz w:val="20"/>
                <w:szCs w:val="20"/>
                <w:color w:val="auto"/>
              </w:rPr>
            </w:pPr>
            <w:r>
              <w:rPr>
                <w:rFonts w:ascii="Times New Roman" w:cs="Times New Roman" w:eastAsia="Times New Roman" w:hAnsi="Times New Roman"/>
                <w:sz w:val="16"/>
                <w:szCs w:val="16"/>
                <w:color w:val="auto"/>
                <w:w w:val="99"/>
              </w:rPr>
              <w:t>79</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5360" w:type="dxa"/>
            <w:vAlign w:val="bottom"/>
            <w:tcBorders>
              <w:top w:val="single" w:sz="8" w:color="0000EE"/>
            </w:tcBorders>
            <w:gridSpan w:val="3"/>
            <w:vMerge w:val="restart"/>
          </w:tcPr>
          <w:p>
            <w:pPr>
              <w:spacing w:after="0"/>
              <w:rPr>
                <w:rFonts w:ascii="Times New Roman" w:cs="Times New Roman" w:eastAsia="Times New Roman" w:hAnsi="Times New Roman"/>
                <w:sz w:val="16"/>
                <w:szCs w:val="16"/>
                <w:color w:val="0000FF"/>
                <w:w w:val="97"/>
              </w:rPr>
            </w:pPr>
            <w:hyperlink w:anchor="page80">
              <w:r>
                <w:rPr>
                  <w:rFonts w:ascii="Times New Roman" w:cs="Times New Roman" w:eastAsia="Times New Roman" w:hAnsi="Times New Roman"/>
                  <w:sz w:val="16"/>
                  <w:szCs w:val="16"/>
                  <w:color w:val="0000FF"/>
                  <w:w w:val="97"/>
                </w:rPr>
                <w:t>Consolidated Statements of Assets and Liabilities as of December 31, 2024 and 2023</w:t>
              </w:r>
            </w:hyperlink>
          </w:p>
        </w:tc>
        <w:tc>
          <w:tcPr>
            <w:tcW w:w="62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5360" w:type="dxa"/>
            <w:vAlign w:val="bottom"/>
            <w:tcBorders>
              <w:bottom w:val="single" w:sz="8" w:color="0000EE"/>
            </w:tcBorders>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2520" w:type="dxa"/>
            <w:vAlign w:val="bottom"/>
          </w:tcPr>
          <w:p>
            <w:pPr>
              <w:jc w:val="center"/>
              <w:ind w:left="1603"/>
              <w:spacing w:after="0"/>
              <w:rPr>
                <w:sz w:val="20"/>
                <w:szCs w:val="20"/>
                <w:color w:val="auto"/>
              </w:rPr>
            </w:pPr>
            <w:r>
              <w:rPr>
                <w:rFonts w:ascii="Times New Roman" w:cs="Times New Roman" w:eastAsia="Times New Roman" w:hAnsi="Times New Roman"/>
                <w:sz w:val="16"/>
                <w:szCs w:val="16"/>
                <w:color w:val="auto"/>
                <w:w w:val="99"/>
              </w:rPr>
              <w:t>80</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98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81">
              <w:r>
                <w:rPr>
                  <w:rFonts w:ascii="Times New Roman" w:cs="Times New Roman" w:eastAsia="Times New Roman" w:hAnsi="Times New Roman"/>
                  <w:sz w:val="16"/>
                  <w:szCs w:val="16"/>
                  <w:color w:val="0000FF"/>
                  <w:w w:val="97"/>
                </w:rPr>
                <w:t>Consolidated Statements of Operations for the years ended December 31, 2024, 2023 and 2022</w:t>
              </w:r>
            </w:hyperlink>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2520" w:type="dxa"/>
            <w:vAlign w:val="bottom"/>
          </w:tcPr>
          <w:p>
            <w:pPr>
              <w:jc w:val="center"/>
              <w:ind w:left="1603"/>
              <w:spacing w:after="0"/>
              <w:rPr>
                <w:sz w:val="20"/>
                <w:szCs w:val="20"/>
                <w:color w:val="auto"/>
              </w:rPr>
            </w:pPr>
            <w:r>
              <w:rPr>
                <w:rFonts w:ascii="Times New Roman" w:cs="Times New Roman" w:eastAsia="Times New Roman" w:hAnsi="Times New Roman"/>
                <w:sz w:val="16"/>
                <w:szCs w:val="16"/>
                <w:color w:val="auto"/>
                <w:w w:val="99"/>
              </w:rPr>
              <w:t>81</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700" w:type="dxa"/>
            <w:vAlign w:val="bottom"/>
            <w:tcBorders>
              <w:bottom w:val="single" w:sz="8" w:color="0000EE"/>
            </w:tcBorders>
            <w:gridSpan w:val="6"/>
          </w:tcPr>
          <w:p>
            <w:pPr>
              <w:spacing w:after="0"/>
              <w:rPr>
                <w:rFonts w:ascii="Times New Roman" w:cs="Times New Roman" w:eastAsia="Times New Roman" w:hAnsi="Times New Roman"/>
                <w:sz w:val="16"/>
                <w:szCs w:val="16"/>
                <w:color w:val="0000FF"/>
                <w:w w:val="97"/>
              </w:rPr>
            </w:pPr>
            <w:hyperlink w:anchor="page82">
              <w:r>
                <w:rPr>
                  <w:rFonts w:ascii="Times New Roman" w:cs="Times New Roman" w:eastAsia="Times New Roman" w:hAnsi="Times New Roman"/>
                  <w:sz w:val="16"/>
                  <w:szCs w:val="16"/>
                  <w:color w:val="0000FF"/>
                  <w:w w:val="97"/>
                </w:rPr>
                <w:t>Consolidated Statements of Changes in Net Assets for the years ended December 31, 2024, 2023 and 2022</w:t>
              </w:r>
            </w:hyperlink>
          </w:p>
        </w:tc>
        <w:tc>
          <w:tcPr>
            <w:tcW w:w="1320" w:type="dxa"/>
            <w:vAlign w:val="bottom"/>
            <w:gridSpan w:val="2"/>
          </w:tcPr>
          <w:p>
            <w:pPr>
              <w:spacing w:after="0"/>
              <w:rPr>
                <w:sz w:val="24"/>
                <w:szCs w:val="24"/>
                <w:color w:val="auto"/>
              </w:rPr>
            </w:pPr>
          </w:p>
        </w:tc>
        <w:tc>
          <w:tcPr>
            <w:tcW w:w="2520" w:type="dxa"/>
            <w:vAlign w:val="bottom"/>
          </w:tcPr>
          <w:p>
            <w:pPr>
              <w:jc w:val="center"/>
              <w:ind w:left="1603"/>
              <w:spacing w:after="0"/>
              <w:rPr>
                <w:sz w:val="20"/>
                <w:szCs w:val="20"/>
                <w:color w:val="auto"/>
              </w:rPr>
            </w:pPr>
            <w:r>
              <w:rPr>
                <w:rFonts w:ascii="Times New Roman" w:cs="Times New Roman" w:eastAsia="Times New Roman" w:hAnsi="Times New Roman"/>
                <w:sz w:val="16"/>
                <w:szCs w:val="16"/>
                <w:color w:val="auto"/>
                <w:w w:val="99"/>
              </w:rPr>
              <w:t>82</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602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83">
              <w:r>
                <w:rPr>
                  <w:rFonts w:ascii="Times New Roman" w:cs="Times New Roman" w:eastAsia="Times New Roman" w:hAnsi="Times New Roman"/>
                  <w:sz w:val="16"/>
                  <w:szCs w:val="16"/>
                  <w:color w:val="0000FF"/>
                  <w:w w:val="97"/>
                </w:rPr>
                <w:t>Consolidated Statements of Cash Flows for the years ended December 31, 2024, 2023 and 2022</w:t>
              </w:r>
            </w:hyperlink>
          </w:p>
        </w:tc>
        <w:tc>
          <w:tcPr>
            <w:tcW w:w="2000" w:type="dxa"/>
            <w:vAlign w:val="bottom"/>
            <w:gridSpan w:val="3"/>
          </w:tcPr>
          <w:p>
            <w:pPr>
              <w:spacing w:after="0"/>
              <w:rPr>
                <w:sz w:val="24"/>
                <w:szCs w:val="24"/>
                <w:color w:val="auto"/>
              </w:rPr>
            </w:pPr>
          </w:p>
        </w:tc>
        <w:tc>
          <w:tcPr>
            <w:tcW w:w="2520" w:type="dxa"/>
            <w:vAlign w:val="bottom"/>
          </w:tcPr>
          <w:p>
            <w:pPr>
              <w:jc w:val="center"/>
              <w:ind w:left="1603"/>
              <w:spacing w:after="0"/>
              <w:rPr>
                <w:sz w:val="20"/>
                <w:szCs w:val="20"/>
                <w:color w:val="auto"/>
              </w:rPr>
            </w:pPr>
            <w:r>
              <w:rPr>
                <w:rFonts w:ascii="Times New Roman" w:cs="Times New Roman" w:eastAsia="Times New Roman" w:hAnsi="Times New Roman"/>
                <w:sz w:val="16"/>
                <w:szCs w:val="16"/>
                <w:color w:val="auto"/>
                <w:w w:val="99"/>
              </w:rPr>
              <w:t>83</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70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84">
              <w:r>
                <w:rPr>
                  <w:rFonts w:ascii="Times New Roman" w:cs="Times New Roman" w:eastAsia="Times New Roman" w:hAnsi="Times New Roman"/>
                  <w:sz w:val="16"/>
                  <w:szCs w:val="16"/>
                  <w:color w:val="0000FF"/>
                  <w:w w:val="97"/>
                </w:rPr>
                <w:t>Consolidated Schedules of Investments as of December 31, 2024 and 2023</w:t>
              </w:r>
            </w:hyperlink>
          </w:p>
        </w:tc>
        <w:tc>
          <w:tcPr>
            <w:tcW w:w="3320" w:type="dxa"/>
            <w:vAlign w:val="bottom"/>
            <w:gridSpan w:val="6"/>
          </w:tcPr>
          <w:p>
            <w:pPr>
              <w:spacing w:after="0"/>
              <w:rPr>
                <w:sz w:val="24"/>
                <w:szCs w:val="24"/>
                <w:color w:val="auto"/>
              </w:rPr>
            </w:pPr>
          </w:p>
        </w:tc>
        <w:tc>
          <w:tcPr>
            <w:tcW w:w="2520" w:type="dxa"/>
            <w:vAlign w:val="bottom"/>
          </w:tcPr>
          <w:p>
            <w:pPr>
              <w:jc w:val="center"/>
              <w:ind w:left="1603"/>
              <w:spacing w:after="0"/>
              <w:rPr>
                <w:sz w:val="20"/>
                <w:szCs w:val="20"/>
                <w:color w:val="auto"/>
              </w:rPr>
            </w:pPr>
            <w:r>
              <w:rPr>
                <w:rFonts w:ascii="Times New Roman" w:cs="Times New Roman" w:eastAsia="Times New Roman" w:hAnsi="Times New Roman"/>
                <w:sz w:val="16"/>
                <w:szCs w:val="16"/>
                <w:color w:val="auto"/>
                <w:w w:val="99"/>
              </w:rPr>
              <w:t>84</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276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98">
              <w:r>
                <w:rPr>
                  <w:rFonts w:ascii="Times New Roman" w:cs="Times New Roman" w:eastAsia="Times New Roman" w:hAnsi="Times New Roman"/>
                  <w:sz w:val="16"/>
                  <w:szCs w:val="16"/>
                  <w:color w:val="0000FF"/>
                  <w:w w:val="97"/>
                </w:rPr>
                <w:t>Notes to Consolidated Financial Statements</w:t>
              </w:r>
            </w:hyperlink>
          </w:p>
        </w:tc>
        <w:tc>
          <w:tcPr>
            <w:tcW w:w="5260" w:type="dxa"/>
            <w:vAlign w:val="bottom"/>
            <w:gridSpan w:val="7"/>
          </w:tcPr>
          <w:p>
            <w:pPr>
              <w:spacing w:after="0"/>
              <w:rPr>
                <w:sz w:val="24"/>
                <w:szCs w:val="24"/>
                <w:color w:val="auto"/>
              </w:rPr>
            </w:pPr>
          </w:p>
        </w:tc>
        <w:tc>
          <w:tcPr>
            <w:tcW w:w="2520" w:type="dxa"/>
            <w:vAlign w:val="bottom"/>
          </w:tcPr>
          <w:p>
            <w:pPr>
              <w:jc w:val="center"/>
              <w:ind w:left="1603"/>
              <w:spacing w:after="0"/>
              <w:rPr>
                <w:sz w:val="20"/>
                <w:szCs w:val="20"/>
                <w:color w:val="auto"/>
              </w:rPr>
            </w:pPr>
            <w:r>
              <w:rPr>
                <w:rFonts w:ascii="Times New Roman" w:cs="Times New Roman" w:eastAsia="Times New Roman" w:hAnsi="Times New Roman"/>
                <w:sz w:val="16"/>
                <w:szCs w:val="16"/>
                <w:color w:val="auto"/>
                <w:w w:val="99"/>
              </w:rPr>
              <w:t>98</w:t>
            </w:r>
          </w:p>
        </w:tc>
        <w:tc>
          <w:tcPr>
            <w:tcW w:w="0" w:type="dxa"/>
            <w:vAlign w:val="bottom"/>
          </w:tcPr>
          <w:p>
            <w:pPr>
              <w:spacing w:after="0"/>
              <w:rPr>
                <w:sz w:val="1"/>
                <w:szCs w:val="1"/>
                <w:color w:val="auto"/>
              </w:rPr>
            </w:pPr>
          </w:p>
        </w:tc>
      </w:tr>
      <w:tr>
        <w:trPr>
          <w:trHeight w:val="782"/>
        </w:trPr>
        <w:tc>
          <w:tcPr>
            <w:tcW w:w="53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77</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2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19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5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7" w:name="page78"/>
    <w:bookmarkEnd w:id="7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Runway Growth Finance Corp.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9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consolidated statement of assets and liabilities of Runway Growth Finance Corp. (the "Company"), including the consolidated schedule of investments, as of December 31, 2024, the related consolidated statements of operations, changes in net assets, cash flows and financial highlights for the year then ended, and the related notes (collectively, the “financial statements”) . In our opinion, the financial statements present fairly, in all material respects, the financial position of the Company as of December 31, 2024, and the results of its operations, changes in net assets, cash flows for the year then ended in conformity with accounting principles generally accepted in the United States of America. The financial statements of the Company as of and for the years ended December 31, 2023 and 2022 and the financial highlights for the years ended 2023, 2022, 2021, 2020, 2019, 2018, 2017 and 2016 were audited by other auditors whose report, dated March 7, 2024, expressed an unqualified opinion on those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9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and financial highlights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and financial highlights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9"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and financial highlights. Our audit also included evaluating the accounting principles used and significant estimates made by management, as well as evaluating the overall presentation of the financial statements. Our procedures included confirmation of investments owned as of December 31, 2024, by correspondence with the custodian, loan agents, and borrowers; when replies were not received, we performed other auditing procedures. We believe that our audit provides a reasonable basis for our opinion.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20,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8" w:name="page79"/>
    <w:bookmarkEnd w:id="7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the Board of Directors of Runway Growth Finance Corp.</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9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We have audited the accompanying consolidated statement of assets and liabilities of Runway Growth Finance Corp. and its subsidiary (the "Company"), including the consolidated schedule of investments, as of December 31, 2023, the related consolidated statements of operations, changes in net assets, and cash flows for each of the two years in the period ended December 31, 2023, and the related notes to the consolidated financial statements (collectively, the "financial statements"). In our opinion, the financial statements present fairly, in all material respects, the financial position of the Company as of December 31, 2023, and the results of its operations, changes in net assets and cash flows for each of the two years in the period ended December 31, 2023, in conformity with accounting principles generally accepted in the United States of America.</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67"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9"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investments owned as of December 31, 2023, by correspondence with the custodians and other appropriate procedures where replies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RSM US LLP</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Illinois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20,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served as the Company's auditor from 2015 to January 23, 2025.</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79" w:name="page80"/>
    <w:bookmarkEnd w:id="7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ind w:left="370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0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2"/>
        </w:trPr>
        <w:tc>
          <w:tcPr>
            <w:tcW w:w="7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 at fair value:</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Non-control/non-affiliate investments at fair value (cost of $1,038,135 and $1,005,024, respectively)</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1,005,328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972,604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Affiliate investments at fair value (cost of $59,198 and $58,861, respectively)</w:t>
            </w:r>
          </w:p>
        </w:tc>
        <w:tc>
          <w:tcPr>
            <w:tcW w:w="16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64,572</w:t>
            </w:r>
          </w:p>
        </w:tc>
        <w:tc>
          <w:tcPr>
            <w:tcW w:w="20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51,456</w:t>
            </w: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Control investments at fair value (cost of $6,550 and $950, respectively)</w:t>
            </w: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Investment in U.S. Treasury Bills at fair value (cost of $0 and $42,014, respectively)</w:t>
            </w:r>
          </w:p>
        </w:tc>
        <w:tc>
          <w:tcPr>
            <w:tcW w:w="16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41,999</w:t>
            </w: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investments at fair value (cost of $1,103,883 and $1,106,849, respectively)</w:t>
            </w: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1,067,009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 and fees receivable</w:t>
            </w: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060" w:type="dxa"/>
            <w:vAlign w:val="bottom"/>
            <w:tcBorders>
              <w:bottom w:val="single" w:sz="8" w:color="CFF0FC"/>
            </w:tcBorders>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1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1,091,355</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1,079,153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06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Debt:</w:t>
            </w: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Credit facility</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2026 Notes</w:t>
            </w: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95,000</w:t>
            </w:r>
          </w:p>
        </w:tc>
        <w:tc>
          <w:tcPr>
            <w:tcW w:w="2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0" w:type="dxa"/>
            <w:vAlign w:val="bottom"/>
          </w:tcPr>
          <w:p>
            <w:pPr>
              <w:spacing w:after="0"/>
              <w:rPr>
                <w:sz w:val="1"/>
                <w:szCs w:val="1"/>
                <w:color w:val="auto"/>
              </w:rPr>
            </w:pPr>
          </w:p>
        </w:tc>
      </w:tr>
      <w:tr>
        <w:trPr>
          <w:trHeight w:val="15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 Notes</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Unamortized deferred financing costs</w:t>
            </w: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(5,918)</w:t>
            </w:r>
          </w:p>
        </w:tc>
        <w:tc>
          <w:tcPr>
            <w:tcW w:w="2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(9,172)</w:t>
            </w:r>
          </w:p>
        </w:tc>
        <w:tc>
          <w:tcPr>
            <w:tcW w:w="0" w:type="dxa"/>
            <w:vAlign w:val="bottom"/>
          </w:tcPr>
          <w:p>
            <w:pPr>
              <w:spacing w:after="0"/>
              <w:rPr>
                <w:sz w:val="1"/>
                <w:szCs w:val="1"/>
                <w:color w:val="auto"/>
              </w:rPr>
            </w:pPr>
          </w:p>
        </w:tc>
      </w:tr>
      <w:tr>
        <w:trPr>
          <w:trHeight w:val="156"/>
        </w:trPr>
        <w:tc>
          <w:tcPr>
            <w:tcW w:w="70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debt, less unamortized deferred financing costs</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552,332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 payable</w:t>
            </w: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14,106</w:t>
            </w:r>
          </w:p>
        </w:tc>
        <w:tc>
          <w:tcPr>
            <w:tcW w:w="2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12,500</w:t>
            </w:r>
          </w:p>
        </w:tc>
        <w:tc>
          <w:tcPr>
            <w:tcW w:w="0" w:type="dxa"/>
            <w:vAlign w:val="bottom"/>
          </w:tcPr>
          <w:p>
            <w:pPr>
              <w:spacing w:after="0"/>
              <w:rPr>
                <w:sz w:val="1"/>
                <w:szCs w:val="1"/>
                <w:color w:val="auto"/>
              </w:rPr>
            </w:pPr>
          </w:p>
        </w:tc>
      </w:tr>
      <w:tr>
        <w:trPr>
          <w:trHeight w:val="15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payable</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0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60" w:type="dxa"/>
            <w:vAlign w:val="bottom"/>
            <w:shd w:val="clear" w:color="auto" w:fill="CFF0FC"/>
          </w:tcPr>
          <w:p>
            <w:pPr>
              <w:spacing w:after="0"/>
              <w:rPr>
                <w:sz w:val="14"/>
                <w:szCs w:val="14"/>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706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360" w:type="dxa"/>
            <w:vAlign w:val="bottom"/>
            <w:vMerge w:val="continue"/>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576,486</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532,082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6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16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Common stock, par value</w:t>
            </w: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557,992</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605,110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Accumulated undistributed (overdistributed) earnings</w:t>
            </w:r>
          </w:p>
        </w:tc>
        <w:tc>
          <w:tcPr>
            <w:tcW w:w="1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(43,496)</w:t>
            </w:r>
          </w:p>
        </w:tc>
        <w:tc>
          <w:tcPr>
            <w:tcW w:w="20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(47,637)</w:t>
            </w:r>
          </w:p>
        </w:tc>
        <w:tc>
          <w:tcPr>
            <w:tcW w:w="0" w:type="dxa"/>
            <w:vAlign w:val="bottom"/>
          </w:tcPr>
          <w:p>
            <w:pPr>
              <w:spacing w:after="0"/>
              <w:rPr>
                <w:sz w:val="1"/>
                <w:szCs w:val="1"/>
                <w:color w:val="auto"/>
              </w:rPr>
            </w:pPr>
          </w:p>
        </w:tc>
      </w:tr>
      <w:tr>
        <w:trPr>
          <w:trHeight w:val="156"/>
        </w:trPr>
        <w:tc>
          <w:tcPr>
            <w:tcW w:w="7060" w:type="dxa"/>
            <w:vAlign w:val="bottom"/>
          </w:tcPr>
          <w:p>
            <w:pPr>
              <w:ind w:left="100"/>
              <w:spacing w:after="0" w:line="156" w:lineRule="exact"/>
              <w:rPr>
                <w:sz w:val="20"/>
                <w:szCs w:val="20"/>
                <w:color w:val="auto"/>
              </w:rPr>
            </w:pPr>
            <w:r>
              <w:rPr>
                <w:rFonts w:ascii="Times New Roman" w:cs="Times New Roman" w:eastAsia="Times New Roman" w:hAnsi="Times New Roman"/>
                <w:sz w:val="13"/>
                <w:szCs w:val="13"/>
                <w:color w:val="auto"/>
              </w:rPr>
              <w:t>Treasury stock</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3"/>
                <w:szCs w:val="13"/>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(10,816)</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FF0FC"/>
            </w:tcBorders>
            <w:shd w:val="clear" w:color="auto" w:fill="CFF0FC"/>
          </w:tcPr>
          <w:p>
            <w:pPr>
              <w:ind w:left="180"/>
              <w:spacing w:after="0" w:line="136" w:lineRule="exact"/>
              <w:rPr>
                <w:sz w:val="20"/>
                <w:szCs w:val="20"/>
                <w:color w:val="auto"/>
              </w:rPr>
            </w:pPr>
            <w:r>
              <w:rPr>
                <w:rFonts w:ascii="Times New Roman" w:cs="Times New Roman" w:eastAsia="Times New Roman" w:hAnsi="Times New Roman"/>
                <w:sz w:val="13"/>
                <w:szCs w:val="13"/>
                <w:b w:val="1"/>
                <w:bCs w:val="1"/>
                <w:color w:val="auto"/>
              </w:rPr>
              <w:t>Total net assets</w:t>
            </w:r>
          </w:p>
        </w:tc>
        <w:tc>
          <w:tcPr>
            <w:tcW w:w="160" w:type="dxa"/>
            <w:vAlign w:val="bottom"/>
            <w:tcBorders>
              <w:bottom w:val="single" w:sz="8" w:color="auto"/>
            </w:tcBorders>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514,869</w:t>
            </w:r>
          </w:p>
        </w:tc>
        <w:tc>
          <w:tcPr>
            <w:tcW w:w="2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547,071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7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Shares of common stock outstanding ($0.01 par value, 100,000,000 shares authorized)</w:t>
            </w:r>
          </w:p>
        </w:tc>
        <w:tc>
          <w:tcPr>
            <w:tcW w:w="160" w:type="dxa"/>
            <w:vAlign w:val="bottom"/>
            <w:shd w:val="clear" w:color="auto" w:fill="CFF0FC"/>
          </w:tcPr>
          <w:p>
            <w:pPr>
              <w:spacing w:after="0"/>
              <w:rPr>
                <w:sz w:val="13"/>
                <w:szCs w:val="13"/>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 value per share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22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80" w:hanging="126"/>
        <w:spacing w:after="0"/>
        <w:tabs>
          <w:tab w:leader="none" w:pos="480" w:val="left"/>
        </w:tabs>
        <w:numPr>
          <w:ilvl w:val="0"/>
          <w:numId w:val="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auto"/>
        </w:rPr>
        <w:t>Summary of Significant Accounting Policies, Repurchases of Common Stock".</w:t>
      </w:r>
    </w:p>
    <w:p>
      <w:pPr>
        <w:spacing w:after="0" w:line="1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0" w:name="page81"/>
    <w:bookmarkEnd w:id="8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2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4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Pr>
          <w:p>
            <w:pPr>
              <w:spacing w:after="0"/>
              <w:rPr>
                <w:sz w:val="14"/>
                <w:szCs w:val="14"/>
                <w:color w:val="auto"/>
              </w:rPr>
            </w:pP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From non-control/non-affiliate investments: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127,045</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136,912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95,264</w:t>
            </w:r>
          </w:p>
        </w:tc>
        <w:tc>
          <w:tcPr>
            <w:tcW w:w="0" w:type="dxa"/>
            <w:vAlign w:val="bottom"/>
          </w:tcPr>
          <w:p>
            <w:pPr>
              <w:spacing w:after="0"/>
              <w:rPr>
                <w:sz w:val="1"/>
                <w:szCs w:val="1"/>
                <w:color w:val="auto"/>
              </w:rPr>
            </w:pPr>
          </w:p>
        </w:tc>
      </w:tr>
      <w:tr>
        <w:trPr>
          <w:trHeight w:val="156"/>
        </w:trPr>
        <w:tc>
          <w:tcPr>
            <w:tcW w:w="4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12,088</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20,083</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5,558</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Dividend income</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318</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1,279</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1,338</w:t>
            </w:r>
          </w:p>
        </w:tc>
        <w:tc>
          <w:tcPr>
            <w:tcW w:w="0" w:type="dxa"/>
            <w:vAlign w:val="bottom"/>
          </w:tcPr>
          <w:p>
            <w:pPr>
              <w:spacing w:after="0"/>
              <w:rPr>
                <w:sz w:val="1"/>
                <w:szCs w:val="1"/>
                <w:color w:val="auto"/>
              </w:rPr>
            </w:pPr>
          </w:p>
        </w:tc>
      </w:tr>
      <w:tr>
        <w:trPr>
          <w:trHeight w:val="156"/>
        </w:trPr>
        <w:tc>
          <w:tcPr>
            <w:tcW w:w="4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Fee income</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2,231</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3,342</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1,383</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From affiliate investments: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2,419</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2,090</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56"/>
        </w:trPr>
        <w:tc>
          <w:tcPr>
            <w:tcW w:w="4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Fee income</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From control investments: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1,112</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2,985</w:t>
            </w:r>
          </w:p>
        </w:tc>
        <w:tc>
          <w:tcPr>
            <w:tcW w:w="0" w:type="dxa"/>
            <w:vAlign w:val="bottom"/>
          </w:tcPr>
          <w:p>
            <w:pPr>
              <w:spacing w:after="0"/>
              <w:rPr>
                <w:sz w:val="1"/>
                <w:szCs w:val="1"/>
                <w:color w:val="auto"/>
              </w:rPr>
            </w:pPr>
          </w:p>
        </w:tc>
      </w:tr>
      <w:tr>
        <w:trPr>
          <w:trHeight w:val="156"/>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531</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488</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investment income</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144,632</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164,209</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107,751</w:t>
            </w:r>
          </w:p>
        </w:tc>
        <w:tc>
          <w:tcPr>
            <w:tcW w:w="0" w:type="dxa"/>
            <w:vAlign w:val="bottom"/>
          </w:tcPr>
          <w:p>
            <w:pPr>
              <w:spacing w:after="0"/>
              <w:rPr>
                <w:sz w:val="1"/>
                <w:szCs w:val="1"/>
                <w:color w:val="auto"/>
              </w:rPr>
            </w:pPr>
          </w:p>
        </w:tc>
      </w:tr>
      <w:tr>
        <w:trPr>
          <w:trHeight w:val="156"/>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Management fees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15,694</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16,711</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11,882</w:t>
            </w:r>
          </w:p>
        </w:tc>
        <w:tc>
          <w:tcPr>
            <w:tcW w:w="0" w:type="dxa"/>
            <w:vAlign w:val="bottom"/>
          </w:tcPr>
          <w:p>
            <w:pPr>
              <w:spacing w:after="0"/>
              <w:rPr>
                <w:sz w:val="1"/>
                <w:szCs w:val="1"/>
                <w:color w:val="auto"/>
              </w:rPr>
            </w:pPr>
          </w:p>
        </w:tc>
      </w:tr>
      <w:tr>
        <w:trPr>
          <w:trHeight w:val="156"/>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Incentive fees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14,579</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19,046</w:t>
            </w:r>
          </w:p>
        </w:tc>
        <w:tc>
          <w:tcPr>
            <w:tcW w:w="280" w:type="dxa"/>
            <w:vAlign w:val="bottom"/>
          </w:tcPr>
          <w:p>
            <w:pPr>
              <w:spacing w:after="0"/>
              <w:rPr>
                <w:sz w:val="13"/>
                <w:szCs w:val="13"/>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13,183</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44,226</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43,143</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16,761</w:t>
            </w:r>
          </w:p>
        </w:tc>
        <w:tc>
          <w:tcPr>
            <w:tcW w:w="0" w:type="dxa"/>
            <w:vAlign w:val="bottom"/>
          </w:tcPr>
          <w:p>
            <w:pPr>
              <w:spacing w:after="0"/>
              <w:rPr>
                <w:sz w:val="1"/>
                <w:szCs w:val="1"/>
                <w:color w:val="auto"/>
              </w:rPr>
            </w:pPr>
          </w:p>
        </w:tc>
      </w:tr>
      <w:tr>
        <w:trPr>
          <w:trHeight w:val="156"/>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Professional fees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2,199</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2,350</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2,133</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Administration agreement expenses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1,986</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2,125</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1,838</w:t>
            </w:r>
          </w:p>
        </w:tc>
        <w:tc>
          <w:tcPr>
            <w:tcW w:w="0" w:type="dxa"/>
            <w:vAlign w:val="bottom"/>
          </w:tcPr>
          <w:p>
            <w:pPr>
              <w:spacing w:after="0"/>
              <w:rPr>
                <w:sz w:val="1"/>
                <w:szCs w:val="1"/>
                <w:color w:val="auto"/>
              </w:rPr>
            </w:pPr>
          </w:p>
        </w:tc>
      </w:tr>
      <w:tr>
        <w:trPr>
          <w:trHeight w:val="156"/>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Insurance expense</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829</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1,028</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1,016</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 expense</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392</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664</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56"/>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expenses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976</w:t>
            </w:r>
          </w:p>
        </w:tc>
        <w:tc>
          <w:tcPr>
            <w:tcW w:w="300" w:type="dxa"/>
            <w:vAlign w:val="bottom"/>
          </w:tcPr>
          <w:p>
            <w:pPr>
              <w:spacing w:after="0"/>
              <w:rPr>
                <w:sz w:val="13"/>
                <w:szCs w:val="13"/>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867</w:t>
            </w:r>
          </w:p>
        </w:tc>
        <w:tc>
          <w:tcPr>
            <w:tcW w:w="280" w:type="dxa"/>
            <w:vAlign w:val="bottom"/>
          </w:tcPr>
          <w:p>
            <w:pPr>
              <w:spacing w:after="0"/>
              <w:rPr>
                <w:sz w:val="13"/>
                <w:szCs w:val="13"/>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851</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80,881</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85,934</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47,955</w:t>
            </w:r>
          </w:p>
        </w:tc>
        <w:tc>
          <w:tcPr>
            <w:tcW w:w="0" w:type="dxa"/>
            <w:vAlign w:val="bottom"/>
          </w:tcPr>
          <w:p>
            <w:pPr>
              <w:spacing w:after="0"/>
              <w:rPr>
                <w:sz w:val="1"/>
                <w:szCs w:val="1"/>
                <w:color w:val="auto"/>
              </w:rPr>
            </w:pPr>
          </w:p>
        </w:tc>
      </w:tr>
      <w:tr>
        <w:trPr>
          <w:trHeight w:val="204"/>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63,751</w:t>
            </w:r>
          </w:p>
        </w:tc>
        <w:tc>
          <w:tcPr>
            <w:tcW w:w="300" w:type="dxa"/>
            <w:vAlign w:val="bottom"/>
          </w:tcPr>
          <w:p>
            <w:pPr>
              <w:spacing w:after="0"/>
              <w:rPr>
                <w:sz w:val="17"/>
                <w:szCs w:val="17"/>
                <w:color w:val="auto"/>
              </w:rPr>
            </w:pPr>
          </w:p>
        </w:tc>
        <w:tc>
          <w:tcPr>
            <w:tcW w:w="1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78,275</w:t>
            </w:r>
          </w:p>
        </w:tc>
        <w:tc>
          <w:tcPr>
            <w:tcW w:w="280" w:type="dxa"/>
            <w:vAlign w:val="bottom"/>
          </w:tcPr>
          <w:p>
            <w:pPr>
              <w:spacing w:after="0"/>
              <w:rPr>
                <w:sz w:val="17"/>
                <w:szCs w:val="17"/>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59,796</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net change in unrealized gain (loss) on investments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Net realized gain (loss) on non-control/non-affiliate investments, including U.S.</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Treasury Bills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280" w:type="dxa"/>
            <w:vAlign w:val="bottom"/>
          </w:tcPr>
          <w:p>
            <w:pPr>
              <w:spacing w:after="0"/>
              <w:rPr>
                <w:sz w:val="14"/>
                <w:szCs w:val="14"/>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939</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realized gain (loss) on control investments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(17,013)</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56"/>
        </w:trPr>
        <w:tc>
          <w:tcPr>
            <w:tcW w:w="4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 including U.S. Treasury Bills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3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2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0" w:type="dxa"/>
            <w:vAlign w:val="bottom"/>
          </w:tcPr>
          <w:p>
            <w:pPr>
              <w:spacing w:after="0"/>
              <w:rPr>
                <w:sz w:val="1"/>
                <w:szCs w:val="1"/>
                <w:color w:val="auto"/>
              </w:rPr>
            </w:pPr>
          </w:p>
        </w:tc>
      </w:tr>
      <w:tr>
        <w:trPr>
          <w:trHeight w:val="144"/>
        </w:trPr>
        <w:tc>
          <w:tcPr>
            <w:tcW w:w="48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Net change in unrealized gain (loss) on non-control/non-affiliate investments,</w:t>
            </w:r>
          </w:p>
        </w:tc>
        <w:tc>
          <w:tcPr>
            <w:tcW w:w="3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including U.S. Treasury Bills</w:t>
            </w:r>
          </w:p>
        </w:tc>
        <w:tc>
          <w:tcPr>
            <w:tcW w:w="3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(372 )</w:t>
            </w:r>
          </w:p>
        </w:tc>
        <w:tc>
          <w:tcPr>
            <w:tcW w:w="300" w:type="dxa"/>
            <w:vAlign w:val="bottom"/>
            <w:shd w:val="clear" w:color="auto" w:fill="CFF0FC"/>
          </w:tcPr>
          <w:p>
            <w:pPr>
              <w:spacing w:after="0"/>
              <w:rPr>
                <w:sz w:val="14"/>
                <w:szCs w:val="14"/>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(20,491)</w:t>
            </w:r>
          </w:p>
        </w:tc>
        <w:tc>
          <w:tcPr>
            <w:tcW w:w="280" w:type="dxa"/>
            <w:vAlign w:val="bottom"/>
            <w:shd w:val="clear" w:color="auto" w:fill="CFF0FC"/>
          </w:tcPr>
          <w:p>
            <w:pPr>
              <w:spacing w:after="0"/>
              <w:rPr>
                <w:sz w:val="14"/>
                <w:szCs w:val="14"/>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(18,870)</w:t>
            </w:r>
          </w:p>
        </w:tc>
        <w:tc>
          <w:tcPr>
            <w:tcW w:w="0" w:type="dxa"/>
            <w:vAlign w:val="bottom"/>
          </w:tcPr>
          <w:p>
            <w:pPr>
              <w:spacing w:after="0"/>
              <w:rPr>
                <w:sz w:val="1"/>
                <w:szCs w:val="1"/>
                <w:color w:val="auto"/>
              </w:rPr>
            </w:pPr>
          </w:p>
        </w:tc>
      </w:tr>
      <w:tr>
        <w:trPr>
          <w:trHeight w:val="156"/>
        </w:trPr>
        <w:tc>
          <w:tcPr>
            <w:tcW w:w="4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unrealized gain (loss) on affiliate investments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12,779</w:t>
            </w:r>
          </w:p>
        </w:tc>
        <w:tc>
          <w:tcPr>
            <w:tcW w:w="3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2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(3,476)</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change in unrealized gain (loss) on control investments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390</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9,882</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(4,139)</w:t>
            </w:r>
          </w:p>
        </w:tc>
        <w:tc>
          <w:tcPr>
            <w:tcW w:w="0" w:type="dxa"/>
            <w:vAlign w:val="bottom"/>
          </w:tcPr>
          <w:p>
            <w:pPr>
              <w:spacing w:after="0"/>
              <w:rPr>
                <w:sz w:val="1"/>
                <w:szCs w:val="1"/>
                <w:color w:val="auto"/>
              </w:rPr>
            </w:pPr>
          </w:p>
        </w:tc>
      </w:tr>
      <w:tr>
        <w:trPr>
          <w:trHeight w:val="156"/>
        </w:trPr>
        <w:tc>
          <w:tcPr>
            <w:tcW w:w="4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gain (loss) on investments, including U.S. Treasury Bills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12,797</w:t>
            </w:r>
          </w:p>
        </w:tc>
        <w:tc>
          <w:tcPr>
            <w:tcW w:w="3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(15,547)</w:t>
            </w:r>
          </w:p>
        </w:tc>
        <w:tc>
          <w:tcPr>
            <w:tcW w:w="2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(26,485)</w:t>
            </w: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 on investments</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9,858</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(33,934)</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(27,546)</w:t>
            </w:r>
          </w:p>
        </w:tc>
        <w:tc>
          <w:tcPr>
            <w:tcW w:w="0" w:type="dxa"/>
            <w:vAlign w:val="bottom"/>
          </w:tcPr>
          <w:p>
            <w:pPr>
              <w:spacing w:after="0"/>
              <w:rPr>
                <w:sz w:val="1"/>
                <w:szCs w:val="1"/>
                <w:color w:val="auto"/>
              </w:rPr>
            </w:pPr>
          </w:p>
        </w:tc>
      </w:tr>
      <w:tr>
        <w:trPr>
          <w:trHeight w:val="156"/>
        </w:trPr>
        <w:tc>
          <w:tcPr>
            <w:tcW w:w="48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73,609</w:t>
            </w:r>
          </w:p>
        </w:tc>
        <w:tc>
          <w:tcPr>
            <w:tcW w:w="3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620" w:type="dxa"/>
            <w:vAlign w:val="bottom"/>
            <w:tcBorders>
              <w:bottom w:val="single" w:sz="8" w:color="auto"/>
            </w:tcBorders>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44,341</w:t>
            </w:r>
          </w:p>
        </w:tc>
        <w:tc>
          <w:tcPr>
            <w:tcW w:w="2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tcBorders>
              <w:bottom w:val="single" w:sz="8" w:color="auto"/>
            </w:tcBorders>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32,250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4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 (basic and diluted)</w:t>
            </w:r>
          </w:p>
        </w:tc>
        <w:tc>
          <w:tcPr>
            <w:tcW w:w="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1.64</w:t>
            </w:r>
          </w:p>
        </w:tc>
        <w:tc>
          <w:tcPr>
            <w:tcW w:w="3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620" w:type="dxa"/>
            <w:vAlign w:val="bottom"/>
            <w:shd w:val="clear" w:color="auto" w:fill="CFF0FC"/>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1.93</w:t>
            </w:r>
          </w:p>
        </w:tc>
        <w:tc>
          <w:tcPr>
            <w:tcW w:w="2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1580" w:type="dxa"/>
            <w:vAlign w:val="bottom"/>
            <w:shd w:val="clear" w:color="auto" w:fill="CFF0FC"/>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44"/>
        </w:trPr>
        <w:tc>
          <w:tcPr>
            <w:tcW w:w="48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 per common share (basic</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0.79</w:t>
            </w:r>
          </w:p>
        </w:tc>
        <w:tc>
          <w:tcPr>
            <w:tcW w:w="0" w:type="dxa"/>
            <w:vAlign w:val="bottom"/>
          </w:tcPr>
          <w:p>
            <w:pPr>
              <w:spacing w:after="0"/>
              <w:rPr>
                <w:sz w:val="1"/>
                <w:szCs w:val="1"/>
                <w:color w:val="auto"/>
              </w:rPr>
            </w:pPr>
          </w:p>
        </w:tc>
      </w:tr>
      <w:tr>
        <w:trPr>
          <w:trHeight w:val="8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and diluted)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7"/>
                <w:szCs w:val="7"/>
                <w:color w:val="auto"/>
              </w:rPr>
            </w:pPr>
          </w:p>
        </w:tc>
        <w:tc>
          <w:tcPr>
            <w:tcW w:w="7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1.89</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1.09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8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38,852,271</w:t>
            </w:r>
          </w:p>
        </w:tc>
        <w:tc>
          <w:tcPr>
            <w:tcW w:w="300" w:type="dxa"/>
            <w:vAlign w:val="bottom"/>
            <w:shd w:val="clear" w:color="auto" w:fill="CFF0FC"/>
          </w:tcPr>
          <w:p>
            <w:pPr>
              <w:spacing w:after="0"/>
              <w:rPr>
                <w:sz w:val="13"/>
                <w:szCs w:val="13"/>
                <w:color w:val="auto"/>
              </w:rPr>
            </w:pPr>
          </w:p>
        </w:tc>
        <w:tc>
          <w:tcPr>
            <w:tcW w:w="16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40,509,269</w:t>
            </w:r>
          </w:p>
        </w:tc>
        <w:tc>
          <w:tcPr>
            <w:tcW w:w="280" w:type="dxa"/>
            <w:vAlign w:val="bottom"/>
            <w:shd w:val="clear" w:color="auto" w:fill="CFF0FC"/>
          </w:tcPr>
          <w:p>
            <w:pPr>
              <w:spacing w:after="0"/>
              <w:rPr>
                <w:sz w:val="13"/>
                <w:szCs w:val="13"/>
                <w:color w:val="auto"/>
              </w:rPr>
            </w:pPr>
          </w:p>
        </w:tc>
        <w:tc>
          <w:tcPr>
            <w:tcW w:w="1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40,971,242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1" w:name="page82"/>
    <w:bookmarkEnd w:id="8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8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Distributable</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1380" w:type="dxa"/>
            <w:vAlign w:val="bottom"/>
          </w:tcPr>
          <w:p>
            <w:pPr>
              <w:jc w:val="right"/>
              <w:ind w:right="414"/>
              <w:spacing w:after="0" w:line="169" w:lineRule="exact"/>
              <w:rPr>
                <w:sz w:val="20"/>
                <w:szCs w:val="20"/>
                <w:color w:val="auto"/>
              </w:rPr>
            </w:pP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4"/>
              <w:spacing w:after="0" w:line="169" w:lineRule="exact"/>
              <w:rPr>
                <w:sz w:val="20"/>
                <w:szCs w:val="20"/>
                <w:color w:val="auto"/>
              </w:rPr>
            </w:pPr>
            <w:r>
              <w:rPr>
                <w:rFonts w:ascii="Times New Roman" w:cs="Times New Roman" w:eastAsia="Times New Roman" w:hAnsi="Times New Roman"/>
                <w:sz w:val="13"/>
                <w:szCs w:val="13"/>
                <w:b w:val="1"/>
                <w:bCs w:val="1"/>
                <w:color w:val="auto"/>
              </w:rPr>
              <w:t xml:space="preserve">Stock </w:t>
            </w:r>
            <w:r>
              <w:rPr>
                <w:rFonts w:ascii="Times New Roman" w:cs="Times New Roman" w:eastAsia="Times New Roman" w:hAnsi="Times New Roman"/>
                <w:sz w:val="16"/>
                <w:szCs w:val="16"/>
                <w:b w:val="1"/>
                <w:bCs w:val="1"/>
                <w:color w:val="auto"/>
                <w:vertAlign w:val="superscript"/>
              </w:rPr>
              <w:t>(2)</w:t>
            </w:r>
          </w:p>
        </w:tc>
        <w:tc>
          <w:tcPr>
            <w:tcW w:w="120" w:type="dxa"/>
            <w:vAlign w:val="bottom"/>
          </w:tcPr>
          <w:p>
            <w:pPr>
              <w:spacing w:after="0"/>
              <w:rPr>
                <w:sz w:val="14"/>
                <w:szCs w:val="14"/>
                <w:color w:val="auto"/>
              </w:rPr>
            </w:pPr>
          </w:p>
        </w:tc>
        <w:tc>
          <w:tcPr>
            <w:tcW w:w="108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Earnings (Losses)</w:t>
            </w:r>
          </w:p>
        </w:tc>
        <w:tc>
          <w:tcPr>
            <w:tcW w:w="120" w:type="dxa"/>
            <w:vAlign w:val="bottom"/>
          </w:tcPr>
          <w:p>
            <w:pPr>
              <w:spacing w:after="0"/>
              <w:rPr>
                <w:sz w:val="14"/>
                <w:szCs w:val="14"/>
                <w:color w:val="auto"/>
              </w:rPr>
            </w:pPr>
          </w:p>
        </w:tc>
        <w:tc>
          <w:tcPr>
            <w:tcW w:w="10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0" w:type="dxa"/>
            <w:vAlign w:val="bottom"/>
          </w:tcPr>
          <w:p>
            <w:pPr>
              <w:spacing w:after="0"/>
              <w:rPr>
                <w:sz w:val="1"/>
                <w:szCs w:val="1"/>
                <w:color w:val="auto"/>
              </w:rPr>
            </w:pPr>
          </w:p>
        </w:tc>
      </w:tr>
      <w:tr>
        <w:trPr>
          <w:trHeight w:val="168"/>
        </w:trPr>
        <w:tc>
          <w:tcPr>
            <w:tcW w:w="3180" w:type="dxa"/>
            <w:vAlign w:val="bottom"/>
            <w:vMerge w:val="continue"/>
          </w:tcPr>
          <w:p>
            <w:pPr>
              <w:spacing w:after="0"/>
              <w:rPr>
                <w:sz w:val="14"/>
                <w:szCs w:val="14"/>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41,380,614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606,048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(267 )</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606,195</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59,796</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59,796</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(26,485)</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(26,485)</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Acquisition of treasury stock</w:t>
            </w:r>
            <w:r>
              <w:rPr>
                <w:rFonts w:ascii="Times New Roman" w:cs="Times New Roman" w:eastAsia="Times New Roman" w:hAnsi="Times New Roman"/>
                <w:sz w:val="16"/>
                <w:szCs w:val="16"/>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(871,345)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(10,816)</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Refunds (payments) of offering costs</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(51,593)</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reclassification</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290</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40,509,269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605,774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(19,320)</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576,052</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78,275</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78,275</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(15,547)</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(15,547)</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(73,322)</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reclassification</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664</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40,509,269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414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605,110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(47,637)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547,071</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investment income</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63,751</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63,751</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0" w:type="dxa"/>
            <w:vAlign w:val="bottom"/>
          </w:tcPr>
          <w:p>
            <w:pPr>
              <w:spacing w:after="0"/>
              <w:rPr>
                <w:sz w:val="1"/>
                <w:szCs w:val="1"/>
                <w:color w:val="auto"/>
              </w:rPr>
            </w:pPr>
          </w:p>
        </w:tc>
      </w:tr>
      <w:tr>
        <w:trPr>
          <w:trHeight w:val="172"/>
        </w:trPr>
        <w:tc>
          <w:tcPr>
            <w:tcW w:w="31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38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12,797</w:t>
            </w: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12,797</w:t>
            </w:r>
          </w:p>
        </w:tc>
        <w:tc>
          <w:tcPr>
            <w:tcW w:w="0" w:type="dxa"/>
            <w:vAlign w:val="bottom"/>
          </w:tcPr>
          <w:p>
            <w:pPr>
              <w:spacing w:after="0"/>
              <w:rPr>
                <w:sz w:val="1"/>
                <w:szCs w:val="1"/>
                <w:color w:val="auto"/>
              </w:rPr>
            </w:pPr>
          </w:p>
        </w:tc>
      </w:tr>
      <w:tr>
        <w:trPr>
          <w:trHeight w:val="116"/>
        </w:trPr>
        <w:tc>
          <w:tcPr>
            <w:tcW w:w="3180" w:type="dxa"/>
            <w:vAlign w:val="bottom"/>
            <w:vMerge w:val="continue"/>
            <w:shd w:val="clear" w:color="auto" w:fill="CFF0FC"/>
          </w:tcPr>
          <w:p>
            <w:pPr>
              <w:spacing w:after="0"/>
              <w:rPr>
                <w:sz w:val="10"/>
                <w:szCs w:val="10"/>
                <w:color w:val="auto"/>
              </w:rPr>
            </w:pPr>
          </w:p>
        </w:tc>
        <w:tc>
          <w:tcPr>
            <w:tcW w:w="138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Reclassification of share repurchases</w:t>
            </w:r>
            <w:r>
              <w:rPr>
                <w:rFonts w:ascii="Times New Roman" w:cs="Times New Roman" w:eastAsia="Times New Roman" w:hAnsi="Times New Roman"/>
                <w:sz w:val="16"/>
                <w:szCs w:val="16"/>
                <w:color w:val="auto"/>
                <w:vertAlign w:val="superscript"/>
              </w:rPr>
              <w:t>(2)</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10,816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(3,161,805)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(35,918)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(35,950)</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Retired</w:t>
            </w: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56"/>
        </w:trPr>
        <w:tc>
          <w:tcPr>
            <w:tcW w:w="3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(69,860)</w:t>
            </w: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(69,860)</w:t>
            </w:r>
          </w:p>
        </w:tc>
        <w:tc>
          <w:tcPr>
            <w:tcW w:w="0" w:type="dxa"/>
            <w:vAlign w:val="bottom"/>
          </w:tcPr>
          <w:p>
            <w:pPr>
              <w:spacing w:after="0"/>
              <w:rPr>
                <w:sz w:val="1"/>
                <w:szCs w:val="1"/>
                <w:color w:val="auto"/>
              </w:rPr>
            </w:pPr>
          </w:p>
        </w:tc>
      </w:tr>
      <w:tr>
        <w:trPr>
          <w:trHeight w:val="156"/>
        </w:trPr>
        <w:tc>
          <w:tcPr>
            <w:tcW w:w="3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reclassification</w:t>
            </w: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CFF0FC"/>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138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37,347,428</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373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557,992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(43,496)</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514,869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80" w:hanging="126"/>
        <w:spacing w:after="0"/>
        <w:tabs>
          <w:tab w:leader="none" w:pos="48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Number of shares is shown net of cumulative treasury stock repurchases of 4,033,150 shares as of December 31, 2024.</w:t>
      </w:r>
    </w:p>
    <w:p>
      <w:pPr>
        <w:spacing w:after="0" w:line="92" w:lineRule="exact"/>
        <w:rPr>
          <w:rFonts w:ascii="Times New Roman" w:cs="Times New Roman" w:eastAsia="Times New Roman" w:hAnsi="Times New Roman"/>
          <w:sz w:val="16"/>
          <w:szCs w:val="16"/>
          <w:color w:val="auto"/>
          <w:vertAlign w:val="superscript"/>
        </w:rPr>
      </w:pPr>
    </w:p>
    <w:p>
      <w:pPr>
        <w:ind w:left="480" w:hanging="126"/>
        <w:spacing w:after="0"/>
        <w:tabs>
          <w:tab w:leader="none" w:pos="480" w:val="left"/>
        </w:tabs>
        <w:numPr>
          <w:ilvl w:val="0"/>
          <w:numId w:val="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Refer to "Note 2</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w:t>
      </w:r>
      <w:r>
        <w:rPr>
          <w:rFonts w:ascii="Times New Roman" w:cs="Times New Roman" w:eastAsia="Times New Roman" w:hAnsi="Times New Roman"/>
          <w:sz w:val="12"/>
          <w:szCs w:val="12"/>
          <w:color w:val="auto"/>
        </w:rPr>
        <w:t>Summary of Significant Accounting Policies, Repurchases of Common Stock".</w:t>
      </w:r>
    </w:p>
    <w:p>
      <w:pPr>
        <w:spacing w:after="0" w:line="200" w:lineRule="exact"/>
        <w:rPr>
          <w:sz w:val="20"/>
          <w:szCs w:val="20"/>
          <w:color w:val="auto"/>
        </w:rPr>
      </w:pPr>
    </w:p>
    <w:p>
      <w:pPr>
        <w:spacing w:after="0" w:line="2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2" w:name="page83"/>
    <w:bookmarkEnd w:id="8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580" w:type="dxa"/>
            <w:vAlign w:val="bottom"/>
            <w:gridSpan w:val="6"/>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1120" w:type="dxa"/>
            <w:vAlign w:val="bottom"/>
          </w:tcPr>
          <w:p>
            <w:pPr>
              <w:spacing w:after="0"/>
              <w:rPr>
                <w:sz w:val="13"/>
                <w:szCs w:val="13"/>
                <w:color w:val="auto"/>
              </w:rPr>
            </w:pPr>
          </w:p>
        </w:tc>
      </w:tr>
      <w:tr>
        <w:trPr>
          <w:trHeight w:val="170"/>
        </w:trPr>
        <w:tc>
          <w:tcPr>
            <w:tcW w:w="60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7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r>
      <w:tr>
        <w:trPr>
          <w:trHeight w:val="156"/>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82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73,609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44,341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32,250</w:t>
            </w:r>
          </w:p>
        </w:tc>
      </w:tr>
      <w:tr>
        <w:trPr>
          <w:trHeight w:val="144"/>
        </w:trPr>
        <w:tc>
          <w:tcPr>
            <w:tcW w:w="60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Adjustments to reconcile net increase in net assets resulting from operations to net cash provided by (used in)</w:t>
            </w:r>
          </w:p>
        </w:tc>
        <w:tc>
          <w:tcPr>
            <w:tcW w:w="8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r>
      <w:tr>
        <w:trPr>
          <w:trHeight w:val="168"/>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operating activities:</w:t>
            </w:r>
          </w:p>
        </w:tc>
        <w:tc>
          <w:tcPr>
            <w:tcW w:w="8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Purchases of investments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(254,106)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(200,464)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(622,719)</w:t>
            </w:r>
          </w:p>
        </w:tc>
      </w:tr>
      <w:tr>
        <w:trPr>
          <w:trHeight w:val="15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Purchases of U.S. Treasury Bills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(76,973)</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Payment-in-kind interest</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(8,655)</w:t>
            </w:r>
          </w:p>
        </w:tc>
      </w:tr>
      <w:tr>
        <w:trPr>
          <w:trHeight w:val="15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Sales or repayments of investments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231,177</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296,409</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168,898</w:t>
            </w: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or maturities of U.S. Treasury Bills</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42,029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35,000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45,000</w:t>
            </w:r>
          </w:p>
        </w:tc>
      </w:tr>
      <w:tr>
        <w:trPr>
          <w:trHeight w:val="15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2,939</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18,387</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1,061</w:t>
            </w: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(12,797)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15,547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26,485</w:t>
            </w:r>
          </w:p>
        </w:tc>
      </w:tr>
      <w:tr>
        <w:trPr>
          <w:trHeight w:val="15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 and ETP</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(6,808)</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(8,682)</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(6,863)</w:t>
            </w: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1,390</w:t>
            </w: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(Increase) decrease in interest and fees receivable</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(5,782)</w:t>
            </w:r>
          </w:p>
        </w:tc>
      </w:tr>
      <w:tr>
        <w:trPr>
          <w:trHeight w:val="15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(Increase) decrease in other assets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227</w:t>
            </w: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Increase (decrease) in incentive fees payable</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1,606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3,692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2,798</w:t>
            </w:r>
          </w:p>
        </w:tc>
      </w:tr>
      <w:tr>
        <w:trPr>
          <w:trHeight w:val="156"/>
        </w:trPr>
        <w:tc>
          <w:tcPr>
            <w:tcW w:w="6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Increase (decrease) in interest payable</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979</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543</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5,972</w:t>
            </w:r>
          </w:p>
        </w:tc>
      </w:tr>
      <w:tr>
        <w:trPr>
          <w:trHeight w:val="156"/>
        </w:trPr>
        <w:tc>
          <w:tcPr>
            <w:tcW w:w="60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Increase (decrease) in accrued expenses and other liabilities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1,012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92</w:t>
            </w:r>
          </w:p>
        </w:tc>
      </w:tr>
      <w:tr>
        <w:trPr>
          <w:trHeight w:val="156"/>
        </w:trPr>
        <w:tc>
          <w:tcPr>
            <w:tcW w:w="6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69,758</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112,437</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(359,846)</w:t>
            </w:r>
          </w:p>
        </w:tc>
      </w:tr>
      <w:tr>
        <w:trPr>
          <w:trHeight w:val="156"/>
        </w:trPr>
        <w:tc>
          <w:tcPr>
            <w:tcW w:w="6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Payments of deferred financing costs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(166 )</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(1,906)</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(10,172)</w:t>
            </w:r>
          </w:p>
        </w:tc>
      </w:tr>
      <w:tr>
        <w:trPr>
          <w:trHeight w:val="156"/>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211,000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210,000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484,000</w:t>
            </w: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(172,000)</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(275,000)</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(208,000)</w:t>
            </w:r>
          </w:p>
        </w:tc>
      </w:tr>
      <w:tr>
        <w:trPr>
          <w:trHeight w:val="156"/>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2026 Notes</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50,000</w:t>
            </w: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Proceeds from 2027 Notes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152,250</w:t>
            </w:r>
          </w:p>
        </w:tc>
      </w:tr>
      <w:tr>
        <w:trPr>
          <w:trHeight w:val="156"/>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Repayments of reverse repurchase agreements</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(44,775)</w:t>
            </w: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Acquisition of treasury stock</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(10,816)</w:t>
            </w:r>
          </w:p>
        </w:tc>
      </w:tr>
      <w:tr>
        <w:trPr>
          <w:trHeight w:val="240"/>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820" w:type="dxa"/>
            <w:vAlign w:val="bottom"/>
          </w:tcPr>
          <w:p>
            <w:pPr>
              <w:spacing w:after="0"/>
              <w:rPr>
                <w:sz w:val="20"/>
                <w:szCs w:val="20"/>
                <w:color w:val="auto"/>
              </w:rPr>
            </w:pPr>
          </w:p>
        </w:tc>
        <w:tc>
          <w:tcPr>
            <w:tcW w:w="600" w:type="dxa"/>
            <w:vAlign w:val="bottom"/>
          </w:tcPr>
          <w:p>
            <w:pPr>
              <w:jc w:val="right"/>
              <w:spacing w:after="0" w:line="240" w:lineRule="exact"/>
              <w:rPr>
                <w:sz w:val="20"/>
                <w:szCs w:val="20"/>
                <w:color w:val="auto"/>
              </w:rPr>
            </w:pPr>
            <w:r>
              <w:rPr>
                <w:rFonts w:ascii="Times New Roman" w:cs="Times New Roman" w:eastAsia="Times New Roman" w:hAnsi="Times New Roman"/>
                <w:sz w:val="13"/>
                <w:szCs w:val="13"/>
                <w:color w:val="auto"/>
              </w:rPr>
              <w:t>(35,950</w:t>
            </w:r>
            <w:r>
              <w:rPr>
                <w:rFonts w:ascii="Times New Roman" w:cs="Times New Roman" w:eastAsia="Times New Roman" w:hAnsi="Times New Roman"/>
                <w:sz w:val="26"/>
                <w:szCs w:val="26"/>
                <w:color w:val="auto"/>
                <w:vertAlign w:val="superscript"/>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Retirement of shares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(69,860)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(51,593)</w:t>
            </w: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Refunds (payments) of offering costs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r>
      <w:tr>
        <w:trPr>
          <w:trHeight w:val="156"/>
        </w:trPr>
        <w:tc>
          <w:tcPr>
            <w:tcW w:w="60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(66,977)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(115,228)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360,910</w:t>
            </w:r>
          </w:p>
        </w:tc>
      </w:tr>
      <w:tr>
        <w:trPr>
          <w:trHeight w:val="156"/>
        </w:trPr>
        <w:tc>
          <w:tcPr>
            <w:tcW w:w="6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82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2,781</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(2,791)</w:t>
            </w:r>
          </w:p>
        </w:tc>
        <w:tc>
          <w:tcPr>
            <w:tcW w:w="1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1,064</w:t>
            </w:r>
          </w:p>
        </w:tc>
      </w:tr>
      <w:tr>
        <w:trPr>
          <w:trHeight w:val="156"/>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820" w:type="dxa"/>
            <w:vAlign w:val="bottom"/>
          </w:tcPr>
          <w:p>
            <w:pPr>
              <w:spacing w:after="0"/>
              <w:rPr>
                <w:sz w:val="13"/>
                <w:szCs w:val="13"/>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2,970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5,761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4,697</w:t>
            </w:r>
          </w:p>
        </w:tc>
      </w:tr>
      <w:tr>
        <w:trPr>
          <w:trHeight w:val="196"/>
        </w:trPr>
        <w:tc>
          <w:tcPr>
            <w:tcW w:w="604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820" w:type="dxa"/>
            <w:vAlign w:val="bottom"/>
            <w:shd w:val="clear" w:color="auto" w:fill="CFF0FC"/>
          </w:tcPr>
          <w:p>
            <w:pPr>
              <w:jc w:val="right"/>
              <w:ind w:right="6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5,751</w:t>
            </w:r>
          </w:p>
        </w:tc>
        <w:tc>
          <w:tcPr>
            <w:tcW w:w="420" w:type="dxa"/>
            <w:vAlign w:val="bottom"/>
            <w:gridSpan w:val="2"/>
            <w:shd w:val="clear" w:color="auto" w:fill="CFF0FC"/>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2,970</w:t>
            </w:r>
          </w:p>
        </w:tc>
        <w:tc>
          <w:tcPr>
            <w:tcW w:w="440" w:type="dxa"/>
            <w:vAlign w:val="bottom"/>
            <w:gridSpan w:val="2"/>
            <w:shd w:val="clear" w:color="auto" w:fill="CFF0FC"/>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5,761</w:t>
            </w:r>
          </w:p>
        </w:tc>
      </w:tr>
      <w:tr>
        <w:trPr>
          <w:trHeight w:val="132"/>
        </w:trPr>
        <w:tc>
          <w:tcPr>
            <w:tcW w:w="6040" w:type="dxa"/>
            <w:vAlign w:val="bottom"/>
            <w:tcBorders>
              <w:top w:val="single" w:sz="8" w:color="CFF0FC"/>
            </w:tcBorders>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and non-cash financing cash flow information:</w:t>
            </w:r>
          </w:p>
        </w:tc>
        <w:tc>
          <w:tcPr>
            <w:tcW w:w="8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156"/>
        </w:trPr>
        <w:tc>
          <w:tcPr>
            <w:tcW w:w="60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Taxes paid</w:t>
            </w:r>
          </w:p>
        </w:tc>
        <w:tc>
          <w:tcPr>
            <w:tcW w:w="820" w:type="dxa"/>
            <w:vAlign w:val="bottom"/>
            <w:shd w:val="clear" w:color="auto" w:fill="CFF0FC"/>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616</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340</w:t>
            </w: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paid</w:t>
            </w:r>
          </w:p>
        </w:tc>
        <w:tc>
          <w:tcPr>
            <w:tcW w:w="820" w:type="dxa"/>
            <w:vAlign w:val="bottom"/>
          </w:tcPr>
          <w:p>
            <w:pPr>
              <w:spacing w:after="0"/>
              <w:rPr>
                <w:sz w:val="14"/>
                <w:szCs w:val="14"/>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37,348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38,099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7,784</w:t>
            </w: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3" w:name="page84"/>
    <w:bookmarkEnd w:id="8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tcPr>
          <w:p>
            <w:pPr>
              <w:ind w:left="6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40" w:type="dxa"/>
            <w:vAlign w:val="bottom"/>
          </w:tcPr>
          <w:p>
            <w:pPr>
              <w:spacing w:after="0"/>
              <w:rPr>
                <w:sz w:val="11"/>
                <w:szCs w:val="11"/>
                <w:color w:val="auto"/>
              </w:rPr>
            </w:pP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Principal ($)</w:t>
            </w:r>
          </w:p>
        </w:tc>
        <w:tc>
          <w:tcPr>
            <w:tcW w:w="1040" w:type="dxa"/>
            <w:vAlign w:val="bottom"/>
          </w:tcPr>
          <w:p>
            <w:pPr>
              <w:spacing w:after="0"/>
              <w:rPr>
                <w:sz w:val="11"/>
                <w:szCs w:val="11"/>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4"/>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80" w:type="dxa"/>
            <w:vAlign w:val="bottom"/>
          </w:tcPr>
          <w:p>
            <w:pPr>
              <w:ind w:left="520"/>
              <w:spacing w:after="0" w:line="144" w:lineRule="exact"/>
              <w:rPr>
                <w:sz w:val="20"/>
                <w:szCs w:val="20"/>
                <w:color w:val="auto"/>
              </w:rPr>
            </w:pPr>
            <w:r>
              <w:rPr>
                <w:rFonts w:ascii="Times New Roman" w:cs="Times New Roman" w:eastAsia="Times New Roman" w:hAnsi="Times New Roman"/>
                <w:sz w:val="11"/>
                <w:szCs w:val="11"/>
                <w:b w:val="1"/>
                <w:bCs w:val="1"/>
                <w:color w:val="auto"/>
              </w:rPr>
              <w:t>Description</w:t>
            </w:r>
            <w:r>
              <w:rPr>
                <w:rFonts w:ascii="Times New Roman" w:cs="Times New Roman" w:eastAsia="Times New Roman" w:hAnsi="Times New Roman"/>
                <w:sz w:val="14"/>
                <w:szCs w:val="14"/>
                <w:b w:val="1"/>
                <w:bCs w:val="1"/>
                <w:color w:val="auto"/>
                <w:vertAlign w:val="superscript"/>
              </w:rPr>
              <w:t>(1)(2)(4)</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1060" w:type="dxa"/>
            <w:vAlign w:val="bottom"/>
          </w:tcPr>
          <w:p>
            <w:pPr>
              <w:jc w:val="right"/>
              <w:ind w:right="26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2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Non-Control/Non-Affiliate Investments</w:t>
            </w:r>
          </w:p>
        </w:tc>
        <w:tc>
          <w:tcPr>
            <w:tcW w:w="108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10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108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Airship Group, Inc.</w:t>
            </w:r>
          </w:p>
        </w:tc>
        <w:tc>
          <w:tcPr>
            <w:tcW w:w="10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SOFR+3.75%, 9.08% floor, 3.00% PIK,</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6/28/2024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6/15/2028</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49,129</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48,508</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49,442</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(11)</w:t>
            </w:r>
          </w:p>
        </w:tc>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3.25% 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Blueshift Labs, Inc.</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SOFR+6.25%, 11.25% floor, 2.00%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12/19/2023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12/15/2028</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26,018</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25,743</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23,664</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7"/>
              </w:rPr>
              <w:t>(11)</w:t>
            </w:r>
          </w:p>
        </w:tc>
        <w:tc>
          <w:tcPr>
            <w:tcW w:w="460" w:type="dxa"/>
            <w:vAlign w:val="bottom"/>
            <w:shd w:val="clear" w:color="auto" w:fill="CFF0FC"/>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PIK, 1.50% ETP</w:t>
            </w: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Bridge Loan</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12/12/2024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12/15/2028</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500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500</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455</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(23)</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Circadence Corporation</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SOFR+9.50%, 12.26% floor, 7.50% ETP</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12/20/2018</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12/15/2025</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23,752</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25,102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20,492</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FiscalNote, Inc.</w:t>
            </w:r>
          </w:p>
        </w:tc>
        <w:tc>
          <w:tcPr>
            <w:tcW w:w="10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PRIME+5.00%, 9.00% floor, 1.00%</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10/19/2020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7/15/2027</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36,908</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37,411</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36,252</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(11)</w:t>
            </w:r>
          </w:p>
        </w:tc>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(12) (14)</w:t>
            </w:r>
          </w:p>
        </w:tc>
      </w:tr>
      <w:tr>
        <w:trPr>
          <w:trHeight w:val="132"/>
        </w:trPr>
        <w:tc>
          <w:tcPr>
            <w:tcW w:w="1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PIK, 5.75% 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Piano Software, Inc.</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SOFR+7.25%, 11.25% floor, 1.50% ETP</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12/31/2024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12/31/2029</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43,000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42,008</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42,008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7"/>
              </w:rPr>
              <w:t>(12)</w:t>
            </w: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Snap! Mobile, Inc.</w:t>
            </w:r>
          </w:p>
        </w:tc>
        <w:tc>
          <w:tcPr>
            <w:tcW w:w="10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SOFR+7.50%, 12.10% floor, 3.83% ETP</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9/30/2024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9/30/2028</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18,000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17,511</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17,511</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(12)</w:t>
            </w: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VTX Intermediate Holdings, Inc.</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SOFR+7.00%, 8.00% floor, 1.00% PIK,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12/12/2024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9/24/2029</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35,000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34,664</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34,244</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7"/>
              </w:rPr>
              <w:t>(11)</w:t>
            </w: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(dba VertexOne)</w:t>
            </w:r>
          </w:p>
        </w:tc>
        <w:tc>
          <w:tcPr>
            <w:tcW w:w="1080" w:type="dxa"/>
            <w:vAlign w:val="bottom"/>
            <w:shd w:val="clear" w:color="auto" w:fill="CFF0FC"/>
          </w:tcPr>
          <w:p>
            <w:pPr>
              <w:spacing w:after="0"/>
              <w:rPr>
                <w:sz w:val="11"/>
                <w:szCs w:val="11"/>
                <w:color w:val="auto"/>
              </w:rPr>
            </w:pP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3.00% ETP</w:t>
            </w: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Second Lien</w:t>
            </w: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FIXED 12.50% PIK, 31.05% ETP</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12/12/2024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9/24/2029</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5,749</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5,749</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(11)</w:t>
            </w:r>
          </w:p>
        </w:tc>
        <w:tc>
          <w:tcPr>
            <w:tcW w:w="460" w:type="dxa"/>
            <w:vAlign w:val="bottom"/>
          </w:tcPr>
          <w:p>
            <w:pPr>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- 44.64%*</w:t>
            </w:r>
          </w:p>
        </w:tc>
        <w:tc>
          <w:tcPr>
            <w:tcW w:w="18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237,196</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229,817</w:t>
            </w: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2940" w:type="dxa"/>
            <w:vAlign w:val="bottom"/>
            <w:gridSpan w:val="2"/>
          </w:tcPr>
          <w:p>
            <w:pPr>
              <w:spacing w:after="0"/>
              <w:rPr>
                <w:sz w:val="11"/>
                <w:szCs w:val="11"/>
                <w:color w:val="auto"/>
              </w:rPr>
            </w:pPr>
          </w:p>
        </w:tc>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Data Processing &amp; Outsourced Services</w:t>
            </w:r>
          </w:p>
        </w:tc>
        <w:tc>
          <w:tcPr>
            <w:tcW w:w="18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Elevate Services, Inc.</w:t>
            </w:r>
          </w:p>
        </w:tc>
        <w:tc>
          <w:tcPr>
            <w:tcW w:w="10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SOFR+7.50%, 12.78% floor</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7/10/2023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7/10/2027</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26,000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25,316</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26,274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(12)</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Hurricane Cleanco Limited</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FIXED 6.25%, 6.25% PIK</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12/31/2024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11/22/2029</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26,643</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26,692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26,643</w:t>
            </w:r>
          </w:p>
        </w:tc>
        <w:tc>
          <w:tcPr>
            <w:tcW w:w="9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(5) (9) (10) (22)</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Interactions Corporation</w:t>
            </w:r>
          </w:p>
        </w:tc>
        <w:tc>
          <w:tcPr>
            <w:tcW w:w="108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SOFR+9.26%, 9.76% floor, 3.9375%</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6/24/2022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6/15/2027</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40,000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40,347</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40,238</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7"/>
              </w:rPr>
              <w:t>(12)</w:t>
            </w:r>
          </w:p>
        </w:tc>
        <w:tc>
          <w:tcPr>
            <w:tcW w:w="460" w:type="dxa"/>
            <w:vAlign w:val="bottom"/>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Vesta Payment Solutions, Inc.</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SOFR+7.00%, 9.00% floor, 5.00% ETP</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11/29/2022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11/15/2026</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25,000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25,465</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21,747</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w w:val="97"/>
              </w:rPr>
              <w:t>Total Data Processing &amp; Outsourced Services - 22.32%*</w:t>
            </w:r>
          </w:p>
        </w:tc>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117,820</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114,902</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2940" w:type="dxa"/>
            <w:vAlign w:val="bottom"/>
            <w:gridSpan w:val="2"/>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Electronic Equipment &amp; Instruments</w:t>
            </w:r>
          </w:p>
        </w:tc>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Brivo, Inc.</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SOFR+7.25%, 11.29% floor, 2.53% ETP</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12/27/2024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12/15/2029</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40,000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39,708</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39,708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7"/>
              </w:rPr>
              <w:t>(12)</w:t>
            </w:r>
          </w:p>
        </w:tc>
        <w:tc>
          <w:tcPr>
            <w:tcW w:w="460" w:type="dxa"/>
            <w:vAlign w:val="bottom"/>
            <w:shd w:val="clear" w:color="auto" w:fill="CFF0FC"/>
          </w:tcPr>
          <w:p>
            <w:pPr>
              <w:spacing w:after="0"/>
              <w:rPr>
                <w:sz w:val="11"/>
                <w:szCs w:val="11"/>
                <w:color w:val="auto"/>
              </w:rPr>
            </w:pPr>
          </w:p>
        </w:tc>
      </w:tr>
      <w:tr>
        <w:trPr>
          <w:trHeight w:val="132"/>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Electronic Equipment &amp; Instruments - 7.71%*</w:t>
            </w:r>
          </w:p>
        </w:tc>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39,708</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39,708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Equipment</w:t>
            </w:r>
          </w:p>
        </w:tc>
        <w:tc>
          <w:tcPr>
            <w:tcW w:w="10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Moximed, Inc.</w:t>
            </w:r>
          </w:p>
        </w:tc>
        <w:tc>
          <w:tcPr>
            <w:tcW w:w="1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PRIME+5.25%, 8.75% floor, 3.50%</w:t>
            </w:r>
          </w:p>
        </w:tc>
        <w:tc>
          <w:tcPr>
            <w:tcW w:w="94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8"/>
              </w:rPr>
              <w:t>6/24/2022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7/1/2027</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15,000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15,078</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15,358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7"/>
              </w:rPr>
              <w:t>(12)</w:t>
            </w:r>
          </w:p>
        </w:tc>
        <w:tc>
          <w:tcPr>
            <w:tcW w:w="460" w:type="dxa"/>
            <w:vAlign w:val="bottom"/>
            <w:shd w:val="clear" w:color="auto" w:fill="CFF0FC"/>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ETP</w:t>
            </w: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r>
      <w:tr>
        <w:trPr>
          <w:trHeight w:val="142"/>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Equipment - 2.98%*</w:t>
            </w:r>
          </w:p>
        </w:tc>
        <w:tc>
          <w:tcPr>
            <w:tcW w:w="1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15,078</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15,358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4" w:name="page85"/>
    <w:bookmarkEnd w:id="8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40" w:type="dxa"/>
            <w:vAlign w:val="bottom"/>
          </w:tcPr>
          <w:p>
            <w:pPr>
              <w:spacing w:after="0"/>
              <w:rPr>
                <w:sz w:val="11"/>
                <w:szCs w:val="11"/>
                <w:color w:val="auto"/>
              </w:rPr>
            </w:pP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Principal ($)</w:t>
            </w:r>
          </w:p>
        </w:tc>
        <w:tc>
          <w:tcPr>
            <w:tcW w:w="1040" w:type="dxa"/>
            <w:vAlign w:val="bottom"/>
          </w:tcPr>
          <w:p>
            <w:pPr>
              <w:spacing w:after="0"/>
              <w:rPr>
                <w:sz w:val="11"/>
                <w:szCs w:val="11"/>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4"/>
        </w:trPr>
        <w:tc>
          <w:tcPr>
            <w:tcW w:w="1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0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940" w:type="dxa"/>
            <w:vAlign w:val="bottom"/>
          </w:tcPr>
          <w:p>
            <w:pPr>
              <w:ind w:left="580"/>
              <w:spacing w:after="0" w:line="144" w:lineRule="exact"/>
              <w:rPr>
                <w:sz w:val="20"/>
                <w:szCs w:val="20"/>
                <w:color w:val="auto"/>
              </w:rPr>
            </w:pPr>
            <w:r>
              <w:rPr>
                <w:rFonts w:ascii="Times New Roman" w:cs="Times New Roman" w:eastAsia="Times New Roman" w:hAnsi="Times New Roman"/>
                <w:sz w:val="11"/>
                <w:szCs w:val="11"/>
                <w:b w:val="1"/>
                <w:bCs w:val="1"/>
                <w:color w:val="auto"/>
              </w:rPr>
              <w:t>Description</w:t>
            </w:r>
            <w:r>
              <w:rPr>
                <w:rFonts w:ascii="Times New Roman" w:cs="Times New Roman" w:eastAsia="Times New Roman" w:hAnsi="Times New Roman"/>
                <w:sz w:val="14"/>
                <w:szCs w:val="14"/>
                <w:b w:val="1"/>
                <w:bCs w:val="1"/>
                <w:color w:val="auto"/>
                <w:vertAlign w:val="superscript"/>
              </w:rPr>
              <w:t>(1)(2)(4)</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1060" w:type="dxa"/>
            <w:vAlign w:val="bottom"/>
          </w:tcPr>
          <w:p>
            <w:pPr>
              <w:jc w:val="right"/>
              <w:ind w:right="26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2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9"/>
              </w:rPr>
              <w:t>Non-Control/Non-Affiliate Investments</w:t>
            </w: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10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EBR Systems, Inc.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PRIME+4.90%, 8.90% floor, 4.50%</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6/30/2022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6/15/2027</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40,000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40,037</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40,511</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 (16)</w:t>
            </w: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Mingle Healthcare Solutions, Inc.</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SOFR+9.75%, 12.26% floor, 10.50%</w:t>
            </w:r>
          </w:p>
        </w:tc>
        <w:tc>
          <w:tcPr>
            <w:tcW w:w="94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8"/>
              </w:rPr>
              <w:t>8/15/2018</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12/15/2026</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4,322</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4,952</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2,148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(27)</w:t>
            </w:r>
          </w:p>
        </w:tc>
      </w:tr>
      <w:tr>
        <w:trPr>
          <w:trHeight w:val="132"/>
        </w:trPr>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ETP</w:t>
            </w: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Nalu Medical, Inc.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PRIME+2.70%, 6.70% floor, 2.00%</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10/12/2022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10/12/2027</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20,902</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21,047</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21,431</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(11) (12)</w:t>
            </w: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PIK, 4.50% 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Onward Medical, N.V.</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SOFR+6.50%, 10.75% floor, 2.50% ETP</w:t>
            </w:r>
          </w:p>
        </w:tc>
        <w:tc>
          <w:tcPr>
            <w:tcW w:w="94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8"/>
              </w:rPr>
              <w:t>6/28/2024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6/15/2028</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17,088</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16,682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16,786</w:t>
            </w:r>
          </w:p>
        </w:tc>
        <w:tc>
          <w:tcPr>
            <w:tcW w:w="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(8) (9) (11) (12)</w:t>
            </w:r>
          </w:p>
        </w:tc>
      </w:tr>
      <w:tr>
        <w:trPr>
          <w:trHeight w:val="132"/>
        </w:trPr>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(17)</w:t>
            </w: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Route 92 Medical, Inc.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SOFR+8.48%, 8.98% floor, 3.95% ETP</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8/17/2021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7/1/2026</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35,000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34,983</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35,682</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SetPoint Medical Corporation</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SOFR+5.75%, 9.00% floor, 4.00% ETP</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12/29/2022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12/1/2027</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25,000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25,236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25,817</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Technology - 27.65%*</w:t>
            </w: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142,937</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142,375</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Human Resource &amp; Employment Services</w:t>
            </w: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JobGet Holdings, Inc. (fka</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SOFR+8.50% PIK, 9.00% floor</w:t>
            </w:r>
          </w:p>
        </w:tc>
        <w:tc>
          <w:tcPr>
            <w:tcW w:w="94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8"/>
              </w:rPr>
              <w:t>9/29/2021</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11/15/2025</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3,732</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3,774</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3,431</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(27)</w:t>
            </w: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Snagajob, Inc.)</w:t>
            </w: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482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Total Human Resource &amp; Employment Services - 0.67%*</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3,774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3,431</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Internet &amp; Direct Marketing Retail</w:t>
            </w: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Madison Reed, Inc.</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PRIME+4.75%, 11.00% floor, 11.00%</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12/16/2022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12/16/2026</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16,234</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16,235</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16,383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(11) (12)</w:t>
            </w:r>
          </w:p>
        </w:tc>
      </w:tr>
      <w:tr>
        <w:trPr>
          <w:trHeight w:val="132"/>
        </w:trPr>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cash cap, 3.00% ETP</w:t>
            </w: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Marley Spoon SE</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SOFR+8.50% PIK, 9.26% floor, 1.00%</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6/30/2021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6/15/2027</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38,809</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38,807</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34,120</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(6) (9) (10) (11)</w:t>
            </w: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(18)</w:t>
            </w: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Internet &amp; Direct Marketing Retail - 9.81%*</w:t>
            </w: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55,042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50,503</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Internet Software and Services</w:t>
            </w: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Bombora, Inc.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SOFR+4.75%, 6.75% floor, 3.25% PIK,</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12/26/2023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1/15/2028</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28,911</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28,876</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29,058</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(11) (12)</w:t>
            </w: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0.96% 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CarNow, Inc.</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SOFR+7.25%, 11.75% floor, 1.60% ETP</w:t>
            </w:r>
          </w:p>
        </w:tc>
        <w:tc>
          <w:tcPr>
            <w:tcW w:w="94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8"/>
              </w:rPr>
              <w:t>3/22/2024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3/22/2029</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20,000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17,791</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17,658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Skillshare, Inc.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SOFR+6.50%, 10.72% floor, 3.00% ETP</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11/8/2022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11/8/2026</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27,600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27,875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27,555</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Synack, Inc.</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SOFR+7.00%, 11.07% floor, 1.00% ETP</w:t>
            </w: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12/29/2023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12/29/2028</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42,500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42,331</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42,520</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Zinnia Corporate Holdings, LLC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SOFR+8.00%, 10.00% floor</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9/23/2024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9/21/2029</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40,000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39,244</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39,244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(12)</w:t>
            </w: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Internet Software and Services - 30.31%*</w:t>
            </w: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156,117</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156,035</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Property &amp; Casualty Insurance</w:t>
            </w:r>
          </w:p>
        </w:tc>
        <w:tc>
          <w:tcPr>
            <w:tcW w:w="100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62"/>
        </w:trPr>
        <w:tc>
          <w:tcPr>
            <w:tcW w:w="1880" w:type="dxa"/>
            <w:vAlign w:val="bottom"/>
            <w:shd w:val="clear" w:color="auto" w:fill="CFF0FC"/>
          </w:tcPr>
          <w:p>
            <w:pPr>
              <w:spacing w:after="0"/>
              <w:rPr>
                <w:sz w:val="5"/>
                <w:szCs w:val="5"/>
                <w:color w:val="auto"/>
              </w:rPr>
            </w:pPr>
          </w:p>
        </w:tc>
        <w:tc>
          <w:tcPr>
            <w:tcW w:w="1000" w:type="dxa"/>
            <w:vAlign w:val="bottom"/>
            <w:shd w:val="clear" w:color="auto" w:fill="CFF0FC"/>
          </w:tcPr>
          <w:p>
            <w:pPr>
              <w:spacing w:after="0"/>
              <w:rPr>
                <w:sz w:val="5"/>
                <w:szCs w:val="5"/>
                <w:color w:val="auto"/>
              </w:rPr>
            </w:pPr>
          </w:p>
        </w:tc>
        <w:tc>
          <w:tcPr>
            <w:tcW w:w="1940" w:type="dxa"/>
            <w:vAlign w:val="bottom"/>
            <w:shd w:val="clear" w:color="auto" w:fill="CFF0FC"/>
          </w:tcPr>
          <w:p>
            <w:pPr>
              <w:spacing w:after="0"/>
              <w:rPr>
                <w:sz w:val="5"/>
                <w:szCs w:val="5"/>
                <w:color w:val="auto"/>
              </w:rPr>
            </w:pPr>
          </w:p>
        </w:tc>
        <w:tc>
          <w:tcPr>
            <w:tcW w:w="940" w:type="dxa"/>
            <w:vAlign w:val="bottom"/>
            <w:shd w:val="clear" w:color="auto" w:fill="CFF0FC"/>
          </w:tcPr>
          <w:p>
            <w:pPr>
              <w:spacing w:after="0"/>
              <w:rPr>
                <w:sz w:val="5"/>
                <w:szCs w:val="5"/>
                <w:color w:val="auto"/>
              </w:rPr>
            </w:pPr>
          </w:p>
        </w:tc>
        <w:tc>
          <w:tcPr>
            <w:tcW w:w="840" w:type="dxa"/>
            <w:vAlign w:val="bottom"/>
            <w:shd w:val="clear" w:color="auto" w:fill="CFF0FC"/>
          </w:tcPr>
          <w:p>
            <w:pPr>
              <w:spacing w:after="0"/>
              <w:rPr>
                <w:sz w:val="5"/>
                <w:szCs w:val="5"/>
                <w:color w:val="auto"/>
              </w:rPr>
            </w:pPr>
          </w:p>
        </w:tc>
        <w:tc>
          <w:tcPr>
            <w:tcW w:w="900" w:type="dxa"/>
            <w:vAlign w:val="bottom"/>
            <w:shd w:val="clear" w:color="auto" w:fill="CFF0FC"/>
          </w:tcPr>
          <w:p>
            <w:pPr>
              <w:spacing w:after="0"/>
              <w:rPr>
                <w:sz w:val="5"/>
                <w:szCs w:val="5"/>
                <w:color w:val="auto"/>
              </w:rPr>
            </w:pPr>
          </w:p>
        </w:tc>
        <w:tc>
          <w:tcPr>
            <w:tcW w:w="104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28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Kin Insurance, Inc.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PRIME+6.25%, 12.50% floor, 3.30%</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9/26/2022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9/15/2026</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75,000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75,912</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76,626</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Property &amp; Casualty Insurance - 14.88%*</w:t>
            </w: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75,912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76,626</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System Software</w:t>
            </w: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3PL Central LLC (dba Extensiv)</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SOFR+4.50%, 6.50% floor, 2.50% PIK,</w:t>
            </w:r>
          </w:p>
        </w:tc>
        <w:tc>
          <w:tcPr>
            <w:tcW w:w="94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8"/>
              </w:rPr>
              <w:t>11/9/2022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11/9/2027</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72,205</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72,307</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69,262</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(10)</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(11) (12)</w:t>
            </w: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2.34% 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Linxup, LLC</w:t>
            </w:r>
          </w:p>
        </w:tc>
        <w:tc>
          <w:tcPr>
            <w:tcW w:w="1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Senior Secured</w:t>
            </w: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PRIME+3.25%, 11.75% floor, 2.25%</w:t>
            </w:r>
          </w:p>
        </w:tc>
        <w:tc>
          <w:tcPr>
            <w:tcW w:w="94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8"/>
              </w:rPr>
              <w:t>11/3/2023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11/15/2027</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30,000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29,779</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30,607</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(11)</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ETP</w:t>
            </w: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Dejero Labs Inc.</w:t>
            </w:r>
          </w:p>
        </w:tc>
        <w:tc>
          <w:tcPr>
            <w:tcW w:w="10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Second Lien</w:t>
            </w: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SOFR+8.00%, 8.50% floor, 2.00% PIK,</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12/22/2021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12/22/2025</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14,463</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14,696</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14,403</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(7) (9) (10) (11)</w:t>
            </w: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3.00% ETP</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(12)</w:t>
            </w: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w w:val="96"/>
              </w:rPr>
              <w:t>Total System Software - 22.19%*</w:t>
            </w: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116,782</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114,272</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Total Debt Investments - 183.16%*</w:t>
            </w:r>
          </w:p>
        </w:tc>
        <w:tc>
          <w:tcPr>
            <w:tcW w:w="1000" w:type="dxa"/>
            <w:vAlign w:val="bottom"/>
            <w:shd w:val="clear" w:color="auto" w:fill="CFF0FC"/>
          </w:tcPr>
          <w:p>
            <w:pPr>
              <w:spacing w:after="0"/>
              <w:rPr>
                <w:sz w:val="11"/>
                <w:szCs w:val="11"/>
                <w:color w:val="auto"/>
              </w:rPr>
            </w:pPr>
          </w:p>
        </w:tc>
        <w:tc>
          <w:tcPr>
            <w:tcW w:w="19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960,366</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943,027</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5" w:name="page86"/>
    <w:bookmarkEnd w:id="8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40" w:type="dxa"/>
            <w:vAlign w:val="bottom"/>
          </w:tcPr>
          <w:p>
            <w:pPr>
              <w:spacing w:after="0"/>
              <w:rPr>
                <w:sz w:val="11"/>
                <w:szCs w:val="11"/>
                <w:color w:val="auto"/>
              </w:rPr>
            </w:pP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Principal ($)</w:t>
            </w:r>
          </w:p>
        </w:tc>
        <w:tc>
          <w:tcPr>
            <w:tcW w:w="1040" w:type="dxa"/>
            <w:vAlign w:val="bottom"/>
          </w:tcPr>
          <w:p>
            <w:pPr>
              <w:spacing w:after="0"/>
              <w:rPr>
                <w:sz w:val="11"/>
                <w:szCs w:val="11"/>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4"/>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80" w:type="dxa"/>
            <w:vAlign w:val="bottom"/>
          </w:tcPr>
          <w:p>
            <w:pPr>
              <w:ind w:left="580"/>
              <w:spacing w:after="0" w:line="144" w:lineRule="exact"/>
              <w:rPr>
                <w:sz w:val="20"/>
                <w:szCs w:val="20"/>
                <w:color w:val="auto"/>
              </w:rPr>
            </w:pPr>
            <w:r>
              <w:rPr>
                <w:rFonts w:ascii="Times New Roman" w:cs="Times New Roman" w:eastAsia="Times New Roman" w:hAnsi="Times New Roman"/>
                <w:sz w:val="11"/>
                <w:szCs w:val="11"/>
                <w:b w:val="1"/>
                <w:bCs w:val="1"/>
                <w:color w:val="auto"/>
              </w:rPr>
              <w:t>Description</w:t>
            </w:r>
            <w:r>
              <w:rPr>
                <w:rFonts w:ascii="Times New Roman" w:cs="Times New Roman" w:eastAsia="Times New Roman" w:hAnsi="Times New Roman"/>
                <w:sz w:val="14"/>
                <w:szCs w:val="14"/>
                <w:b w:val="1"/>
                <w:bCs w:val="1"/>
                <w:color w:val="auto"/>
                <w:vertAlign w:val="superscript"/>
              </w:rPr>
              <w:t>(1)(2)(4)</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Maturity Date</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1060" w:type="dxa"/>
            <w:vAlign w:val="bottom"/>
          </w:tcPr>
          <w:p>
            <w:pPr>
              <w:jc w:val="right"/>
              <w:ind w:right="26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2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Non-Control/Non-Affiliate Investments</w:t>
            </w: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Equity Investments</w:t>
            </w:r>
          </w:p>
        </w:tc>
        <w:tc>
          <w:tcPr>
            <w:tcW w:w="1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Advertising</w:t>
            </w: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Minute Media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Preferred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12/13/2023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1,039</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120</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136</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(5) (9) (13)</w:t>
            </w: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12/13/2023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136</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16</w:t>
            </w:r>
          </w:p>
        </w:tc>
        <w:tc>
          <w:tcPr>
            <w:tcW w:w="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(5) (9) (13)</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Advertising - 0.03%*</w:t>
            </w:r>
          </w:p>
        </w:tc>
        <w:tc>
          <w:tcPr>
            <w:tcW w:w="1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136</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152</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1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Aria Systems,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G Preferred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7/10/2018</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289,419</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250</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263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FiscalNote,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10/19/2020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230,881</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438</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247</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(14) (19)</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VTX Holdings, LLC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C Preferred Units</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12/12/2024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3,015,219</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143</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143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4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- 0.13%*</w:t>
            </w:r>
          </w:p>
        </w:tc>
        <w:tc>
          <w:tcPr>
            <w:tcW w:w="1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831</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653</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74"/>
        </w:trPr>
        <w:tc>
          <w:tcPr>
            <w:tcW w:w="1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1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CareCloud,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11% Series A Cumulative Redeemable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1/8/2020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462,064</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12,132</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9,181</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(15)</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(19)</w:t>
            </w: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Perpetual Preferred Stock</w:t>
            </w: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Technology - 1.78%*</w:t>
            </w: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12,132</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9,181</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Human Resource &amp; Employment Services</w:t>
            </w: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JobGet Holdings, Inc. (fka</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C-1 Preferred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11/15/2024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389,048</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36,502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35,563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(29)</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Snagajob, Inc.)</w:t>
            </w: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C-2 Preferred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11/15/2024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16,963</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(29)</w:t>
            </w:r>
          </w:p>
        </w:tc>
      </w:tr>
      <w:tr>
        <w:trPr>
          <w:trHeight w:val="132"/>
        </w:trPr>
        <w:tc>
          <w:tcPr>
            <w:tcW w:w="47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Human Resource &amp; Employment Services - 6.91%*</w:t>
            </w: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36,502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35,563</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Internet &amp; Direct Marketing Retail</w:t>
            </w: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Marley Spoon SE</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7/7/2023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46,004</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410</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(6) (9) (13) (18)</w:t>
            </w:r>
          </w:p>
        </w:tc>
      </w:tr>
      <w:tr>
        <w:trPr>
          <w:trHeight w:val="132"/>
        </w:trPr>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(19)</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(22)</w:t>
            </w: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Internet &amp; Direct Marketing Retail - 0.01%*</w:t>
            </w: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410</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Technology Hardware, Storage &amp; Peripherals</w:t>
            </w: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Quantum Corporation</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8/13/2021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22,986</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2,607</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1,239</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(9) (13) (15) (19)</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zSpace,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12/31/2020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81,046</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1,119</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1,288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Total Technology Hardware, Storage &amp; Peripherals - 0.49%*</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3,726</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2,527</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Equity Investments - 9.35%*</w:t>
            </w:r>
          </w:p>
        </w:tc>
        <w:tc>
          <w:tcPr>
            <w:tcW w:w="1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53,737</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48,119</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1020" w:type="dxa"/>
            <w:vAlign w:val="bottom"/>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3DNA Corp. (dba NationBuilder)</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C-1 Preferred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12/28/2018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12/28/2028</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273,164</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104</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Airship Group,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F Preferred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6/28/2024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6/28/2034</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519,313</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414</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499</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Aria Systems,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G Preferred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6/29/2018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6/29/2028</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2,387,705</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1,048</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1,159</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Blueshift Labs,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Success fee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12/19/2023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167</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188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Circadence Corporation</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A-6 Preferred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12/20/2018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12/20/2028</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1,538,462</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3,630</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298</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A-6 Preferred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10/31/2019</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10/31/2029</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384,615</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846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54</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Success fee</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12/21/2023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304</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FiscalNote,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Earnout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7/29/2022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7/29/2027</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127</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(14) (21)</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Piano Software,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D Preferred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12/31/2034</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119,978</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348</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348</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60"/>
        </w:trPr>
        <w:tc>
          <w:tcPr>
            <w:tcW w:w="18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Snap! Mobile, Inc.</w:t>
            </w:r>
          </w:p>
        </w:tc>
        <w:tc>
          <w:tcPr>
            <w:tcW w:w="10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9/30/2024</w:t>
            </w:r>
          </w:p>
        </w:tc>
        <w:tc>
          <w:tcPr>
            <w:tcW w:w="8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9/30/2034</w:t>
            </w:r>
          </w:p>
        </w:tc>
        <w:tc>
          <w:tcPr>
            <w:tcW w:w="900" w:type="dxa"/>
            <w:vAlign w:val="bottom"/>
            <w:tcBorders>
              <w:bottom w:val="single" w:sz="8" w:color="CFF0FC"/>
            </w:tcBorders>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19,140</w:t>
            </w:r>
          </w:p>
        </w:tc>
        <w:tc>
          <w:tcPr>
            <w:tcW w:w="1040" w:type="dxa"/>
            <w:vAlign w:val="bottom"/>
            <w:tcBorders>
              <w:bottom w:val="single" w:sz="8" w:color="CFF0FC"/>
            </w:tcBorders>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345</w:t>
            </w:r>
          </w:p>
        </w:tc>
        <w:tc>
          <w:tcPr>
            <w:tcW w:w="1060" w:type="dxa"/>
            <w:vAlign w:val="bottom"/>
            <w:tcBorders>
              <w:bottom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394</w:t>
            </w:r>
          </w:p>
        </w:tc>
        <w:tc>
          <w:tcPr>
            <w:tcW w:w="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Borders>
              <w:bottom w:val="single" w:sz="8" w:color="CFF0FC"/>
            </w:tcBorders>
            <w:shd w:val="clear" w:color="auto" w:fill="CFF0FC"/>
          </w:tcPr>
          <w:p>
            <w:pPr>
              <w:spacing w:after="0"/>
              <w:rPr>
                <w:sz w:val="13"/>
                <w:szCs w:val="13"/>
                <w:color w:val="auto"/>
              </w:rPr>
            </w:pP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- 0.58%*</w:t>
            </w: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7,333</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2,961</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spacing w:after="0"/>
              <w:rPr>
                <w:sz w:val="11"/>
                <w:szCs w:val="11"/>
                <w:color w:val="auto"/>
              </w:rPr>
            </w:pP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Asset Management &amp; Custody Banks</w:t>
            </w:r>
          </w:p>
        </w:tc>
        <w:tc>
          <w:tcPr>
            <w:tcW w:w="1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Betterment Holdings,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10/6/2023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10/6/2033</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7,680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35</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64</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10/6/2023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10/6/2033</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9,818</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40</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Asset Management &amp; Custody Banks - 0.03%*</w:t>
            </w:r>
          </w:p>
        </w:tc>
        <w:tc>
          <w:tcPr>
            <w:tcW w:w="18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75</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138</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6" w:name="page87"/>
    <w:bookmarkEnd w:id="8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40" w:type="dxa"/>
            <w:vAlign w:val="bottom"/>
          </w:tcPr>
          <w:p>
            <w:pPr>
              <w:spacing w:after="0"/>
              <w:rPr>
                <w:sz w:val="11"/>
                <w:szCs w:val="11"/>
                <w:color w:val="auto"/>
              </w:rPr>
            </w:pP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Principal ($)</w:t>
            </w:r>
          </w:p>
        </w:tc>
        <w:tc>
          <w:tcPr>
            <w:tcW w:w="1040" w:type="dxa"/>
            <w:vAlign w:val="bottom"/>
          </w:tcPr>
          <w:p>
            <w:pPr>
              <w:spacing w:after="0"/>
              <w:rPr>
                <w:sz w:val="11"/>
                <w:szCs w:val="11"/>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Fair</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44"/>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640" w:type="dxa"/>
            <w:vAlign w:val="bottom"/>
          </w:tcPr>
          <w:p>
            <w:pPr>
              <w:ind w:left="540"/>
              <w:spacing w:after="0" w:line="144" w:lineRule="exact"/>
              <w:rPr>
                <w:sz w:val="20"/>
                <w:szCs w:val="20"/>
                <w:color w:val="auto"/>
              </w:rPr>
            </w:pPr>
            <w:r>
              <w:rPr>
                <w:rFonts w:ascii="Times New Roman" w:cs="Times New Roman" w:eastAsia="Times New Roman" w:hAnsi="Times New Roman"/>
                <w:sz w:val="11"/>
                <w:szCs w:val="11"/>
                <w:b w:val="1"/>
                <w:bCs w:val="1"/>
                <w:color w:val="auto"/>
              </w:rPr>
              <w:t>Description</w:t>
            </w:r>
            <w:r>
              <w:rPr>
                <w:rFonts w:ascii="Times New Roman" w:cs="Times New Roman" w:eastAsia="Times New Roman" w:hAnsi="Times New Roman"/>
                <w:sz w:val="14"/>
                <w:szCs w:val="14"/>
                <w:b w:val="1"/>
                <w:bCs w:val="1"/>
                <w:color w:val="auto"/>
                <w:vertAlign w:val="superscript"/>
              </w:rPr>
              <w:t>(1)(2)(4)</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1060" w:type="dxa"/>
            <w:vAlign w:val="bottom"/>
          </w:tcPr>
          <w:p>
            <w:pPr>
              <w:jc w:val="right"/>
              <w:ind w:right="26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280" w:type="dxa"/>
            <w:vAlign w:val="bottom"/>
          </w:tcPr>
          <w:p>
            <w:pPr>
              <w:spacing w:after="0"/>
              <w:rPr>
                <w:sz w:val="12"/>
                <w:szCs w:val="12"/>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Non-Control/Non-Affiliate Investments</w:t>
            </w:r>
          </w:p>
        </w:tc>
        <w:tc>
          <w:tcPr>
            <w:tcW w:w="106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Biotechnology</w:t>
            </w:r>
          </w:p>
        </w:tc>
        <w:tc>
          <w:tcPr>
            <w:tcW w:w="106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Mustang Bio,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7"/>
              </w:rPr>
              <w:t>3/4/2022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3/4/2032</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49,869</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315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TRACON Pharmaceuticals,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7"/>
              </w:rPr>
              <w:t>9/2/2022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9/2/2032</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7,538</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226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Biotechnology - 0.00%*</w:t>
            </w: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541</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Computer &amp; Electronics Retail</w:t>
            </w: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Massdrop,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7/22/2019</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7/22/2029</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848,093</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183</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Computer &amp; Electronics Retail - 0.00%*</w:t>
            </w: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183</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920" w:type="dxa"/>
            <w:vAlign w:val="bottom"/>
            <w:gridSpan w:val="2"/>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Data Processing &amp; Outsourced Services</w:t>
            </w: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Elevate Services,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C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7/10/2023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7/10/2033</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248,997</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447</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398</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C Preferred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7/17/2024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7/17/2034</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74,700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118</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119</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Interactions Corporation</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6/24/2022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6/24/2032</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189,408</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219</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Predactiv, Inc. (fka Sharethis,</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D-3 Preferred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12/3/2018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12/3/2028</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647,615</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2,162</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90</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Inc.)</w:t>
            </w: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w w:val="98"/>
              </w:rPr>
              <w:t>Total Data Processing &amp; Outsourced Services - 0.12%*</w:t>
            </w: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2,946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620</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920" w:type="dxa"/>
            <w:vAlign w:val="bottom"/>
            <w:gridSpan w:val="2"/>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Electronic Equipment &amp; Instruments</w:t>
            </w: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Brivo,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A-2 Preferred Stock</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9"/>
              </w:rPr>
              <w:t>10/20/2022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10/20/2032</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201,000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98</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269</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A-2 Preferred Stock</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9"/>
              </w:rPr>
              <w:t>12/27/2024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12/27/2034</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32,109</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43</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Epic IO Technologies,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Success fee</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9"/>
              </w:rPr>
              <w:t>12/17/2021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12/17/2028</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505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2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Electronic Equipment &amp; Instruments - 0.13%*</w:t>
            </w: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646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646</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Equipment</w:t>
            </w:r>
          </w:p>
        </w:tc>
        <w:tc>
          <w:tcPr>
            <w:tcW w:w="106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Moximed,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C Preferred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6/24/2022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6/24/2032</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214,285</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175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2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Equipment - 0.00%*</w:t>
            </w: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175</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24</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106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Allurion Technologies,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3/30/2021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3/30/2031</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132,979</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282</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(14) (28)</w:t>
            </w: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6/14/2022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3/30/2031</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46,256</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141</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(14) (28)</w:t>
            </w:r>
          </w:p>
        </w:tc>
      </w:tr>
      <w:tr>
        <w:trPr>
          <w:trHeight w:val="132"/>
        </w:trPr>
        <w:tc>
          <w:tcPr>
            <w:tcW w:w="18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9/15/2022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9/15/2032</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46,256</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144</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(14) (28)</w:t>
            </w: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Earnout</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7"/>
              </w:rPr>
              <w:t>8/2/2023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8/1/2028</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(14) (21) (28)</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EBR Systems,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Success fee</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6/30/2022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6/30/2032</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605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617</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 (21)</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Mingle Healthcare Solutions,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CC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8/15/2018</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8/15/2028</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1,770,973</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492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Nalu Medical,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D-2 Preferred Stock</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9"/>
              </w:rPr>
              <w:t>10/12/2022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10/12/2032</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91,717</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173</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70</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Onward Medical, N.V.</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6/28/2024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9/26/2034</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165,338</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340</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417</w:t>
            </w:r>
          </w:p>
        </w:tc>
        <w:tc>
          <w:tcPr>
            <w:tcW w:w="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(8) (9) (13) (17)</w:t>
            </w: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(22)</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Route 92 Medical,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Success fee</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8/17/2021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8/17/2031</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835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784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SetPoint Medical Corporation</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6/29/2021</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6/29/2031</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400,000</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14</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223</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9"/>
              </w:rPr>
              <w:t>12/29/2022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12/29/2032</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600,000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74</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334</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VERO Biotech LLC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Success fee</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9"/>
              </w:rPr>
              <w:t>12/29/2020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12/29/2025</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377</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114</w:t>
            </w:r>
          </w:p>
        </w:tc>
        <w:tc>
          <w:tcPr>
            <w:tcW w:w="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(21)</w:t>
            </w: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Technology - 0.50%*</w:t>
            </w: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3,477</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2,560</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2920" w:type="dxa"/>
            <w:vAlign w:val="bottom"/>
            <w:gridSpan w:val="2"/>
            <w:shd w:val="clear" w:color="auto" w:fill="CFF0FC"/>
          </w:tcPr>
          <w:p>
            <w:pPr>
              <w:spacing w:after="0"/>
              <w:rPr>
                <w:sz w:val="11"/>
                <w:szCs w:val="11"/>
                <w:color w:val="auto"/>
              </w:rPr>
            </w:pPr>
          </w:p>
        </w:tc>
        <w:tc>
          <w:tcPr>
            <w:tcW w:w="16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Human Resource &amp; Employment Services</w:t>
            </w: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CloudPay,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6/30/2020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6/30/2030</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11,273</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218</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1,343</w:t>
            </w:r>
          </w:p>
        </w:tc>
        <w:tc>
          <w:tcPr>
            <w:tcW w:w="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(5) (9) (13)</w:t>
            </w:r>
          </w:p>
        </w:tc>
      </w:tr>
      <w:tr>
        <w:trPr>
          <w:trHeight w:val="132"/>
        </w:trPr>
        <w:tc>
          <w:tcPr>
            <w:tcW w:w="18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D Preferred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8/17/2021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8/17/2031</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3,502</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89</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(5) (9) (13)</w:t>
            </w: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D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9/26/2022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9/26/2032</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5,252</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176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134</w:t>
            </w:r>
          </w:p>
        </w:tc>
        <w:tc>
          <w:tcPr>
            <w:tcW w:w="9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(5) (9) (13)</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JobGet Holdings, Inc. (fka</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B-1 Preferred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9/29/2021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9/29/2031</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763,269</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343</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87"/>
              </w:rPr>
              <w:t>(13)</w:t>
            </w:r>
          </w:p>
        </w:tc>
        <w:tc>
          <w:tcPr>
            <w:tcW w:w="680" w:type="dxa"/>
            <w:vAlign w:val="bottom"/>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Snagajob, Inc.)</w:t>
            </w:r>
          </w:p>
        </w:tc>
        <w:tc>
          <w:tcPr>
            <w:tcW w:w="1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2"/>
        </w:trPr>
        <w:tc>
          <w:tcPr>
            <w:tcW w:w="456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Human Resource &amp; Employment Services - 0.30%*</w:t>
            </w: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789</w:t>
            </w:r>
          </w:p>
        </w:tc>
        <w:tc>
          <w:tcPr>
            <w:tcW w:w="10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1,566</w:t>
            </w:r>
          </w:p>
        </w:tc>
        <w:tc>
          <w:tcPr>
            <w:tcW w:w="2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7" w:name="page88"/>
    <w:bookmarkEnd w:id="8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tcPr>
          <w:p>
            <w:pPr>
              <w:ind w:left="7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40" w:type="dxa"/>
            <w:vAlign w:val="bottom"/>
          </w:tcPr>
          <w:p>
            <w:pPr>
              <w:spacing w:after="0"/>
              <w:rPr>
                <w:sz w:val="11"/>
                <w:szCs w:val="11"/>
                <w:color w:val="auto"/>
              </w:rPr>
            </w:pP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Principal ($)</w:t>
            </w:r>
          </w:p>
        </w:tc>
        <w:tc>
          <w:tcPr>
            <w:tcW w:w="1040" w:type="dxa"/>
            <w:vAlign w:val="bottom"/>
          </w:tcPr>
          <w:p>
            <w:pPr>
              <w:spacing w:after="0"/>
              <w:rPr>
                <w:sz w:val="11"/>
                <w:szCs w:val="11"/>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Fair</w:t>
            </w:r>
          </w:p>
        </w:tc>
        <w:tc>
          <w:tcPr>
            <w:tcW w:w="960" w:type="dxa"/>
            <w:vAlign w:val="bottom"/>
          </w:tcPr>
          <w:p>
            <w:pPr>
              <w:spacing w:after="0"/>
              <w:rPr>
                <w:sz w:val="11"/>
                <w:szCs w:val="11"/>
                <w:color w:val="auto"/>
              </w:rPr>
            </w:pPr>
          </w:p>
        </w:tc>
      </w:tr>
      <w:tr>
        <w:trPr>
          <w:trHeight w:val="144"/>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680" w:type="dxa"/>
            <w:vAlign w:val="bottom"/>
          </w:tcPr>
          <w:p>
            <w:pPr>
              <w:ind w:left="580"/>
              <w:spacing w:after="0" w:line="144" w:lineRule="exact"/>
              <w:rPr>
                <w:sz w:val="20"/>
                <w:szCs w:val="20"/>
                <w:color w:val="auto"/>
              </w:rPr>
            </w:pPr>
            <w:r>
              <w:rPr>
                <w:rFonts w:ascii="Times New Roman" w:cs="Times New Roman" w:eastAsia="Times New Roman" w:hAnsi="Times New Roman"/>
                <w:sz w:val="11"/>
                <w:szCs w:val="11"/>
                <w:b w:val="1"/>
                <w:bCs w:val="1"/>
                <w:color w:val="auto"/>
              </w:rPr>
              <w:t>Description</w:t>
            </w:r>
            <w:r>
              <w:rPr>
                <w:rFonts w:ascii="Times New Roman" w:cs="Times New Roman" w:eastAsia="Times New Roman" w:hAnsi="Times New Roman"/>
                <w:sz w:val="14"/>
                <w:szCs w:val="14"/>
                <w:b w:val="1"/>
                <w:bCs w:val="1"/>
                <w:color w:val="auto"/>
                <w:vertAlign w:val="superscript"/>
              </w:rPr>
              <w:t>(1)(2)(4)</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Maturity Date</w:t>
            </w:r>
          </w:p>
        </w:tc>
        <w:tc>
          <w:tcPr>
            <w:tcW w:w="9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 Shares</w:t>
            </w: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1060" w:type="dxa"/>
            <w:vAlign w:val="bottom"/>
          </w:tcPr>
          <w:p>
            <w:pPr>
              <w:jc w:val="right"/>
              <w:ind w:right="26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96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Non-Control/Non-Affiliate Investments</w:t>
            </w:r>
          </w:p>
        </w:tc>
        <w:tc>
          <w:tcPr>
            <w:tcW w:w="10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Internet &amp; Direct Marketing Retail</w:t>
            </w: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Madison Reed,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Success fee</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9"/>
              </w:rPr>
              <w:t>12/16/2022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209</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183</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 (21)</w:t>
            </w:r>
          </w:p>
        </w:tc>
      </w:tr>
      <w:tr>
        <w:trPr>
          <w:trHeight w:val="132"/>
        </w:trPr>
        <w:tc>
          <w:tcPr>
            <w:tcW w:w="28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Internet &amp; Direct Marketing Retail - 0.04%*</w:t>
            </w: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209</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183</w:t>
            </w: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Internet Software and Services</w:t>
            </w:r>
          </w:p>
        </w:tc>
        <w:tc>
          <w:tcPr>
            <w:tcW w:w="10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Bombora,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3/31/2021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3/31/2031</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121,581</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174</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9"/>
              </w:rPr>
              <w:t>12/26/2023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12/26/2033</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48,632</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43</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54</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CarNow,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3/22/2024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3/22/2034</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200,000</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2,400</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2,825</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Fidelis Cybersecurity,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3/25/2022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3/25/2032</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79</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 (20)</w:t>
            </w:r>
          </w:p>
        </w:tc>
      </w:tr>
      <w:tr>
        <w:trPr>
          <w:trHeight w:val="140"/>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INRIX,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7/26/2019</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7/26/2029</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150,804</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522</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344</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12"/>
        </w:trPr>
        <w:tc>
          <w:tcPr>
            <w:tcW w:w="1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JWP Holdco LLC (fka Longtail</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Units</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9"/>
              </w:rPr>
              <w:t>12/12/2019</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12/12/2029</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167,827</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47</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158</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Ad Solutions, Inc.)</w:t>
            </w:r>
          </w:p>
        </w:tc>
        <w:tc>
          <w:tcPr>
            <w:tcW w:w="10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Skillshare, Inc.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Success fee</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11/8/2022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301</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367</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 (21)</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Synack,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9"/>
              </w:rPr>
              <w:t>12/29/2023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6/30/2032</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124,215</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158</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186</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Internet Software and Services - 0.79%*</w:t>
            </w: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3,724</w:t>
            </w:r>
          </w:p>
        </w:tc>
        <w:tc>
          <w:tcPr>
            <w:tcW w:w="10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4,069</w:t>
            </w: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Property &amp; Casualty Insurance</w:t>
            </w: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Kin Insurance,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D-3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9/26/2022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9/26/2032</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62,364</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426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285</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Property &amp; Casualty Insurance - 0.06%*</w:t>
            </w: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426</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285</w:t>
            </w: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Specialized Consumer Services</w:t>
            </w: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AllClear ID,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8/31/2017</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8/31/2027</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523,893</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1,053</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9"/>
              </w:rPr>
              <w:t>10/17/2018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8/31/2027</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346,621</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697</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Credit Sesame,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66"/>
              <w:spacing w:after="0"/>
              <w:rPr>
                <w:sz w:val="20"/>
                <w:szCs w:val="20"/>
                <w:color w:val="auto"/>
              </w:rPr>
            </w:pPr>
            <w:r>
              <w:rPr>
                <w:rFonts w:ascii="Times New Roman" w:cs="Times New Roman" w:eastAsia="Times New Roman" w:hAnsi="Times New Roman"/>
                <w:sz w:val="11"/>
                <w:szCs w:val="11"/>
                <w:color w:val="auto"/>
                <w:w w:val="97"/>
              </w:rPr>
              <w:t>1/7/2020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1/7/2030</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191,601</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425</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365</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Specialized Consumer Services - 0.07%*</w:t>
            </w: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2,175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365</w:t>
            </w: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System Software</w:t>
            </w: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Dejero Labs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5/31/2019</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5/31/2029</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333,621</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192</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177</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(7) (9) (13)</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Linxup, LLC</w:t>
            </w: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Success fee</w:t>
            </w:r>
          </w:p>
        </w:tc>
        <w:tc>
          <w:tcPr>
            <w:tcW w:w="1200" w:type="dxa"/>
            <w:vAlign w:val="bottom"/>
          </w:tcPr>
          <w:p>
            <w:pPr>
              <w:jc w:val="center"/>
              <w:ind w:left="146"/>
              <w:spacing w:after="0"/>
              <w:rPr>
                <w:sz w:val="20"/>
                <w:szCs w:val="20"/>
                <w:color w:val="auto"/>
              </w:rPr>
            </w:pPr>
            <w:r>
              <w:rPr>
                <w:rFonts w:ascii="Times New Roman" w:cs="Times New Roman" w:eastAsia="Times New Roman" w:hAnsi="Times New Roman"/>
                <w:sz w:val="11"/>
                <w:szCs w:val="11"/>
                <w:color w:val="auto"/>
                <w:w w:val="98"/>
              </w:rPr>
              <w:t>11/3/2023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11/3/2033</w:t>
            </w:r>
          </w:p>
        </w:tc>
        <w:tc>
          <w:tcPr>
            <w:tcW w:w="9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253</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201</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 (21)</w:t>
            </w: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Scale Computing,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Common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3/29/2019</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3/29/2029</w:t>
            </w:r>
          </w:p>
        </w:tc>
        <w:tc>
          <w:tcPr>
            <w:tcW w:w="900" w:type="dxa"/>
            <w:vAlign w:val="bottom"/>
            <w:shd w:val="clear" w:color="auto" w:fill="CFF0FC"/>
          </w:tcPr>
          <w:p>
            <w:pPr>
              <w:jc w:val="right"/>
              <w:ind w:right="186"/>
              <w:spacing w:after="0"/>
              <w:rPr>
                <w:sz w:val="20"/>
                <w:szCs w:val="20"/>
                <w:color w:val="auto"/>
              </w:rPr>
            </w:pPr>
            <w:r>
              <w:rPr>
                <w:rFonts w:ascii="Times New Roman" w:cs="Times New Roman" w:eastAsia="Times New Roman" w:hAnsi="Times New Roman"/>
                <w:sz w:val="11"/>
                <w:szCs w:val="11"/>
                <w:color w:val="auto"/>
              </w:rPr>
              <w:t>9,665,667</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346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w w:val="99"/>
              </w:rPr>
              <w:t>Total System Software - 0.07%*</w:t>
            </w: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791</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378</w:t>
            </w:r>
          </w:p>
        </w:tc>
        <w:tc>
          <w:tcPr>
            <w:tcW w:w="96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Technology Hardware, Storage &amp; Peripherals</w:t>
            </w: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RealWear, Inc.</w:t>
            </w: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A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10/5/2018</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10/5/2028</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112,451</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136</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206</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tcPr>
          <w:p>
            <w:pPr>
              <w:spacing w:after="0"/>
              <w:rPr>
                <w:sz w:val="11"/>
                <w:szCs w:val="11"/>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Series A Preferred Stock</w:t>
            </w:r>
          </w:p>
        </w:tc>
        <w:tc>
          <w:tcPr>
            <w:tcW w:w="1200" w:type="dxa"/>
            <w:vAlign w:val="bottom"/>
          </w:tcPr>
          <w:p>
            <w:pPr>
              <w:jc w:val="center"/>
              <w:ind w:left="166"/>
              <w:spacing w:after="0"/>
              <w:rPr>
                <w:sz w:val="20"/>
                <w:szCs w:val="20"/>
                <w:color w:val="auto"/>
              </w:rPr>
            </w:pPr>
            <w:r>
              <w:rPr>
                <w:rFonts w:ascii="Times New Roman" w:cs="Times New Roman" w:eastAsia="Times New Roman" w:hAnsi="Times New Roman"/>
                <w:sz w:val="11"/>
                <w:szCs w:val="11"/>
                <w:color w:val="auto"/>
                <w:w w:val="99"/>
              </w:rPr>
              <w:t>12/28/2018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12/28/2028</w:t>
            </w:r>
          </w:p>
        </w:tc>
        <w:tc>
          <w:tcPr>
            <w:tcW w:w="9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rPr>
              <w:t>22,491</w:t>
            </w: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w:t>
            </w:r>
          </w:p>
        </w:tc>
        <w:tc>
          <w:tcPr>
            <w:tcW w:w="9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Series A Preferred Stock</w:t>
            </w:r>
          </w:p>
        </w:tc>
        <w:tc>
          <w:tcPr>
            <w:tcW w:w="1200" w:type="dxa"/>
            <w:vAlign w:val="bottom"/>
            <w:shd w:val="clear" w:color="auto" w:fill="CFF0FC"/>
          </w:tcPr>
          <w:p>
            <w:pPr>
              <w:jc w:val="center"/>
              <w:ind w:left="146"/>
              <w:spacing w:after="0"/>
              <w:rPr>
                <w:sz w:val="20"/>
                <w:szCs w:val="20"/>
                <w:color w:val="auto"/>
              </w:rPr>
            </w:pPr>
            <w:r>
              <w:rPr>
                <w:rFonts w:ascii="Times New Roman" w:cs="Times New Roman" w:eastAsia="Times New Roman" w:hAnsi="Times New Roman"/>
                <w:sz w:val="11"/>
                <w:szCs w:val="11"/>
                <w:color w:val="auto"/>
                <w:w w:val="98"/>
              </w:rPr>
              <w:t>6/27/2019</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6/27/2029</w:t>
            </w:r>
          </w:p>
        </w:tc>
        <w:tc>
          <w:tcPr>
            <w:tcW w:w="9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123,894</w:t>
            </w:r>
          </w:p>
        </w:tc>
        <w:tc>
          <w:tcPr>
            <w:tcW w:w="10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381</w:t>
            </w:r>
          </w:p>
        </w:tc>
        <w:tc>
          <w:tcPr>
            <w:tcW w:w="106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136</w:t>
            </w:r>
          </w:p>
        </w:tc>
        <w:tc>
          <w:tcPr>
            <w:tcW w:w="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4560" w:type="dxa"/>
            <w:vAlign w:val="bottom"/>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Total Technology Hardware, Storage &amp; Peripherals - 0.07%*</w:t>
            </w: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542</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383</w:t>
            </w:r>
          </w:p>
        </w:tc>
        <w:tc>
          <w:tcPr>
            <w:tcW w:w="96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Warrants - 2.76%*</w:t>
            </w:r>
          </w:p>
        </w:tc>
        <w:tc>
          <w:tcPr>
            <w:tcW w:w="10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24,032</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14,182</w:t>
            </w:r>
          </w:p>
        </w:tc>
        <w:tc>
          <w:tcPr>
            <w:tcW w:w="960" w:type="dxa"/>
            <w:vAlign w:val="bottom"/>
          </w:tcPr>
          <w:p>
            <w:pPr>
              <w:spacing w:after="0"/>
              <w:rPr>
                <w:sz w:val="11"/>
                <w:szCs w:val="11"/>
                <w:color w:val="auto"/>
              </w:rPr>
            </w:pPr>
          </w:p>
        </w:tc>
      </w:tr>
      <w:tr>
        <w:trPr>
          <w:trHeight w:val="132"/>
        </w:trPr>
        <w:tc>
          <w:tcPr>
            <w:tcW w:w="2880" w:type="dxa"/>
            <w:vAlign w:val="bottom"/>
            <w:gridSpan w:val="2"/>
            <w:shd w:val="clear" w:color="auto" w:fill="CFF0FC"/>
          </w:tcPr>
          <w:p>
            <w:pPr>
              <w:spacing w:after="0"/>
              <w:rPr>
                <w:sz w:val="11"/>
                <w:szCs w:val="11"/>
                <w:color w:val="auto"/>
              </w:rPr>
            </w:pPr>
          </w:p>
        </w:tc>
        <w:tc>
          <w:tcPr>
            <w:tcW w:w="168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r>
      <w:tr>
        <w:trPr>
          <w:trHeight w:val="142"/>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Non-Control/Non-Affiliate Investments - 195.27%*</w:t>
            </w:r>
          </w:p>
        </w:tc>
        <w:tc>
          <w:tcPr>
            <w:tcW w:w="1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1,038,135</w:t>
            </w:r>
          </w:p>
        </w:tc>
        <w:tc>
          <w:tcPr>
            <w:tcW w:w="10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1,005,328</w:t>
            </w:r>
          </w:p>
        </w:tc>
        <w:tc>
          <w:tcPr>
            <w:tcW w:w="960" w:type="dxa"/>
            <w:vAlign w:val="bottom"/>
          </w:tcPr>
          <w:p>
            <w:pPr>
              <w:spacing w:after="0"/>
              <w:rPr>
                <w:sz w:val="12"/>
                <w:szCs w:val="12"/>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8" w:name="page89"/>
    <w:bookmarkEnd w:id="8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tcPr>
          <w:p>
            <w:pPr>
              <w:ind w:left="66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4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40" w:type="dxa"/>
            <w:vAlign w:val="bottom"/>
          </w:tcPr>
          <w:p>
            <w:pPr>
              <w:spacing w:after="0"/>
              <w:rPr>
                <w:sz w:val="11"/>
                <w:szCs w:val="11"/>
                <w:color w:val="auto"/>
              </w:rPr>
            </w:pPr>
          </w:p>
        </w:tc>
        <w:tc>
          <w:tcPr>
            <w:tcW w:w="1040" w:type="dxa"/>
            <w:vAlign w:val="bottom"/>
            <w:gridSpan w:val="2"/>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8"/>
              </w:rPr>
              <w:t>Principal ($)</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Fair</w:t>
            </w:r>
          </w:p>
        </w:tc>
        <w:tc>
          <w:tcPr>
            <w:tcW w:w="980" w:type="dxa"/>
            <w:vAlign w:val="bottom"/>
          </w:tcPr>
          <w:p>
            <w:pPr>
              <w:spacing w:after="0"/>
              <w:rPr>
                <w:sz w:val="11"/>
                <w:szCs w:val="11"/>
                <w:color w:val="auto"/>
              </w:rPr>
            </w:pPr>
          </w:p>
        </w:tc>
      </w:tr>
      <w:tr>
        <w:trPr>
          <w:trHeight w:val="144"/>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6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00" w:type="dxa"/>
            <w:vAlign w:val="bottom"/>
          </w:tcPr>
          <w:p>
            <w:pPr>
              <w:ind w:left="540"/>
              <w:spacing w:after="0" w:line="144" w:lineRule="exact"/>
              <w:rPr>
                <w:sz w:val="20"/>
                <w:szCs w:val="20"/>
                <w:color w:val="auto"/>
              </w:rPr>
            </w:pPr>
            <w:r>
              <w:rPr>
                <w:rFonts w:ascii="Times New Roman" w:cs="Times New Roman" w:eastAsia="Times New Roman" w:hAnsi="Times New Roman"/>
                <w:sz w:val="11"/>
                <w:szCs w:val="11"/>
                <w:b w:val="1"/>
                <w:bCs w:val="1"/>
                <w:color w:val="auto"/>
              </w:rPr>
              <w:t>Description</w:t>
            </w:r>
            <w:r>
              <w:rPr>
                <w:rFonts w:ascii="Times New Roman" w:cs="Times New Roman" w:eastAsia="Times New Roman" w:hAnsi="Times New Roman"/>
                <w:sz w:val="14"/>
                <w:szCs w:val="14"/>
                <w:b w:val="1"/>
                <w:bCs w:val="1"/>
                <w:color w:val="auto"/>
                <w:vertAlign w:val="superscript"/>
              </w:rPr>
              <w:t>(1)(2)(4)</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Maturity Date</w:t>
            </w:r>
          </w:p>
        </w:tc>
        <w:tc>
          <w:tcPr>
            <w:tcW w:w="1040" w:type="dxa"/>
            <w:vAlign w:val="bottom"/>
            <w:gridSpan w:val="2"/>
          </w:tcPr>
          <w:p>
            <w:pPr>
              <w:jc w:val="center"/>
              <w:ind w:right="226"/>
              <w:spacing w:after="0"/>
              <w:rPr>
                <w:sz w:val="20"/>
                <w:szCs w:val="20"/>
                <w:color w:val="auto"/>
              </w:rPr>
            </w:pPr>
            <w:r>
              <w:rPr>
                <w:rFonts w:ascii="Times New Roman" w:cs="Times New Roman" w:eastAsia="Times New Roman" w:hAnsi="Times New Roman"/>
                <w:sz w:val="11"/>
                <w:szCs w:val="11"/>
                <w:b w:val="1"/>
                <w:bCs w:val="1"/>
                <w:color w:val="auto"/>
                <w:w w:val="95"/>
              </w:rPr>
              <w:t>/ Shares</w:t>
            </w:r>
          </w:p>
        </w:tc>
        <w:tc>
          <w:tcPr>
            <w:tcW w:w="80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4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98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1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Affiliate Investments</w:t>
            </w: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(25)</w:t>
            </w: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Gynesonics, Inc.</w:t>
            </w: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Senior Secured</w:t>
            </w:r>
          </w:p>
        </w:tc>
        <w:tc>
          <w:tcPr>
            <w:tcW w:w="1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SOFR+8.75%, 8.00% ceiling, 5.00%</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7"/>
              </w:rPr>
              <w:t>3/1/2023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11/30/2026</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25,595</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26,234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27,217</w:t>
            </w:r>
          </w:p>
        </w:tc>
        <w:tc>
          <w:tcPr>
            <w:tcW w:w="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(11) (12)</w:t>
            </w:r>
          </w:p>
        </w:tc>
      </w:tr>
      <w:tr>
        <w:trPr>
          <w:trHeight w:val="132"/>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2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Technology - 5.29%*</w:t>
            </w: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26,234</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27,217</w:t>
            </w: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Total Debt Investments - 5.29%*</w:t>
            </w: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26,234</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27,217</w:t>
            </w: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Equity Investments</w:t>
            </w: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Coginiti Corp</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0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3/9/2020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1,040,160</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4,551</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- 0.00%*</w:t>
            </w: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Gynesonics,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Series A-2 Preferred Stock</w:t>
            </w:r>
          </w:p>
        </w:tc>
        <w:tc>
          <w:tcPr>
            <w:tcW w:w="10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3/1/2023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8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3,266,668</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25,000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25,000</w:t>
            </w:r>
          </w:p>
        </w:tc>
        <w:tc>
          <w:tcPr>
            <w:tcW w:w="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 (30)</w:t>
            </w:r>
          </w:p>
        </w:tc>
      </w:tr>
      <w:tr>
        <w:trPr>
          <w:trHeight w:val="132"/>
        </w:trPr>
        <w:tc>
          <w:tcPr>
            <w:tcW w:w="18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Series A-1 Preferred Stock</w:t>
            </w:r>
          </w:p>
        </w:tc>
        <w:tc>
          <w:tcPr>
            <w:tcW w:w="1040" w:type="dxa"/>
            <w:vAlign w:val="bottom"/>
          </w:tcPr>
          <w:p>
            <w:pPr>
              <w:jc w:val="center"/>
              <w:ind w:left="6"/>
              <w:spacing w:after="0"/>
              <w:rPr>
                <w:sz w:val="20"/>
                <w:szCs w:val="20"/>
                <w:color w:val="auto"/>
              </w:rPr>
            </w:pPr>
            <w:r>
              <w:rPr>
                <w:rFonts w:ascii="Times New Roman" w:cs="Times New Roman" w:eastAsia="Times New Roman" w:hAnsi="Times New Roman"/>
                <w:sz w:val="11"/>
                <w:szCs w:val="11"/>
                <w:color w:val="auto"/>
                <w:w w:val="99"/>
              </w:rPr>
              <w:t>10/24/2023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8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3,100,000</w:t>
            </w: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12,355</w:t>
            </w:r>
          </w:p>
        </w:tc>
        <w:tc>
          <w:tcPr>
            <w:tcW w:w="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(13) (30)</w:t>
            </w:r>
          </w:p>
        </w:tc>
      </w:tr>
      <w:tr>
        <w:trPr>
          <w:trHeight w:val="132"/>
        </w:trPr>
        <w:tc>
          <w:tcPr>
            <w:tcW w:w="292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Technology - 7.26%*</w:t>
            </w: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28,100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37,355</w:t>
            </w: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Total Equity Investments - 7.26%*</w:t>
            </w: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32,651</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37,355</w:t>
            </w: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Coginiti Corp</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Common Stock</w:t>
            </w:r>
          </w:p>
        </w:tc>
        <w:tc>
          <w:tcPr>
            <w:tcW w:w="10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3/9/2020</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3/9/2030</w:t>
            </w:r>
          </w:p>
        </w:tc>
        <w:tc>
          <w:tcPr>
            <w:tcW w:w="86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811,770</w:t>
            </w: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- 0.00%*</w:t>
            </w: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Gynesonics,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Success fee</w:t>
            </w:r>
          </w:p>
        </w:tc>
        <w:tc>
          <w:tcPr>
            <w:tcW w:w="10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3/1/2023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3/1/2030</w:t>
            </w:r>
          </w:p>
        </w:tc>
        <w:tc>
          <w:tcPr>
            <w:tcW w:w="10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rPr>
              <w:t>N/A</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(13) (21)</w:t>
            </w: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Technology - 0.00%*</w:t>
            </w: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Warrants - 0.00%*</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Affiliate Investments - 12.55%*</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59,198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64,572</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Control Investments</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(26)</w:t>
            </w:r>
          </w:p>
        </w:tc>
      </w:tr>
      <w:tr>
        <w:trPr>
          <w:trHeight w:val="132"/>
        </w:trPr>
        <w:tc>
          <w:tcPr>
            <w:tcW w:w="1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Equity Investments</w:t>
            </w: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Data Processing &amp; Outsourced Services</w:t>
            </w: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Pivot3, Inc.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 Interest</w:t>
            </w:r>
          </w:p>
        </w:tc>
        <w:tc>
          <w:tcPr>
            <w:tcW w:w="10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9"/>
              </w:rPr>
              <w:t>12/31/2023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rPr>
              <w:t>N/A</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1,198</w:t>
            </w:r>
          </w:p>
        </w:tc>
        <w:tc>
          <w:tcPr>
            <w:tcW w:w="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(24)</w:t>
            </w: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w w:val="98"/>
              </w:rPr>
              <w:t>Total Data Processing &amp; Outsourced Services - 0.23%*</w:t>
            </w: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1,198</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Multi-Sector Holdings</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Runway-Cadma I LLC</w:t>
            </w:r>
          </w:p>
        </w:tc>
        <w:tc>
          <w:tcPr>
            <w:tcW w:w="1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w:t>
            </w:r>
          </w:p>
        </w:tc>
        <w:tc>
          <w:tcPr>
            <w:tcW w:w="1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1"/>
                <w:szCs w:val="11"/>
                <w:color w:val="auto"/>
              </w:rPr>
              <w:t>Equity Interest</w:t>
            </w:r>
          </w:p>
        </w:tc>
        <w:tc>
          <w:tcPr>
            <w:tcW w:w="1040" w:type="dxa"/>
            <w:vAlign w:val="bottom"/>
            <w:shd w:val="clear" w:color="auto" w:fill="CFF0FC"/>
          </w:tcPr>
          <w:p>
            <w:pPr>
              <w:jc w:val="center"/>
              <w:ind w:left="6"/>
              <w:spacing w:after="0"/>
              <w:rPr>
                <w:sz w:val="20"/>
                <w:szCs w:val="20"/>
                <w:color w:val="auto"/>
              </w:rPr>
            </w:pPr>
            <w:r>
              <w:rPr>
                <w:rFonts w:ascii="Times New Roman" w:cs="Times New Roman" w:eastAsia="Times New Roman" w:hAnsi="Times New Roman"/>
                <w:sz w:val="11"/>
                <w:szCs w:val="11"/>
                <w:color w:val="auto"/>
                <w:w w:val="97"/>
              </w:rPr>
              <w:t>3/6/2024</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N/A</w:t>
            </w:r>
          </w:p>
        </w:tc>
        <w:tc>
          <w:tcPr>
            <w:tcW w:w="10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rPr>
              <w:t>N/A</w:t>
            </w:r>
          </w:p>
        </w:tc>
        <w:tc>
          <w:tcPr>
            <w:tcW w:w="8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5,600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5,742</w:t>
            </w:r>
          </w:p>
        </w:tc>
        <w:tc>
          <w:tcPr>
            <w:tcW w:w="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(9)</w:t>
            </w:r>
          </w:p>
        </w:tc>
      </w:tr>
      <w:tr>
        <w:trPr>
          <w:trHeight w:val="132"/>
        </w:trPr>
        <w:tc>
          <w:tcPr>
            <w:tcW w:w="29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Multi-Sector Holdings - 1.12%*</w:t>
            </w: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5,600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5,742</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Equity Investments - 1.35%*</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6,940</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Control Investments - 1.35%*</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6,550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6,940</w:t>
            </w:r>
          </w:p>
        </w:tc>
        <w:tc>
          <w:tcPr>
            <w:tcW w:w="980" w:type="dxa"/>
            <w:vAlign w:val="bottom"/>
          </w:tcPr>
          <w:p>
            <w:pPr>
              <w:spacing w:after="0"/>
              <w:rPr>
                <w:sz w:val="11"/>
                <w:szCs w:val="11"/>
                <w:color w:val="auto"/>
              </w:rPr>
            </w:pPr>
          </w:p>
        </w:tc>
      </w:tr>
      <w:tr>
        <w:trPr>
          <w:trHeight w:val="132"/>
        </w:trPr>
        <w:tc>
          <w:tcPr>
            <w:tcW w:w="186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r>
      <w:tr>
        <w:trPr>
          <w:trHeight w:val="132"/>
        </w:trPr>
        <w:tc>
          <w:tcPr>
            <w:tcW w:w="186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Total Investments - 209.17%*</w:t>
            </w:r>
          </w:p>
        </w:tc>
        <w:tc>
          <w:tcPr>
            <w:tcW w:w="10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Borders>
              <w:bottom w:val="single" w:sz="8" w:color="auto"/>
            </w:tcBorders>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rPr>
              <w:t>1,103,883</w:t>
            </w:r>
          </w:p>
        </w:tc>
        <w:tc>
          <w:tcPr>
            <w:tcW w:w="80" w:type="dxa"/>
            <w:vAlign w:val="bottom"/>
          </w:tcPr>
          <w:p>
            <w:pPr>
              <w:spacing w:after="0"/>
              <w:rPr>
                <w:sz w:val="11"/>
                <w:szCs w:val="11"/>
                <w:color w:val="auto"/>
              </w:rPr>
            </w:pPr>
          </w:p>
        </w:tc>
        <w:tc>
          <w:tcPr>
            <w:tcW w:w="160" w:type="dxa"/>
            <w:vAlign w:val="bottom"/>
            <w:tcBorders>
              <w:bottom w:val="single" w:sz="8" w:color="auto"/>
            </w:tcBorders>
          </w:tcPr>
          <w:p>
            <w:pPr>
              <w:jc w:val="right"/>
              <w:ind w:right="26"/>
              <w:spacing w:after="0" w:line="11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rPr>
              <w:t>1,076,840</w:t>
            </w:r>
          </w:p>
        </w:tc>
        <w:tc>
          <w:tcPr>
            <w:tcW w:w="980" w:type="dxa"/>
            <w:vAlign w:val="bottom"/>
          </w:tcPr>
          <w:p>
            <w:pPr>
              <w:spacing w:after="0"/>
              <w:rPr>
                <w:sz w:val="11"/>
                <w:szCs w:val="11"/>
                <w:color w:val="auto"/>
              </w:rPr>
            </w:pPr>
          </w:p>
        </w:tc>
      </w:tr>
      <w:tr>
        <w:trPr>
          <w:trHeight w:val="20"/>
        </w:trPr>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9" w:name="page90"/>
    <w:bookmarkEnd w:id="8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(1)</w:t>
      </w:r>
    </w:p>
    <w:p>
      <w:pPr>
        <w:ind w:left="420"/>
        <w:spacing w:after="0" w:line="222" w:lineRule="auto"/>
        <w:rPr>
          <w:sz w:val="20"/>
          <w:szCs w:val="20"/>
          <w:color w:val="auto"/>
        </w:rPr>
      </w:pPr>
      <w:r>
        <w:rPr>
          <w:rFonts w:ascii="Times New Roman" w:cs="Times New Roman" w:eastAsia="Times New Roman" w:hAnsi="Times New Roman"/>
          <w:sz w:val="13"/>
          <w:szCs w:val="13"/>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2024, the U.S. Prime Rate was 7.50%, the 1-Month SOFR was 4.33%, and the 3-Month SOFR was 4.31%.</w:t>
      </w:r>
    </w:p>
    <w:p>
      <w:pPr>
        <w:ind w:left="20"/>
        <w:spacing w:after="0" w:line="185" w:lineRule="auto"/>
        <w:rPr>
          <w:sz w:val="20"/>
          <w:szCs w:val="20"/>
          <w:color w:val="auto"/>
        </w:rPr>
      </w:pPr>
      <w:r>
        <w:rPr>
          <w:rFonts w:ascii="Times New Roman" w:cs="Times New Roman" w:eastAsia="Times New Roman" w:hAnsi="Times New Roman"/>
          <w:sz w:val="6"/>
          <w:szCs w:val="6"/>
          <w:color w:val="auto"/>
        </w:rPr>
        <w:t>(2)</w:t>
      </w:r>
    </w:p>
    <w:p>
      <w:pPr>
        <w:ind w:left="420" w:right="80"/>
        <w:spacing w:after="0" w:line="222" w:lineRule="auto"/>
        <w:rPr>
          <w:sz w:val="20"/>
          <w:szCs w:val="20"/>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ind w:left="20"/>
        <w:spacing w:after="0" w:line="185" w:lineRule="auto"/>
        <w:rPr>
          <w:sz w:val="20"/>
          <w:szCs w:val="20"/>
          <w:color w:val="auto"/>
        </w:rPr>
      </w:pPr>
      <w:r>
        <w:rPr>
          <w:rFonts w:ascii="Times New Roman" w:cs="Times New Roman" w:eastAsia="Times New Roman" w:hAnsi="Times New Roman"/>
          <w:sz w:val="6"/>
          <w:szCs w:val="6"/>
          <w:color w:val="auto"/>
        </w:rPr>
        <w:t>(3)</w:t>
      </w:r>
    </w:p>
    <w:p>
      <w:pPr>
        <w:ind w:left="420"/>
        <w:spacing w:after="0" w:line="195" w:lineRule="auto"/>
        <w:rPr>
          <w:sz w:val="20"/>
          <w:szCs w:val="20"/>
          <w:color w:val="auto"/>
        </w:rPr>
      </w:pPr>
      <w:r>
        <w:rPr>
          <w:rFonts w:ascii="Times New Roman" w:cs="Times New Roman" w:eastAsia="Times New Roman" w:hAnsi="Times New Roman"/>
          <w:sz w:val="11"/>
          <w:szCs w:val="11"/>
          <w:color w:val="auto"/>
        </w:rPr>
        <w:t>Investments are held at Fair Value net of the Fair Value of Unfunded Commitments. Refer to "Note 8 – Commitments and Contingencies" for additional detail.</w:t>
      </w:r>
    </w:p>
    <w:p>
      <w:pPr>
        <w:ind w:left="20"/>
        <w:spacing w:after="0" w:line="185" w:lineRule="auto"/>
        <w:rPr>
          <w:sz w:val="20"/>
          <w:szCs w:val="20"/>
          <w:color w:val="auto"/>
        </w:rPr>
      </w:pPr>
      <w:r>
        <w:rPr>
          <w:rFonts w:ascii="Times New Roman" w:cs="Times New Roman" w:eastAsia="Times New Roman" w:hAnsi="Times New Roman"/>
          <w:sz w:val="6"/>
          <w:szCs w:val="6"/>
          <w:color w:val="auto"/>
        </w:rPr>
        <w:t>(4)</w:t>
      </w:r>
    </w:p>
    <w:p>
      <w:pPr>
        <w:ind w:left="420"/>
        <w:spacing w:after="0" w:line="195" w:lineRule="auto"/>
        <w:rPr>
          <w:sz w:val="20"/>
          <w:szCs w:val="20"/>
          <w:color w:val="auto"/>
        </w:rPr>
      </w:pPr>
      <w:r>
        <w:rPr>
          <w:rFonts w:ascii="Times New Roman" w:cs="Times New Roman" w:eastAsia="Times New Roman" w:hAnsi="Times New Roman"/>
          <w:sz w:val="11"/>
          <w:szCs w:val="11"/>
          <w:color w:val="auto"/>
        </w:rPr>
        <w:t>All portfolio companies are domiciled in the United States, unless otherwise noted.</w:t>
      </w:r>
    </w:p>
    <w:p>
      <w:pPr>
        <w:ind w:left="20"/>
        <w:spacing w:after="0" w:line="186" w:lineRule="auto"/>
        <w:rPr>
          <w:sz w:val="20"/>
          <w:szCs w:val="20"/>
          <w:color w:val="auto"/>
        </w:rPr>
      </w:pPr>
      <w:r>
        <w:rPr>
          <w:rFonts w:ascii="Times New Roman" w:cs="Times New Roman" w:eastAsia="Times New Roman" w:hAnsi="Times New Roman"/>
          <w:sz w:val="6"/>
          <w:szCs w:val="6"/>
          <w:color w:val="auto"/>
        </w:rPr>
        <w:t>(5)</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United Kingdom. Fair value of United-Kingdom-domiciled investments represents 5.51% of net assets.</w:t>
      </w:r>
    </w:p>
    <w:p>
      <w:pPr>
        <w:ind w:left="20"/>
        <w:spacing w:after="0" w:line="185" w:lineRule="auto"/>
        <w:rPr>
          <w:sz w:val="20"/>
          <w:szCs w:val="20"/>
          <w:color w:val="auto"/>
        </w:rPr>
      </w:pPr>
      <w:r>
        <w:rPr>
          <w:rFonts w:ascii="Times New Roman" w:cs="Times New Roman" w:eastAsia="Times New Roman" w:hAnsi="Times New Roman"/>
          <w:sz w:val="6"/>
          <w:szCs w:val="6"/>
          <w:color w:val="auto"/>
        </w:rPr>
        <w:t>(6)</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Germany. Fair value of Germany-domiciled investments represents 6.64% of net assets.</w:t>
      </w:r>
    </w:p>
    <w:p>
      <w:pPr>
        <w:ind w:left="20"/>
        <w:spacing w:after="0" w:line="185" w:lineRule="auto"/>
        <w:rPr>
          <w:sz w:val="20"/>
          <w:szCs w:val="20"/>
          <w:color w:val="auto"/>
        </w:rPr>
      </w:pPr>
      <w:r>
        <w:rPr>
          <w:rFonts w:ascii="Times New Roman" w:cs="Times New Roman" w:eastAsia="Times New Roman" w:hAnsi="Times New Roman"/>
          <w:sz w:val="6"/>
          <w:szCs w:val="6"/>
          <w:color w:val="auto"/>
        </w:rPr>
        <w:t>(7)</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Canada. Fair value of Canadian-domiciled investments represents 2.83% of net assets.</w:t>
      </w:r>
    </w:p>
    <w:p>
      <w:pPr>
        <w:ind w:left="20"/>
        <w:spacing w:after="0" w:line="185" w:lineRule="auto"/>
        <w:rPr>
          <w:sz w:val="20"/>
          <w:szCs w:val="20"/>
          <w:color w:val="auto"/>
        </w:rPr>
      </w:pPr>
      <w:r>
        <w:rPr>
          <w:rFonts w:ascii="Times New Roman" w:cs="Times New Roman" w:eastAsia="Times New Roman" w:hAnsi="Times New Roman"/>
          <w:sz w:val="6"/>
          <w:szCs w:val="6"/>
          <w:color w:val="auto"/>
        </w:rPr>
        <w:t>(8)</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Netherlands. Fair value of Dutch-domiciled investments represents 3.34% of net assets.</w:t>
      </w:r>
    </w:p>
    <w:p>
      <w:pPr>
        <w:ind w:left="20"/>
        <w:spacing w:after="0" w:line="186" w:lineRule="auto"/>
        <w:rPr>
          <w:sz w:val="20"/>
          <w:szCs w:val="20"/>
          <w:color w:val="auto"/>
        </w:rPr>
      </w:pPr>
      <w:r>
        <w:rPr>
          <w:rFonts w:ascii="Times New Roman" w:cs="Times New Roman" w:eastAsia="Times New Roman" w:hAnsi="Times New Roman"/>
          <w:sz w:val="6"/>
          <w:szCs w:val="6"/>
          <w:color w:val="auto"/>
        </w:rPr>
        <w:t>(9)</w:t>
      </w:r>
    </w:p>
    <w:p>
      <w:pPr>
        <w:ind w:left="420" w:right="200"/>
        <w:spacing w:after="0" w:line="229" w:lineRule="auto"/>
        <w:rPr>
          <w:sz w:val="20"/>
          <w:szCs w:val="20"/>
          <w:color w:val="auto"/>
        </w:rPr>
      </w:pPr>
      <w:r>
        <w:rPr>
          <w:rFonts w:ascii="Times New Roman" w:cs="Times New Roman" w:eastAsia="Times New Roman" w:hAnsi="Times New Roman"/>
          <w:sz w:val="13"/>
          <w:szCs w:val="13"/>
          <w:color w:val="auto"/>
        </w:rPr>
        <w:t>Investment is not a qualifying investment as defined under Section 55(a) of the Investment Company Act of 1940, as amended. The fair value of non-qualifying assets represents 9.28% of total assets as of December 31, 2024.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ind w:left="20"/>
        <w:spacing w:after="0" w:line="186" w:lineRule="auto"/>
        <w:rPr>
          <w:sz w:val="20"/>
          <w:szCs w:val="20"/>
          <w:color w:val="auto"/>
        </w:rPr>
      </w:pPr>
      <w:r>
        <w:rPr>
          <w:rFonts w:ascii="Times New Roman" w:cs="Times New Roman" w:eastAsia="Times New Roman" w:hAnsi="Times New Roman"/>
          <w:sz w:val="6"/>
          <w:szCs w:val="6"/>
          <w:color w:val="auto"/>
        </w:rPr>
        <w:t>(10)</w:t>
      </w:r>
    </w:p>
    <w:p>
      <w:pPr>
        <w:ind w:left="420"/>
        <w:spacing w:after="0"/>
        <w:rPr>
          <w:sz w:val="20"/>
          <w:szCs w:val="20"/>
          <w:color w:val="auto"/>
        </w:rPr>
      </w:pPr>
      <w:r>
        <w:rPr>
          <w:rFonts w:ascii="Times New Roman" w:cs="Times New Roman" w:eastAsia="Times New Roman" w:hAnsi="Times New Roman"/>
          <w:sz w:val="13"/>
          <w:szCs w:val="13"/>
          <w:color w:val="auto"/>
        </w:rPr>
        <w:t>Represents a PIK security. PIK interest will be accrued and paid at maturity. For any investments denoting a "cash cap", any interest above such cap will be recorded as PIK interest.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(11)</w:t>
      </w:r>
    </w:p>
    <w:p>
      <w:pPr>
        <w:ind w:left="420"/>
        <w:spacing w:after="0" w:line="195" w:lineRule="auto"/>
        <w:rPr>
          <w:sz w:val="20"/>
          <w:szCs w:val="20"/>
          <w:color w:val="auto"/>
        </w:rPr>
      </w:pPr>
      <w:r>
        <w:rPr>
          <w:rFonts w:ascii="Times New Roman" w:cs="Times New Roman" w:eastAsia="Times New Roman" w:hAnsi="Times New Roman"/>
          <w:sz w:val="11"/>
          <w:szCs w:val="11"/>
          <w:color w:val="auto"/>
        </w:rPr>
        <w:t>Disclosures of end-of-term payments ("ETP") are one-time payments stated as a percentage of principal amount.</w:t>
      </w:r>
    </w:p>
    <w:p>
      <w:pPr>
        <w:ind w:left="20"/>
        <w:spacing w:after="0" w:line="185" w:lineRule="auto"/>
        <w:rPr>
          <w:sz w:val="20"/>
          <w:szCs w:val="20"/>
          <w:color w:val="auto"/>
        </w:rPr>
      </w:pPr>
      <w:r>
        <w:rPr>
          <w:rFonts w:ascii="Times New Roman" w:cs="Times New Roman" w:eastAsia="Times New Roman" w:hAnsi="Times New Roman"/>
          <w:sz w:val="6"/>
          <w:szCs w:val="6"/>
          <w:color w:val="auto"/>
        </w:rPr>
        <w:t>(12)</w:t>
      </w:r>
    </w:p>
    <w:p>
      <w:pPr>
        <w:ind w:left="420"/>
        <w:spacing w:after="0" w:line="195" w:lineRule="auto"/>
        <w:rPr>
          <w:sz w:val="20"/>
          <w:szCs w:val="20"/>
          <w:color w:val="auto"/>
        </w:rPr>
      </w:pPr>
      <w:r>
        <w:rPr>
          <w:rFonts w:ascii="Times New Roman" w:cs="Times New Roman" w:eastAsia="Times New Roman" w:hAnsi="Times New Roman"/>
          <w:sz w:val="11"/>
          <w:szCs w:val="11"/>
          <w:color w:val="auto"/>
        </w:rPr>
        <w:t>The investment is an eligible loan investment in the collateral under the Credit Facility (as defined in "Note 7 – Borrowings").</w:t>
      </w:r>
    </w:p>
    <w:p>
      <w:pPr>
        <w:ind w:left="20"/>
        <w:spacing w:after="0" w:line="185" w:lineRule="auto"/>
        <w:rPr>
          <w:sz w:val="20"/>
          <w:szCs w:val="20"/>
          <w:color w:val="auto"/>
        </w:rPr>
      </w:pPr>
      <w:r>
        <w:rPr>
          <w:rFonts w:ascii="Times New Roman" w:cs="Times New Roman" w:eastAsia="Times New Roman" w:hAnsi="Times New Roman"/>
          <w:sz w:val="6"/>
          <w:szCs w:val="6"/>
          <w:color w:val="auto"/>
        </w:rPr>
        <w:t>(13)</w:t>
      </w:r>
    </w:p>
    <w:p>
      <w:pPr>
        <w:ind w:left="420"/>
        <w:spacing w:after="0" w:line="184" w:lineRule="auto"/>
        <w:rPr>
          <w:sz w:val="20"/>
          <w:szCs w:val="20"/>
          <w:color w:val="auto"/>
        </w:rPr>
      </w:pPr>
      <w:r>
        <w:rPr>
          <w:rFonts w:ascii="Times New Roman" w:cs="Times New Roman" w:eastAsia="Times New Roman" w:hAnsi="Times New Roman"/>
          <w:sz w:val="13"/>
          <w:szCs w:val="13"/>
          <w:color w:val="auto"/>
        </w:rPr>
        <w:t>Investments are non-income producing.</w:t>
      </w:r>
    </w:p>
    <w:p>
      <w:pPr>
        <w:ind w:left="20"/>
        <w:spacing w:after="0" w:line="186" w:lineRule="auto"/>
        <w:rPr>
          <w:sz w:val="20"/>
          <w:szCs w:val="20"/>
          <w:color w:val="auto"/>
        </w:rPr>
      </w:pPr>
      <w:r>
        <w:rPr>
          <w:rFonts w:ascii="Times New Roman" w:cs="Times New Roman" w:eastAsia="Times New Roman" w:hAnsi="Times New Roman"/>
          <w:sz w:val="6"/>
          <w:szCs w:val="6"/>
          <w:color w:val="auto"/>
        </w:rPr>
        <w:t>(14)</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NYSE.</w:t>
      </w:r>
    </w:p>
    <w:p>
      <w:pPr>
        <w:ind w:left="20"/>
        <w:spacing w:after="0" w:line="185" w:lineRule="auto"/>
        <w:rPr>
          <w:sz w:val="20"/>
          <w:szCs w:val="20"/>
          <w:color w:val="auto"/>
        </w:rPr>
      </w:pPr>
      <w:r>
        <w:rPr>
          <w:rFonts w:ascii="Times New Roman" w:cs="Times New Roman" w:eastAsia="Times New Roman" w:hAnsi="Times New Roman"/>
          <w:sz w:val="6"/>
          <w:szCs w:val="6"/>
          <w:color w:val="auto"/>
        </w:rPr>
        <w:t>(15)</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NASDAQ.</w:t>
      </w:r>
    </w:p>
    <w:p>
      <w:pPr>
        <w:ind w:left="20"/>
        <w:spacing w:after="0" w:line="186" w:lineRule="auto"/>
        <w:rPr>
          <w:sz w:val="20"/>
          <w:szCs w:val="20"/>
          <w:color w:val="auto"/>
        </w:rPr>
      </w:pPr>
      <w:r>
        <w:rPr>
          <w:rFonts w:ascii="Times New Roman" w:cs="Times New Roman" w:eastAsia="Times New Roman" w:hAnsi="Times New Roman"/>
          <w:sz w:val="6"/>
          <w:szCs w:val="6"/>
          <w:color w:val="auto"/>
        </w:rPr>
        <w:t>(16)</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ASX.</w:t>
      </w:r>
    </w:p>
    <w:p>
      <w:pPr>
        <w:ind w:left="20"/>
        <w:spacing w:after="0" w:line="185" w:lineRule="auto"/>
        <w:rPr>
          <w:sz w:val="20"/>
          <w:szCs w:val="20"/>
          <w:color w:val="auto"/>
        </w:rPr>
      </w:pPr>
      <w:r>
        <w:rPr>
          <w:rFonts w:ascii="Times New Roman" w:cs="Times New Roman" w:eastAsia="Times New Roman" w:hAnsi="Times New Roman"/>
          <w:sz w:val="6"/>
          <w:szCs w:val="6"/>
          <w:color w:val="auto"/>
        </w:rPr>
        <w:t>(17)</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Euronext.</w:t>
      </w:r>
    </w:p>
    <w:p>
      <w:pPr>
        <w:ind w:left="20"/>
        <w:spacing w:after="0" w:line="185" w:lineRule="auto"/>
        <w:rPr>
          <w:sz w:val="20"/>
          <w:szCs w:val="20"/>
          <w:color w:val="auto"/>
        </w:rPr>
      </w:pPr>
      <w:r>
        <w:rPr>
          <w:rFonts w:ascii="Times New Roman" w:cs="Times New Roman" w:eastAsia="Times New Roman" w:hAnsi="Times New Roman"/>
          <w:sz w:val="6"/>
          <w:szCs w:val="6"/>
          <w:color w:val="auto"/>
        </w:rPr>
        <w:t>(18)</w:t>
      </w:r>
    </w:p>
    <w:p>
      <w:pPr>
        <w:ind w:left="42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ETR.</w:t>
      </w:r>
    </w:p>
    <w:p>
      <w:pPr>
        <w:ind w:left="20"/>
        <w:spacing w:after="0" w:line="186" w:lineRule="auto"/>
        <w:rPr>
          <w:sz w:val="20"/>
          <w:szCs w:val="20"/>
          <w:color w:val="auto"/>
        </w:rPr>
      </w:pPr>
      <w:r>
        <w:rPr>
          <w:rFonts w:ascii="Times New Roman" w:cs="Times New Roman" w:eastAsia="Times New Roman" w:hAnsi="Times New Roman"/>
          <w:sz w:val="6"/>
          <w:szCs w:val="6"/>
          <w:color w:val="auto"/>
        </w:rPr>
        <w:t>(19)</w:t>
      </w:r>
    </w:p>
    <w:p>
      <w:pPr>
        <w:ind w:left="420"/>
        <w:spacing w:after="0" w:line="195" w:lineRule="auto"/>
        <w:rPr>
          <w:sz w:val="20"/>
          <w:szCs w:val="20"/>
          <w:color w:val="auto"/>
        </w:rPr>
      </w:pPr>
      <w:r>
        <w:rPr>
          <w:rFonts w:ascii="Times New Roman" w:cs="Times New Roman" w:eastAsia="Times New Roman" w:hAnsi="Times New Roman"/>
          <w:sz w:val="11"/>
          <w:szCs w:val="11"/>
          <w:color w:val="auto"/>
        </w:rPr>
        <w:t>Investment is not a "restricted security" under the Securities Act.</w:t>
      </w:r>
    </w:p>
    <w:p>
      <w:pPr>
        <w:ind w:left="20"/>
        <w:spacing w:after="0" w:line="185" w:lineRule="auto"/>
        <w:rPr>
          <w:sz w:val="20"/>
          <w:szCs w:val="20"/>
          <w:color w:val="auto"/>
        </w:rPr>
      </w:pPr>
      <w:r>
        <w:rPr>
          <w:rFonts w:ascii="Times New Roman" w:cs="Times New Roman" w:eastAsia="Times New Roman" w:hAnsi="Times New Roman"/>
          <w:sz w:val="6"/>
          <w:szCs w:val="6"/>
          <w:color w:val="auto"/>
        </w:rPr>
        <w:t>(20)</w:t>
      </w:r>
    </w:p>
    <w:p>
      <w:pPr>
        <w:ind w:left="420"/>
        <w:spacing w:after="0" w:line="195" w:lineRule="auto"/>
        <w:rPr>
          <w:sz w:val="20"/>
          <w:szCs w:val="20"/>
          <w:color w:val="auto"/>
        </w:rPr>
      </w:pPr>
      <w:r>
        <w:rPr>
          <w:rFonts w:ascii="Times New Roman" w:cs="Times New Roman" w:eastAsia="Times New Roman" w:hAnsi="Times New Roman"/>
          <w:sz w:val="11"/>
          <w:szCs w:val="11"/>
          <w:color w:val="auto"/>
        </w:rPr>
        <w:t>The warrant count is based upon a percentage of ownership of Fidelis Cybersecurity, Inc.</w:t>
      </w:r>
    </w:p>
    <w:p>
      <w:pPr>
        <w:ind w:left="20"/>
        <w:spacing w:after="0" w:line="185" w:lineRule="auto"/>
        <w:rPr>
          <w:sz w:val="20"/>
          <w:szCs w:val="20"/>
          <w:color w:val="auto"/>
        </w:rPr>
      </w:pPr>
      <w:r>
        <w:rPr>
          <w:rFonts w:ascii="Times New Roman" w:cs="Times New Roman" w:eastAsia="Times New Roman" w:hAnsi="Times New Roman"/>
          <w:sz w:val="6"/>
          <w:szCs w:val="6"/>
          <w:color w:val="auto"/>
        </w:rPr>
        <w:t>(21)</w:t>
      </w:r>
    </w:p>
    <w:p>
      <w:pPr>
        <w:ind w:left="420"/>
        <w:spacing w:after="0" w:line="195" w:lineRule="auto"/>
        <w:rPr>
          <w:sz w:val="20"/>
          <w:szCs w:val="20"/>
          <w:color w:val="auto"/>
        </w:rPr>
      </w:pPr>
      <w:r>
        <w:rPr>
          <w:rFonts w:ascii="Times New Roman" w:cs="Times New Roman" w:eastAsia="Times New Roman" w:hAnsi="Times New Roman"/>
          <w:sz w:val="11"/>
          <w:szCs w:val="11"/>
          <w:color w:val="auto"/>
        </w:rPr>
        <w:t>Investment is either a cash success fee payable or earnout of shares based on the consummation of certain trigger events.</w:t>
      </w:r>
    </w:p>
    <w:p>
      <w:pPr>
        <w:ind w:left="20"/>
        <w:spacing w:after="0" w:line="185" w:lineRule="auto"/>
        <w:rPr>
          <w:sz w:val="20"/>
          <w:szCs w:val="20"/>
          <w:color w:val="auto"/>
        </w:rPr>
      </w:pPr>
      <w:r>
        <w:rPr>
          <w:rFonts w:ascii="Times New Roman" w:cs="Times New Roman" w:eastAsia="Times New Roman" w:hAnsi="Times New Roman"/>
          <w:sz w:val="6"/>
          <w:szCs w:val="6"/>
          <w:color w:val="auto"/>
        </w:rPr>
        <w:t>(22)</w:t>
      </w:r>
    </w:p>
    <w:p>
      <w:pPr>
        <w:jc w:val="both"/>
        <w:ind w:left="420" w:right="180"/>
        <w:spacing w:after="0" w:line="222" w:lineRule="auto"/>
        <w:rPr>
          <w:sz w:val="20"/>
          <w:szCs w:val="20"/>
          <w:color w:val="auto"/>
        </w:rPr>
      </w:pPr>
      <w:r>
        <w:rPr>
          <w:rFonts w:ascii="Times New Roman" w:cs="Times New Roman" w:eastAsia="Times New Roman" w:hAnsi="Times New Roman"/>
          <w:sz w:val="13"/>
          <w:szCs w:val="13"/>
          <w:color w:val="auto"/>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ind w:left="20"/>
        <w:spacing w:after="0" w:line="185" w:lineRule="auto"/>
        <w:rPr>
          <w:sz w:val="20"/>
          <w:szCs w:val="20"/>
          <w:color w:val="auto"/>
        </w:rPr>
      </w:pPr>
      <w:r>
        <w:rPr>
          <w:rFonts w:ascii="Times New Roman" w:cs="Times New Roman" w:eastAsia="Times New Roman" w:hAnsi="Times New Roman"/>
          <w:sz w:val="6"/>
          <w:szCs w:val="6"/>
          <w:color w:val="auto"/>
        </w:rPr>
        <w:t>(23)</w:t>
      </w:r>
    </w:p>
    <w:p>
      <w:pPr>
        <w:ind w:left="420" w:right="100"/>
        <w:spacing w:after="0" w:line="207" w:lineRule="auto"/>
        <w:rPr>
          <w:sz w:val="20"/>
          <w:szCs w:val="20"/>
          <w:color w:val="auto"/>
        </w:rPr>
      </w:pPr>
      <w:r>
        <w:rPr>
          <w:rFonts w:ascii="Times New Roman" w:cs="Times New Roman" w:eastAsia="Times New Roman" w:hAnsi="Times New Roman"/>
          <w:sz w:val="13"/>
          <w:szCs w:val="13"/>
          <w:color w:val="auto"/>
        </w:rPr>
        <w:t>Investment represents a security with a tiered fee that increases quarterly, dependent upon the timing of repayment. Such fees are recorded in "Fee income" on the Consolidated Statements of Operations.</w:t>
      </w:r>
    </w:p>
    <w:p>
      <w:pPr>
        <w:ind w:left="20"/>
        <w:spacing w:after="0" w:line="188" w:lineRule="auto"/>
        <w:rPr>
          <w:sz w:val="20"/>
          <w:szCs w:val="20"/>
          <w:color w:val="auto"/>
        </w:rPr>
      </w:pPr>
      <w:r>
        <w:rPr>
          <w:rFonts w:ascii="Times New Roman" w:cs="Times New Roman" w:eastAsia="Times New Roman" w:hAnsi="Times New Roman"/>
          <w:sz w:val="6"/>
          <w:szCs w:val="6"/>
          <w:color w:val="auto"/>
        </w:rPr>
        <w:t>(24)</w:t>
      </w:r>
    </w:p>
    <w:p>
      <w:pPr>
        <w:ind w:left="420" w:right="160"/>
        <w:spacing w:after="0" w:line="207" w:lineRule="auto"/>
        <w:rPr>
          <w:sz w:val="20"/>
          <w:szCs w:val="20"/>
          <w:color w:val="auto"/>
        </w:rPr>
      </w:pPr>
      <w:r>
        <w:rPr>
          <w:rFonts w:ascii="Times New Roman" w:cs="Times New Roman" w:eastAsia="Times New Roman" w:hAnsi="Times New Roman"/>
          <w:sz w:val="13"/>
          <w:szCs w:val="13"/>
          <w:color w:val="auto"/>
        </w:rPr>
        <w:t>The assets recovered on the senior secured term loan to Pivot 3, Inc. was contributed to P3 Holdco LLC by the Company, a wholly owned subsidiary of the Company. For more information, refer to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 Principles of Consolidation".</w:t>
      </w:r>
    </w:p>
    <w:p>
      <w:pPr>
        <w:ind w:left="20"/>
        <w:spacing w:after="0" w:line="186" w:lineRule="auto"/>
        <w:rPr>
          <w:sz w:val="20"/>
          <w:szCs w:val="20"/>
          <w:color w:val="auto"/>
        </w:rPr>
      </w:pPr>
      <w:r>
        <w:rPr>
          <w:rFonts w:ascii="Times New Roman" w:cs="Times New Roman" w:eastAsia="Times New Roman" w:hAnsi="Times New Roman"/>
          <w:sz w:val="6"/>
          <w:szCs w:val="6"/>
          <w:color w:val="auto"/>
        </w:rPr>
        <w:t>(25)</w:t>
      </w:r>
    </w:p>
    <w:p>
      <w:pPr>
        <w:ind w:left="420" w:right="360"/>
        <w:spacing w:after="0" w:line="207" w:lineRule="auto"/>
        <w:rPr>
          <w:sz w:val="20"/>
          <w:szCs w:val="20"/>
          <w:color w:val="auto"/>
        </w:rPr>
      </w:pPr>
      <w:r>
        <w:rPr>
          <w:rFonts w:ascii="Times New Roman" w:cs="Times New Roman" w:eastAsia="Times New Roman" w:hAnsi="Times New Roman"/>
          <w:sz w:val="13"/>
          <w:szCs w:val="13"/>
          <w:color w:val="auto"/>
        </w:rPr>
        <w:t>Affiliate portfolio company as defined under the 1940 Act in which the Company owns between 5% and 25% (inclusive) of the investment's voting securities and does not have rights to maintain greater than 50% representation on the board.</w:t>
      </w:r>
    </w:p>
    <w:p>
      <w:pPr>
        <w:ind w:left="20"/>
        <w:spacing w:after="0" w:line="188" w:lineRule="auto"/>
        <w:rPr>
          <w:sz w:val="20"/>
          <w:szCs w:val="20"/>
          <w:color w:val="auto"/>
        </w:rPr>
      </w:pPr>
      <w:r>
        <w:rPr>
          <w:rFonts w:ascii="Times New Roman" w:cs="Times New Roman" w:eastAsia="Times New Roman" w:hAnsi="Times New Roman"/>
          <w:sz w:val="6"/>
          <w:szCs w:val="6"/>
          <w:color w:val="auto"/>
        </w:rPr>
        <w:t>(26)</w:t>
      </w:r>
    </w:p>
    <w:p>
      <w:pPr>
        <w:ind w:left="420" w:right="320"/>
        <w:spacing w:after="0" w:line="207" w:lineRule="auto"/>
        <w:rPr>
          <w:sz w:val="20"/>
          <w:szCs w:val="20"/>
          <w:color w:val="auto"/>
        </w:rPr>
      </w:pPr>
      <w:r>
        <w:rPr>
          <w:rFonts w:ascii="Times New Roman" w:cs="Times New Roman" w:eastAsia="Times New Roman" w:hAnsi="Times New Roman"/>
          <w:sz w:val="13"/>
          <w:szCs w:val="13"/>
          <w:color w:val="auto"/>
        </w:rPr>
        <w:t>Control portfolio company, as defined under the 1940 Act, in which the Company owns more than 25% of the investment’s voting securities or has greater than 50% representation on its board.</w:t>
      </w:r>
    </w:p>
    <w:p>
      <w:pPr>
        <w:ind w:left="20"/>
        <w:spacing w:after="0" w:line="188" w:lineRule="auto"/>
        <w:rPr>
          <w:sz w:val="20"/>
          <w:szCs w:val="20"/>
          <w:color w:val="auto"/>
        </w:rPr>
      </w:pPr>
      <w:r>
        <w:rPr>
          <w:rFonts w:ascii="Times New Roman" w:cs="Times New Roman" w:eastAsia="Times New Roman" w:hAnsi="Times New Roman"/>
          <w:sz w:val="6"/>
          <w:szCs w:val="6"/>
          <w:color w:val="auto"/>
        </w:rPr>
        <w:t>(27)</w:t>
      </w:r>
    </w:p>
    <w:p>
      <w:pPr>
        <w:ind w:left="420"/>
        <w:spacing w:after="0" w:line="195" w:lineRule="auto"/>
        <w:rPr>
          <w:sz w:val="20"/>
          <w:szCs w:val="20"/>
          <w:color w:val="auto"/>
        </w:rPr>
      </w:pPr>
      <w:r>
        <w:rPr>
          <w:rFonts w:ascii="Times New Roman" w:cs="Times New Roman" w:eastAsia="Times New Roman" w:hAnsi="Times New Roman"/>
          <w:sz w:val="11"/>
          <w:szCs w:val="11"/>
          <w:color w:val="auto"/>
        </w:rPr>
        <w:t>Investment is on non-accrual status as of December 31, 2024 and is therefore considered non-income producing.</w:t>
      </w:r>
    </w:p>
    <w:p>
      <w:pPr>
        <w:ind w:left="20"/>
        <w:spacing w:after="0" w:line="185" w:lineRule="auto"/>
        <w:rPr>
          <w:sz w:val="20"/>
          <w:szCs w:val="20"/>
          <w:color w:val="auto"/>
        </w:rPr>
      </w:pPr>
      <w:r>
        <w:rPr>
          <w:rFonts w:ascii="Times New Roman" w:cs="Times New Roman" w:eastAsia="Times New Roman" w:hAnsi="Times New Roman"/>
          <w:sz w:val="6"/>
          <w:szCs w:val="6"/>
          <w:color w:val="auto"/>
        </w:rPr>
        <w:t>(28)</w:t>
      </w:r>
    </w:p>
    <w:p>
      <w:pPr>
        <w:ind w:left="420"/>
        <w:spacing w:after="0" w:line="195" w:lineRule="auto"/>
        <w:rPr>
          <w:sz w:val="20"/>
          <w:szCs w:val="20"/>
          <w:color w:val="auto"/>
        </w:rPr>
      </w:pPr>
      <w:r>
        <w:rPr>
          <w:rFonts w:ascii="Times New Roman" w:cs="Times New Roman" w:eastAsia="Times New Roman" w:hAnsi="Times New Roman"/>
          <w:sz w:val="11"/>
          <w:szCs w:val="11"/>
          <w:color w:val="auto"/>
        </w:rPr>
        <w:t>Sale of equity security is subject to a lock-up period until January 22, 2025.</w:t>
      </w:r>
    </w:p>
    <w:p>
      <w:pPr>
        <w:ind w:left="20"/>
        <w:spacing w:after="0" w:line="186" w:lineRule="auto"/>
        <w:rPr>
          <w:sz w:val="20"/>
          <w:szCs w:val="20"/>
          <w:color w:val="auto"/>
        </w:rPr>
      </w:pPr>
      <w:r>
        <w:rPr>
          <w:rFonts w:ascii="Times New Roman" w:cs="Times New Roman" w:eastAsia="Times New Roman" w:hAnsi="Times New Roman"/>
          <w:sz w:val="6"/>
          <w:szCs w:val="6"/>
          <w:color w:val="auto"/>
        </w:rPr>
        <w:t>(29)</w:t>
      </w:r>
    </w:p>
    <w:p>
      <w:pPr>
        <w:ind w:left="420"/>
        <w:spacing w:after="0" w:line="195" w:lineRule="auto"/>
        <w:rPr>
          <w:sz w:val="20"/>
          <w:szCs w:val="20"/>
          <w:color w:val="auto"/>
        </w:rPr>
      </w:pPr>
      <w:r>
        <w:rPr>
          <w:rFonts w:ascii="Times New Roman" w:cs="Times New Roman" w:eastAsia="Times New Roman" w:hAnsi="Times New Roman"/>
          <w:sz w:val="11"/>
          <w:szCs w:val="11"/>
          <w:color w:val="auto"/>
        </w:rPr>
        <w:t>JobGet Holdings, Inc. (fka Snagajob, Inc.) has the right of first refusal on sale of preferred stock.</w:t>
      </w:r>
    </w:p>
    <w:p>
      <w:pPr>
        <w:ind w:left="20"/>
        <w:spacing w:after="0" w:line="185" w:lineRule="auto"/>
        <w:rPr>
          <w:sz w:val="20"/>
          <w:szCs w:val="20"/>
          <w:color w:val="auto"/>
        </w:rPr>
      </w:pPr>
      <w:r>
        <w:rPr>
          <w:rFonts w:ascii="Times New Roman" w:cs="Times New Roman" w:eastAsia="Times New Roman" w:hAnsi="Times New Roman"/>
          <w:sz w:val="6"/>
          <w:szCs w:val="6"/>
          <w:color w:val="auto"/>
        </w:rPr>
        <w:t>(30)</w:t>
      </w:r>
    </w:p>
    <w:p>
      <w:pPr>
        <w:ind w:left="420"/>
        <w:spacing w:after="0" w:line="195" w:lineRule="auto"/>
        <w:rPr>
          <w:sz w:val="20"/>
          <w:szCs w:val="20"/>
          <w:color w:val="auto"/>
        </w:rPr>
      </w:pPr>
      <w:r>
        <w:rPr>
          <w:rFonts w:ascii="Times New Roman" w:cs="Times New Roman" w:eastAsia="Times New Roman" w:hAnsi="Times New Roman"/>
          <w:sz w:val="11"/>
          <w:szCs w:val="11"/>
          <w:color w:val="auto"/>
        </w:rPr>
        <w:t>Gynesonics, Inc. has the right of first refusal on sale of preferred stock.</w:t>
      </w:r>
    </w:p>
    <w:p>
      <w:pPr>
        <w:ind w:left="20"/>
        <w:spacing w:after="0" w:line="185" w:lineRule="auto"/>
        <w:rPr>
          <w:sz w:val="20"/>
          <w:szCs w:val="20"/>
          <w:color w:val="auto"/>
        </w:rPr>
      </w:pPr>
      <w:r>
        <w:rPr>
          <w:rFonts w:ascii="Times New Roman" w:cs="Times New Roman" w:eastAsia="Times New Roman" w:hAnsi="Times New Roman"/>
          <w:sz w:val="6"/>
          <w:szCs w:val="6"/>
          <w:color w:val="auto"/>
        </w:rPr>
        <w:t>*</w:t>
      </w:r>
    </w:p>
    <w:p>
      <w:pPr>
        <w:ind w:left="420"/>
        <w:spacing w:after="0"/>
        <w:rPr>
          <w:sz w:val="20"/>
          <w:szCs w:val="20"/>
          <w:color w:val="auto"/>
        </w:rPr>
      </w:pPr>
      <w:r>
        <w:rPr>
          <w:rFonts w:ascii="Times New Roman" w:cs="Times New Roman" w:eastAsia="Times New Roman" w:hAnsi="Times New Roman"/>
          <w:sz w:val="13"/>
          <w:szCs w:val="13"/>
          <w:color w:val="auto"/>
        </w:rPr>
        <w:t>Fair value as a percentage of net assets.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0" w:name="page91"/>
    <w:bookmarkEnd w:id="9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Initial Acquisition</w:t>
            </w:r>
          </w:p>
        </w:tc>
        <w:tc>
          <w:tcPr>
            <w:tcW w:w="840" w:type="dxa"/>
            <w:vAlign w:val="bottom"/>
          </w:tcPr>
          <w:p>
            <w:pPr>
              <w:spacing w:after="0"/>
              <w:rPr>
                <w:sz w:val="11"/>
                <w:szCs w:val="11"/>
                <w:color w:val="auto"/>
              </w:rPr>
            </w:pPr>
          </w:p>
        </w:tc>
        <w:tc>
          <w:tcPr>
            <w:tcW w:w="9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Principal ($) /</w:t>
            </w:r>
          </w:p>
        </w:tc>
        <w:tc>
          <w:tcPr>
            <w:tcW w:w="880" w:type="dxa"/>
            <w:vAlign w:val="bottom"/>
          </w:tcPr>
          <w:p>
            <w:pPr>
              <w:spacing w:after="0"/>
              <w:rPr>
                <w:sz w:val="11"/>
                <w:szCs w:val="11"/>
                <w:color w:val="auto"/>
              </w:rPr>
            </w:pPr>
          </w:p>
        </w:tc>
        <w:tc>
          <w:tcPr>
            <w:tcW w:w="90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Fair</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44"/>
        </w:trPr>
        <w:tc>
          <w:tcPr>
            <w:tcW w:w="2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102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20" w:type="dxa"/>
            <w:vAlign w:val="bottom"/>
          </w:tcPr>
          <w:p>
            <w:pPr>
              <w:ind w:left="220"/>
              <w:spacing w:after="0" w:line="144" w:lineRule="exact"/>
              <w:rPr>
                <w:sz w:val="20"/>
                <w:szCs w:val="20"/>
                <w:color w:val="auto"/>
              </w:rPr>
            </w:pPr>
            <w:r>
              <w:rPr>
                <w:rFonts w:ascii="Times New Roman" w:cs="Times New Roman" w:eastAsia="Times New Roman" w:hAnsi="Times New Roman"/>
                <w:sz w:val="11"/>
                <w:szCs w:val="11"/>
                <w:b w:val="1"/>
                <w:bCs w:val="1"/>
                <w:color w:val="auto"/>
              </w:rPr>
              <w:t>Investment Description</w:t>
            </w:r>
            <w:r>
              <w:rPr>
                <w:rFonts w:ascii="Times New Roman" w:cs="Times New Roman" w:eastAsia="Times New Roman" w:hAnsi="Times New Roman"/>
                <w:sz w:val="14"/>
                <w:szCs w:val="14"/>
                <w:b w:val="1"/>
                <w:bCs w:val="1"/>
                <w:color w:val="auto"/>
                <w:vertAlign w:val="superscript"/>
              </w:rPr>
              <w:t>(1),(2),(4)</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96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900" w:type="dxa"/>
            <w:vAlign w:val="bottom"/>
          </w:tcPr>
          <w:p>
            <w:pPr>
              <w:jc w:val="right"/>
              <w:ind w:right="16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Blueshift Labs,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SOFR+6.25%, 11.25% floor, 2.00%</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12/19/2023</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12/15/2028</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25,500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25,083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25,083</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PIK, 1.50% ETP</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Circadence Corporation</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SOFR+9.50%, 12.26% floor, 10.00%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12/20/2018</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3/15/2024</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23,147</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24,281</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19,028</w:t>
            </w:r>
          </w:p>
        </w:tc>
        <w:tc>
          <w:tcPr>
            <w:tcW w:w="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(9) (10)</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cash cap, 7.50% 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FiscalNote,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PRIME+5.00%, 9.00% floor, 1.00%</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10/19/2020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7/15/2027</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65,916</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65,868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64,615</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PIK, 5.75% ETP</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(13)</w:t>
            </w: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VTX Intermediate Holdings, Inc. (dba</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SOFR+9.00%, 9.50% floor, 10.00%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12/28/2021</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12/28/2026</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87,971</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88,747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87,814</w:t>
            </w:r>
          </w:p>
        </w:tc>
        <w:tc>
          <w:tcPr>
            <w:tcW w:w="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VertexOne)</w:t>
            </w: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cash cap, 4.50% 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- 35.92%*</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203,979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196,540</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Asset Management &amp; Custody Banks</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Betterment Holdings,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PRIME+4.50%, 8.50% floor</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10/6/2023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10/6/2027</w:t>
            </w:r>
          </w:p>
        </w:tc>
        <w:tc>
          <w:tcPr>
            <w:tcW w:w="96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8,000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7,888</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7,860</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(11)</w:t>
            </w:r>
          </w:p>
        </w:tc>
        <w:tc>
          <w:tcPr>
            <w:tcW w:w="500" w:type="dxa"/>
            <w:vAlign w:val="bottom"/>
            <w:shd w:val="clear" w:color="auto" w:fill="CFF0FC"/>
          </w:tcPr>
          <w:p>
            <w:pPr>
              <w:spacing w:after="0"/>
              <w:rPr>
                <w:sz w:val="11"/>
                <w:szCs w:val="11"/>
                <w:color w:val="auto"/>
              </w:rPr>
            </w:pPr>
          </w:p>
        </w:tc>
      </w:tr>
      <w:tr>
        <w:trPr>
          <w:trHeight w:val="132"/>
        </w:trPr>
        <w:tc>
          <w:tcPr>
            <w:tcW w:w="33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Asset Management &amp; Custody Banks - 1.44%*</w:t>
            </w: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7,888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7,860</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Data Processing &amp; Outsourced Services</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Elevate Services,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SOFR+7.50%, 12.78% floor</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7/10/2023</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7/10/2027</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20,000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19,424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19,424</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(11)</w:t>
            </w: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Interactions Corporation</w:t>
            </w:r>
          </w:p>
        </w:tc>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SOFR+9.26%, 9.76% floor, 3.4375%</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6/24/2022</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6/15/2027</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40,000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39,907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39,945</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ShareThis,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SOFR+9.25%, 11.86% floor, 3.00%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12/3/2018</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9/30/2024</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19,950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20,503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19,895</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SOFR+8.25%, 10.86% floor, 3.00%</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8/18/2020</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9/30/2024</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950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978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947</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Vesta Payment Solutions,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SOFR+7.00%, 9.00% floor, 3.00%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11/29/2022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11/15/2026</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25,000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24,769</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24,370</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33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Data Processing &amp; Outsourced Services - 19.12%*</w:t>
            </w: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105,581</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104,581</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Education Services</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Turning Tech Intermediate, Inc. (dba Echo</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SOFR+8.50%, 9.00% floor, 13.00%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6/22/2021</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12/14/2025</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25,218</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25,702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25,796</w:t>
            </w:r>
          </w:p>
        </w:tc>
        <w:tc>
          <w:tcPr>
            <w:tcW w:w="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360, Inc.)</w:t>
            </w: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cash cap, 3.00% 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Education Services - 4.72%*</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25,702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25,796</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Electronic Equipment &amp; Instruments</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Brivo,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SOFR+6.85%, 10.89% floor, 3.00%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10/20/2022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10/20/2027</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26,293</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26,323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26,790</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33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Electronic Equipment &amp; Instruments - 4.90%*</w:t>
            </w: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26,323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26,790</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Equipment</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Moximed,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PRIME+5.25%, 8.75% floor, 3.50%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6/24/2022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7/1/2027</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15,000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14,919</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15,284</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Equipment - 2.79%*</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14,919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15,284</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10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EBR Systems,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PRIME+4.90%, 8.90% floor, 4.50%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6/15/2027</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40,000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39,496</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40,337</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(11) (15)</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Mingle Healthcare Solutions,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SOFR+9.75%, 12.26% floor, 10.50%</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8/15/2018</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12/15/2026</w:t>
            </w:r>
          </w:p>
        </w:tc>
        <w:tc>
          <w:tcPr>
            <w:tcW w:w="9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4,322</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4,952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3,791</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Nalu Medical,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PRIME+2.70%, 6.70% floor, 2.00%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10/12/2022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10/12/2027</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20,482</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20,395</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21,191</w:t>
            </w:r>
          </w:p>
        </w:tc>
        <w:tc>
          <w:tcPr>
            <w:tcW w:w="8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PIK, 4.50% 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3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Route 92 Medical,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SOFR+8.48%, 8.98% floor, 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8/17/2021</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7/1/2026</w:t>
            </w:r>
          </w:p>
        </w:tc>
        <w:tc>
          <w:tcPr>
            <w:tcW w:w="9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35,000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34,239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35,435</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2"/>
        </w:trPr>
        <w:tc>
          <w:tcPr>
            <w:tcW w:w="2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SetPoint Medical Corporation</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Senior Secured</w:t>
            </w: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SOFR+5.75%, 9.00% floor, 4.00%</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12/29/2022</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12/1/2027</w:t>
            </w:r>
          </w:p>
        </w:tc>
        <w:tc>
          <w:tcPr>
            <w:tcW w:w="96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25,000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25,014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25,450</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(10)</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0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r>
      <w:tr>
        <w:trPr>
          <w:trHeight w:val="142"/>
        </w:trPr>
        <w:tc>
          <w:tcPr>
            <w:tcW w:w="230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Healthcare Technology - 23.06%*</w:t>
            </w:r>
          </w:p>
        </w:tc>
        <w:tc>
          <w:tcPr>
            <w:tcW w:w="1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124,096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126,204</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1" w:name="page92"/>
    <w:bookmarkEnd w:id="9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60" w:type="dxa"/>
            <w:vAlign w:val="bottom"/>
          </w:tcPr>
          <w:p>
            <w:pPr>
              <w:spacing w:after="0"/>
              <w:rPr>
                <w:sz w:val="11"/>
                <w:szCs w:val="11"/>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Principal ($) /</w:t>
            </w:r>
          </w:p>
        </w:tc>
        <w:tc>
          <w:tcPr>
            <w:tcW w:w="880" w:type="dxa"/>
            <w:vAlign w:val="bottom"/>
          </w:tcPr>
          <w:p>
            <w:pPr>
              <w:spacing w:after="0"/>
              <w:rPr>
                <w:sz w:val="11"/>
                <w:szCs w:val="11"/>
                <w:color w:val="auto"/>
              </w:rPr>
            </w:pP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Fair</w:t>
            </w:r>
          </w:p>
        </w:tc>
        <w:tc>
          <w:tcPr>
            <w:tcW w:w="820" w:type="dxa"/>
            <w:vAlign w:val="bottom"/>
          </w:tcPr>
          <w:p>
            <w:pPr>
              <w:spacing w:after="0"/>
              <w:rPr>
                <w:sz w:val="11"/>
                <w:szCs w:val="11"/>
                <w:color w:val="auto"/>
              </w:rPr>
            </w:pPr>
          </w:p>
        </w:tc>
      </w:tr>
      <w:tr>
        <w:trPr>
          <w:trHeight w:val="144"/>
        </w:trPr>
        <w:tc>
          <w:tcPr>
            <w:tcW w:w="2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9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900" w:type="dxa"/>
            <w:vAlign w:val="bottom"/>
          </w:tcPr>
          <w:p>
            <w:pPr>
              <w:ind w:left="280"/>
              <w:spacing w:after="0" w:line="144" w:lineRule="exact"/>
              <w:rPr>
                <w:sz w:val="20"/>
                <w:szCs w:val="20"/>
                <w:color w:val="auto"/>
              </w:rPr>
            </w:pPr>
            <w:r>
              <w:rPr>
                <w:rFonts w:ascii="Times New Roman" w:cs="Times New Roman" w:eastAsia="Times New Roman" w:hAnsi="Times New Roman"/>
                <w:sz w:val="11"/>
                <w:szCs w:val="11"/>
                <w:b w:val="1"/>
                <w:bCs w:val="1"/>
                <w:color w:val="auto"/>
              </w:rPr>
              <w:t>Investment Description</w:t>
            </w:r>
            <w:r>
              <w:rPr>
                <w:rFonts w:ascii="Times New Roman" w:cs="Times New Roman" w:eastAsia="Times New Roman" w:hAnsi="Times New Roman"/>
                <w:sz w:val="14"/>
                <w:szCs w:val="14"/>
                <w:b w:val="1"/>
                <w:bCs w:val="1"/>
                <w:color w:val="auto"/>
                <w:vertAlign w:val="superscript"/>
              </w:rPr>
              <w:t>(1),(2),(4)</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8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9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900" w:type="dxa"/>
            <w:vAlign w:val="bottom"/>
          </w:tcPr>
          <w:p>
            <w:pPr>
              <w:jc w:val="right"/>
              <w:ind w:right="14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82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w w:val="99"/>
              </w:rPr>
              <w:t>Human Resource &amp; Employment Services</w:t>
            </w: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CloudPay,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PRIME+6.25%, 10.25% floor, 2.00%</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75,000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74,939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75,465</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9"/>
              </w:rPr>
              <w:t>(5) (8) (10) (11)</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Snagajob.com,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SOFR+8.50% PIK, 9.00% floor, 2.75%</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9/29/2021</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9/1/2025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40,825</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41,170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36,541</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(9) (10)</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 Human Resource &amp; Employment Services - 20.47%*</w:t>
            </w: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116,109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112,006</w:t>
            </w: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Internet &amp; Direct Marketing Retail</w:t>
            </w: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Madison Reed,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PRIME+4.75%, 11.00% floor, 11.00%</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12/16/2022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12/16/2026</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10,913</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10,784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10,847</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cash cap, 3.00% ETP</w:t>
            </w: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Marley Spoon SE</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SOFR+7.50%, 8.26% floor, 1.25% PIK</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6/15/2026</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44,983</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44,836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44,462</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(6) (8) (9) (11)</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Internet &amp; Direct Marketing Retail - 10.11%*</w:t>
            </w: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55,620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55,309</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Internet Software and Services</w:t>
            </w: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Bombora,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SOFR+4.75%, 6.75% floor, 3.25% PIK,</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1/15/2028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28,000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27,879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27,879</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0.96% ETP</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Skillshare,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SOFR+6.50%, 10.72% floor, 3.00%</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11/8/2022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11/8/2026</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30,000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29,765</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29,183</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(10) (11)</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Synack,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SOFR+7.00%, 11.07% floor, 1.00%</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12/29/2023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12/29/2028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40,000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39,758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39,758</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Internet Software and Services - 17.70%*</w:t>
            </w: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97,402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96,820</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Property &amp; Casualty Insurance</w:t>
            </w: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Kin Insurance,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PRIME+6.25%, 12.50% floor, 3.00%</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9/15/2026</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75,000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74,877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74,767</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 (11)</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Property &amp; Casualty Insurance - 13.67%*</w:t>
            </w: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74,877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74,767</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System Software</w:t>
            </w: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3PL Central LLC (dba Extensiv)</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SOFR+4.50%, 6.50% floor, 2.50% PIK,</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11/9/2022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11/9/2027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70,395</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70,064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69,066</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(9) (10) (11)</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2.00% ETP</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Linxup, LLC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Senior Secured</w:t>
            </w: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PRIME+3.25%, 11.75% floor, 2.25%</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11/3/2023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11/15/2027</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30,000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29,490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29,490</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(10) (11)</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Dejero Labs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Second Lien</w:t>
            </w: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SOFR+8.00%, 8.50% floor, 2.00% PIK,</w:t>
            </w: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12/22/2021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12/22/2025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14,172</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14,278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14,399</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(7) (8) (9) (10)</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3.00% ETP</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(11)</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System Software - 20.64%*</w:t>
            </w: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113,832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112,955</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Total Debt Investments - 174.54%*</w:t>
            </w:r>
          </w:p>
        </w:tc>
        <w:tc>
          <w:tcPr>
            <w:tcW w:w="980" w:type="dxa"/>
            <w:vAlign w:val="bottom"/>
            <w:shd w:val="clear" w:color="auto" w:fill="CFF0FC"/>
          </w:tcPr>
          <w:p>
            <w:pPr>
              <w:spacing w:after="0"/>
              <w:rPr>
                <w:sz w:val="11"/>
                <w:szCs w:val="11"/>
                <w:color w:val="auto"/>
              </w:rPr>
            </w:pPr>
          </w:p>
        </w:tc>
        <w:tc>
          <w:tcPr>
            <w:tcW w:w="19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966,328</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954,912</w:t>
            </w:r>
          </w:p>
        </w:tc>
        <w:tc>
          <w:tcPr>
            <w:tcW w:w="820" w:type="dxa"/>
            <w:vAlign w:val="bottom"/>
            <w:shd w:val="clear" w:color="auto" w:fill="CFF0FC"/>
          </w:tcPr>
          <w:p>
            <w:pPr>
              <w:spacing w:after="0"/>
              <w:rPr>
                <w:sz w:val="11"/>
                <w:szCs w:val="1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2" w:name="page93"/>
    <w:bookmarkEnd w:id="9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60" w:type="dxa"/>
            <w:vAlign w:val="bottom"/>
          </w:tcPr>
          <w:p>
            <w:pPr>
              <w:spacing w:after="0"/>
              <w:rPr>
                <w:sz w:val="11"/>
                <w:szCs w:val="11"/>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Principal ($) /</w:t>
            </w:r>
          </w:p>
        </w:tc>
        <w:tc>
          <w:tcPr>
            <w:tcW w:w="880" w:type="dxa"/>
            <w:vAlign w:val="bottom"/>
          </w:tcPr>
          <w:p>
            <w:pPr>
              <w:spacing w:after="0"/>
              <w:rPr>
                <w:sz w:val="11"/>
                <w:szCs w:val="11"/>
                <w:color w:val="auto"/>
              </w:rPr>
            </w:pP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Fair</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4"/>
        </w:trPr>
        <w:tc>
          <w:tcPr>
            <w:tcW w:w="2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9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60" w:type="dxa"/>
            <w:vAlign w:val="bottom"/>
          </w:tcPr>
          <w:p>
            <w:pPr>
              <w:ind w:left="280"/>
              <w:spacing w:after="0" w:line="144" w:lineRule="exact"/>
              <w:rPr>
                <w:sz w:val="20"/>
                <w:szCs w:val="20"/>
                <w:color w:val="auto"/>
              </w:rPr>
            </w:pPr>
            <w:r>
              <w:rPr>
                <w:rFonts w:ascii="Times New Roman" w:cs="Times New Roman" w:eastAsia="Times New Roman" w:hAnsi="Times New Roman"/>
                <w:sz w:val="11"/>
                <w:szCs w:val="11"/>
                <w:b w:val="1"/>
                <w:bCs w:val="1"/>
                <w:color w:val="auto"/>
              </w:rPr>
              <w:t>Investment Description</w:t>
            </w:r>
            <w:r>
              <w:rPr>
                <w:rFonts w:ascii="Times New Roman" w:cs="Times New Roman" w:eastAsia="Times New Roman" w:hAnsi="Times New Roman"/>
                <w:sz w:val="14"/>
                <w:szCs w:val="14"/>
                <w:b w:val="1"/>
                <w:bCs w:val="1"/>
                <w:color w:val="auto"/>
                <w:vertAlign w:val="superscript"/>
              </w:rPr>
              <w:t>(1),(2),(4)</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Maturity Date</w:t>
            </w:r>
          </w:p>
        </w:tc>
        <w:tc>
          <w:tcPr>
            <w:tcW w:w="9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900" w:type="dxa"/>
            <w:vAlign w:val="bottom"/>
          </w:tcPr>
          <w:p>
            <w:pPr>
              <w:jc w:val="right"/>
              <w:ind w:right="14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Equity Investments</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Advertising</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Minute Media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12/13/2023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1,030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120</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120</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(5) (12)</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12/13/2023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134</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16</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(5) (12)</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Total Advertising - 0.03%*</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136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136</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Aria Systems,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G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7/10/2018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289,419</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250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127</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FiscalNote,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10/19/2020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230,881</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438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263</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 (16)</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Application Software - 0.07%*</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688</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390</w:t>
            </w: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CareCloud,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 Series A Cumulative Redeemable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1/8/2020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462,064</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12,132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3,553</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(14)</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Perpetual Preferred Stock</w:t>
            </w: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Healthcare Technology - 0.65%*</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12,132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3,553</w:t>
            </w: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w w:val="99"/>
              </w:rPr>
              <w:t>Human Resource &amp; Employment Services</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Snagajob.com,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Convertible Note</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10/26/2023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12/31/2026</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1,357</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1,357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1,357</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(20)</w:t>
            </w:r>
          </w:p>
        </w:tc>
        <w:tc>
          <w:tcPr>
            <w:tcW w:w="520" w:type="dxa"/>
            <w:vAlign w:val="bottom"/>
          </w:tcPr>
          <w:p>
            <w:pPr>
              <w:spacing w:after="0"/>
              <w:rPr>
                <w:sz w:val="11"/>
                <w:szCs w:val="11"/>
                <w:color w:val="auto"/>
              </w:rPr>
            </w:pP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Human Resource &amp; Employment Services - 0.25%*</w:t>
            </w: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1,357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1,357</w:t>
            </w: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Internet &amp; Direct Marketing Retail</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Marley Spoon SE</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7/7/2023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46,004</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410</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(6) (12) (19)</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Internet &amp; Direct Marketing Retail - 0.02%*</w:t>
            </w: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410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125</w:t>
            </w: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3280" w:type="dxa"/>
            <w:vAlign w:val="bottom"/>
            <w:gridSpan w:val="2"/>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Technology Hardware, Storage &amp; Peripherals</w:t>
            </w: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Quantum Corporation</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8/13/2021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459,720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2,607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(8) (12) (14)</w:t>
            </w: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(16)</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zSpace,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Equity</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12/31/2020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6,078,499</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1,119</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 Technology Hardware, Storage &amp; Peripherals - 0.03%*</w:t>
            </w: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3,726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Equity Investments - 1.05%*</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18,449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5,721</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3DNA Corp. (dba NationBuilder)</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C-1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12/28/2018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12/28/2028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273,164</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Aria Systems,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G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6/29/2018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6/29/2028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2,387,705</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1,048</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1,048</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Blueshift Labs,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12/19/2023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167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167</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Circadence Corporation</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A-6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12/20/2018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12/20/2028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1,538,462</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3,630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48</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A-6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10/31/2019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10/31/2029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384,615</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846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304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283</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Dtex Systems,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C-Prime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6/1/2018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6/1/2025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500,000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233</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C-Prime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7/11/2019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7/11/2026</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833,333</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115</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389</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FiscalNote,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Earnout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7/29/2022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7/29/2027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127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 (18)</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Application Software - 0.40%*</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6,400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2,196</w:t>
            </w: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Asset Management &amp; Custody Banks</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Betterment Holdings,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10/6/2033</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7,680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146</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10/6/2023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10/6/2033</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9,818</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40</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42"/>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 Asset Management &amp; Custody Banks - 0.03%*</w:t>
            </w:r>
          </w:p>
        </w:tc>
        <w:tc>
          <w:tcPr>
            <w:tcW w:w="1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161</w:t>
            </w: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r>
    </w:tbl>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3" w:name="page94"/>
    <w:bookmarkEnd w:id="9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60" w:type="dxa"/>
            <w:vAlign w:val="bottom"/>
          </w:tcPr>
          <w:p>
            <w:pPr>
              <w:spacing w:after="0"/>
              <w:rPr>
                <w:sz w:val="11"/>
                <w:szCs w:val="11"/>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Principal ($) /</w:t>
            </w:r>
          </w:p>
        </w:tc>
        <w:tc>
          <w:tcPr>
            <w:tcW w:w="880" w:type="dxa"/>
            <w:vAlign w:val="bottom"/>
          </w:tcPr>
          <w:p>
            <w:pPr>
              <w:spacing w:after="0"/>
              <w:rPr>
                <w:sz w:val="11"/>
                <w:szCs w:val="11"/>
                <w:color w:val="auto"/>
              </w:rPr>
            </w:pP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Fair</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44"/>
        </w:trPr>
        <w:tc>
          <w:tcPr>
            <w:tcW w:w="2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9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60" w:type="dxa"/>
            <w:vAlign w:val="bottom"/>
          </w:tcPr>
          <w:p>
            <w:pPr>
              <w:ind w:left="280"/>
              <w:spacing w:after="0" w:line="144" w:lineRule="exact"/>
              <w:rPr>
                <w:sz w:val="20"/>
                <w:szCs w:val="20"/>
                <w:color w:val="auto"/>
              </w:rPr>
            </w:pPr>
            <w:r>
              <w:rPr>
                <w:rFonts w:ascii="Times New Roman" w:cs="Times New Roman" w:eastAsia="Times New Roman" w:hAnsi="Times New Roman"/>
                <w:sz w:val="11"/>
                <w:szCs w:val="11"/>
                <w:b w:val="1"/>
                <w:bCs w:val="1"/>
                <w:color w:val="auto"/>
              </w:rPr>
              <w:t>Investment Description</w:t>
            </w:r>
            <w:r>
              <w:rPr>
                <w:rFonts w:ascii="Times New Roman" w:cs="Times New Roman" w:eastAsia="Times New Roman" w:hAnsi="Times New Roman"/>
                <w:sz w:val="14"/>
                <w:szCs w:val="14"/>
                <w:b w:val="1"/>
                <w:bCs w:val="1"/>
                <w:color w:val="auto"/>
                <w:vertAlign w:val="superscript"/>
              </w:rPr>
              <w:t>(1),(2),(4)</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8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9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900" w:type="dxa"/>
            <w:vAlign w:val="bottom"/>
          </w:tcPr>
          <w:p>
            <w:pPr>
              <w:jc w:val="right"/>
              <w:ind w:right="14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Biotechnology</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Mustang Bio,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3/4/2032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748,036</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315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39</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(14)</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TRACON Pharmaceuticals,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9/2/2022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9/2/2032</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150,753</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226</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(14)</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Total Biotechnology - 0.01%*</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541</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Computer &amp; Electronics Retail</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Massdrop,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7/22/2019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7/22/2029</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848,093</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183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 Computer &amp; Electronics Retail - 0.00%*</w:t>
            </w: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183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Data Processing &amp; Outsourced Services</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Elevate Services,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C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7/10/2023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7/10/2033</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248,997</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447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384</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Interactions Corporation</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6/24/2032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189,408</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219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ShareThis,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D-3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12/3/2018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12/3/2028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647,615</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2,162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803</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3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Total Data Processing &amp; Outsourced Services - 0.23%*</w:t>
            </w: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2,828</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1,254</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Electronic Equipment &amp; Instruments</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Brivo,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A-2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10/20/2022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10/20/2032</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201,000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98</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322</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Epic IO Technologies,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12/17/2021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12/17/2028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505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423</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Electronic Equipment &amp; Instruments - 0.14%*</w:t>
            </w: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603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745</w:t>
            </w: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Healthcare Equipment</w:t>
            </w: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Moximed,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C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6/24/2032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214,285</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138</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Revelle Aesthetics,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A-2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3/30/2022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3/30/2032</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115,591</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126</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102</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Total Healthcare Equipment - 0.04%*</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301</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240</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Allurion Technologies,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3/30/2021</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1/22/2025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132,979</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282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300" w:type="dxa"/>
            <w:vAlign w:val="bottom"/>
          </w:tcPr>
          <w:p>
            <w:pPr>
              <w:spacing w:after="0"/>
              <w:rPr>
                <w:sz w:val="11"/>
                <w:szCs w:val="1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6/14/2022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1/22/2025</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46,256</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141</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9/15/2022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1/22/2025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46,256</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144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(13)</w:t>
            </w:r>
          </w:p>
        </w:tc>
      </w:tr>
      <w:tr>
        <w:trPr>
          <w:trHeight w:val="132"/>
        </w:trPr>
        <w:tc>
          <w:tcPr>
            <w:tcW w:w="2300" w:type="dxa"/>
            <w:vAlign w:val="bottom"/>
          </w:tcPr>
          <w:p>
            <w:pPr>
              <w:spacing w:after="0"/>
              <w:rPr>
                <w:sz w:val="11"/>
                <w:szCs w:val="1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Earnout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8/2/2023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8/1/2028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 (18)</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EBR Systems,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6/30/2032</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605</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690</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(15) (18)</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Mingle Healthcare Solutions,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CC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8/15/2018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8/15/2028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1,770,973</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492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Nalu Medical,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D-2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10/12/2022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10/12/2032</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91,717</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173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99</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Route 92 Medical,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8/17/2031</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835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897</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SetPoint Medical Corporation</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6/29/2021</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6/29/2031</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400,000</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133</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12/29/2022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12/29/2032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600,000</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199</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VERO Biotech LLC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12/29/2020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12/29/2025</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377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396</w:t>
            </w: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(18)</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Total Healthcare Technology - 0.46%*</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3,137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2,506</w:t>
            </w: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w w:val="99"/>
              </w:rPr>
              <w:t>Human Resource &amp; Employment Services</w:t>
            </w:r>
          </w:p>
        </w:tc>
        <w:tc>
          <w:tcPr>
            <w:tcW w:w="9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CloudPay,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B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6/30/2030</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11,273</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218</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1,001</w:t>
            </w: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(5) (8) (12)</w:t>
            </w:r>
          </w:p>
        </w:tc>
      </w:tr>
      <w:tr>
        <w:trPr>
          <w:trHeight w:val="132"/>
        </w:trPr>
        <w:tc>
          <w:tcPr>
            <w:tcW w:w="2300" w:type="dxa"/>
            <w:vAlign w:val="bottom"/>
          </w:tcPr>
          <w:p>
            <w:pPr>
              <w:spacing w:after="0"/>
              <w:rPr>
                <w:sz w:val="11"/>
                <w:szCs w:val="1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D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8/17/2031</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3,502</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(5) (8) (12)</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D Preferred Stock</w:t>
            </w: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9/26/2022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9/26/2032</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5,252</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176</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143</w:t>
            </w:r>
          </w:p>
        </w:tc>
        <w:tc>
          <w:tcPr>
            <w:tcW w:w="8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(5) (8) (12)</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Snagajob.com,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 for Series B-1 Preferred Stock</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9/29/2021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9/29/2031</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763,269</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343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(12)</w:t>
            </w:r>
          </w:p>
        </w:tc>
        <w:tc>
          <w:tcPr>
            <w:tcW w:w="520" w:type="dxa"/>
            <w:vAlign w:val="bottom"/>
          </w:tcPr>
          <w:p>
            <w:pPr>
              <w:spacing w:after="0"/>
              <w:rPr>
                <w:sz w:val="11"/>
                <w:szCs w:val="11"/>
                <w:color w:val="auto"/>
              </w:rPr>
            </w:pP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Human Resource &amp; Employment Services - 0.23%*</w:t>
            </w:r>
          </w:p>
        </w:tc>
        <w:tc>
          <w:tcPr>
            <w:tcW w:w="186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789</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1,239</w:t>
            </w:r>
          </w:p>
        </w:tc>
        <w:tc>
          <w:tcPr>
            <w:tcW w:w="3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4" w:name="page95"/>
    <w:bookmarkEnd w:id="9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8"/>
              </w:rPr>
              <w:t>Initial Acquisition</w:t>
            </w:r>
          </w:p>
        </w:tc>
        <w:tc>
          <w:tcPr>
            <w:tcW w:w="860" w:type="dxa"/>
            <w:vAlign w:val="bottom"/>
          </w:tcPr>
          <w:p>
            <w:pPr>
              <w:spacing w:after="0"/>
              <w:rPr>
                <w:sz w:val="11"/>
                <w:szCs w:val="11"/>
                <w:color w:val="auto"/>
              </w:rPr>
            </w:pPr>
          </w:p>
        </w:tc>
        <w:tc>
          <w:tcPr>
            <w:tcW w:w="94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Principal ($) /</w:t>
            </w:r>
          </w:p>
        </w:tc>
        <w:tc>
          <w:tcPr>
            <w:tcW w:w="880" w:type="dxa"/>
            <w:vAlign w:val="bottom"/>
          </w:tcPr>
          <w:p>
            <w:pPr>
              <w:spacing w:after="0"/>
              <w:rPr>
                <w:sz w:val="11"/>
                <w:szCs w:val="11"/>
                <w:color w:val="auto"/>
              </w:rPr>
            </w:pPr>
          </w:p>
        </w:tc>
        <w:tc>
          <w:tcPr>
            <w:tcW w:w="90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Fair</w:t>
            </w:r>
          </w:p>
        </w:tc>
        <w:tc>
          <w:tcPr>
            <w:tcW w:w="820" w:type="dxa"/>
            <w:vAlign w:val="bottom"/>
          </w:tcPr>
          <w:p>
            <w:pPr>
              <w:spacing w:after="0"/>
              <w:rPr>
                <w:sz w:val="11"/>
                <w:szCs w:val="11"/>
                <w:color w:val="auto"/>
              </w:rPr>
            </w:pPr>
          </w:p>
        </w:tc>
      </w:tr>
      <w:tr>
        <w:trPr>
          <w:trHeight w:val="144"/>
        </w:trPr>
        <w:tc>
          <w:tcPr>
            <w:tcW w:w="23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9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00" w:type="dxa"/>
            <w:vAlign w:val="bottom"/>
          </w:tcPr>
          <w:p>
            <w:pPr>
              <w:ind w:left="280"/>
              <w:spacing w:after="0" w:line="144" w:lineRule="exact"/>
              <w:rPr>
                <w:sz w:val="20"/>
                <w:szCs w:val="20"/>
                <w:color w:val="auto"/>
              </w:rPr>
            </w:pPr>
            <w:r>
              <w:rPr>
                <w:rFonts w:ascii="Times New Roman" w:cs="Times New Roman" w:eastAsia="Times New Roman" w:hAnsi="Times New Roman"/>
                <w:sz w:val="11"/>
                <w:szCs w:val="11"/>
                <w:b w:val="1"/>
                <w:bCs w:val="1"/>
                <w:color w:val="auto"/>
              </w:rPr>
              <w:t>Investment Description</w:t>
            </w:r>
            <w:r>
              <w:rPr>
                <w:rFonts w:ascii="Times New Roman" w:cs="Times New Roman" w:eastAsia="Times New Roman" w:hAnsi="Times New Roman"/>
                <w:sz w:val="14"/>
                <w:szCs w:val="14"/>
                <w:b w:val="1"/>
                <w:bCs w:val="1"/>
                <w:color w:val="auto"/>
                <w:vertAlign w:val="superscript"/>
              </w:rPr>
              <w:t>(1),(2),(4)</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Maturity Date</w:t>
            </w:r>
          </w:p>
        </w:tc>
        <w:tc>
          <w:tcPr>
            <w:tcW w:w="940" w:type="dxa"/>
            <w:vAlign w:val="bottom"/>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900" w:type="dxa"/>
            <w:vAlign w:val="bottom"/>
          </w:tcPr>
          <w:p>
            <w:pPr>
              <w:jc w:val="right"/>
              <w:ind w:right="146"/>
              <w:spacing w:after="0" w:line="144" w:lineRule="exact"/>
              <w:rPr>
                <w:sz w:val="20"/>
                <w:szCs w:val="20"/>
                <w:color w:val="auto"/>
              </w:rPr>
            </w:pPr>
            <w:r>
              <w:rPr>
                <w:rFonts w:ascii="Times New Roman" w:cs="Times New Roman" w:eastAsia="Times New Roman" w:hAnsi="Times New Roman"/>
                <w:sz w:val="11"/>
                <w:szCs w:val="11"/>
                <w:b w:val="1"/>
                <w:bCs w:val="1"/>
                <w:color w:val="auto"/>
              </w:rPr>
              <w:t xml:space="preserve">Value ($) </w:t>
            </w:r>
            <w:r>
              <w:rPr>
                <w:rFonts w:ascii="Times New Roman" w:cs="Times New Roman" w:eastAsia="Times New Roman" w:hAnsi="Times New Roman"/>
                <w:sz w:val="14"/>
                <w:szCs w:val="14"/>
                <w:b w:val="1"/>
                <w:bCs w:val="1"/>
                <w:color w:val="auto"/>
                <w:vertAlign w:val="superscript"/>
              </w:rPr>
              <w:t>(3)</w:t>
            </w:r>
          </w:p>
        </w:tc>
        <w:tc>
          <w:tcPr>
            <w:tcW w:w="82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Non-Control/Non-Affiliate Investments</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Internet &amp; Direct Marketing Retail</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Madison Reed,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12/16/2022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N/A</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154</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 (18)</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Internet &amp; Direct Marketing Retail - 0.03%*</w:t>
            </w: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143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154</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Internet Software and Services</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Bombora,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3/31/2021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3/31/2031</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121,581</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174</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12/26/2023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12/26/2033</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48,632</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Fidelis Cybersecurity,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3/25/2022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3/25/2032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79</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 (17)</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INRIX,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7/26/2019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7/26/2029</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150,804</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522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735</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48"/>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Longtail Ad Solutions, Inc. (dba JW Player)</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12/12/2019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12/12/2029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387,596</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321</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40"/>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Skillshare, Inc.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8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11/8/2022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11/8/2026</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301</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294</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(12) (18)</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Synack,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5"/>
              </w:rPr>
              <w:t>12/29/2023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6/30/2032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116,908</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147</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147</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Internet Software and Services - 0.30%*</w:t>
            </w: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1,313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1,642</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Property &amp; Casualty Insurance</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Kin Insurance,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D-3 Preferred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9/26/2022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9/26/2032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41,576</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302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292</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D-3 Preferred Stock</w:t>
            </w:r>
          </w:p>
        </w:tc>
        <w:tc>
          <w:tcPr>
            <w:tcW w:w="108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rPr>
              <w:t>5/5/2023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9/26/2032</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11,549</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81</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tcPr>
          <w:p>
            <w:pPr>
              <w:spacing w:after="0"/>
              <w:rPr>
                <w:sz w:val="11"/>
                <w:szCs w:val="1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D-3 Preferred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8/25/2023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9/26/2032</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9,239</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55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Property &amp; Casualty Insurance - 0.08%*</w:t>
            </w: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426</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438</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Specialized Consumer Services</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AllClear ID,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8/31/2017</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8/31/2027</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523,893</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1,053</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10/17/2018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8/31/2027</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346,621</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697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Credit Sesame,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rPr>
              <w:t>1/7/2020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1/7/2030</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191,601</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425</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373</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Specialized Consumer Services - 0.07%*</w:t>
            </w: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2,175</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373</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System Software</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Dejero Labs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5/31/2019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5/31/2029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333,621</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192</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268</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(7) (8) (12)</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Linxup, LLC</w:t>
            </w: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08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8"/>
              </w:rPr>
              <w:t>11/3/2023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8"/>
              </w:rPr>
              <w:t>11/3/2033</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N/A</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253</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294</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(12) (18)</w:t>
            </w: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Scale Computing,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3/29/2019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3/29/2029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9,665,667</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346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System Software - 0.10%*</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791</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562</w:t>
            </w:r>
          </w:p>
        </w:tc>
        <w:tc>
          <w:tcPr>
            <w:tcW w:w="820" w:type="dxa"/>
            <w:vAlign w:val="bottom"/>
            <w:shd w:val="clear" w:color="auto" w:fill="CFF0FC"/>
          </w:tcPr>
          <w:p>
            <w:pPr>
              <w:spacing w:after="0"/>
              <w:rPr>
                <w:sz w:val="11"/>
                <w:szCs w:val="11"/>
                <w:color w:val="auto"/>
              </w:rPr>
            </w:pPr>
          </w:p>
        </w:tc>
      </w:tr>
      <w:tr>
        <w:trPr>
          <w:trHeight w:val="132"/>
        </w:trPr>
        <w:tc>
          <w:tcPr>
            <w:tcW w:w="328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Technology Hardware, Storage &amp; Peripherals</w:t>
            </w: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RealWear, Inc.</w:t>
            </w: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A Preferred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10/5/2018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10/5/2028</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112,451</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136</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178</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shd w:val="clear" w:color="auto" w:fill="CFF0FC"/>
          </w:tcPr>
          <w:p>
            <w:pPr>
              <w:spacing w:after="0"/>
              <w:rPr>
                <w:sz w:val="11"/>
                <w:szCs w:val="11"/>
                <w:color w:val="auto"/>
              </w:rPr>
            </w:pPr>
          </w:p>
        </w:tc>
        <w:tc>
          <w:tcPr>
            <w:tcW w:w="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A Preferred Stock</w:t>
            </w:r>
          </w:p>
        </w:tc>
        <w:tc>
          <w:tcPr>
            <w:tcW w:w="1080" w:type="dxa"/>
            <w:vAlign w:val="bottom"/>
            <w:shd w:val="clear" w:color="auto" w:fill="CFF0FC"/>
          </w:tcPr>
          <w:p>
            <w:pPr>
              <w:jc w:val="center"/>
              <w:ind w:left="26"/>
              <w:spacing w:after="0"/>
              <w:rPr>
                <w:sz w:val="20"/>
                <w:szCs w:val="20"/>
                <w:color w:val="auto"/>
              </w:rPr>
            </w:pPr>
            <w:r>
              <w:rPr>
                <w:rFonts w:ascii="Times New Roman" w:cs="Times New Roman" w:eastAsia="Times New Roman" w:hAnsi="Times New Roman"/>
                <w:sz w:val="11"/>
                <w:szCs w:val="11"/>
                <w:color w:val="auto"/>
                <w:w w:val="95"/>
              </w:rPr>
              <w:t>12/28/2018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5"/>
              </w:rPr>
              <w:t>12/28/2028</w:t>
            </w:r>
          </w:p>
        </w:tc>
        <w:tc>
          <w:tcPr>
            <w:tcW w:w="940" w:type="dxa"/>
            <w:vAlign w:val="bottom"/>
            <w:shd w:val="clear" w:color="auto" w:fill="CFF0FC"/>
          </w:tcPr>
          <w:p>
            <w:pPr>
              <w:jc w:val="right"/>
              <w:ind w:right="146"/>
              <w:spacing w:after="0"/>
              <w:rPr>
                <w:sz w:val="20"/>
                <w:szCs w:val="20"/>
                <w:color w:val="auto"/>
              </w:rPr>
            </w:pPr>
            <w:r>
              <w:rPr>
                <w:rFonts w:ascii="Times New Roman" w:cs="Times New Roman" w:eastAsia="Times New Roman" w:hAnsi="Times New Roman"/>
                <w:sz w:val="11"/>
                <w:szCs w:val="11"/>
                <w:color w:val="auto"/>
              </w:rPr>
              <w:t>22,491</w:t>
            </w: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25</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36</w:t>
            </w:r>
          </w:p>
        </w:tc>
        <w:tc>
          <w:tcPr>
            <w:tcW w:w="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300" w:type="dxa"/>
            <w:vAlign w:val="bottom"/>
          </w:tcPr>
          <w:p>
            <w:pPr>
              <w:spacing w:after="0"/>
              <w:rPr>
                <w:sz w:val="11"/>
                <w:szCs w:val="1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Warrants</w:t>
            </w:r>
          </w:p>
        </w:tc>
        <w:tc>
          <w:tcPr>
            <w:tcW w:w="18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A Preferred Stock</w:t>
            </w:r>
          </w:p>
        </w:tc>
        <w:tc>
          <w:tcPr>
            <w:tcW w:w="1080" w:type="dxa"/>
            <w:vAlign w:val="bottom"/>
          </w:tcPr>
          <w:p>
            <w:pPr>
              <w:jc w:val="center"/>
              <w:ind w:left="26"/>
              <w:spacing w:after="0"/>
              <w:rPr>
                <w:sz w:val="20"/>
                <w:szCs w:val="20"/>
                <w:color w:val="auto"/>
              </w:rPr>
            </w:pPr>
            <w:r>
              <w:rPr>
                <w:rFonts w:ascii="Times New Roman" w:cs="Times New Roman" w:eastAsia="Times New Roman" w:hAnsi="Times New Roman"/>
                <w:sz w:val="11"/>
                <w:szCs w:val="11"/>
                <w:color w:val="auto"/>
                <w:w w:val="98"/>
              </w:rPr>
              <w:t>6/27/2019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6/27/2029</w:t>
            </w:r>
          </w:p>
        </w:tc>
        <w:tc>
          <w:tcPr>
            <w:tcW w:w="94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123,894</w:t>
            </w:r>
          </w:p>
        </w:tc>
        <w:tc>
          <w:tcPr>
            <w:tcW w:w="8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381</w:t>
            </w:r>
          </w:p>
        </w:tc>
        <w:tc>
          <w:tcPr>
            <w:tcW w:w="9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196</w:t>
            </w:r>
          </w:p>
        </w:tc>
        <w:tc>
          <w:tcPr>
            <w:tcW w:w="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32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Technology Hardware, Storage &amp; Peripherals - 0.07%*</w:t>
            </w: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542</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410</w:t>
            </w:r>
          </w:p>
        </w:tc>
        <w:tc>
          <w:tcPr>
            <w:tcW w:w="820" w:type="dxa"/>
            <w:vAlign w:val="bottom"/>
            <w:shd w:val="clear" w:color="auto" w:fill="CFF0FC"/>
          </w:tcPr>
          <w:p>
            <w:pPr>
              <w:spacing w:after="0"/>
              <w:rPr>
                <w:sz w:val="11"/>
                <w:szCs w:val="11"/>
                <w:color w:val="auto"/>
              </w:rPr>
            </w:pPr>
          </w:p>
        </w:tc>
      </w:tr>
      <w:tr>
        <w:trPr>
          <w:trHeight w:val="132"/>
        </w:trPr>
        <w:tc>
          <w:tcPr>
            <w:tcW w:w="2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2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rPr>
              <w:t>Total Warrants - 2.19%*</w:t>
            </w:r>
          </w:p>
        </w:tc>
        <w:tc>
          <w:tcPr>
            <w:tcW w:w="980" w:type="dxa"/>
            <w:vAlign w:val="bottom"/>
            <w:shd w:val="clear" w:color="auto" w:fill="CFF0FC"/>
          </w:tcPr>
          <w:p>
            <w:pPr>
              <w:spacing w:after="0"/>
              <w:rPr>
                <w:sz w:val="11"/>
                <w:szCs w:val="11"/>
                <w:color w:val="auto"/>
              </w:rPr>
            </w:pP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20,247</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11,971</w:t>
            </w:r>
          </w:p>
        </w:tc>
        <w:tc>
          <w:tcPr>
            <w:tcW w:w="820" w:type="dxa"/>
            <w:vAlign w:val="bottom"/>
            <w:shd w:val="clear" w:color="auto" w:fill="CFF0FC"/>
          </w:tcPr>
          <w:p>
            <w:pPr>
              <w:spacing w:after="0"/>
              <w:rPr>
                <w:sz w:val="11"/>
                <w:szCs w:val="11"/>
                <w:color w:val="auto"/>
              </w:rPr>
            </w:pPr>
          </w:p>
        </w:tc>
      </w:tr>
      <w:tr>
        <w:trPr>
          <w:trHeight w:val="132"/>
        </w:trPr>
        <w:tc>
          <w:tcPr>
            <w:tcW w:w="3280" w:type="dxa"/>
            <w:vAlign w:val="bottom"/>
            <w:gridSpan w:val="2"/>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2"/>
        </w:trPr>
        <w:tc>
          <w:tcPr>
            <w:tcW w:w="3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Total Non-Control/Non-Affiliate Investments - 177.78%*</w:t>
            </w:r>
          </w:p>
        </w:tc>
        <w:tc>
          <w:tcPr>
            <w:tcW w:w="18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1,005,024</w:t>
            </w:r>
          </w:p>
        </w:tc>
        <w:tc>
          <w:tcPr>
            <w:tcW w:w="9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972,604</w:t>
            </w:r>
          </w:p>
        </w:tc>
        <w:tc>
          <w:tcPr>
            <w:tcW w:w="820" w:type="dxa"/>
            <w:vAlign w:val="bottom"/>
            <w:shd w:val="clear" w:color="auto" w:fill="CFF0FC"/>
          </w:tcPr>
          <w:p>
            <w:pPr>
              <w:spacing w:after="0"/>
              <w:rPr>
                <w:sz w:val="11"/>
                <w:szCs w:val="1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5" w:name="page96"/>
    <w:bookmarkEnd w:id="9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Initial Acquisition</w:t>
            </w:r>
          </w:p>
        </w:tc>
        <w:tc>
          <w:tcPr>
            <w:tcW w:w="920" w:type="dxa"/>
            <w:vAlign w:val="bottom"/>
          </w:tcPr>
          <w:p>
            <w:pPr>
              <w:spacing w:after="0"/>
              <w:rPr>
                <w:sz w:val="11"/>
                <w:szCs w:val="11"/>
                <w:color w:val="auto"/>
              </w:rPr>
            </w:pPr>
          </w:p>
        </w:tc>
        <w:tc>
          <w:tcPr>
            <w:tcW w:w="1240" w:type="dxa"/>
            <w:vAlign w:val="bottom"/>
            <w:gridSpan w:val="2"/>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Principal ($) /</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Fair</w:t>
            </w:r>
          </w:p>
        </w:tc>
        <w:tc>
          <w:tcPr>
            <w:tcW w:w="740" w:type="dxa"/>
            <w:vAlign w:val="bottom"/>
          </w:tcPr>
          <w:p>
            <w:pPr>
              <w:spacing w:after="0"/>
              <w:rPr>
                <w:sz w:val="11"/>
                <w:szCs w:val="11"/>
                <w:color w:val="auto"/>
              </w:rPr>
            </w:pPr>
          </w:p>
        </w:tc>
      </w:tr>
      <w:tr>
        <w:trPr>
          <w:trHeight w:val="144"/>
        </w:trPr>
        <w:tc>
          <w:tcPr>
            <w:tcW w:w="2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Portfolio Company</w:t>
            </w: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Investment Type</w:t>
            </w:r>
          </w:p>
        </w:tc>
        <w:tc>
          <w:tcPr>
            <w:tcW w:w="1840" w:type="dxa"/>
            <w:vAlign w:val="bottom"/>
          </w:tcPr>
          <w:p>
            <w:pPr>
              <w:ind w:left="300"/>
              <w:spacing w:after="0" w:line="144" w:lineRule="exact"/>
              <w:rPr>
                <w:sz w:val="20"/>
                <w:szCs w:val="20"/>
                <w:color w:val="auto"/>
              </w:rPr>
            </w:pPr>
            <w:r>
              <w:rPr>
                <w:rFonts w:ascii="Times New Roman" w:cs="Times New Roman" w:eastAsia="Times New Roman" w:hAnsi="Times New Roman"/>
                <w:sz w:val="11"/>
                <w:szCs w:val="11"/>
                <w:b w:val="1"/>
                <w:bCs w:val="1"/>
                <w:color w:val="auto"/>
              </w:rPr>
              <w:t>Investment Description</w:t>
            </w:r>
            <w:r>
              <w:rPr>
                <w:rFonts w:ascii="Times New Roman" w:cs="Times New Roman" w:eastAsia="Times New Roman" w:hAnsi="Times New Roman"/>
                <w:sz w:val="14"/>
                <w:szCs w:val="14"/>
                <w:b w:val="1"/>
                <w:bCs w:val="1"/>
                <w:color w:val="auto"/>
                <w:vertAlign w:val="superscript"/>
              </w:rPr>
              <w:t>(1),(2),(4)</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Maturity Date</w:t>
            </w:r>
          </w:p>
        </w:tc>
        <w:tc>
          <w:tcPr>
            <w:tcW w:w="1240" w:type="dxa"/>
            <w:vAlign w:val="bottom"/>
            <w:gridSpan w:val="2"/>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66"/>
              <w:spacing w:after="0" w:line="144" w:lineRule="exact"/>
              <w:rPr>
                <w:sz w:val="20"/>
                <w:szCs w:val="20"/>
                <w:color w:val="auto"/>
              </w:rPr>
            </w:pPr>
            <w:r>
              <w:rPr>
                <w:rFonts w:ascii="Times New Roman" w:cs="Times New Roman" w:eastAsia="Times New Roman" w:hAnsi="Times New Roman"/>
                <w:sz w:val="11"/>
                <w:szCs w:val="11"/>
                <w:b w:val="1"/>
                <w:bCs w:val="1"/>
                <w:color w:val="auto"/>
                <w:w w:val="91"/>
              </w:rPr>
              <w:t xml:space="preserve">Value ($) </w:t>
            </w:r>
            <w:r>
              <w:rPr>
                <w:rFonts w:ascii="Times New Roman" w:cs="Times New Roman" w:eastAsia="Times New Roman" w:hAnsi="Times New Roman"/>
                <w:sz w:val="14"/>
                <w:szCs w:val="14"/>
                <w:b w:val="1"/>
                <w:bCs w:val="1"/>
                <w:color w:val="auto"/>
                <w:w w:val="91"/>
                <w:vertAlign w:val="superscript"/>
              </w:rPr>
              <w:t>(3)</w:t>
            </w:r>
          </w:p>
        </w:tc>
        <w:tc>
          <w:tcPr>
            <w:tcW w:w="74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Footnotes</w:t>
            </w:r>
          </w:p>
        </w:tc>
      </w:tr>
      <w:tr>
        <w:trPr>
          <w:trHeight w:val="132"/>
        </w:trPr>
        <w:tc>
          <w:tcPr>
            <w:tcW w:w="2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Affiliate Investments</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(22)</w:t>
            </w:r>
          </w:p>
        </w:tc>
      </w:tr>
      <w:tr>
        <w:trPr>
          <w:trHeight w:val="132"/>
        </w:trPr>
        <w:tc>
          <w:tcPr>
            <w:tcW w:w="214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Debt Investments</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Gynesonics, Inc.</w:t>
            </w:r>
          </w:p>
        </w:tc>
        <w:tc>
          <w:tcPr>
            <w:tcW w:w="880" w:type="dxa"/>
            <w:vAlign w:val="bottom"/>
          </w:tcPr>
          <w:p>
            <w:pPr>
              <w:spacing w:after="0"/>
              <w:rPr>
                <w:sz w:val="20"/>
                <w:szCs w:val="20"/>
                <w:color w:val="auto"/>
              </w:rPr>
            </w:pPr>
            <w:r>
              <w:rPr>
                <w:rFonts w:ascii="Times New Roman" w:cs="Times New Roman" w:eastAsia="Times New Roman" w:hAnsi="Times New Roman"/>
                <w:sz w:val="11"/>
                <w:szCs w:val="11"/>
                <w:color w:val="auto"/>
              </w:rPr>
              <w:t>Senior Secured</w:t>
            </w:r>
          </w:p>
        </w:tc>
        <w:tc>
          <w:tcPr>
            <w:tcW w:w="1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SOFR+8.75%, 8.00% ceiling, 5.00%</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3/1/2023</w:t>
            </w: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9"/>
              </w:rPr>
              <w:t>11/30/2026</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25,595</w:t>
            </w: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25,897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23,586</w:t>
            </w:r>
          </w:p>
        </w:tc>
        <w:tc>
          <w:tcPr>
            <w:tcW w:w="7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(10) (11)</w:t>
            </w:r>
          </w:p>
        </w:tc>
      </w:tr>
      <w:tr>
        <w:trPr>
          <w:trHeight w:val="132"/>
        </w:trPr>
        <w:tc>
          <w:tcPr>
            <w:tcW w:w="2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ETP</w:t>
            </w: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w w:val="97"/>
              </w:rPr>
              <w:t>Total Healthcare Technology - 4.31%*</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25,897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23,586</w:t>
            </w: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b w:val="1"/>
                <w:bCs w:val="1"/>
                <w:color w:val="auto"/>
              </w:rPr>
              <w:t>Total Debt Investments - 4.31%*</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25,897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23,586</w:t>
            </w: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b w:val="1"/>
                <w:bCs w:val="1"/>
                <w:color w:val="auto"/>
              </w:rPr>
              <w:t>Equity Investments</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Coginiti Corp</w:t>
            </w: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Equity</w:t>
            </w:r>
          </w:p>
        </w:tc>
        <w:tc>
          <w:tcPr>
            <w:tcW w:w="1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3/9/2020</w:t>
            </w:r>
          </w:p>
        </w:tc>
        <w:tc>
          <w:tcPr>
            <w:tcW w:w="92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4"/>
              </w:rPr>
              <w:t>N/A</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1,040,160</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4,551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856</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- 0.16%*</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4,551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856</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49"/>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9"/>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Gynesonics, Inc.</w:t>
            </w: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Equity</w:t>
            </w:r>
          </w:p>
        </w:tc>
        <w:tc>
          <w:tcPr>
            <w:tcW w:w="1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Series A-2 Preferred Stock</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3/1/2023</w:t>
            </w:r>
          </w:p>
        </w:tc>
        <w:tc>
          <w:tcPr>
            <w:tcW w:w="92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4"/>
              </w:rPr>
              <w:t>N/A</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3,266,668</w:t>
            </w: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25,000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21,461</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140" w:type="dxa"/>
            <w:vAlign w:val="bottom"/>
          </w:tcPr>
          <w:p>
            <w:pPr>
              <w:spacing w:after="0"/>
              <w:rPr>
                <w:sz w:val="11"/>
                <w:szCs w:val="1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1"/>
                <w:szCs w:val="11"/>
                <w:color w:val="auto"/>
              </w:rPr>
              <w:t>Equity</w:t>
            </w:r>
          </w:p>
        </w:tc>
        <w:tc>
          <w:tcPr>
            <w:tcW w:w="18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Series A-1 Preferred Stock</w:t>
            </w: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10/24/2023</w:t>
            </w:r>
          </w:p>
        </w:tc>
        <w:tc>
          <w:tcPr>
            <w:tcW w:w="920" w:type="dxa"/>
            <w:vAlign w:val="bottom"/>
          </w:tcPr>
          <w:p>
            <w:pPr>
              <w:jc w:val="center"/>
              <w:ind w:right="6"/>
              <w:spacing w:after="0"/>
              <w:rPr>
                <w:sz w:val="20"/>
                <w:szCs w:val="20"/>
                <w:color w:val="auto"/>
              </w:rPr>
            </w:pPr>
            <w:r>
              <w:rPr>
                <w:rFonts w:ascii="Times New Roman" w:cs="Times New Roman" w:eastAsia="Times New Roman" w:hAnsi="Times New Roman"/>
                <w:sz w:val="11"/>
                <w:szCs w:val="11"/>
                <w:color w:val="auto"/>
                <w:w w:val="94"/>
              </w:rPr>
              <w:t>N/A</w:t>
            </w:r>
          </w:p>
        </w:tc>
        <w:tc>
          <w:tcPr>
            <w:tcW w:w="11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3,100,000</w:t>
            </w:r>
          </w:p>
        </w:tc>
        <w:tc>
          <w:tcPr>
            <w:tcW w:w="14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4,577</w:t>
            </w:r>
          </w:p>
        </w:tc>
        <w:tc>
          <w:tcPr>
            <w:tcW w:w="7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b w:val="1"/>
                <w:bCs w:val="1"/>
                <w:color w:val="auto"/>
                <w:w w:val="97"/>
              </w:rPr>
              <w:t>Total Healthcare Technology - 4.76%*</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28,100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26,038</w:t>
            </w: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b w:val="1"/>
                <w:bCs w:val="1"/>
                <w:color w:val="auto"/>
              </w:rPr>
              <w:t>Total Equity Investments - 4.92%*</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32,651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26,894</w:t>
            </w: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b w:val="1"/>
                <w:bCs w:val="1"/>
                <w:color w:val="auto"/>
              </w:rPr>
              <w:t>Warrants</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Application Software</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Coginiti Corp</w:t>
            </w: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Warrants</w:t>
            </w:r>
          </w:p>
        </w:tc>
        <w:tc>
          <w:tcPr>
            <w:tcW w:w="1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Common Stock</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3/9/2020</w:t>
            </w:r>
          </w:p>
        </w:tc>
        <w:tc>
          <w:tcPr>
            <w:tcW w:w="92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3/9/2030</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811,770</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663</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w:t>
            </w:r>
          </w:p>
        </w:tc>
      </w:tr>
      <w:tr>
        <w:trPr>
          <w:trHeight w:val="132"/>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Total Application Software - 0.12%*</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663</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Healthcare Technology</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Gynesonics, Inc.</w:t>
            </w: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Warrants</w:t>
            </w:r>
          </w:p>
        </w:tc>
        <w:tc>
          <w:tcPr>
            <w:tcW w:w="1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Success fee</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7"/>
              </w:rPr>
              <w:t>3/1/2023</w:t>
            </w:r>
          </w:p>
        </w:tc>
        <w:tc>
          <w:tcPr>
            <w:tcW w:w="92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3/1/2030</w:t>
            </w:r>
          </w:p>
        </w:tc>
        <w:tc>
          <w:tcPr>
            <w:tcW w:w="1240" w:type="dxa"/>
            <w:vAlign w:val="bottom"/>
            <w:gridSpan w:val="2"/>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 (18)</w:t>
            </w:r>
          </w:p>
        </w:tc>
      </w:tr>
      <w:tr>
        <w:trPr>
          <w:trHeight w:val="132"/>
        </w:trPr>
        <w:tc>
          <w:tcPr>
            <w:tcW w:w="214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w w:val="97"/>
              </w:rPr>
              <w:t>Total Healthcare Technology - 0.06%*</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Total Warrants - 0.18%*</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976</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Affiliate Investments - 9.41%*</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58,861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51,456</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Control Investments</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(23)</w:t>
            </w:r>
          </w:p>
        </w:tc>
      </w:tr>
      <w:tr>
        <w:trPr>
          <w:trHeight w:val="132"/>
        </w:trPr>
        <w:tc>
          <w:tcPr>
            <w:tcW w:w="21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1"/>
                <w:szCs w:val="11"/>
                <w:b w:val="1"/>
                <w:bCs w:val="1"/>
                <w:color w:val="auto"/>
              </w:rPr>
              <w:t>Equity Investments</w:t>
            </w: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Data Processing &amp; Outsourced Services</w:t>
            </w: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1"/>
                <w:szCs w:val="11"/>
                <w:color w:val="auto"/>
              </w:rPr>
              <w:t>Pivot3, Inc.</w:t>
            </w:r>
          </w:p>
        </w:tc>
        <w:tc>
          <w:tcPr>
            <w:tcW w:w="88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Equity</w:t>
            </w:r>
          </w:p>
        </w:tc>
        <w:tc>
          <w:tcPr>
            <w:tcW w:w="1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Equity Interest</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12/31/2023</w:t>
            </w:r>
          </w:p>
        </w:tc>
        <w:tc>
          <w:tcPr>
            <w:tcW w:w="92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4"/>
              </w:rPr>
              <w:t>N/A</w:t>
            </w:r>
          </w:p>
        </w:tc>
        <w:tc>
          <w:tcPr>
            <w:tcW w:w="1240" w:type="dxa"/>
            <w:vAlign w:val="bottom"/>
            <w:gridSpan w:val="2"/>
            <w:shd w:val="clear" w:color="auto" w:fill="CFF0FC"/>
          </w:tcPr>
          <w:p>
            <w:pPr>
              <w:jc w:val="right"/>
              <w:ind w:right="306"/>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(12) (21)</w:t>
            </w:r>
          </w:p>
        </w:tc>
      </w:tr>
      <w:tr>
        <w:trPr>
          <w:trHeight w:val="132"/>
        </w:trPr>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Total Data Processing &amp; Outsourced Services - 0.17%*</w:t>
            </w: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Total Equity Investments - 0.17%*</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Control Investments - 0.17%*</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950</w:t>
            </w:r>
          </w:p>
        </w:tc>
        <w:tc>
          <w:tcPr>
            <w:tcW w:w="740" w:type="dxa"/>
            <w:vAlign w:val="bottom"/>
          </w:tcPr>
          <w:p>
            <w:pPr>
              <w:spacing w:after="0"/>
              <w:rPr>
                <w:sz w:val="11"/>
                <w:szCs w:val="11"/>
                <w:color w:val="auto"/>
              </w:rPr>
            </w:pPr>
          </w:p>
        </w:tc>
      </w:tr>
      <w:tr>
        <w:trPr>
          <w:trHeight w:val="132"/>
        </w:trPr>
        <w:tc>
          <w:tcPr>
            <w:tcW w:w="3020" w:type="dxa"/>
            <w:vAlign w:val="bottom"/>
            <w:gridSpan w:val="2"/>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excluding U.S. Treasury Bills - 187.36%*</w:t>
            </w: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1,064,835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1,025,010</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Treasury</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U.S. Treasury Bill, 4.324%</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12/29/2023</w:t>
            </w:r>
          </w:p>
        </w:tc>
        <w:tc>
          <w:tcPr>
            <w:tcW w:w="920" w:type="dxa"/>
            <w:vAlign w:val="bottom"/>
            <w:shd w:val="clear" w:color="auto" w:fill="CFF0FC"/>
          </w:tcPr>
          <w:p>
            <w:pPr>
              <w:jc w:val="center"/>
              <w:ind w:right="6"/>
              <w:spacing w:after="0"/>
              <w:rPr>
                <w:sz w:val="20"/>
                <w:szCs w:val="20"/>
                <w:color w:val="auto"/>
              </w:rPr>
            </w:pPr>
            <w:r>
              <w:rPr>
                <w:rFonts w:ascii="Times New Roman" w:cs="Times New Roman" w:eastAsia="Times New Roman" w:hAnsi="Times New Roman"/>
                <w:sz w:val="11"/>
                <w:szCs w:val="11"/>
                <w:color w:val="auto"/>
                <w:w w:val="97"/>
              </w:rPr>
              <w:t>1/4/2024</w:t>
            </w:r>
          </w:p>
        </w:tc>
        <w:tc>
          <w:tcPr>
            <w:tcW w:w="1100" w:type="dxa"/>
            <w:vAlign w:val="bottom"/>
            <w:shd w:val="clear" w:color="auto" w:fill="CFF0FC"/>
          </w:tcPr>
          <w:p>
            <w:pPr>
              <w:jc w:val="right"/>
              <w:ind w:right="166"/>
              <w:spacing w:after="0"/>
              <w:rPr>
                <w:sz w:val="20"/>
                <w:szCs w:val="20"/>
                <w:color w:val="auto"/>
              </w:rPr>
            </w:pPr>
            <w:r>
              <w:rPr>
                <w:rFonts w:ascii="Times New Roman" w:cs="Times New Roman" w:eastAsia="Times New Roman" w:hAnsi="Times New Roman"/>
                <w:sz w:val="11"/>
                <w:szCs w:val="11"/>
                <w:color w:val="auto"/>
              </w:rPr>
              <w:t>42,029</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42,014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41,999</w:t>
            </w: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U.S. Treasury - 7.68%*</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42,014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41,999</w:t>
            </w:r>
          </w:p>
        </w:tc>
        <w:tc>
          <w:tcPr>
            <w:tcW w:w="740" w:type="dxa"/>
            <w:vAlign w:val="bottom"/>
          </w:tcPr>
          <w:p>
            <w:pPr>
              <w:spacing w:after="0"/>
              <w:rPr>
                <w:sz w:val="11"/>
                <w:szCs w:val="11"/>
                <w:color w:val="auto"/>
              </w:rPr>
            </w:pPr>
          </w:p>
        </w:tc>
      </w:tr>
      <w:tr>
        <w:trPr>
          <w:trHeight w:val="132"/>
        </w:trPr>
        <w:tc>
          <w:tcPr>
            <w:tcW w:w="2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84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r>
      <w:tr>
        <w:trPr>
          <w:trHeight w:val="132"/>
        </w:trPr>
        <w:tc>
          <w:tcPr>
            <w:tcW w:w="214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Total Investments - 195.04%*</w:t>
            </w:r>
          </w:p>
        </w:tc>
        <w:tc>
          <w:tcPr>
            <w:tcW w:w="8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Borders>
              <w:bottom w:val="single" w:sz="8" w:color="auto"/>
            </w:tcBorders>
          </w:tcPr>
          <w:p>
            <w:pPr>
              <w:jc w:val="right"/>
              <w:ind w:right="6"/>
              <w:spacing w:after="0" w:line="11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rPr>
              <w:t>1,106,849</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rPr>
              <w:t>1,067,009</w:t>
            </w:r>
          </w:p>
        </w:tc>
        <w:tc>
          <w:tcPr>
            <w:tcW w:w="740" w:type="dxa"/>
            <w:vAlign w:val="bottom"/>
          </w:tcPr>
          <w:p>
            <w:pPr>
              <w:spacing w:after="0"/>
              <w:rPr>
                <w:sz w:val="11"/>
                <w:szCs w:val="11"/>
                <w:color w:val="auto"/>
              </w:rPr>
            </w:pPr>
          </w:p>
        </w:tc>
      </w:tr>
      <w:tr>
        <w:trPr>
          <w:trHeight w:val="20"/>
        </w:trPr>
        <w:tc>
          <w:tcPr>
            <w:tcW w:w="2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6" w:name="page97"/>
    <w:bookmarkEnd w:id="9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2023</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8"/>
          <w:szCs w:val="8"/>
          <w:color w:val="auto"/>
        </w:rPr>
        <w:t>(1)</w:t>
      </w:r>
    </w:p>
    <w:p>
      <w:pPr>
        <w:ind w:left="340" w:right="80"/>
        <w:spacing w:after="0" w:line="222" w:lineRule="auto"/>
        <w:rPr>
          <w:sz w:val="20"/>
          <w:szCs w:val="20"/>
          <w:color w:val="auto"/>
        </w:rPr>
      </w:pPr>
      <w:r>
        <w:rPr>
          <w:rFonts w:ascii="Times New Roman" w:cs="Times New Roman" w:eastAsia="Times New Roman" w:hAnsi="Times New Roman"/>
          <w:sz w:val="13"/>
          <w:szCs w:val="13"/>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or the 1-month or 3-month Secured Overnight Financing Rate ("SOFR"). At December 31, 2023, the U.S. Prime Rate was 8.50% the 1-Month SOFR was 5.35%. and the 3-Month SOFR was 5.33%.</w:t>
      </w:r>
    </w:p>
    <w:p>
      <w:pPr>
        <w:ind w:left="20"/>
        <w:spacing w:after="0" w:line="185" w:lineRule="auto"/>
        <w:rPr>
          <w:sz w:val="20"/>
          <w:szCs w:val="20"/>
          <w:color w:val="auto"/>
        </w:rPr>
      </w:pPr>
      <w:r>
        <w:rPr>
          <w:rFonts w:ascii="Times New Roman" w:cs="Times New Roman" w:eastAsia="Times New Roman" w:hAnsi="Times New Roman"/>
          <w:sz w:val="6"/>
          <w:szCs w:val="6"/>
          <w:color w:val="auto"/>
        </w:rPr>
        <w:t>(2)</w:t>
      </w:r>
    </w:p>
    <w:p>
      <w:pPr>
        <w:ind w:left="340"/>
        <w:spacing w:after="0" w:line="222" w:lineRule="auto"/>
        <w:rPr>
          <w:sz w:val="20"/>
          <w:szCs w:val="20"/>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ind w:left="20"/>
        <w:spacing w:after="0" w:line="185" w:lineRule="auto"/>
        <w:rPr>
          <w:sz w:val="20"/>
          <w:szCs w:val="20"/>
          <w:color w:val="auto"/>
        </w:rPr>
      </w:pPr>
      <w:r>
        <w:rPr>
          <w:rFonts w:ascii="Times New Roman" w:cs="Times New Roman" w:eastAsia="Times New Roman" w:hAnsi="Times New Roman"/>
          <w:sz w:val="6"/>
          <w:szCs w:val="6"/>
          <w:color w:val="auto"/>
        </w:rPr>
        <w:t>(3)</w:t>
      </w:r>
    </w:p>
    <w:p>
      <w:pPr>
        <w:ind w:left="340"/>
        <w:spacing w:after="0" w:line="195" w:lineRule="auto"/>
        <w:rPr>
          <w:sz w:val="20"/>
          <w:szCs w:val="20"/>
          <w:color w:val="auto"/>
        </w:rPr>
      </w:pPr>
      <w:r>
        <w:rPr>
          <w:rFonts w:ascii="Times New Roman" w:cs="Times New Roman" w:eastAsia="Times New Roman" w:hAnsi="Times New Roman"/>
          <w:sz w:val="11"/>
          <w:szCs w:val="11"/>
          <w:color w:val="auto"/>
        </w:rPr>
        <w:t>Investments are held at Fair Value net of the Fair Value of Unfunded Commitments. Refer to "Note 8 – Commitments and Contingencies" for additional detail.</w:t>
      </w:r>
    </w:p>
    <w:p>
      <w:pPr>
        <w:ind w:left="20"/>
        <w:spacing w:after="0" w:line="185" w:lineRule="auto"/>
        <w:rPr>
          <w:sz w:val="20"/>
          <w:szCs w:val="20"/>
          <w:color w:val="auto"/>
        </w:rPr>
      </w:pPr>
      <w:r>
        <w:rPr>
          <w:rFonts w:ascii="Times New Roman" w:cs="Times New Roman" w:eastAsia="Times New Roman" w:hAnsi="Times New Roman"/>
          <w:sz w:val="6"/>
          <w:szCs w:val="6"/>
          <w:color w:val="auto"/>
        </w:rPr>
        <w:t>(4)</w:t>
      </w:r>
    </w:p>
    <w:p>
      <w:pPr>
        <w:ind w:left="340"/>
        <w:spacing w:after="0" w:line="195" w:lineRule="auto"/>
        <w:rPr>
          <w:sz w:val="20"/>
          <w:szCs w:val="20"/>
          <w:color w:val="auto"/>
        </w:rPr>
      </w:pPr>
      <w:r>
        <w:rPr>
          <w:rFonts w:ascii="Times New Roman" w:cs="Times New Roman" w:eastAsia="Times New Roman" w:hAnsi="Times New Roman"/>
          <w:sz w:val="11"/>
          <w:szCs w:val="11"/>
          <w:color w:val="auto"/>
        </w:rPr>
        <w:t>All portfolio companies are domiciled in the United States, unless otherwise noted.</w:t>
      </w:r>
    </w:p>
    <w:p>
      <w:pPr>
        <w:ind w:left="20"/>
        <w:spacing w:after="0" w:line="186" w:lineRule="auto"/>
        <w:rPr>
          <w:sz w:val="20"/>
          <w:szCs w:val="20"/>
          <w:color w:val="auto"/>
        </w:rPr>
      </w:pPr>
      <w:r>
        <w:rPr>
          <w:rFonts w:ascii="Times New Roman" w:cs="Times New Roman" w:eastAsia="Times New Roman" w:hAnsi="Times New Roman"/>
          <w:sz w:val="6"/>
          <w:szCs w:val="6"/>
          <w:color w:val="auto"/>
        </w:rPr>
        <w:t>(5)</w:t>
      </w:r>
    </w:p>
    <w:p>
      <w:pPr>
        <w:ind w:left="34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United Kingdom. Fair value of United-Kingdom-domiciled investments represents 14.05% of net assets.</w:t>
      </w:r>
    </w:p>
    <w:p>
      <w:pPr>
        <w:ind w:left="20"/>
        <w:spacing w:after="0" w:line="185" w:lineRule="auto"/>
        <w:rPr>
          <w:sz w:val="20"/>
          <w:szCs w:val="20"/>
          <w:color w:val="auto"/>
        </w:rPr>
      </w:pPr>
      <w:r>
        <w:rPr>
          <w:rFonts w:ascii="Times New Roman" w:cs="Times New Roman" w:eastAsia="Times New Roman" w:hAnsi="Times New Roman"/>
          <w:sz w:val="6"/>
          <w:szCs w:val="6"/>
          <w:color w:val="auto"/>
        </w:rPr>
        <w:t>(6)</w:t>
      </w:r>
    </w:p>
    <w:p>
      <w:pPr>
        <w:ind w:left="34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Germany. Fair value of Germany-domiciled investments represents 8.15% of net assets.</w:t>
      </w:r>
    </w:p>
    <w:p>
      <w:pPr>
        <w:ind w:left="20"/>
        <w:spacing w:after="0" w:line="185" w:lineRule="auto"/>
        <w:rPr>
          <w:sz w:val="20"/>
          <w:szCs w:val="20"/>
          <w:color w:val="auto"/>
        </w:rPr>
      </w:pPr>
      <w:r>
        <w:rPr>
          <w:rFonts w:ascii="Times New Roman" w:cs="Times New Roman" w:eastAsia="Times New Roman" w:hAnsi="Times New Roman"/>
          <w:sz w:val="6"/>
          <w:szCs w:val="6"/>
          <w:color w:val="auto"/>
        </w:rPr>
        <w:t>(7)</w:t>
      </w:r>
    </w:p>
    <w:p>
      <w:pPr>
        <w:ind w:left="34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Canada. Fair value of Canadian-domiciled investments represents 2.68% of net assets.</w:t>
      </w:r>
    </w:p>
    <w:p>
      <w:pPr>
        <w:ind w:left="20"/>
        <w:spacing w:after="0" w:line="185" w:lineRule="auto"/>
        <w:rPr>
          <w:sz w:val="20"/>
          <w:szCs w:val="20"/>
          <w:color w:val="auto"/>
        </w:rPr>
      </w:pPr>
      <w:r>
        <w:rPr>
          <w:rFonts w:ascii="Times New Roman" w:cs="Times New Roman" w:eastAsia="Times New Roman" w:hAnsi="Times New Roman"/>
          <w:sz w:val="6"/>
          <w:szCs w:val="6"/>
          <w:color w:val="auto"/>
        </w:rPr>
        <w:t>(8)</w:t>
      </w:r>
    </w:p>
    <w:p>
      <w:pPr>
        <w:jc w:val="both"/>
        <w:ind w:left="340" w:right="280"/>
        <w:spacing w:after="0" w:line="229" w:lineRule="auto"/>
        <w:rPr>
          <w:sz w:val="20"/>
          <w:szCs w:val="20"/>
          <w:color w:val="auto"/>
        </w:rPr>
      </w:pPr>
      <w:r>
        <w:rPr>
          <w:rFonts w:ascii="Times New Roman" w:cs="Times New Roman" w:eastAsia="Times New Roman" w:hAnsi="Times New Roman"/>
          <w:sz w:val="13"/>
          <w:szCs w:val="13"/>
          <w:color w:val="auto"/>
        </w:rPr>
        <w:t>Investment is not a qualifying investment as defined under Section 55(a) of the Investment Company Act of 1940, as amended. The fair value of non-qualifying assets represents 12.63% of total assets as of December 31, 2023.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ind w:left="20"/>
        <w:spacing w:after="0" w:line="186" w:lineRule="auto"/>
        <w:rPr>
          <w:sz w:val="20"/>
          <w:szCs w:val="20"/>
          <w:color w:val="auto"/>
        </w:rPr>
      </w:pPr>
      <w:r>
        <w:rPr>
          <w:rFonts w:ascii="Times New Roman" w:cs="Times New Roman" w:eastAsia="Times New Roman" w:hAnsi="Times New Roman"/>
          <w:sz w:val="6"/>
          <w:szCs w:val="6"/>
          <w:color w:val="auto"/>
        </w:rPr>
        <w:t>(9)</w:t>
      </w:r>
    </w:p>
    <w:p>
      <w:pPr>
        <w:ind w:left="340"/>
        <w:spacing w:after="0" w:line="195" w:lineRule="auto"/>
        <w:rPr>
          <w:sz w:val="20"/>
          <w:szCs w:val="20"/>
          <w:color w:val="auto"/>
        </w:rPr>
      </w:pPr>
      <w:r>
        <w:rPr>
          <w:rFonts w:ascii="Times New Roman" w:cs="Times New Roman" w:eastAsia="Times New Roman" w:hAnsi="Times New Roman"/>
          <w:sz w:val="11"/>
          <w:szCs w:val="11"/>
          <w:color w:val="auto"/>
        </w:rPr>
        <w:t>Represents a PIK security. PIK interest will be accrued and paid at maturity.</w:t>
      </w:r>
    </w:p>
    <w:p>
      <w:pPr>
        <w:ind w:left="20"/>
        <w:spacing w:after="0" w:line="185" w:lineRule="auto"/>
        <w:rPr>
          <w:sz w:val="20"/>
          <w:szCs w:val="20"/>
          <w:color w:val="auto"/>
        </w:rPr>
      </w:pPr>
      <w:r>
        <w:rPr>
          <w:rFonts w:ascii="Times New Roman" w:cs="Times New Roman" w:eastAsia="Times New Roman" w:hAnsi="Times New Roman"/>
          <w:sz w:val="6"/>
          <w:szCs w:val="6"/>
          <w:color w:val="auto"/>
        </w:rPr>
        <w:t>(10)</w:t>
      </w:r>
    </w:p>
    <w:p>
      <w:pPr>
        <w:ind w:left="340"/>
        <w:spacing w:after="0" w:line="195" w:lineRule="auto"/>
        <w:rPr>
          <w:sz w:val="20"/>
          <w:szCs w:val="20"/>
          <w:color w:val="auto"/>
        </w:rPr>
      </w:pPr>
      <w:r>
        <w:rPr>
          <w:rFonts w:ascii="Times New Roman" w:cs="Times New Roman" w:eastAsia="Times New Roman" w:hAnsi="Times New Roman"/>
          <w:sz w:val="11"/>
          <w:szCs w:val="11"/>
          <w:color w:val="auto"/>
        </w:rPr>
        <w:t>Disclosures of end-of-term payments ("ETP") are one-time payments stated as a percentage of original principal amount.</w:t>
      </w:r>
    </w:p>
    <w:p>
      <w:pPr>
        <w:ind w:left="20"/>
        <w:spacing w:after="0" w:line="186" w:lineRule="auto"/>
        <w:rPr>
          <w:sz w:val="20"/>
          <w:szCs w:val="20"/>
          <w:color w:val="auto"/>
        </w:rPr>
      </w:pPr>
      <w:r>
        <w:rPr>
          <w:rFonts w:ascii="Times New Roman" w:cs="Times New Roman" w:eastAsia="Times New Roman" w:hAnsi="Times New Roman"/>
          <w:sz w:val="6"/>
          <w:szCs w:val="6"/>
          <w:color w:val="auto"/>
        </w:rPr>
        <w:t>(11)</w:t>
      </w:r>
    </w:p>
    <w:p>
      <w:pPr>
        <w:ind w:left="340"/>
        <w:spacing w:after="0" w:line="195" w:lineRule="auto"/>
        <w:rPr>
          <w:sz w:val="20"/>
          <w:szCs w:val="20"/>
          <w:color w:val="auto"/>
        </w:rPr>
      </w:pPr>
      <w:r>
        <w:rPr>
          <w:rFonts w:ascii="Times New Roman" w:cs="Times New Roman" w:eastAsia="Times New Roman" w:hAnsi="Times New Roman"/>
          <w:sz w:val="11"/>
          <w:szCs w:val="11"/>
          <w:color w:val="auto"/>
        </w:rPr>
        <w:t>The investment is an eligible loan investment in the collateral under the Credit Facility (as defined in "Note 7 – Borrowings").</w:t>
      </w:r>
    </w:p>
    <w:p>
      <w:pPr>
        <w:ind w:left="20"/>
        <w:spacing w:after="0" w:line="185" w:lineRule="auto"/>
        <w:rPr>
          <w:sz w:val="20"/>
          <w:szCs w:val="20"/>
          <w:color w:val="auto"/>
        </w:rPr>
      </w:pPr>
      <w:r>
        <w:rPr>
          <w:rFonts w:ascii="Times New Roman" w:cs="Times New Roman" w:eastAsia="Times New Roman" w:hAnsi="Times New Roman"/>
          <w:sz w:val="6"/>
          <w:szCs w:val="6"/>
          <w:color w:val="auto"/>
        </w:rPr>
        <w:t>(12)</w:t>
      </w:r>
    </w:p>
    <w:p>
      <w:pPr>
        <w:ind w:left="340"/>
        <w:spacing w:after="0" w:line="195" w:lineRule="auto"/>
        <w:rPr>
          <w:sz w:val="20"/>
          <w:szCs w:val="20"/>
          <w:color w:val="auto"/>
        </w:rPr>
      </w:pPr>
      <w:r>
        <w:rPr>
          <w:rFonts w:ascii="Times New Roman" w:cs="Times New Roman" w:eastAsia="Times New Roman" w:hAnsi="Times New Roman"/>
          <w:sz w:val="11"/>
          <w:szCs w:val="11"/>
          <w:color w:val="auto"/>
        </w:rPr>
        <w:t>Investments are non-income producing.</w:t>
      </w:r>
    </w:p>
    <w:p>
      <w:pPr>
        <w:ind w:left="20"/>
        <w:spacing w:after="0" w:line="185" w:lineRule="auto"/>
        <w:rPr>
          <w:sz w:val="20"/>
          <w:szCs w:val="20"/>
          <w:color w:val="auto"/>
        </w:rPr>
      </w:pPr>
      <w:r>
        <w:rPr>
          <w:rFonts w:ascii="Times New Roman" w:cs="Times New Roman" w:eastAsia="Times New Roman" w:hAnsi="Times New Roman"/>
          <w:sz w:val="6"/>
          <w:szCs w:val="6"/>
          <w:color w:val="auto"/>
        </w:rPr>
        <w:t>(13)</w:t>
      </w:r>
    </w:p>
    <w:p>
      <w:pPr>
        <w:ind w:left="34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NYSE.</w:t>
      </w:r>
    </w:p>
    <w:p>
      <w:pPr>
        <w:ind w:left="20"/>
        <w:spacing w:after="0" w:line="186" w:lineRule="auto"/>
        <w:rPr>
          <w:sz w:val="20"/>
          <w:szCs w:val="20"/>
          <w:color w:val="auto"/>
        </w:rPr>
      </w:pPr>
      <w:r>
        <w:rPr>
          <w:rFonts w:ascii="Times New Roman" w:cs="Times New Roman" w:eastAsia="Times New Roman" w:hAnsi="Times New Roman"/>
          <w:sz w:val="6"/>
          <w:szCs w:val="6"/>
          <w:color w:val="auto"/>
        </w:rPr>
        <w:t>(14)</w:t>
      </w:r>
    </w:p>
    <w:p>
      <w:pPr>
        <w:ind w:left="34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NASDAQ.</w:t>
      </w:r>
    </w:p>
    <w:p>
      <w:pPr>
        <w:ind w:left="20"/>
        <w:spacing w:after="0" w:line="185" w:lineRule="auto"/>
        <w:rPr>
          <w:sz w:val="20"/>
          <w:szCs w:val="20"/>
          <w:color w:val="auto"/>
        </w:rPr>
      </w:pPr>
      <w:r>
        <w:rPr>
          <w:rFonts w:ascii="Times New Roman" w:cs="Times New Roman" w:eastAsia="Times New Roman" w:hAnsi="Times New Roman"/>
          <w:sz w:val="6"/>
          <w:szCs w:val="6"/>
          <w:color w:val="auto"/>
        </w:rPr>
        <w:t>(15)</w:t>
      </w:r>
    </w:p>
    <w:p>
      <w:pPr>
        <w:ind w:left="34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ASX.</w:t>
      </w:r>
    </w:p>
    <w:p>
      <w:pPr>
        <w:ind w:left="20"/>
        <w:spacing w:after="0" w:line="185" w:lineRule="auto"/>
        <w:rPr>
          <w:sz w:val="20"/>
          <w:szCs w:val="20"/>
          <w:color w:val="auto"/>
        </w:rPr>
      </w:pPr>
      <w:r>
        <w:rPr>
          <w:rFonts w:ascii="Times New Roman" w:cs="Times New Roman" w:eastAsia="Times New Roman" w:hAnsi="Times New Roman"/>
          <w:sz w:val="6"/>
          <w:szCs w:val="6"/>
          <w:color w:val="auto"/>
        </w:rPr>
        <w:t>(16)</w:t>
      </w:r>
    </w:p>
    <w:p>
      <w:pPr>
        <w:ind w:left="340"/>
        <w:spacing w:after="0" w:line="195" w:lineRule="auto"/>
        <w:rPr>
          <w:sz w:val="20"/>
          <w:szCs w:val="20"/>
          <w:color w:val="auto"/>
        </w:rPr>
      </w:pPr>
      <w:r>
        <w:rPr>
          <w:rFonts w:ascii="Times New Roman" w:cs="Times New Roman" w:eastAsia="Times New Roman" w:hAnsi="Times New Roman"/>
          <w:sz w:val="11"/>
          <w:szCs w:val="11"/>
          <w:color w:val="auto"/>
        </w:rPr>
        <w:t>Investment is not a "restricted security" under the Securities Act.</w:t>
      </w:r>
    </w:p>
    <w:p>
      <w:pPr>
        <w:ind w:left="20"/>
        <w:spacing w:after="0" w:line="186" w:lineRule="auto"/>
        <w:rPr>
          <w:sz w:val="20"/>
          <w:szCs w:val="20"/>
          <w:color w:val="auto"/>
        </w:rPr>
      </w:pPr>
      <w:r>
        <w:rPr>
          <w:rFonts w:ascii="Times New Roman" w:cs="Times New Roman" w:eastAsia="Times New Roman" w:hAnsi="Times New Roman"/>
          <w:sz w:val="6"/>
          <w:szCs w:val="6"/>
          <w:color w:val="auto"/>
        </w:rPr>
        <w:t>(17)</w:t>
      </w:r>
    </w:p>
    <w:p>
      <w:pPr>
        <w:ind w:left="340"/>
        <w:spacing w:after="0" w:line="195" w:lineRule="auto"/>
        <w:rPr>
          <w:sz w:val="20"/>
          <w:szCs w:val="20"/>
          <w:color w:val="auto"/>
        </w:rPr>
      </w:pPr>
      <w:r>
        <w:rPr>
          <w:rFonts w:ascii="Times New Roman" w:cs="Times New Roman" w:eastAsia="Times New Roman" w:hAnsi="Times New Roman"/>
          <w:sz w:val="11"/>
          <w:szCs w:val="11"/>
          <w:color w:val="auto"/>
        </w:rPr>
        <w:t>The warrant count is based upon a percentage of ownership of Fidelis Cybersecurity, Inc.</w:t>
      </w:r>
    </w:p>
    <w:p>
      <w:pPr>
        <w:ind w:left="20"/>
        <w:spacing w:after="0" w:line="185" w:lineRule="auto"/>
        <w:rPr>
          <w:sz w:val="20"/>
          <w:szCs w:val="20"/>
          <w:color w:val="auto"/>
        </w:rPr>
      </w:pPr>
      <w:r>
        <w:rPr>
          <w:rFonts w:ascii="Times New Roman" w:cs="Times New Roman" w:eastAsia="Times New Roman" w:hAnsi="Times New Roman"/>
          <w:sz w:val="6"/>
          <w:szCs w:val="6"/>
          <w:color w:val="auto"/>
        </w:rPr>
        <w:t>(18)</w:t>
      </w:r>
    </w:p>
    <w:p>
      <w:pPr>
        <w:ind w:left="340"/>
        <w:spacing w:after="0" w:line="195" w:lineRule="auto"/>
        <w:rPr>
          <w:sz w:val="20"/>
          <w:szCs w:val="20"/>
          <w:color w:val="auto"/>
        </w:rPr>
      </w:pPr>
      <w:r>
        <w:rPr>
          <w:rFonts w:ascii="Times New Roman" w:cs="Times New Roman" w:eastAsia="Times New Roman" w:hAnsi="Times New Roman"/>
          <w:sz w:val="11"/>
          <w:szCs w:val="11"/>
          <w:color w:val="auto"/>
        </w:rPr>
        <w:t>Investment is either a cash success fee payable or earnout of shares based on the consummation of certain trigger events.</w:t>
      </w:r>
    </w:p>
    <w:p>
      <w:pPr>
        <w:ind w:left="20"/>
        <w:spacing w:after="0" w:line="185" w:lineRule="auto"/>
        <w:rPr>
          <w:sz w:val="20"/>
          <w:szCs w:val="20"/>
          <w:color w:val="auto"/>
        </w:rPr>
      </w:pPr>
      <w:r>
        <w:rPr>
          <w:rFonts w:ascii="Times New Roman" w:cs="Times New Roman" w:eastAsia="Times New Roman" w:hAnsi="Times New Roman"/>
          <w:sz w:val="6"/>
          <w:szCs w:val="6"/>
          <w:color w:val="auto"/>
        </w:rPr>
        <w:t>(19)</w:t>
      </w:r>
    </w:p>
    <w:p>
      <w:pPr>
        <w:jc w:val="both"/>
        <w:ind w:left="340" w:right="40"/>
        <w:spacing w:after="0" w:line="222" w:lineRule="auto"/>
        <w:rPr>
          <w:sz w:val="20"/>
          <w:szCs w:val="20"/>
          <w:color w:val="auto"/>
        </w:rPr>
      </w:pPr>
      <w:r>
        <w:rPr>
          <w:rFonts w:ascii="Times New Roman" w:cs="Times New Roman" w:eastAsia="Times New Roman" w:hAnsi="Times New Roman"/>
          <w:sz w:val="13"/>
          <w:szCs w:val="13"/>
          <w:color w:val="auto"/>
        </w:rPr>
        <w:t>Investment is denominated in a foreign currency and is publicly traded on ETR.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ind w:left="20"/>
        <w:spacing w:after="0" w:line="185" w:lineRule="auto"/>
        <w:rPr>
          <w:sz w:val="20"/>
          <w:szCs w:val="20"/>
          <w:color w:val="auto"/>
        </w:rPr>
      </w:pPr>
      <w:r>
        <w:rPr>
          <w:rFonts w:ascii="Times New Roman" w:cs="Times New Roman" w:eastAsia="Times New Roman" w:hAnsi="Times New Roman"/>
          <w:sz w:val="6"/>
          <w:szCs w:val="6"/>
          <w:color w:val="auto"/>
        </w:rPr>
        <w:t>(20)</w:t>
      </w:r>
    </w:p>
    <w:p>
      <w:pPr>
        <w:ind w:left="340"/>
        <w:spacing w:after="0" w:line="195" w:lineRule="auto"/>
        <w:rPr>
          <w:sz w:val="20"/>
          <w:szCs w:val="20"/>
          <w:color w:val="auto"/>
        </w:rPr>
      </w:pPr>
      <w:r>
        <w:rPr>
          <w:rFonts w:ascii="Times New Roman" w:cs="Times New Roman" w:eastAsia="Times New Roman" w:hAnsi="Times New Roman"/>
          <w:sz w:val="11"/>
          <w:szCs w:val="11"/>
          <w:color w:val="auto"/>
        </w:rPr>
        <w:t>Convertible notes represent investments that are redeemable by the Company upon occurrence of contingent events. There are no principal or interest payments to be made against the note.</w:t>
      </w:r>
    </w:p>
    <w:p>
      <w:pPr>
        <w:ind w:left="20"/>
        <w:spacing w:after="0" w:line="185" w:lineRule="auto"/>
        <w:rPr>
          <w:sz w:val="20"/>
          <w:szCs w:val="20"/>
          <w:color w:val="auto"/>
        </w:rPr>
      </w:pPr>
      <w:r>
        <w:rPr>
          <w:rFonts w:ascii="Times New Roman" w:cs="Times New Roman" w:eastAsia="Times New Roman" w:hAnsi="Times New Roman"/>
          <w:sz w:val="6"/>
          <w:szCs w:val="6"/>
          <w:color w:val="auto"/>
        </w:rPr>
        <w:t>(21)</w:t>
      </w:r>
    </w:p>
    <w:p>
      <w:pPr>
        <w:ind w:left="340" w:right="40"/>
        <w:spacing w:after="0" w:line="207" w:lineRule="auto"/>
        <w:rPr>
          <w:sz w:val="20"/>
          <w:szCs w:val="20"/>
          <w:color w:val="auto"/>
        </w:rPr>
      </w:pPr>
      <w:r>
        <w:rPr>
          <w:rFonts w:ascii="Times New Roman" w:cs="Times New Roman" w:eastAsia="Times New Roman" w:hAnsi="Times New Roman"/>
          <w:sz w:val="13"/>
          <w:szCs w:val="13"/>
          <w:color w:val="auto"/>
        </w:rPr>
        <w:t>The assets recovered on the senior secured term loan to Pivot 3, Inc. was contributed to P3 Holdco LLC by the Company, a wholly owned subsidiary of the BDC. For more information, refer to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 Principles of Consolidation".</w:t>
      </w:r>
    </w:p>
    <w:p>
      <w:pPr>
        <w:ind w:left="20"/>
        <w:spacing w:after="0" w:line="186" w:lineRule="auto"/>
        <w:rPr>
          <w:sz w:val="20"/>
          <w:szCs w:val="20"/>
          <w:color w:val="auto"/>
        </w:rPr>
      </w:pPr>
      <w:r>
        <w:rPr>
          <w:rFonts w:ascii="Times New Roman" w:cs="Times New Roman" w:eastAsia="Times New Roman" w:hAnsi="Times New Roman"/>
          <w:sz w:val="6"/>
          <w:szCs w:val="6"/>
          <w:color w:val="auto"/>
        </w:rPr>
        <w:t>(22)</w:t>
      </w:r>
    </w:p>
    <w:p>
      <w:pPr>
        <w:ind w:left="340" w:right="440"/>
        <w:spacing w:after="0" w:line="207" w:lineRule="auto"/>
        <w:rPr>
          <w:sz w:val="20"/>
          <w:szCs w:val="20"/>
          <w:color w:val="auto"/>
        </w:rPr>
      </w:pPr>
      <w:r>
        <w:rPr>
          <w:rFonts w:ascii="Times New Roman" w:cs="Times New Roman" w:eastAsia="Times New Roman" w:hAnsi="Times New Roman"/>
          <w:sz w:val="13"/>
          <w:szCs w:val="13"/>
          <w:color w:val="auto"/>
        </w:rPr>
        <w:t>Affiliate portfolio company as defined under the 1940 Act in which the Company owns between 5% and 25% (inclusive) of the investment's voting securities and does not have rights to maintain greater than 50% representation on the board.</w:t>
      </w:r>
    </w:p>
    <w:p>
      <w:pPr>
        <w:ind w:left="20"/>
        <w:spacing w:after="0" w:line="188" w:lineRule="auto"/>
        <w:rPr>
          <w:sz w:val="20"/>
          <w:szCs w:val="20"/>
          <w:color w:val="auto"/>
        </w:rPr>
      </w:pPr>
      <w:r>
        <w:rPr>
          <w:rFonts w:ascii="Times New Roman" w:cs="Times New Roman" w:eastAsia="Times New Roman" w:hAnsi="Times New Roman"/>
          <w:sz w:val="6"/>
          <w:szCs w:val="6"/>
          <w:color w:val="auto"/>
        </w:rPr>
        <w:t>(23)</w:t>
      </w:r>
    </w:p>
    <w:p>
      <w:pPr>
        <w:ind w:left="340"/>
        <w:spacing w:after="0" w:line="195" w:lineRule="auto"/>
        <w:rPr>
          <w:sz w:val="20"/>
          <w:szCs w:val="20"/>
          <w:color w:val="auto"/>
        </w:rPr>
      </w:pPr>
      <w:r>
        <w:rPr>
          <w:rFonts w:ascii="Times New Roman" w:cs="Times New Roman" w:eastAsia="Times New Roman" w:hAnsi="Times New Roman"/>
          <w:sz w:val="11"/>
          <w:szCs w:val="11"/>
          <w:color w:val="auto"/>
        </w:rPr>
        <w:t>Control portfolio company, as defined under the 1940 Act, in which the Company owns more than 25% of the investment’s voting securities or has greater than 50% representation on its board.</w:t>
      </w:r>
    </w:p>
    <w:p>
      <w:pPr>
        <w:ind w:left="20"/>
        <w:spacing w:after="0" w:line="185" w:lineRule="auto"/>
        <w:rPr>
          <w:sz w:val="20"/>
          <w:szCs w:val="20"/>
          <w:color w:val="auto"/>
        </w:rPr>
      </w:pPr>
      <w:r>
        <w:rPr>
          <w:rFonts w:ascii="Times New Roman" w:cs="Times New Roman" w:eastAsia="Times New Roman" w:hAnsi="Times New Roman"/>
          <w:sz w:val="6"/>
          <w:szCs w:val="6"/>
          <w:color w:val="auto"/>
        </w:rPr>
        <w:t>*</w:t>
      </w:r>
    </w:p>
    <w:p>
      <w:pPr>
        <w:ind w:left="340"/>
        <w:spacing w:after="0"/>
        <w:rPr>
          <w:sz w:val="20"/>
          <w:szCs w:val="20"/>
          <w:color w:val="auto"/>
        </w:rPr>
      </w:pPr>
      <w:r>
        <w:rPr>
          <w:rFonts w:ascii="Times New Roman" w:cs="Times New Roman" w:eastAsia="Times New Roman" w:hAnsi="Times New Roman"/>
          <w:sz w:val="13"/>
          <w:szCs w:val="13"/>
          <w:color w:val="auto"/>
        </w:rPr>
        <w:t>Fair value as a percentage of net assets.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7" w:name="page98"/>
    <w:bookmarkEnd w:id="9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as of December 31,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Organization</w:t>
      </w:r>
    </w:p>
    <w:p>
      <w:pPr>
        <w:spacing w:after="0" w:line="189"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spacing w:after="0" w:line="169"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4"/>
          <w:szCs w:val="14"/>
          <w:color w:val="auto"/>
        </w:rPr>
        <w:t>The Company was formed primarily to lend to, and selectively invest in, high growth-potential companies in technology, healthcare, business services, financial services, select consumer services and products in other high-growth industries. The Company’s investment objective is to maximize its total return to its stockholders primarily through current income on its loan portfolio, and secondarily through capital gain (loss) on its warrants and other equity positions. The Company’s investment activities are managed by its external investment adviser, Runway Growth Capital LLC ("RGC"). On January 30, 2025, RGC was acquired by certain private investment funds advised by BC Partners Credit and Mount Logan Capital Inc. pursuant to its minority investment (the "BCP Transaction"). The Company’s administrator, Runway Administrator Services LLC (the "Administrator") is a wholly owned subsidiary of RGC and provides administrative services necessary for the Company to operate.</w:t>
      </w:r>
    </w:p>
    <w:p>
      <w:pPr>
        <w:spacing w:after="0" w:line="145"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Summary of Significant Accounting Policies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2" w:lineRule="exact"/>
        <w:rPr>
          <w:sz w:val="20"/>
          <w:szCs w:val="20"/>
          <w:color w:val="auto"/>
        </w:rPr>
      </w:pPr>
    </w:p>
    <w:p>
      <w:pPr>
        <w:ind w:right="40"/>
        <w:spacing w:after="0" w:line="185" w:lineRule="exact"/>
        <w:rPr>
          <w:sz w:val="20"/>
          <w:szCs w:val="20"/>
          <w:color w:val="auto"/>
        </w:rPr>
      </w:pPr>
      <w:r>
        <w:rPr>
          <w:rFonts w:ascii="Times New Roman" w:cs="Times New Roman" w:eastAsia="Times New Roman" w:hAnsi="Times New Roman"/>
          <w:sz w:val="16"/>
          <w:szCs w:val="16"/>
          <w:color w:val="auto"/>
        </w:rPr>
        <w:t>The accompanying consolidated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K and in compliance with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6"/>
          <w:szCs w:val="16"/>
          <w:i w:val="1"/>
          <w:iCs w:val="1"/>
          <w:color w:val="auto"/>
        </w:rPr>
        <w:t>Financial Services</w:t>
      </w:r>
      <w:r>
        <w:rPr>
          <w:rFonts w:ascii="Arial" w:cs="Arial" w:eastAsia="Arial" w:hAnsi="Arial"/>
          <w:sz w:val="16"/>
          <w:szCs w:val="16"/>
          <w:i w:val="1"/>
          <w:iCs w:val="1"/>
          <w:color w:val="auto"/>
        </w:rPr>
        <w:t xml:space="preserve"> </w:t>
      </w:r>
      <w:r>
        <w:rPr>
          <w:rFonts w:ascii="Times New Roman" w:cs="Times New Roman" w:eastAsia="Times New Roman" w:hAnsi="Times New Roman"/>
          <w:sz w:val="16"/>
          <w:szCs w:val="16"/>
          <w:i w:val="1"/>
          <w:iCs w:val="1"/>
          <w:color w:val="auto"/>
        </w:rPr>
        <w:t>—</w:t>
      </w:r>
      <w:r>
        <w:rPr>
          <w:rFonts w:ascii="Arial" w:cs="Arial" w:eastAsia="Arial" w:hAnsi="Arial"/>
          <w:sz w:val="16"/>
          <w:szCs w:val="16"/>
          <w:i w:val="1"/>
          <w:iCs w:val="1"/>
          <w:color w:val="auto"/>
        </w:rPr>
        <w:t xml:space="preserve"> </w:t>
      </w:r>
      <w:r>
        <w:rPr>
          <w:rFonts w:ascii="Times New Roman" w:cs="Times New Roman" w:eastAsia="Times New Roman" w:hAnsi="Times New Roman"/>
          <w:sz w:val="16"/>
          <w:szCs w:val="16"/>
          <w:i w:val="1"/>
          <w:iCs w:val="1"/>
          <w:color w:val="auto"/>
        </w:rPr>
        <w:t>Investment Companies</w:t>
      </w:r>
      <w:r>
        <w:rPr>
          <w:rFonts w:ascii="Times New Roman" w:cs="Times New Roman" w:eastAsia="Times New Roman" w:hAnsi="Times New Roman"/>
          <w:sz w:val="16"/>
          <w:szCs w:val="16"/>
          <w:color w:val="auto"/>
        </w:rPr>
        <w:t xml:space="preserve"> ("ASC 946").</w:t>
      </w:r>
    </w:p>
    <w:p>
      <w:pPr>
        <w:spacing w:after="0" w:line="172"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Certain items in the December 31, 2023 and December 31, 2022 consolidated financial statements have been reclassified to conform to the December 31, 2024 presentation with no effect on the "Net increase (decrease) in net assets resulting from operations" on the Consolidated Statements of Operations, and no effect to the "Net increase (decrease) in cash and cash equivalents" on the Consolidated Statements of 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Under ASC 946, the Company is precluded from consolidating portfolio company investments, including those in which it has a controlling interest, unless the portfolio company is another investment company.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98" w:name="page99"/>
    <w:bookmarkEnd w:id="9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4"/>
          <w:szCs w:val="14"/>
          <w:color w:val="auto"/>
        </w:rPr>
        <w:t>The Company’s consolidated operations include the activities of its wholly owned subsidiary, P3 Holdco LLC ("P3 Holdco") and P3 Holdco’s wholly owned subsidiary Pivot3, Inc. P3 Holdco is controlled by the Company and serves to facilitate the Company’s investment in Pivot 3, Inc., and therefore is consolidated in accordance with ASC 946. The subsidiaries are consolidated and included in the Company’s consolidated financial statements and the assets of Pivot3, Inc. are recorded at fair value. All intercompany balances and transactions have been eliminated. The Company does not consolidate Runway-Cadma I LLC (the "JV") because it does not hold a majority of the ownership or economic interests of the JV and the Company's representatives do not comprise the majority of the board of managers of the JV. The JV is accounted for as a portfolio investment of the Company held at fair value and not included as a consolidated subsidiary in the Company's financial statements. Refer to the Consolidated Schedule of Investments for the Company’s equity interests in Pivot3, Inc. and the JV as of December 31, 2024 and December 31, 2023.</w:t>
      </w:r>
    </w:p>
    <w:p>
      <w:pPr>
        <w:spacing w:after="0" w:line="14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color w:val="auto"/>
        </w:rPr>
        <w:t>In accordance with Rule 3 -09 of Regulation S -X, as amended, the Company must determine which of its unconsolidated controlled subsidiaries, if any, are considered “significant subsidiaries.” In evaluating these unconsolidated controlled subsidiaries, there are two significance tests utilized per Rule 1-02(w) of Regulation S-X to determine if any of the Company’s investments or unconsolidated controlled subsidiaries are considered significant: the investment test and the income test. As of December 31, 2024, and December 31, 2023, none of the Company’s investments or unconsolidated controlled subsidiaries met either of these two significance tests.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Transfers of Financial Assets</w:t>
      </w:r>
    </w:p>
    <w:p>
      <w:pPr>
        <w:spacing w:after="0" w:line="19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 xml:space="preserve">The Company follows the guidance in ASC Topic 860, </w:t>
      </w:r>
      <w:r>
        <w:rPr>
          <w:rFonts w:ascii="Times New Roman" w:cs="Times New Roman" w:eastAsia="Times New Roman" w:hAnsi="Times New Roman"/>
          <w:sz w:val="16"/>
          <w:szCs w:val="16"/>
          <w:i w:val="1"/>
          <w:iCs w:val="1"/>
          <w:color w:val="auto"/>
        </w:rPr>
        <w:t>Transfers and Servicing</w:t>
      </w:r>
      <w:r>
        <w:rPr>
          <w:rFonts w:ascii="Times New Roman" w:cs="Times New Roman" w:eastAsia="Times New Roman" w:hAnsi="Times New Roman"/>
          <w:sz w:val="16"/>
          <w:szCs w:val="16"/>
          <w:color w:val="auto"/>
        </w:rPr>
        <w:t xml:space="preserve"> ("ASC 860"), when accounting for transferred financial assets such as debt and equity assignments. Such guidance requires an assignment to meet the definition of a "participating interest", as defined in the guidance, and the following conditions to be met in order for sale treatment to be allowed:</w:t>
      </w:r>
    </w:p>
    <w:p>
      <w:pPr>
        <w:spacing w:after="0" w:line="164" w:lineRule="exact"/>
        <w:rPr>
          <w:sz w:val="20"/>
          <w:szCs w:val="20"/>
          <w:color w:val="auto"/>
        </w:rPr>
      </w:pPr>
    </w:p>
    <w:p>
      <w:pPr>
        <w:ind w:left="360" w:right="400"/>
        <w:spacing w:after="0" w:line="259" w:lineRule="auto"/>
        <w:rPr>
          <w:sz w:val="20"/>
          <w:szCs w:val="20"/>
          <w:color w:val="auto"/>
        </w:rPr>
      </w:pPr>
      <w:r>
        <w:rPr>
          <w:rFonts w:ascii="Times New Roman" w:cs="Times New Roman" w:eastAsia="Times New Roman" w:hAnsi="Times New Roman"/>
          <w:sz w:val="16"/>
          <w:szCs w:val="16"/>
          <w:color w:val="auto"/>
        </w:rPr>
        <w:t>•assigned investments have been isolated from the Company and put presumptively beyond the reach of the Company and its creditors, even in bankruptcy or other receivership;</w:t>
      </w:r>
    </w:p>
    <w:p>
      <w:pPr>
        <w:spacing w:after="0" w:line="59"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•each participant has the right to pledge or exchange the assigned investments it received, and no condition both constrains the participant from taking advantage of its right to pledge or exchange and provides more than a trivial benefit to the Company; and</w:t>
      </w:r>
    </w:p>
    <w:p>
      <w:pPr>
        <w:spacing w:after="0" w:line="59"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•the Company, its consolidated affiliates or its agents do not maintain effective control over the assigned investments through either: (i) an agreement that entitles and/or obligates the Company to repurchase or redeem the assets before maturity, or (ii) the ability to unilaterally cause the holder to return the specific assets, other than through a cleanup call.</w:t>
      </w:r>
    </w:p>
    <w:p>
      <w:pPr>
        <w:spacing w:after="0" w:line="164"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Assignments and other partial debt or equity sales that do not meet the definition of a participating interest or the above conditions, should remain on the Company's Consolidated Statements of Assets and Liabilities and the proceeds recorded as a secured borrowing until the definition is met.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Runway-Cadma I LLC</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As announced on March 7, 2024, effective March 6, 2024, the Company entered into a joint venture agreement with Cadma Capital Partners LLC ("Cadma") to create and co-manage the JV. The JV may invest in secured loans to growth-stage companies that have been originated by the Company. The Company and Cadma have equal ownership of the JV and each committed to provide $35.0 million of the total $70.0 million in equity capital. All portfolio decisions and generally all other actions with respect to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Parties."</w:t>
      </w:r>
    </w:p>
    <w:p>
      <w:pPr>
        <w:spacing w:after="0" w:line="36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99" w:name="page100"/>
    <w:bookmarkEnd w:id="9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92"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9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Cash consists solely of funds deposited with financial institutions, while cash equivalents consist of short-term liquid investments in money market funds. Cash and cash equivalents are carried at cost, which approximates fair value. As of December 31, 2024, the Company had $4.0 million invested in money market funds. As of December 31, 2023, the Company did not have any cash invested in money market funds. Dividends earned from money market funds are recorded in "Other income" on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and Deferred Financing Costs</w:t>
      </w:r>
    </w:p>
    <w:p>
      <w:pPr>
        <w:spacing w:after="0" w:line="19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debt of the Company is carried at amortized cost on the Consolidated Statements of Assets and Liabilities, which is comprised of the principal amount borrowed, net of unamortized debt financing costs. Debt financing costs ("DFC") are fees and other direct incremental costs incurred by the Company in relation to debt financing and are amortized over the life of the related debt instrument or the life of the cost's respective service, if shorter, using the straight- line method, which closely approximates the effective yield method. Amortization of such debt financing costs and interest expense on the outstanding principal balance are recorded in "Interest and other debt financing expenses" on the Consolidated Statements of Operations. Debt financing costs that have not yet been amortized are recorded as "Unamortized deferred financing costs" on the Consolidated Statements of Assets and Liabilities. To the extent there are no outstanding borrowings, the deferred financing costs are presented as an asset on the Consolidated Statements of Assets and Liabilities. Accrued but unpaid interest is included within "Interest payable" on the Consolidated Statements of Assets and Liabilities. For more information, refer to “Note 7 – Borrowings.”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Transactions and Related Investment Income</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 of 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 Fee income may also include income from bridge loans.</w:t>
      </w:r>
    </w:p>
    <w:p>
      <w:pPr>
        <w:spacing w:after="0" w:line="17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For the years ended December 31, 2024, December 31, 2023, and December 31, 2022, approximately 8.4%, 12.2%, and 8.0%, respectively, of the Company’s total investment income was attributable to non-cash PIK interest.</w:t>
      </w:r>
    </w:p>
    <w:p>
      <w:pPr>
        <w:spacing w:after="0" w:line="17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Dividend income is recorded on an accrual basis to the extent that such amounts are payable and expected to be collected. Dividend income is recorded on the record date for private portfolio companies and on the ex-dividend date for publicly traded portfolio</w:t>
      </w: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0" w:name="page101"/>
    <w:bookmarkEnd w:id="10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companies. Interest income, if any, adjusted for amortization of market premium and accretion of OID and ETP, is recorded on an accrual basis to the extent that the Company expects to collect such amounts.</w:t>
      </w:r>
    </w:p>
    <w:p>
      <w:pPr>
        <w:spacing w:after="0" w:line="155"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6"/>
          <w:szCs w:val="16"/>
          <w:color w:val="auto"/>
        </w:rPr>
        <w:t>Security transactions, if any, are recorded on a trade-date basis. Realized gains or losses from the repayment or sale of investments are measured using the specific identification method. The Company reports changes in fair value of investments from the prior period as a component of "Net change in unrealized gain (loss) on investments" on the Consolidated Statements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Non-Accrual Investments</w:t>
      </w:r>
    </w:p>
    <w:p>
      <w:pPr>
        <w:spacing w:after="0" w:line="19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Debt investments are placed on non- 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 accrual loans are first applied to principal prior to recovery of any foregone interest or ETP.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ETP.</w:t>
      </w:r>
    </w:p>
    <w:p>
      <w:pPr>
        <w:spacing w:after="0" w:line="14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4"/>
          <w:szCs w:val="14"/>
          <w:color w:val="auto"/>
        </w:rPr>
        <w:t>As of December 31, 2024, the Company had two senior secured term loans on non- accrual status; one loan to Mingle Healthcare Solutions, Inc. with a cost basis of $5.0 million and a fair value of $2.1 million, and one loan to JobGet Holdings, Inc. (fka Snagajob, Inc.), with a cost basis of $3.8 million and a fair value of $3.4 million, which together represent 0.5% the Company's total investment portfolio. From being placed on non-accrual status through December 31, 2024, cumulative interest of</w:t>
      </w:r>
    </w:p>
    <w:p>
      <w:pPr>
        <w:spacing w:after="0" w:line="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4"/>
          <w:szCs w:val="14"/>
          <w:color w:val="auto"/>
        </w:rPr>
        <w:t>$0.7 million would be receivable from Mingle Healthcare Solutions, Inc. and was not recorded in Interest income on the Consolidated Statements of Operations. From being placed on non-accrual status through December 31, 2024, cumulative interest of $4.2 million would be receivable from JobGet Holdings, Inc. (fka Snagajob, Inc.) and $0.3 million OID and ETP would be accreted into the cost basis, for a total of $4.5 million that was not recorded in Interest income on the Consolidated Statements of Operations. As of December 31, 2024, the Company had reversed interest income of $0.3 million related to the senior secured term loans on non-accrual status. As of December 31, 2023, the Company had no loans on non-accrual status and had not written off any accrued and uncollected interest income.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 xml:space="preserve">The Company measures the value of its financial instruments at fair value in accordance with ASC Topic 820, </w:t>
      </w:r>
      <w:r>
        <w:rPr>
          <w:rFonts w:ascii="Times New Roman" w:cs="Times New Roman" w:eastAsia="Times New Roman" w:hAnsi="Times New Roman"/>
          <w:sz w:val="16"/>
          <w:szCs w:val="16"/>
          <w:i w:val="1"/>
          <w:iCs w:val="1"/>
          <w:color w:val="auto"/>
        </w:rPr>
        <w:t>Fair Value Measurements and Disclosure</w:t>
      </w:r>
      <w:r>
        <w:rPr>
          <w:rFonts w:ascii="Times New Roman" w:cs="Times New Roman" w:eastAsia="Times New Roman" w:hAnsi="Times New Roman"/>
          <w:sz w:val="16"/>
          <w:szCs w:val="16"/>
          <w:color w:val="auto"/>
        </w:rPr>
        <w:t xml:space="preserve"> (“ASC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spacing w:after="0" w:line="17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•Level 1</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Valuations are based on quoted prices in active markets for identical assets or liabilities that are accessible at the measurement date.</w:t>
      </w:r>
    </w:p>
    <w:p>
      <w:pPr>
        <w:spacing w:after="0" w:line="55" w:lineRule="exact"/>
        <w:rPr>
          <w:sz w:val="20"/>
          <w:szCs w:val="20"/>
          <w:color w:val="auto"/>
        </w:rPr>
      </w:pPr>
    </w:p>
    <w:p>
      <w:pPr>
        <w:ind w:left="220" w:right="320"/>
        <w:spacing w:after="0" w:line="258" w:lineRule="auto"/>
        <w:rPr>
          <w:sz w:val="20"/>
          <w:szCs w:val="20"/>
          <w:color w:val="auto"/>
        </w:rPr>
      </w:pPr>
      <w:r>
        <w:rPr>
          <w:rFonts w:ascii="Times New Roman" w:cs="Times New Roman" w:eastAsia="Times New Roman" w:hAnsi="Times New Roman"/>
          <w:sz w:val="16"/>
          <w:szCs w:val="16"/>
          <w:color w:val="auto"/>
        </w:rPr>
        <w:t>•Level 2</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Valuations are based on quoted prices in markets that are not active or for which all significant inputs are observable, either directly or indirectly and model-based valuation techniques for which all significant inputs are observable.</w:t>
      </w:r>
    </w:p>
    <w:p>
      <w:pPr>
        <w:spacing w:after="0" w:line="24" w:lineRule="exact"/>
        <w:rPr>
          <w:sz w:val="20"/>
          <w:szCs w:val="20"/>
          <w:color w:val="auto"/>
        </w:rPr>
      </w:pPr>
    </w:p>
    <w:p>
      <w:pPr>
        <w:jc w:val="both"/>
        <w:ind w:left="220" w:right="260"/>
        <w:spacing w:after="0" w:line="242" w:lineRule="auto"/>
        <w:rPr>
          <w:sz w:val="20"/>
          <w:szCs w:val="20"/>
          <w:color w:val="auto"/>
        </w:rPr>
      </w:pPr>
      <w:r>
        <w:rPr>
          <w:rFonts w:ascii="Times New Roman" w:cs="Times New Roman" w:eastAsia="Times New Roman" w:hAnsi="Times New Roman"/>
          <w:sz w:val="16"/>
          <w:szCs w:val="16"/>
          <w:color w:val="auto"/>
        </w:rPr>
        <w:t>•Level 3</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1" w:name="page102"/>
    <w:bookmarkEnd w:id="10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spacing w:after="0" w:line="16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Rule 2a-5 under the 1940 Act established additional requirements for determining the fair value of the Company's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 -4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Valuation Techniques</w:t>
      </w:r>
    </w:p>
    <w:p>
      <w:pPr>
        <w:spacing w:after="0" w:line="19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With respect to investments for which market quotations are not readily available, the Company undertakes a multi-step valuation process each quarter, as described below:</w:t>
      </w:r>
    </w:p>
    <w:p>
      <w:pPr>
        <w:spacing w:after="0" w:line="155" w:lineRule="exact"/>
        <w:rPr>
          <w:sz w:val="20"/>
          <w:szCs w:val="20"/>
          <w:color w:val="auto"/>
        </w:rPr>
      </w:pPr>
    </w:p>
    <w:p>
      <w:pPr>
        <w:ind w:left="220" w:right="40"/>
        <w:spacing w:after="0" w:line="259" w:lineRule="auto"/>
        <w:rPr>
          <w:sz w:val="20"/>
          <w:szCs w:val="20"/>
          <w:color w:val="auto"/>
        </w:rPr>
      </w:pPr>
      <w:r>
        <w:rPr>
          <w:rFonts w:ascii="Times New Roman" w:cs="Times New Roman" w:eastAsia="Times New Roman" w:hAnsi="Times New Roman"/>
          <w:sz w:val="16"/>
          <w:szCs w:val="16"/>
          <w:color w:val="auto"/>
        </w:rPr>
        <w:t>•The quarterly valuation process begins with each portfolio company investment being initially valued by RGC’s investment professionals that are responsible for the portfolio investment;</w:t>
      </w:r>
    </w:p>
    <w:p>
      <w:pPr>
        <w:spacing w:after="0" w:line="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•Preliminary valuation conclusions are then documented and discussed with RGC’s valuation committee;</w:t>
      </w:r>
    </w:p>
    <w:p>
      <w:pPr>
        <w:spacing w:after="0" w:line="92" w:lineRule="exact"/>
        <w:rPr>
          <w:sz w:val="20"/>
          <w:szCs w:val="20"/>
          <w:color w:val="auto"/>
        </w:rPr>
      </w:pPr>
    </w:p>
    <w:p>
      <w:pPr>
        <w:ind w:left="220" w:right="280"/>
        <w:spacing w:after="0" w:line="331" w:lineRule="auto"/>
        <w:rPr>
          <w:sz w:val="20"/>
          <w:szCs w:val="20"/>
          <w:color w:val="auto"/>
        </w:rPr>
      </w:pPr>
      <w:r>
        <w:rPr>
          <w:rFonts w:ascii="Times New Roman" w:cs="Times New Roman" w:eastAsia="Times New Roman" w:hAnsi="Times New Roman"/>
          <w:sz w:val="14"/>
          <w:szCs w:val="14"/>
          <w:color w:val="auto"/>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spacing w:after="0" w:line="12" w:lineRule="exact"/>
        <w:rPr>
          <w:sz w:val="20"/>
          <w:szCs w:val="20"/>
          <w:color w:val="auto"/>
        </w:rPr>
      </w:pPr>
    </w:p>
    <w:p>
      <w:pPr>
        <w:ind w:left="220" w:right="160"/>
        <w:spacing w:after="0" w:line="259" w:lineRule="auto"/>
        <w:rPr>
          <w:sz w:val="20"/>
          <w:szCs w:val="20"/>
          <w:color w:val="auto"/>
        </w:rPr>
      </w:pPr>
      <w:r>
        <w:rPr>
          <w:rFonts w:ascii="Times New Roman" w:cs="Times New Roman" w:eastAsia="Times New Roman" w:hAnsi="Times New Roman"/>
          <w:sz w:val="16"/>
          <w:szCs w:val="16"/>
          <w:color w:val="auto"/>
        </w:rPr>
        <w:t>•The Audit Committee of the Board of Directors (the "Audit Committee") then reviews these preliminary valuations from RGC and the independent valuation firm, if any, and makes a recommendation to the Board of Directors regarding such valuations; and</w:t>
      </w:r>
    </w:p>
    <w:p>
      <w:pPr>
        <w:spacing w:after="0" w:line="59" w:lineRule="exact"/>
        <w:rPr>
          <w:sz w:val="20"/>
          <w:szCs w:val="20"/>
          <w:color w:val="auto"/>
        </w:rPr>
      </w:pPr>
    </w:p>
    <w:p>
      <w:pPr>
        <w:ind w:left="220" w:right="40"/>
        <w:spacing w:after="0" w:line="259" w:lineRule="auto"/>
        <w:rPr>
          <w:sz w:val="20"/>
          <w:szCs w:val="20"/>
          <w:color w:val="auto"/>
        </w:rPr>
      </w:pPr>
      <w:r>
        <w:rPr>
          <w:rFonts w:ascii="Times New Roman" w:cs="Times New Roman" w:eastAsia="Times New Roman" w:hAnsi="Times New Roman"/>
          <w:sz w:val="16"/>
          <w:szCs w:val="16"/>
          <w:color w:val="auto"/>
        </w:rPr>
        <w:t>•The Board of Directors reviews the recommended preliminary valuations and determines the fair value of each investment in the Company’s portfolio, in good faith, based on the input of RGC, the independent valuation firm(s) and the Audit Committee.</w:t>
      </w:r>
    </w:p>
    <w:p>
      <w:pPr>
        <w:spacing w:after="0" w:line="15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Company’s investments are primarily loans made to and equity and warrants of small companies with potential for fast growth focused in technology, healthcare, business services and other high- growth industries. These investments are considered Level 3 assets under ASC 820 because there are no known or accessible market or market indices for these types of debt and equity instruments and, thus, RGC’s valuation committee must estimate the fair value of these investment securities based on models utilizing unobservable inputs.</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Audit Committee assists the Board of Directors in reviewing the fair value of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valuation committee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w:t>
      </w: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02" w:name="page103"/>
    <w:bookmarkEnd w:id="10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most representative of fair value based on current market conditions as well as other factors RGC’s valuation committee considers relevant.</w:t>
      </w:r>
    </w:p>
    <w:p>
      <w:pPr>
        <w:spacing w:after="0" w:line="18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67"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4"/>
          <w:szCs w:val="14"/>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Investments</w:t>
      </w:r>
    </w:p>
    <w:p>
      <w:pPr>
        <w:spacing w:after="0" w:line="18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This valuation process includes, among other things, evaluating the underlying investment performance, the portfolio company's financial condition, enterprise value and existing capital structure, as well as the ability to raise additional capital, and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spacing w:after="0" w:line="16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the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Warrants</w:t>
      </w:r>
    </w:p>
    <w:p>
      <w:pPr>
        <w:spacing w:after="0" w:line="18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Fair value of warrants is primarily determined using a Black Scholes option-pricing model. Privately held warrants and equity-related securities are valued based on an analysis of various factors including, but not limited to, the following:</w:t>
      </w:r>
    </w:p>
    <w:p>
      <w:pPr>
        <w:spacing w:after="0" w:line="15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7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03" w:name="page104"/>
    <w:bookmarkEnd w:id="10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measurement of any of the Company’s portfolio investments may occur regardless of whether there is a significant increase or decrease in this unobservable input.</w:t>
      </w:r>
    </w:p>
    <w:p>
      <w:pPr>
        <w:spacing w:after="0" w:line="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•The risk -free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71" w:lineRule="exact"/>
        <w:rPr>
          <w:sz w:val="20"/>
          <w:szCs w:val="20"/>
          <w:color w:val="auto"/>
        </w:rPr>
      </w:pPr>
    </w:p>
    <w:p>
      <w:pPr>
        <w:ind w:right="480"/>
        <w:spacing w:after="0" w:line="299" w:lineRule="auto"/>
        <w:rPr>
          <w:sz w:val="20"/>
          <w:szCs w:val="20"/>
          <w:color w:val="auto"/>
        </w:rPr>
      </w:pPr>
      <w:r>
        <w:rPr>
          <w:rFonts w:ascii="Times New Roman" w:cs="Times New Roman" w:eastAsia="Times New Roman" w:hAnsi="Times New Roman"/>
          <w:sz w:val="14"/>
          <w:szCs w:val="14"/>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34"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14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spacing w:after="0" w:line="16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 Additionally, a waterfall approach, also known as the current value method, concludes the value of the security based on the current liquidation value, taking into account the concluded enterprise value and the rights and preferences of all the debt and equity securities that make up a company’s capitalization.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Investments</w:t>
      </w:r>
    </w:p>
    <w:p>
      <w:pPr>
        <w:spacing w:after="0" w:line="18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fair value of an equity investment in a privately held company is initially the face value of the amount invested. The Company adjusts the fair value of equity investments in private companies upon the completion of a new third -party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04" w:name="page105"/>
    <w:bookmarkEnd w:id="10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Denominated in Foreign Currency</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At each balance sheet date, portfolio company investments denominated in foreign currencies and any related receivables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December 31, 2024, the Company held two investments denominated in British pound sterling, and one investment denominated in Euros. As of December 31, 2023, the Company held one investment denominated in Euros. Refer to the Consolidated Schedule of Investments and respective footnotes to the Consolidated Schedule of Investments for more details on the portfolio company investments held in foreign currencies as of December 31, 2024 and December 31, 2023.</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non-control/non-affiliate investments, including U.S. Treasury Bills" on the Consolidated Statements of Operations.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Classification</w:t>
      </w:r>
    </w:p>
    <w:p>
      <w:pPr>
        <w:spacing w:after="0" w:line="192"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spacing w:after="0" w:line="1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946- 205-45-3 of the ASC, permanent tax differences are reclassified from accumulated undistributed earnings to paid-in-capital at the end of each year and have no impact on total net assets. For more information, refer to "Note 10 – Income Taxes."</w:t>
      </w: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05" w:name="page106"/>
    <w:bookmarkEnd w:id="10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 Share Information</w:t>
      </w:r>
    </w:p>
    <w:p>
      <w:pPr>
        <w:spacing w:after="0" w:line="19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Basic and diluted earnings (loss) per common share is calculated using the weighted-average number of common shares outstanding for the period presented. For the years ended December 31, 2024, 2023, and 2022, basic and diluted earnings (loss) per share of common stock were the same because there were no potentially dilutive securities outstanding. Per share data is based on the weighted-average shares outstanding.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w:t>
      </w:r>
    </w:p>
    <w:p>
      <w:pPr>
        <w:spacing w:after="0" w:line="19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Company reports all changes in comprehensive income in the Consolidated Statements of Operations. The Company did not have any other comprehensive income in 2024, 2023, or 2022. The Company’s comprehensive income is equal to its "Net increase (decrease) in net assets resulting from operations" on the Consolidated Statements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2"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6"/>
          <w:szCs w:val="16"/>
          <w:color w:val="auto"/>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Repurchases of Common Stock</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Prior to December 31, 2024, the Company reported repurchases of common stock as a separate financial statement line item labeled as "Treasury stock" within "Total net assets" on the Consolidated Statements of Assets and Liabilities and Consolidated Statements of Changes in Net Assets, and labeled any related activity as "Acquisition of treasury stock" on the Consolidated Statements of Changes in Net Assets and Consolidated Statements of Cash Flows. As of and for the year ended December 31, 2024, as required under Maryland law, any shares repurchased by the Company are to be returned to unissued common shares and amounts repurchased are presented as a deduction from "Common stock, par value" and "Additional paid-in capital". The prior period activity has been reclassified during the year ended December 31, 2024 as a "Reclassification of share repurchases" within the Statement of Changes in Net Assets.</w:t>
      </w: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55" w:right="740" w:bottom="1440" w:gutter="0" w:footer="0" w:header="0"/>
        </w:sectPr>
      </w:pPr>
    </w:p>
    <w:bookmarkStart w:id="106" w:name="page107"/>
    <w:bookmarkEnd w:id="10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Adopted Accounting Pronouncements</w:t>
      </w:r>
    </w:p>
    <w:p>
      <w:pPr>
        <w:spacing w:after="0" w:line="190"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6"/>
          <w:szCs w:val="16"/>
          <w:color w:val="auto"/>
        </w:rPr>
        <w:t xml:space="preserve">In June 2022, the FASB issued ASU 2022 -03, </w:t>
      </w:r>
      <w:r>
        <w:rPr>
          <w:rFonts w:ascii="Times New Roman" w:cs="Times New Roman" w:eastAsia="Times New Roman" w:hAnsi="Times New Roman"/>
          <w:sz w:val="16"/>
          <w:szCs w:val="16"/>
          <w:i w:val="1"/>
          <w:iCs w:val="1"/>
          <w:color w:val="auto"/>
        </w:rPr>
        <w:t>Fair Value Measurement (Topic 820) - Fair Value Measurement of Equity Securities Subject to Contractual Sale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Restrictions </w:t>
      </w:r>
      <w:r>
        <w:rPr>
          <w:rFonts w:ascii="Times New Roman" w:cs="Times New Roman" w:eastAsia="Times New Roman" w:hAnsi="Times New Roman"/>
          <w:sz w:val="16"/>
          <w:szCs w:val="16"/>
          <w:color w:val="auto"/>
        </w:rPr>
        <w:t>("ASU 2022-03"), which was issued to (1) clarify the guidance in ASC 820, when measuring the fair value of an equity security subject to contractual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restrictions that prohibit the sale of an equity security, (2) to amend a related illustrative example, and (3) to introduce new disclosure requirements for equity securities subject to contractual sale restrictions that are measured at fair value in accordance with ASU 820. ASU 2022-03 is effective for interim and annual periods beginning after December 15, 2023. The Company adopted ASU 2022-03 on January 1, 2024, and its adoption did not have a material impact on the Company’s financial statements.</w:t>
      </w:r>
    </w:p>
    <w:p>
      <w:pPr>
        <w:spacing w:after="0" w:line="16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 xml:space="preserve">In November 2023, the FASB issued ASU 2023-07, </w:t>
      </w:r>
      <w:r>
        <w:rPr>
          <w:rFonts w:ascii="Times New Roman" w:cs="Times New Roman" w:eastAsia="Times New Roman" w:hAnsi="Times New Roman"/>
          <w:sz w:val="16"/>
          <w:szCs w:val="16"/>
          <w:i w:val="1"/>
          <w:iCs w:val="1"/>
          <w:color w:val="auto"/>
        </w:rPr>
        <w:t>Segment Reporting (Topic 280): Improvements to Reportable Segment Disclosures</w:t>
      </w:r>
      <w:r>
        <w:rPr>
          <w:rFonts w:ascii="Times New Roman" w:cs="Times New Roman" w:eastAsia="Times New Roman" w:hAnsi="Times New Roman"/>
          <w:sz w:val="16"/>
          <w:szCs w:val="16"/>
          <w:color w:val="auto"/>
        </w:rPr>
        <w:t xml:space="preserve"> ("ASU 2023-07"). This change is intended to improve reportable segment disclosure requirements, primarily through enhanced disclosures about significant segment expenses, allowing financial statement users to better understand the components of a segment's profit or loss and assess potential future cash flows for each reportable segment and the entity as a whole. The amendments expand a public entity's segment disclosures by requiring disclosure of significant segment expenses that are regularly provided to the chief operating decision maker, clarifying when an entity may report one or more additional measures to assess segment performance, requiring enhanced interim disclosures and providing new disclosure requirements for entities with a single reportable segment, among other new disclosure requirements. The amendments are effective for fiscal years beginning after December 15, 2023, and interim periods within fiscal years beginning after December 15, 2024, and early adoption is permitted. The Company adopted the provisions of ASU 2023-07, and the disclosures required by the ASU have been included in the footnotes to the consolidated financial statements. For more information, refer to "Note 11 – Segment reporting."</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90"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Income Taxes (Topic 740)- Improvements to Income Tax Disclosures</w:t>
      </w:r>
      <w:r>
        <w:rPr>
          <w:rFonts w:ascii="Times New Roman" w:cs="Times New Roman" w:eastAsia="Times New Roman" w:hAnsi="Times New Roman"/>
          <w:sz w:val="16"/>
          <w:szCs w:val="16"/>
          <w:color w:val="auto"/>
        </w:rPr>
        <w:t xml:space="preserve"> ("ASU 2023-09"), to expand the disclosure requirements for income taxes, specifically related to the rate reconciliation and income taxes paid. The amendments in ASU 2023-09 are effective for public business entities for fiscal years beginning after December 15, 2024, including interim periods therein. ASU 2023 -09 is effective for our interim and annual periods beginning January 1, 2025, with early adoption permitted. The Company is currently evaluating the potential effect that the standard will have on our financial statement disclosures.</w:t>
      </w:r>
    </w:p>
    <w:p>
      <w:pPr>
        <w:spacing w:after="0" w:line="16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6"/>
          <w:szCs w:val="16"/>
          <w:color w:val="auto"/>
        </w:rPr>
        <w:t xml:space="preserve">On November 26, 2024, the FASB issued ASU 2024-04, </w:t>
      </w:r>
      <w:r>
        <w:rPr>
          <w:rFonts w:ascii="Times New Roman" w:cs="Times New Roman" w:eastAsia="Times New Roman" w:hAnsi="Times New Roman"/>
          <w:sz w:val="16"/>
          <w:szCs w:val="16"/>
          <w:i w:val="1"/>
          <w:iCs w:val="1"/>
          <w:color w:val="auto"/>
        </w:rPr>
        <w:t>Debt - Debt with Conversion and Other Options (Subtopic 470-20)- Induced Conversions of Convertible 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Instruments </w:t>
      </w:r>
      <w:r>
        <w:rPr>
          <w:rFonts w:ascii="Times New Roman" w:cs="Times New Roman" w:eastAsia="Times New Roman" w:hAnsi="Times New Roman"/>
          <w:sz w:val="16"/>
          <w:szCs w:val="16"/>
          <w:color w:val="auto"/>
        </w:rPr>
        <w:t>("ASU 2024-04"), related to induced conversions of convertible debt instruments. The amendments in this update clarify the requirements for determining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plans to adopt the pronouncement for our fiscal year beginning January 1, 2026 and is currently evaluating the potential effect that the standard will have on our financial statement disclosures.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07" w:name="page108"/>
    <w:bookmarkEnd w:id="10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Related Party Agreements and Transactions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Advisory Agreement</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On November 29, 2016, the Board of Directors approved an investment advisory agreement between RGC and the Company, under which RGC, subject to the overall supervision of the Board of Directors, manages the day-to- 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First Amended and Restated Advisory Agreement (the “Advisory Agreement”) at a virtual meeting and recommended that the Company’s stockholders approve the Advisory Agreement. In reliance upon certain exemptive relief granted by the SEC in connection with the global COVID -19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First Amended and Restated Advisory Agreement to include certain revisions to the management and incentive fee calculation mechanisms and clarify language relating to liquidity events. On April 30, 2024, the Board of Directors renewed the Advisory Agreement for a period of twelve months commencing May 27, 2024. Under the terms of the Advisory Agreement, RGC:</w:t>
      </w:r>
    </w:p>
    <w:p>
      <w:pPr>
        <w:spacing w:after="0" w:line="331" w:lineRule="exact"/>
        <w:rPr>
          <w:sz w:val="20"/>
          <w:szCs w:val="20"/>
          <w:color w:val="auto"/>
        </w:rPr>
      </w:pPr>
    </w:p>
    <w:p>
      <w:pPr>
        <w:ind w:left="360" w:right="360"/>
        <w:spacing w:after="0" w:line="360" w:lineRule="auto"/>
        <w:rPr>
          <w:sz w:val="20"/>
          <w:szCs w:val="20"/>
          <w:color w:val="auto"/>
        </w:rPr>
      </w:pPr>
      <w:r>
        <w:rPr>
          <w:rFonts w:ascii="Times New Roman" w:cs="Times New Roman" w:eastAsia="Times New Roman" w:hAnsi="Times New Roman"/>
          <w:sz w:val="16"/>
          <w:szCs w:val="16"/>
          <w:color w:val="auto"/>
        </w:rPr>
        <w:t>•determines the composition of the Company’s portfolio, the nature and timing of the changes to the portfolio and the manner of implementing such changes; •identifies, evaluates and negotiates the structure of the investments the Company makes; •executes, closes and monitors the investments the Company makes;</w:t>
      </w:r>
    </w:p>
    <w:p>
      <w:pPr>
        <w:ind w:left="360" w:right="4640"/>
        <w:spacing w:after="0" w:line="360" w:lineRule="auto"/>
        <w:rPr>
          <w:sz w:val="20"/>
          <w:szCs w:val="20"/>
          <w:color w:val="auto"/>
        </w:rPr>
      </w:pPr>
      <w:r>
        <w:rPr>
          <w:rFonts w:ascii="Times New Roman" w:cs="Times New Roman" w:eastAsia="Times New Roman" w:hAnsi="Times New Roman"/>
          <w:sz w:val="16"/>
          <w:szCs w:val="16"/>
          <w:color w:val="auto"/>
        </w:rPr>
        <w:t>•determines the securities and other assets that the Company will purchase, retain or sell; •performs due diligence on prospective investments; and</w:t>
      </w:r>
    </w:p>
    <w:p>
      <w:pPr>
        <w:ind w:left="360" w:right="340"/>
        <w:spacing w:after="0" w:line="259" w:lineRule="auto"/>
        <w:rPr>
          <w:sz w:val="20"/>
          <w:szCs w:val="20"/>
          <w:color w:val="auto"/>
        </w:rPr>
      </w:pPr>
      <w:r>
        <w:rPr>
          <w:rFonts w:ascii="Times New Roman" w:cs="Times New Roman" w:eastAsia="Times New Roman" w:hAnsi="Times New Roman"/>
          <w:sz w:val="16"/>
          <w:szCs w:val="16"/>
          <w:color w:val="auto"/>
        </w:rPr>
        <w:t>•provides the Company with other such investment advisory, research and related services as the Company may, from time to time, reasonably require for the investment of its funds.</w:t>
      </w:r>
    </w:p>
    <w:p>
      <w:pPr>
        <w:spacing w:after="0" w:line="155"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October 29, 2024, the Board of Directors, including the independent directors, approved an amended and restated advisory agreement (the "Third Amended and Restated Advisory Agreement") and recommended that the Company's stockholders approve the Third Amended and Restated Advisory Agreement. On January 23, 2025, the Company's stockholders approved the Third Amended and Restated Advisory Agreement at a special meeting of stockholders of the Company, and the Third Amended and Restated Advisory Agreement became effective on January 30, 2025 upon the closing of the BCP Transaction. Although the ownership of the Adviser changed in connection with the completion of the BCP Transaction, the management of the Adviser did not change, nor did the terms of the Third Amended and Restated Advisory Agreement compared to the Advisory Agreement.</w:t>
      </w:r>
    </w:p>
    <w:p>
      <w:pPr>
        <w:spacing w:after="0" w:line="173"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6"/>
          <w:szCs w:val="16"/>
          <w:color w:val="auto"/>
        </w:rPr>
        <w:t>Pursuant to the Advisory Agreement, the Company pays RGC a fee for its investment advisory and management services consisting of two components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a base management fee and an incentive fee. The cost of both the base management fee and incentive fee are ultimately borne by the Company’s stockholders.</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108" w:name="page109"/>
    <w:bookmarkEnd w:id="10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Base Management Fee</w:t>
      </w:r>
    </w:p>
    <w:p>
      <w:pPr>
        <w:spacing w:after="0" w:line="19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base management fee is payable on the first day of each calendar quarter and is calculated on the Company's "Gross Assets" which, for purposes of the Advisory Agreement, is defined as the Company’s daily average gross assets, including assets purchased with borrowed funds or other forms of leverage, as of the end of the most recently completed fiscal quarter. The base management fee will be an amount equal to 0.375% (1.50% annualized) of the Company’s daily average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daily average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spacing w:after="0" w:line="170"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For the year ended December 31, 2024, RGC earned base management fees at a rate of 1.50% per annum, amounting to $15.7 million For the year ended December 31, 2023, RGC earned base management fees at a rate of 1.50% per annum, amounting to $16.7 million. For the year ended December 31, 2022, RGC earned base management fees at a rate of 1.60% per annum, amounting to $11.9 million. As the Company pays management fees at the beginning of each respective quarter, there were no management fees payable as of December 31, 2024 and December 31, 2023.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w:t>
      </w:r>
    </w:p>
    <w:p>
      <w:pPr>
        <w:spacing w:after="0" w:line="19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incentive fee, which provides RGC with a share of the income that RGC generates for the Company, consists of an investment- income component and a capital-gains component, which are largely independent of each other, with the result that one component may be payable even if the other is not.</w:t>
      </w:r>
    </w:p>
    <w:p>
      <w:pPr>
        <w:spacing w:after="0" w:line="1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 -Incentive Fee NII will be based on the Pre -Incentive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 but excluding the incentive fee) .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spacing w:after="0" w:line="17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 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spacing w:after="0" w:line="3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5" w:right="620" w:bottom="1440" w:gutter="0" w:footer="0" w:header="0"/>
        </w:sectPr>
      </w:pPr>
    </w:p>
    <w:bookmarkStart w:id="109" w:name="page110"/>
    <w:bookmarkEnd w:id="10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 Capital Gains Fee. For the foregoing purpose, the Company’s “aggregate cumulative realized capital gains” will not include any unrealized gains. If such amount is negative, then no Capital Gains Fee will be payable for such year.</w:t>
      </w:r>
    </w:p>
    <w:p>
      <w:pPr>
        <w:spacing w:after="0" w:line="16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below for the years ended December 31, 2024, December 31, 2023 and December 31, 2022 are net of such recategorizations during the respective period.</w:t>
      </w:r>
    </w:p>
    <w:p>
      <w:pPr>
        <w:spacing w:after="0" w:line="16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4"/>
          <w:szCs w:val="14"/>
          <w:color w:val="auto"/>
        </w:rPr>
        <w:t>For the year ended December 31, 2024, RGC earned incentive fees of $14.6 million, $13.6 million of which was payable in cash, and $1.0 million was accrued and generated from deferred interest. For the year ended December 31, 2023, RGC earned incentive fees of $19.0 million, $14.9 million of which were payable in cash, and</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$4.1 million were accrued and generated from deferred interest. For the year ended December 31, 2022, RGC earned incentive fees of $13.2 million, $11.8 million of which was payable in cash, and $1.4 million were accrued and generated from deferred interest. All incentive fees earned by RGC are included in "Incentive fees" on the Consolidated Statements of Operations.</w:t>
      </w:r>
    </w:p>
    <w:p>
      <w:pPr>
        <w:spacing w:after="0" w:line="16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As of December 31, 2024, $4.0 million of incentive fees were payable in cash and $10.1 million were deferred incentive fees payable. As of December 31, 2023, $3.3 million of incentive fees payable were payable in cash, and $9.2 million were deferred incentive fees payable. Incentive fees payable in cash and deferred incentive fees are both included in "Incentive fees payable" on the Consolidated Statements of Assets and Liabilities.</w:t>
      </w:r>
    </w:p>
    <w:p>
      <w:pPr>
        <w:spacing w:after="0" w:line="164"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capital gains incentive fee consists of fees related to realized gains and losses and unrealized capital losses. As of December 31, 2024, December 31, 2023 and December 31, 2022, there were no capital gains incentive fee accrued, earned or payable to RGC under the Advisory Agreement.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Agreement</w:t>
      </w:r>
    </w:p>
    <w:p>
      <w:pPr>
        <w:spacing w:after="0" w:line="192"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w:t>
      </w:r>
    </w:p>
    <w:p>
      <w:pPr>
        <w:spacing w:after="0" w:line="17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2024, the Company incurred $ 2.0 million of Administration Agreement expenses, of which $0.7 million was a third-party administrator expense and $1.3 million was overhead allocation expense. For the year ended December 31, 2023, the Company incurred $2.1 million of Administration Agreement expenses, of which $ 0.8 million was payable to a third-party administrator and $1.3 million was overhead allocation expense. For the year ended December 31, 2022, the Company incurred $1.8 million of Administration Agreement expenses, of which $0.8 million was payable to a third-party service provider and $1.0 million was overhead allocation expense. All Administration Agreement expenses are recorded as Administration Agreement expenses on the Consolidated Statements of Operations.</w:t>
      </w:r>
    </w:p>
    <w:p>
      <w:pPr>
        <w:spacing w:after="0" w:line="173"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As of December 31, 2024, the Company had accrued a net payable to the Administrator of $ 0.3 million and a payable to the third-party administrator of $ 0.2 million. As of December 31, 2023, the Company had accrued a net payable to the Administrator of $0.4 million and a payable to the third-party administrator of $0.2 million. As of December 31, 2022, the Company had accrued a net payable to the Administrator of $0.4 million and a payable to the third-party administrator of $0.2 million. All payables related to the Administration Agreement are recorded within Accrued expenses and other liabilities on the Consolidated Statements of Assets and Liabilities.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0" w:name="page111"/>
    <w:bookmarkEnd w:id="11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w:t>
      </w:r>
    </w:p>
    <w:p>
      <w:pPr>
        <w:spacing w:after="0" w:line="19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6"/>
          <w:szCs w:val="16"/>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Runway-Cadma I LLC</w:t>
      </w:r>
    </w:p>
    <w:p>
      <w:pPr>
        <w:spacing w:after="0" w:line="19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In March 2024, the Company entered into a joint venture agreement with Cadma to create and co-manage Runway-Cadma I LLC, also referred to as the JV. The Company paid $0.6 million of expenses and deferred financing costs in connection with the formation of the JV, for which the JV reimbursed the Company during the year ended December 31, 2024. The JV entered into a senior secured revolving credit facility with Apollo Capital Management, L.P ("Apollo Credit Facility"), which provided the JV with a $40.0 million commitment, subject to borrowing base requirements. The Apollo Credit Facility is non-recourse to the Company and bears interest at three-month SOFR plus 4.15%. As of December 31, 2024, the JV has not drawn on the available commitment in the Apollo Credit Facility.</w:t>
      </w:r>
    </w:p>
    <w:p>
      <w:pPr>
        <w:spacing w:after="0" w:line="169"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During the year ended December 31, 2024, the Company and Cadma contributed $5.6 million and $5.6 million, respectively, of equity capital to the JV. As of December 31, 2024, the Company's unfunded commitment to the JV was $29.4 million, and there were no payables or receivables due between the Company and the JV. The JV was not yet formed as of December 31, 2023, therefore there were no unfunded commitments, receivables nor payables.</w:t>
      </w:r>
    </w:p>
    <w:p>
      <w:pPr>
        <w:spacing w:after="0" w:line="1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As of December 31, 2024 and December 31, 2023 , the fair value of the Company's equity interest in the JV was $5.7 million and $0, respectively. As of December 31, 2024 and December 31, 2023, the JV had the following contributed capital and unfunded commitments from its members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288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contributed capital by Runway Growth Finance Corp.</w:t>
            </w:r>
          </w:p>
        </w:tc>
        <w:tc>
          <w:tcPr>
            <w:tcW w:w="2880" w:type="dxa"/>
            <w:vAlign w:val="bottom"/>
            <w:shd w:val="clear" w:color="auto" w:fill="CFF0FC"/>
          </w:tcPr>
          <w:p>
            <w:pPr>
              <w:jc w:val="right"/>
              <w:ind w:right="163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5,600</w:t>
            </w:r>
          </w:p>
        </w:tc>
        <w:tc>
          <w:tcPr>
            <w:tcW w:w="4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Total contributed capital by all members</w:t>
            </w:r>
          </w:p>
        </w:tc>
        <w:tc>
          <w:tcPr>
            <w:tcW w:w="288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11,200</w:t>
            </w:r>
          </w:p>
        </w:tc>
        <w:tc>
          <w:tcPr>
            <w:tcW w:w="480" w:type="dxa"/>
            <w:vAlign w:val="bottom"/>
          </w:tcPr>
          <w:p>
            <w:pPr>
              <w:spacing w:after="0"/>
              <w:rPr>
                <w:sz w:val="14"/>
                <w:szCs w:val="14"/>
                <w:color w:val="auto"/>
              </w:rPr>
            </w:pPr>
          </w:p>
        </w:tc>
        <w:tc>
          <w:tcPr>
            <w:tcW w:w="1960" w:type="dxa"/>
            <w:vAlign w:val="bottom"/>
            <w:vMerge w:val="restart"/>
          </w:tcPr>
          <w:p>
            <w:pPr>
              <w:ind w:left="17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4620" w:type="dxa"/>
            <w:vAlign w:val="bottom"/>
            <w:vMerge w:val="continue"/>
          </w:tcPr>
          <w:p>
            <w:pPr>
              <w:spacing w:after="0"/>
              <w:rPr>
                <w:sz w:val="11"/>
                <w:szCs w:val="11"/>
                <w:color w:val="auto"/>
              </w:rPr>
            </w:pPr>
          </w:p>
        </w:tc>
        <w:tc>
          <w:tcPr>
            <w:tcW w:w="2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Total unfunded commitments by Runway Growth Finance Corp.</w:t>
            </w:r>
          </w:p>
        </w:tc>
        <w:tc>
          <w:tcPr>
            <w:tcW w:w="288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29,400</w:t>
            </w:r>
          </w:p>
        </w:tc>
        <w:tc>
          <w:tcPr>
            <w:tcW w:w="480" w:type="dxa"/>
            <w:vAlign w:val="bottom"/>
            <w:shd w:val="clear" w:color="auto" w:fill="CFF0FC"/>
          </w:tcPr>
          <w:p>
            <w:pPr>
              <w:spacing w:after="0"/>
              <w:rPr>
                <w:sz w:val="13"/>
                <w:szCs w:val="13"/>
                <w:color w:val="auto"/>
              </w:rPr>
            </w:pPr>
          </w:p>
        </w:tc>
        <w:tc>
          <w:tcPr>
            <w:tcW w:w="196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unfunded commitments by all members</w:t>
            </w:r>
          </w:p>
        </w:tc>
        <w:tc>
          <w:tcPr>
            <w:tcW w:w="288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58,800</w:t>
            </w:r>
          </w:p>
        </w:tc>
        <w:tc>
          <w:tcPr>
            <w:tcW w:w="480" w:type="dxa"/>
            <w:vAlign w:val="bottom"/>
          </w:tcPr>
          <w:p>
            <w:pPr>
              <w:spacing w:after="0"/>
              <w:rPr>
                <w:sz w:val="14"/>
                <w:szCs w:val="14"/>
                <w:color w:val="auto"/>
              </w:rPr>
            </w:pPr>
          </w:p>
        </w:tc>
        <w:tc>
          <w:tcPr>
            <w:tcW w:w="196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344"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On August 14, 2024, the Company assigned: (i) $10.0 million of its debt investment in Airship Group, Inc. and (ii) 107,296 shares of its warrant for Series F Preferred Stock of Airship Group, Inc., to the JV, for an aggregate purchase price of $ 9.9 million net of upfront fees. In accordance with ACS 860, this transaction met the criteria for a sale. As of December 31, 2024, the JV had one debt investment with a fair value of $10.2 million and one equity investment with a fair value of $0.1 million.</w:t>
      </w: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1" w:name="page112"/>
    <w:bookmarkEnd w:id="11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Oaktree Capital Management and OCM Growth Holdings</w:t>
      </w:r>
    </w:p>
    <w:p>
      <w:pPr>
        <w:spacing w:after="0" w:line="19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4"/>
          <w:szCs w:val="14"/>
          <w:color w:val="auto"/>
        </w:rPr>
        <w:t>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As of December 31, 2024, OCM Growth owned 10,779,668 shares of our common stock, or approximately 28.9% of the Company's outstanding shares. Pursuant to an irrevocable proxy, certain shares held by OCM Growth must be voted in the same proportion that the Company's other stockholders vote their shares. Of the 10,779,668 shares of the Company’s common stock owned by OCM Growth, 10,294,926 shares, or approximately 27.6% of the Company’s outstanding shares, are subject to this proxy voting arrangement.</w:t>
      </w:r>
    </w:p>
    <w:p>
      <w:pPr>
        <w:spacing w:after="0" w:line="14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connection with OCM Growth’s commitment, the Company entered into a stockholder agreement (the "OCM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Company’s Board of Directors as OCM Growth’s director nominee and is considered an independent director. Further, to the extent OCM Growth’s share ownership falls below one-third of its initial $125 million capital commitment under any circumstances, OCM Growth will no longer have the right to appoint a director nominee and will use reasonable efforts to cause such nominee to resign immediately (subject to his or her existing fiduciary duties).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112" w:name="page113"/>
    <w:bookmarkEnd w:id="11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Investments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Control and Affiliate Investments</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w:t>
      </w:r>
    </w:p>
    <w:p>
      <w:pPr>
        <w:spacing w:after="0" w:line="173"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The Company’s affiliate and control investments as of December 31, 2024 along with the transactions during the year ended December 31, 2024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5"/>
                <w:szCs w:val="15"/>
                <w:color w:val="auto"/>
              </w:rPr>
            </w:pPr>
          </w:p>
        </w:tc>
        <w:tc>
          <w:tcPr>
            <w:tcW w:w="1020" w:type="dxa"/>
            <w:vAlign w:val="bottom"/>
            <w:gridSpan w:val="2"/>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 Value as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7"/>
          </w:tcPr>
          <w:p>
            <w:pPr>
              <w:ind w:left="28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100" w:type="dxa"/>
            <w:vAlign w:val="bottom"/>
          </w:tcPr>
          <w:p>
            <w:pPr>
              <w:spacing w:after="0"/>
              <w:rPr>
                <w:sz w:val="15"/>
                <w:szCs w:val="15"/>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80" w:type="dxa"/>
            <w:vAlign w:val="bottom"/>
          </w:tcPr>
          <w:p>
            <w:pPr>
              <w:spacing w:after="0"/>
              <w:rPr>
                <w:sz w:val="15"/>
                <w:szCs w:val="15"/>
                <w:color w:val="auto"/>
              </w:rPr>
            </w:pPr>
          </w:p>
        </w:tc>
        <w:tc>
          <w:tcPr>
            <w:tcW w:w="96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Fair Value as</w:t>
            </w:r>
          </w:p>
        </w:tc>
        <w:tc>
          <w:tcPr>
            <w:tcW w:w="0" w:type="dxa"/>
            <w:vAlign w:val="bottom"/>
          </w:tcPr>
          <w:p>
            <w:pPr>
              <w:spacing w:after="0"/>
              <w:rPr>
                <w:sz w:val="1"/>
                <w:szCs w:val="1"/>
                <w:color w:val="auto"/>
              </w:rPr>
            </w:pPr>
          </w:p>
        </w:tc>
      </w:tr>
      <w:tr>
        <w:trPr>
          <w:trHeight w:val="138"/>
        </w:trPr>
        <w:tc>
          <w:tcPr>
            <w:tcW w:w="1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40" w:type="dxa"/>
            <w:vAlign w:val="bottom"/>
          </w:tcPr>
          <w:p>
            <w:pPr>
              <w:spacing w:after="0"/>
              <w:rPr>
                <w:sz w:val="12"/>
                <w:szCs w:val="12"/>
                <w:color w:val="auto"/>
              </w:rPr>
            </w:pPr>
          </w:p>
        </w:tc>
        <w:tc>
          <w:tcPr>
            <w:tcW w:w="1360" w:type="dxa"/>
            <w:vAlign w:val="bottom"/>
            <w:gridSpan w:val="2"/>
          </w:tcPr>
          <w:p>
            <w:pPr>
              <w:ind w:left="32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20" w:type="dxa"/>
            <w:vAlign w:val="bottom"/>
            <w:gridSpan w:val="2"/>
          </w:tcPr>
          <w:p>
            <w:pPr>
              <w:ind w:left="40"/>
              <w:spacing w:after="0" w:line="145" w:lineRule="exact"/>
              <w:rPr>
                <w:sz w:val="20"/>
                <w:szCs w:val="20"/>
                <w:color w:val="auto"/>
              </w:rPr>
            </w:pPr>
            <w:r>
              <w:rPr>
                <w:rFonts w:ascii="Times New Roman" w:cs="Times New Roman" w:eastAsia="Times New Roman" w:hAnsi="Times New Roman"/>
                <w:sz w:val="13"/>
                <w:szCs w:val="13"/>
                <w:b w:val="1"/>
                <w:bCs w:val="1"/>
                <w:color w:val="auto"/>
              </w:rPr>
              <w:t>Income Earned</w:t>
            </w:r>
          </w:p>
        </w:tc>
        <w:tc>
          <w:tcPr>
            <w:tcW w:w="100" w:type="dxa"/>
            <w:vAlign w:val="bottom"/>
          </w:tcPr>
          <w:p>
            <w:pPr>
              <w:spacing w:after="0"/>
              <w:rPr>
                <w:sz w:val="12"/>
                <w:szCs w:val="12"/>
                <w:color w:val="auto"/>
              </w:rPr>
            </w:pPr>
          </w:p>
        </w:tc>
        <w:tc>
          <w:tcPr>
            <w:tcW w:w="1020" w:type="dxa"/>
            <w:vAlign w:val="bottom"/>
            <w:gridSpan w:val="2"/>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rPr>
              <w:t>of December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33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ind w:left="10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2"/>
                <w:szCs w:val="12"/>
                <w:color w:val="auto"/>
              </w:rPr>
            </w:pPr>
          </w:p>
        </w:tc>
        <w:tc>
          <w:tcPr>
            <w:tcW w:w="980" w:type="dxa"/>
            <w:vAlign w:val="bottom"/>
            <w:gridSpan w:val="2"/>
          </w:tcPr>
          <w:p>
            <w:pPr>
              <w:ind w:left="80"/>
              <w:spacing w:after="0" w:line="145" w:lineRule="exact"/>
              <w:rPr>
                <w:sz w:val="20"/>
                <w:szCs w:val="20"/>
                <w:color w:val="auto"/>
              </w:rPr>
            </w:pPr>
            <w:r>
              <w:rPr>
                <w:rFonts w:ascii="Times New Roman" w:cs="Times New Roman" w:eastAsia="Times New Roman" w:hAnsi="Times New Roman"/>
                <w:sz w:val="13"/>
                <w:szCs w:val="13"/>
                <w:b w:val="1"/>
                <w:bCs w:val="1"/>
                <w:color w:val="auto"/>
              </w:rPr>
              <w:t>Net Realized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54"/>
              <w:spacing w:after="0" w:line="14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w w:val="99"/>
              </w:rPr>
              <w:t>of December</w:t>
            </w:r>
          </w:p>
        </w:tc>
        <w:tc>
          <w:tcPr>
            <w:tcW w:w="0" w:type="dxa"/>
            <w:vAlign w:val="bottom"/>
          </w:tcPr>
          <w:p>
            <w:pPr>
              <w:spacing w:after="0"/>
              <w:rPr>
                <w:sz w:val="1"/>
                <w:szCs w:val="1"/>
                <w:color w:val="auto"/>
              </w:rPr>
            </w:pPr>
          </w:p>
        </w:tc>
      </w:tr>
      <w:tr>
        <w:trPr>
          <w:trHeight w:val="181"/>
        </w:trPr>
        <w:tc>
          <w:tcPr>
            <w:tcW w:w="164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20" w:type="dxa"/>
            <w:vAlign w:val="bottom"/>
          </w:tcPr>
          <w:p>
            <w:pPr>
              <w:spacing w:after="0"/>
              <w:rPr>
                <w:sz w:val="15"/>
                <w:szCs w:val="15"/>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214"/>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120" w:type="dxa"/>
            <w:vAlign w:val="bottom"/>
          </w:tcPr>
          <w:p>
            <w:pPr>
              <w:spacing w:after="0"/>
              <w:rPr>
                <w:sz w:val="15"/>
                <w:szCs w:val="15"/>
                <w:color w:val="auto"/>
              </w:rPr>
            </w:pPr>
          </w:p>
        </w:tc>
        <w:tc>
          <w:tcPr>
            <w:tcW w:w="100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3"/>
                <w:szCs w:val="13"/>
                <w:b w:val="1"/>
                <w:bCs w:val="1"/>
                <w:color w:val="auto"/>
              </w:rPr>
              <w:t>Reductions</w:t>
            </w:r>
            <w:r>
              <w:rPr>
                <w:rFonts w:ascii="Times New Roman" w:cs="Times New Roman" w:eastAsia="Times New Roman" w:hAnsi="Times New Roman"/>
                <w:sz w:val="16"/>
                <w:szCs w:val="16"/>
                <w:b w:val="1"/>
                <w:bCs w:val="1"/>
                <w:color w:val="auto"/>
                <w:vertAlign w:val="superscript"/>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3"/>
                <w:szCs w:val="13"/>
                <w:b w:val="1"/>
                <w:bCs w:val="1"/>
                <w:color w:val="auto"/>
              </w:rPr>
              <w:t>31, 2024</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FF0FC"/>
          </w:tcPr>
          <w:p>
            <w:pPr>
              <w:ind w:left="160"/>
              <w:spacing w:after="0" w:line="144" w:lineRule="exact"/>
              <w:rPr>
                <w:sz w:val="20"/>
                <w:szCs w:val="20"/>
                <w:color w:val="auto"/>
              </w:rPr>
            </w:pPr>
            <w:r>
              <w:rPr>
                <w:rFonts w:ascii="Times New Roman" w:cs="Times New Roman" w:eastAsia="Times New Roman" w:hAnsi="Times New Roman"/>
                <w:sz w:val="13"/>
                <w:szCs w:val="13"/>
                <w:color w:val="auto"/>
              </w:rPr>
              <w:t>Gynesonics, Inc. -</w:t>
            </w:r>
          </w:p>
        </w:tc>
        <w:tc>
          <w:tcPr>
            <w:tcW w:w="1360" w:type="dxa"/>
            <w:vAlign w:val="bottom"/>
            <w:gridSpan w:val="2"/>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SOFR+8.75%, 8.00%</w:t>
            </w:r>
          </w:p>
        </w:tc>
        <w:tc>
          <w:tcPr>
            <w:tcW w:w="12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2,419</w:t>
            </w:r>
          </w:p>
        </w:tc>
        <w:tc>
          <w:tcPr>
            <w:tcW w:w="26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23,586</w:t>
            </w:r>
          </w:p>
        </w:tc>
        <w:tc>
          <w:tcPr>
            <w:tcW w:w="220" w:type="dxa"/>
            <w:vAlign w:val="bottom"/>
            <w:gridSpan w:val="2"/>
            <w:shd w:val="clear" w:color="auto" w:fill="CFF0FC"/>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337</w:t>
            </w:r>
          </w:p>
        </w:tc>
        <w:tc>
          <w:tcPr>
            <w:tcW w:w="300" w:type="dxa"/>
            <w:vAlign w:val="bottom"/>
            <w:gridSpan w:val="2"/>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5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ind w:left="6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3,294</w:t>
            </w:r>
          </w:p>
        </w:tc>
        <w:tc>
          <w:tcPr>
            <w:tcW w:w="22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27,217</w:t>
            </w: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Senior Secured</w:t>
            </w:r>
          </w:p>
        </w:tc>
        <w:tc>
          <w:tcPr>
            <w:tcW w:w="13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ceiling, 5.00% ETP,</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4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due 11/30/2026</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23,586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3,294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27,217</w:t>
            </w: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Coginiti Corp</w:t>
            </w:r>
          </w:p>
        </w:tc>
        <w:tc>
          <w:tcPr>
            <w:tcW w:w="13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856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(856 )</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164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36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A-2 Preferred</w:t>
            </w:r>
          </w:p>
        </w:tc>
        <w:tc>
          <w:tcPr>
            <w:tcW w:w="120" w:type="dxa"/>
            <w:vAlign w:val="bottom"/>
          </w:tcPr>
          <w:p>
            <w:pPr>
              <w:spacing w:after="0"/>
              <w:rPr>
                <w:sz w:val="12"/>
                <w:szCs w:val="12"/>
                <w:color w:val="auto"/>
              </w:rPr>
            </w:pPr>
          </w:p>
        </w:tc>
        <w:tc>
          <w:tcPr>
            <w:tcW w:w="90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21,461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ind w:left="5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ind w:left="6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3,539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68"/>
        </w:trPr>
        <w:tc>
          <w:tcPr>
            <w:tcW w:w="16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40" w:type="dxa"/>
            <w:vAlign w:val="bottom"/>
            <w:shd w:val="clear" w:color="auto" w:fill="CFF0FC"/>
          </w:tcPr>
          <w:p>
            <w:pPr>
              <w:spacing w:after="0"/>
              <w:rPr>
                <w:sz w:val="12"/>
                <w:szCs w:val="12"/>
                <w:color w:val="auto"/>
              </w:rPr>
            </w:pPr>
          </w:p>
        </w:tc>
        <w:tc>
          <w:tcPr>
            <w:tcW w:w="1360" w:type="dxa"/>
            <w:vAlign w:val="bottom"/>
            <w:gridSpan w:val="2"/>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A-1 Preferred</w:t>
            </w: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4,577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ind w:left="58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ind w:left="640"/>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7,778</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0" w:type="dxa"/>
            <w:vAlign w:val="bottom"/>
          </w:tcPr>
          <w:p>
            <w:pPr>
              <w:spacing w:after="0"/>
              <w:rPr>
                <w:sz w:val="1"/>
                <w:szCs w:val="1"/>
                <w:color w:val="auto"/>
              </w:rPr>
            </w:pPr>
          </w:p>
        </w:tc>
      </w:tr>
      <w:tr>
        <w:trPr>
          <w:trHeight w:val="168"/>
        </w:trPr>
        <w:tc>
          <w:tcPr>
            <w:tcW w:w="164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26,894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10,461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37,355</w:t>
            </w: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Coginiti Corp</w:t>
            </w:r>
          </w:p>
        </w:tc>
        <w:tc>
          <w:tcPr>
            <w:tcW w:w="13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(663 )</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Gynesonics, Inc.</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976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(976 )</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51,456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337</w:t>
            </w:r>
          </w:p>
        </w:tc>
        <w:tc>
          <w:tcPr>
            <w:tcW w:w="3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12,779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64,572</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Pivot3, Inc.</w:t>
            </w: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Equity Interest</w:t>
            </w: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1,198</w:t>
            </w:r>
          </w:p>
        </w:tc>
        <w:tc>
          <w:tcPr>
            <w:tcW w:w="0" w:type="dxa"/>
            <w:vAlign w:val="bottom"/>
          </w:tcPr>
          <w:p>
            <w:pPr>
              <w:spacing w:after="0"/>
              <w:rPr>
                <w:sz w:val="1"/>
                <w:szCs w:val="1"/>
                <w:color w:val="auto"/>
              </w:rPr>
            </w:pPr>
          </w:p>
        </w:tc>
      </w:tr>
      <w:tr>
        <w:trPr>
          <w:trHeight w:val="156"/>
        </w:trPr>
        <w:tc>
          <w:tcPr>
            <w:tcW w:w="1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Runway-Cadma I LLC</w:t>
            </w:r>
          </w:p>
        </w:tc>
        <w:tc>
          <w:tcPr>
            <w:tcW w:w="136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Equity Interest</w:t>
            </w: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5,600</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5,742</w:t>
            </w:r>
          </w:p>
        </w:tc>
        <w:tc>
          <w:tcPr>
            <w:tcW w:w="0" w:type="dxa"/>
            <w:vAlign w:val="bottom"/>
          </w:tcPr>
          <w:p>
            <w:pPr>
              <w:spacing w:after="0"/>
              <w:rPr>
                <w:sz w:val="1"/>
                <w:szCs w:val="1"/>
                <w:color w:val="auto"/>
              </w:rPr>
            </w:pPr>
          </w:p>
        </w:tc>
      </w:tr>
      <w:tr>
        <w:trPr>
          <w:trHeight w:val="156"/>
        </w:trPr>
        <w:tc>
          <w:tcPr>
            <w:tcW w:w="16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5,600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6,940</w:t>
            </w:r>
          </w:p>
        </w:tc>
        <w:tc>
          <w:tcPr>
            <w:tcW w:w="0" w:type="dxa"/>
            <w:vAlign w:val="bottom"/>
          </w:tcPr>
          <w:p>
            <w:pPr>
              <w:spacing w:after="0"/>
              <w:rPr>
                <w:sz w:val="1"/>
                <w:szCs w:val="1"/>
                <w:color w:val="auto"/>
              </w:rPr>
            </w:pPr>
          </w:p>
        </w:tc>
      </w:tr>
      <w:tr>
        <w:trPr>
          <w:trHeight w:val="196"/>
        </w:trPr>
        <w:tc>
          <w:tcPr>
            <w:tcW w:w="1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1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5,600</w:t>
            </w:r>
          </w:p>
        </w:tc>
        <w:tc>
          <w:tcPr>
            <w:tcW w:w="3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6,940</w:t>
            </w:r>
          </w:p>
        </w:tc>
        <w:tc>
          <w:tcPr>
            <w:tcW w:w="0" w:type="dxa"/>
            <w:vAlign w:val="bottom"/>
          </w:tcPr>
          <w:p>
            <w:pPr>
              <w:spacing w:after="0"/>
              <w:rPr>
                <w:sz w:val="1"/>
                <w:szCs w:val="1"/>
                <w:color w:val="auto"/>
              </w:rPr>
            </w:pPr>
          </w:p>
        </w:tc>
      </w:tr>
      <w:tr>
        <w:trPr>
          <w:trHeight w:val="24"/>
        </w:trPr>
        <w:tc>
          <w:tcPr>
            <w:tcW w:w="1640" w:type="dxa"/>
            <w:vAlign w:val="bottom"/>
            <w:tcBorders>
              <w:top w:val="single" w:sz="8" w:color="CFF0FC"/>
              <w:bottom w:val="single" w:sz="8" w:color="auto"/>
            </w:tcBorders>
          </w:tcPr>
          <w:p>
            <w:pPr>
              <w:spacing w:after="0"/>
              <w:rPr>
                <w:sz w:val="2"/>
                <w:szCs w:val="2"/>
                <w:color w:val="auto"/>
              </w:rPr>
            </w:pPr>
          </w:p>
        </w:tc>
        <w:tc>
          <w:tcPr>
            <w:tcW w:w="1180" w:type="dxa"/>
            <w:vAlign w:val="bottom"/>
            <w:tcBorders>
              <w:top w:val="single" w:sz="8" w:color="CFF0FC"/>
              <w:bottom w:val="single" w:sz="8" w:color="auto"/>
            </w:tcBorders>
          </w:tcPr>
          <w:p>
            <w:pPr>
              <w:spacing w:after="0"/>
              <w:rPr>
                <w:sz w:val="2"/>
                <w:szCs w:val="2"/>
                <w:color w:val="auto"/>
              </w:rPr>
            </w:pPr>
          </w:p>
        </w:tc>
        <w:tc>
          <w:tcPr>
            <w:tcW w:w="180" w:type="dxa"/>
            <w:vAlign w:val="bottom"/>
            <w:tcBorders>
              <w:top w:val="single" w:sz="8" w:color="CFF0FC"/>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Borders>
              <w:top w:val="single" w:sz="8" w:color="CFF0FC"/>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20" w:type="dxa"/>
            <w:vAlign w:val="bottom"/>
            <w:tcBorders>
              <w:top w:val="single" w:sz="8" w:color="CFF0FC"/>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Borders>
              <w:top w:val="single" w:sz="8" w:color="CFF0FC"/>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ind w:left="360" w:right="140"/>
        <w:spacing w:after="0" w:line="252" w:lineRule="auto"/>
        <w:rPr>
          <w:sz w:val="20"/>
          <w:szCs w:val="20"/>
          <w:color w:val="auto"/>
        </w:rPr>
      </w:pPr>
      <w:r>
        <w:rPr>
          <w:rFonts w:ascii="Times New Roman" w:cs="Times New Roman" w:eastAsia="Times New Roman" w:hAnsi="Times New Roman"/>
          <w:sz w:val="13"/>
          <w:szCs w:val="13"/>
          <w:color w:val="auto"/>
        </w:rPr>
        <w:t>(1)Gross additions includes increases in the cost basis of investments resulting from fundings, PIK interest, accretion of original issue discount and ETP (“OID”), the exchange of one or more existing investments for one or more new investments and the movement of an investment between categories.</w:t>
      </w:r>
    </w:p>
    <w:p>
      <w:pPr>
        <w:spacing w:after="0" w:line="1" w:lineRule="exact"/>
        <w:rPr>
          <w:sz w:val="20"/>
          <w:szCs w:val="20"/>
          <w:color w:val="auto"/>
        </w:rPr>
      </w:pPr>
    </w:p>
    <w:p>
      <w:pPr>
        <w:ind w:left="360" w:right="640"/>
        <w:spacing w:after="0" w:line="250" w:lineRule="auto"/>
        <w:rPr>
          <w:sz w:val="20"/>
          <w:szCs w:val="20"/>
          <w:color w:val="auto"/>
        </w:rPr>
      </w:pPr>
      <w:r>
        <w:rPr>
          <w:rFonts w:ascii="Times New Roman" w:cs="Times New Roman" w:eastAsia="Times New Roman" w:hAnsi="Times New Roman"/>
          <w:sz w:val="13"/>
          <w:szCs w:val="13"/>
          <w:color w:val="auto"/>
        </w:rPr>
        <w:t>(2)Gross reductions include decreases in the basis of investments resulting from principal collections related to investment repayments or sales, the exchange of one or more existing investments for one or more new investments and the movement of an movement of an investment between categories.</w:t>
      </w:r>
    </w:p>
    <w:p>
      <w:pPr>
        <w:spacing w:after="0" w:line="1" w:lineRule="exact"/>
        <w:rPr>
          <w:sz w:val="20"/>
          <w:szCs w:val="20"/>
          <w:color w:val="auto"/>
        </w:rPr>
      </w:pPr>
    </w:p>
    <w:p>
      <w:pPr>
        <w:ind w:left="360"/>
        <w:spacing w:after="0" w:line="263" w:lineRule="auto"/>
        <w:rPr>
          <w:sz w:val="20"/>
          <w:szCs w:val="20"/>
          <w:color w:val="auto"/>
        </w:rPr>
      </w:pPr>
      <w:r>
        <w:rPr>
          <w:rFonts w:ascii="Times New Roman" w:cs="Times New Roman" w:eastAsia="Times New Roman" w:hAnsi="Times New Roman"/>
          <w:sz w:val="13"/>
          <w:szCs w:val="13"/>
          <w:color w:val="auto"/>
        </w:rPr>
        <w:t>(3)All affiliate and control investments, which as of December 31, 2024 represented 13.90% of the Company’s net assets, may be deemed to be restricted securities under the Securities Act, and were valued at fair value as determined in good faith by the Company’s Board of Directors.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3" w:name="page114"/>
    <w:bookmarkEnd w:id="11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The Company’s affiliate and control investments as of December 31, 2023 along with the transactions during the year ended December 31, 2023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restart"/>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100" w:type="dxa"/>
            <w:vAlign w:val="bottom"/>
          </w:tcPr>
          <w:p>
            <w:pPr>
              <w:spacing w:after="0"/>
              <w:rPr>
                <w:sz w:val="15"/>
                <w:szCs w:val="15"/>
                <w:color w:val="auto"/>
              </w:rPr>
            </w:pPr>
          </w:p>
        </w:tc>
        <w:tc>
          <w:tcPr>
            <w:tcW w:w="980" w:type="dxa"/>
            <w:vAlign w:val="bottom"/>
            <w:gridSpan w:val="2"/>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Fair Value as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7"/>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For the Year Ended December 31, 2023</w:t>
            </w:r>
          </w:p>
        </w:tc>
        <w:tc>
          <w:tcPr>
            <w:tcW w:w="80" w:type="dxa"/>
            <w:vAlign w:val="bottom"/>
          </w:tcPr>
          <w:p>
            <w:pPr>
              <w:spacing w:after="0"/>
              <w:rPr>
                <w:sz w:val="15"/>
                <w:szCs w:val="15"/>
                <w:color w:val="auto"/>
              </w:rPr>
            </w:pPr>
          </w:p>
        </w:tc>
        <w:tc>
          <w:tcPr>
            <w:tcW w:w="1020" w:type="dxa"/>
            <w:vAlign w:val="bottom"/>
            <w:gridSpan w:val="2"/>
            <w:vMerge w:val="restart"/>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10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as of</w:t>
            </w:r>
          </w:p>
        </w:tc>
        <w:tc>
          <w:tcPr>
            <w:tcW w:w="0" w:type="dxa"/>
            <w:vAlign w:val="bottom"/>
          </w:tcPr>
          <w:p>
            <w:pPr>
              <w:spacing w:after="0"/>
              <w:rPr>
                <w:sz w:val="1"/>
                <w:szCs w:val="1"/>
                <w:color w:val="auto"/>
              </w:rPr>
            </w:pPr>
          </w:p>
        </w:tc>
      </w:tr>
      <w:tr>
        <w:trPr>
          <w:trHeight w:val="138"/>
        </w:trPr>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138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3"/>
                <w:szCs w:val="13"/>
                <w:b w:val="1"/>
                <w:bCs w:val="1"/>
                <w:color w:val="auto"/>
              </w:rPr>
              <w:t>Income Earned</w:t>
            </w:r>
          </w:p>
        </w:tc>
        <w:tc>
          <w:tcPr>
            <w:tcW w:w="100" w:type="dxa"/>
            <w:vAlign w:val="bottom"/>
          </w:tcPr>
          <w:p>
            <w:pPr>
              <w:spacing w:after="0"/>
              <w:rPr>
                <w:sz w:val="12"/>
                <w:szCs w:val="12"/>
                <w:color w:val="auto"/>
              </w:rPr>
            </w:pPr>
          </w:p>
        </w:tc>
        <w:tc>
          <w:tcPr>
            <w:tcW w:w="980" w:type="dxa"/>
            <w:vAlign w:val="bottom"/>
            <w:gridSpan w:val="2"/>
          </w:tcPr>
          <w:p>
            <w:pPr>
              <w:jc w:val="center"/>
              <w:ind w:right="54"/>
              <w:spacing w:after="0" w:line="145" w:lineRule="exact"/>
              <w:rPr>
                <w:sz w:val="20"/>
                <w:szCs w:val="20"/>
                <w:color w:val="auto"/>
              </w:rPr>
            </w:pPr>
            <w:r>
              <w:rPr>
                <w:rFonts w:ascii="Times New Roman" w:cs="Times New Roman" w:eastAsia="Times New Roman" w:hAnsi="Times New Roman"/>
                <w:sz w:val="13"/>
                <w:szCs w:val="13"/>
                <w:b w:val="1"/>
                <w:bCs w:val="1"/>
                <w:color w:val="auto"/>
                <w:w w:val="99"/>
              </w:rPr>
              <w:t>of December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1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1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3"/>
                <w:szCs w:val="13"/>
                <w:b w:val="1"/>
                <w:bCs w:val="1"/>
                <w:color w:val="auto"/>
                <w:w w:val="99"/>
              </w:rPr>
              <w:t>Net 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34"/>
              <w:spacing w:after="0" w:line="14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1"/>
        </w:trPr>
        <w:tc>
          <w:tcPr>
            <w:tcW w:w="162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0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31, 2022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34"/>
              <w:spacing w:after="0" w:line="181" w:lineRule="exact"/>
              <w:rPr>
                <w:sz w:val="20"/>
                <w:szCs w:val="20"/>
                <w:color w:val="auto"/>
              </w:rPr>
            </w:pPr>
            <w:r>
              <w:rPr>
                <w:rFonts w:ascii="Times New Roman" w:cs="Times New Roman" w:eastAsia="Times New Roman" w:hAnsi="Times New Roman"/>
                <w:sz w:val="13"/>
                <w:szCs w:val="13"/>
                <w:b w:val="1"/>
                <w:bCs w:val="1"/>
                <w:color w:val="auto"/>
                <w:w w:val="98"/>
              </w:rPr>
              <w:t>Additions</w:t>
            </w:r>
            <w:r>
              <w:rPr>
                <w:rFonts w:ascii="Times New Roman" w:cs="Times New Roman" w:eastAsia="Times New Roman" w:hAnsi="Times New Roman"/>
                <w:sz w:val="16"/>
                <w:szCs w:val="16"/>
                <w:b w:val="1"/>
                <w:bCs w:val="1"/>
                <w:color w:val="auto"/>
                <w:w w:val="98"/>
                <w:vertAlign w:val="superscript"/>
              </w:rPr>
              <w:t>(1)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14"/>
              <w:spacing w:after="0" w:line="181" w:lineRule="exact"/>
              <w:rPr>
                <w:sz w:val="20"/>
                <w:szCs w:val="20"/>
                <w:color w:val="auto"/>
              </w:rPr>
            </w:pPr>
            <w:r>
              <w:rPr>
                <w:rFonts w:ascii="Times New Roman" w:cs="Times New Roman" w:eastAsia="Times New Roman" w:hAnsi="Times New Roman"/>
                <w:sz w:val="13"/>
                <w:szCs w:val="13"/>
                <w:b w:val="1"/>
                <w:bCs w:val="1"/>
                <w:color w:val="auto"/>
                <w:w w:val="93"/>
              </w:rPr>
              <w:t>Reductions</w:t>
            </w:r>
            <w:r>
              <w:rPr>
                <w:rFonts w:ascii="Times New Roman" w:cs="Times New Roman" w:eastAsia="Times New Roman" w:hAnsi="Times New Roman"/>
                <w:sz w:val="16"/>
                <w:szCs w:val="16"/>
                <w:b w:val="1"/>
                <w:bCs w:val="1"/>
                <w:color w:val="auto"/>
                <w:w w:val="93"/>
                <w:vertAlign w:val="superscript"/>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334"/>
              <w:spacing w:after="0" w:line="181" w:lineRule="exact"/>
              <w:rPr>
                <w:sz w:val="20"/>
                <w:szCs w:val="20"/>
                <w:color w:val="auto"/>
              </w:rPr>
            </w:pPr>
            <w:r>
              <w:rPr>
                <w:rFonts w:ascii="Times New Roman" w:cs="Times New Roman" w:eastAsia="Times New Roman" w:hAnsi="Times New Roman"/>
                <w:sz w:val="13"/>
                <w:szCs w:val="13"/>
                <w:b w:val="1"/>
                <w:bCs w:val="1"/>
                <w:color w:val="auto"/>
              </w:rPr>
              <w:t>2023</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ind w:left="160"/>
              <w:spacing w:after="0" w:line="144" w:lineRule="exact"/>
              <w:rPr>
                <w:sz w:val="20"/>
                <w:szCs w:val="20"/>
                <w:color w:val="auto"/>
              </w:rPr>
            </w:pPr>
            <w:r>
              <w:rPr>
                <w:rFonts w:ascii="Times New Roman" w:cs="Times New Roman" w:eastAsia="Times New Roman" w:hAnsi="Times New Roman"/>
                <w:sz w:val="13"/>
                <w:szCs w:val="13"/>
                <w:color w:val="auto"/>
              </w:rPr>
              <w:t>Gynesonics, Inc. -</w:t>
            </w:r>
          </w:p>
        </w:tc>
        <w:tc>
          <w:tcPr>
            <w:tcW w:w="1380" w:type="dxa"/>
            <w:vAlign w:val="bottom"/>
            <w:gridSpan w:val="2"/>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SOFR+8.75%, 8.00%</w:t>
            </w:r>
          </w:p>
        </w:tc>
        <w:tc>
          <w:tcPr>
            <w:tcW w:w="1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2,105</w:t>
            </w:r>
          </w:p>
        </w:tc>
        <w:tc>
          <w:tcPr>
            <w:tcW w:w="24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25,897</w:t>
            </w:r>
          </w:p>
        </w:tc>
        <w:tc>
          <w:tcPr>
            <w:tcW w:w="18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ind w:right="20"/>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(2,311)</w:t>
            </w:r>
          </w:p>
        </w:tc>
        <w:tc>
          <w:tcPr>
            <w:tcW w:w="1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23,586</w:t>
            </w: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Senior Secured</w:t>
            </w:r>
          </w:p>
        </w:tc>
        <w:tc>
          <w:tcPr>
            <w:tcW w:w="1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ceiling, 5.00% ETP,</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due 11/30/2026</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25,897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23,586</w:t>
            </w: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Coginiti Corp</w:t>
            </w:r>
          </w:p>
        </w:tc>
        <w:tc>
          <w:tcPr>
            <w:tcW w:w="1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856</w:t>
            </w:r>
          </w:p>
        </w:tc>
        <w:tc>
          <w:tcPr>
            <w:tcW w:w="0" w:type="dxa"/>
            <w:vAlign w:val="bottom"/>
          </w:tcPr>
          <w:p>
            <w:pPr>
              <w:spacing w:after="0"/>
              <w:rPr>
                <w:sz w:val="1"/>
                <w:szCs w:val="1"/>
                <w:color w:val="auto"/>
              </w:rPr>
            </w:pPr>
          </w:p>
        </w:tc>
      </w:tr>
      <w:tr>
        <w:trPr>
          <w:trHeight w:val="144"/>
        </w:trPr>
        <w:tc>
          <w:tcPr>
            <w:tcW w:w="16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A-2 Preferred</w:t>
            </w:r>
          </w:p>
        </w:tc>
        <w:tc>
          <w:tcPr>
            <w:tcW w:w="100" w:type="dxa"/>
            <w:vAlign w:val="bottom"/>
          </w:tcPr>
          <w:p>
            <w:pPr>
              <w:spacing w:after="0"/>
              <w:rPr>
                <w:sz w:val="12"/>
                <w:szCs w:val="12"/>
                <w:color w:val="auto"/>
              </w:rPr>
            </w:pPr>
          </w:p>
        </w:tc>
        <w:tc>
          <w:tcPr>
            <w:tcW w:w="8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(3,539)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21,461</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A-1 Preferred</w:t>
            </w: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3,100</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1,477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4,577</w:t>
            </w:r>
          </w:p>
        </w:tc>
        <w:tc>
          <w:tcPr>
            <w:tcW w:w="0" w:type="dxa"/>
            <w:vAlign w:val="bottom"/>
          </w:tcPr>
          <w:p>
            <w:pPr>
              <w:spacing w:after="0"/>
              <w:rPr>
                <w:sz w:val="1"/>
                <w:szCs w:val="1"/>
                <w:color w:val="auto"/>
              </w:rPr>
            </w:pPr>
          </w:p>
        </w:tc>
      </w:tr>
      <w:tr>
        <w:trPr>
          <w:trHeight w:val="168"/>
        </w:trPr>
        <w:tc>
          <w:tcPr>
            <w:tcW w:w="16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28,100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26,894</w:t>
            </w: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Coginiti Corp</w:t>
            </w:r>
          </w:p>
        </w:tc>
        <w:tc>
          <w:tcPr>
            <w:tcW w:w="1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663</w:t>
            </w:r>
          </w:p>
        </w:tc>
        <w:tc>
          <w:tcPr>
            <w:tcW w:w="0" w:type="dxa"/>
            <w:vAlign w:val="bottom"/>
          </w:tcPr>
          <w:p>
            <w:pPr>
              <w:spacing w:after="0"/>
              <w:rPr>
                <w:sz w:val="1"/>
                <w:szCs w:val="1"/>
                <w:color w:val="auto"/>
              </w:rPr>
            </w:pPr>
          </w:p>
        </w:tc>
      </w:tr>
      <w:tr>
        <w:trPr>
          <w:trHeight w:val="156"/>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Gynesonics, Inc.</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910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976</w:t>
            </w:r>
          </w:p>
        </w:tc>
        <w:tc>
          <w:tcPr>
            <w:tcW w:w="0" w:type="dxa"/>
            <w:vAlign w:val="bottom"/>
          </w:tcPr>
          <w:p>
            <w:pPr>
              <w:spacing w:after="0"/>
              <w:rPr>
                <w:sz w:val="1"/>
                <w:szCs w:val="1"/>
                <w:color w:val="auto"/>
              </w:rPr>
            </w:pPr>
          </w:p>
        </w:tc>
      </w:tr>
      <w:tr>
        <w:trPr>
          <w:trHeight w:val="15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2,084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54,310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(4,938)</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51,456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62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2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Pivot3, Inc.</w:t>
            </w:r>
          </w:p>
        </w:tc>
        <w:tc>
          <w:tcPr>
            <w:tcW w:w="1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LIBOR+8.50% PIK,</w:t>
            </w:r>
          </w:p>
        </w:tc>
        <w:tc>
          <w:tcPr>
            <w:tcW w:w="100" w:type="dxa"/>
            <w:vAlign w:val="bottom"/>
          </w:tcPr>
          <w:p>
            <w:pPr>
              <w:spacing w:after="0"/>
              <w:rPr>
                <w:sz w:val="12"/>
                <w:szCs w:val="12"/>
                <w:color w:val="auto"/>
              </w:rPr>
            </w:pPr>
          </w:p>
        </w:tc>
        <w:tc>
          <w:tcPr>
            <w:tcW w:w="8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9,290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(17,014)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9,882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11.00% floor, 4.00%</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ETP, due 10/15/2023</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9,290</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(17,014)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9,882</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Pivot3, Inc.</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Equity Interest</w:t>
            </w: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156"/>
        </w:trPr>
        <w:tc>
          <w:tcPr>
            <w:tcW w:w="1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156"/>
        </w:trPr>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9,290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9,882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950</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16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60" w:right="140"/>
        <w:spacing w:after="0" w:line="252" w:lineRule="auto"/>
        <w:rPr>
          <w:sz w:val="20"/>
          <w:szCs w:val="20"/>
          <w:color w:val="auto"/>
        </w:rPr>
      </w:pPr>
      <w:r>
        <w:rPr>
          <w:rFonts w:ascii="Times New Roman" w:cs="Times New Roman" w:eastAsia="Times New Roman" w:hAnsi="Times New Roman"/>
          <w:sz w:val="13"/>
          <w:szCs w:val="13"/>
          <w:color w:val="auto"/>
        </w:rPr>
        <w:t>(1)Gross additions includes increases in the cost basis of investments resulting from fundings, PIK interest, accretion of original issue discount and ETP (“OID”), the exchange of one or more existing investments for one or more new investments and the movement of an investment between categories.</w:t>
      </w:r>
    </w:p>
    <w:p>
      <w:pPr>
        <w:spacing w:after="0" w:line="1" w:lineRule="exact"/>
        <w:rPr>
          <w:sz w:val="20"/>
          <w:szCs w:val="20"/>
          <w:color w:val="auto"/>
        </w:rPr>
      </w:pPr>
    </w:p>
    <w:p>
      <w:pPr>
        <w:ind w:left="360" w:right="640"/>
        <w:spacing w:after="0" w:line="250" w:lineRule="auto"/>
        <w:rPr>
          <w:sz w:val="20"/>
          <w:szCs w:val="20"/>
          <w:color w:val="auto"/>
        </w:rPr>
      </w:pPr>
      <w:r>
        <w:rPr>
          <w:rFonts w:ascii="Times New Roman" w:cs="Times New Roman" w:eastAsia="Times New Roman" w:hAnsi="Times New Roman"/>
          <w:sz w:val="13"/>
          <w:szCs w:val="13"/>
          <w:color w:val="auto"/>
        </w:rPr>
        <w:t>(2)Gross reductions include decreases in the basis of investments resulting from principal collections related to investment repayments or sales, the exchange of one or more existing investments for one or more new investments and the movement of an movement of an investment between categories.</w:t>
      </w:r>
    </w:p>
    <w:p>
      <w:pPr>
        <w:spacing w:after="0" w:line="1" w:lineRule="exact"/>
        <w:rPr>
          <w:sz w:val="20"/>
          <w:szCs w:val="20"/>
          <w:color w:val="auto"/>
        </w:rPr>
      </w:pPr>
    </w:p>
    <w:p>
      <w:pPr>
        <w:ind w:left="360" w:right="60"/>
        <w:spacing w:after="0" w:line="263" w:lineRule="auto"/>
        <w:rPr>
          <w:sz w:val="20"/>
          <w:szCs w:val="20"/>
          <w:color w:val="auto"/>
        </w:rPr>
      </w:pPr>
      <w:r>
        <w:rPr>
          <w:rFonts w:ascii="Times New Roman" w:cs="Times New Roman" w:eastAsia="Times New Roman" w:hAnsi="Times New Roman"/>
          <w:sz w:val="13"/>
          <w:szCs w:val="13"/>
          <w:color w:val="auto"/>
        </w:rPr>
        <w:t>(3)All affiliate and control investments, which as of December 31, 2023 represented 9.58% of the Company’s net assets, may be deemed to be restricted securities under the Securities Act, and were valued at fair value as determined in good faith by the Company’s Board of Directors.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4" w:name="page115"/>
    <w:bookmarkEnd w:id="11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Composition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fair value of the Company's portfolio of investments, excluding U.S. Treasury Bills, by geographic region as of December 31, 2024 and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3"/>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3"/>
          </w:tcPr>
          <w:p>
            <w:pPr>
              <w:jc w:val="right"/>
              <w:ind w:right="71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0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120" w:type="dxa"/>
            <w:vAlign w:val="bottom"/>
          </w:tcPr>
          <w:p>
            <w:pPr>
              <w:spacing w:after="0"/>
              <w:rPr>
                <w:sz w:val="13"/>
                <w:szCs w:val="13"/>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16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3"/>
                <w:szCs w:val="13"/>
                <w:color w:val="auto"/>
              </w:rPr>
            </w:pPr>
          </w:p>
        </w:tc>
        <w:tc>
          <w:tcPr>
            <w:tcW w:w="158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r>
      <w:tr>
        <w:trPr>
          <w:trHeight w:val="170"/>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6"/>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Western United States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431,567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83.83</w:t>
            </w:r>
          </w:p>
        </w:tc>
        <w:tc>
          <w:tcPr>
            <w:tcW w:w="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404,541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73.94</w:t>
            </w:r>
          </w:p>
        </w:tc>
        <w:tc>
          <w:tcPr>
            <w:tcW w:w="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Northeastern United States</w:t>
            </w: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264,780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239,444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43.77</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Midwestern United States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146,963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130,784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23.91</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South Central United States</w:t>
            </w: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40,136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87,814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Northwestern United States</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72,414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25,514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Southeastern United States</w:t>
            </w: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20,932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820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0.15</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100"/>
              <w:spacing w:after="0" w:line="156" w:lineRule="exact"/>
              <w:rPr>
                <w:sz w:val="20"/>
                <w:szCs w:val="20"/>
                <w:color w:val="auto"/>
              </w:rPr>
            </w:pPr>
            <w:r>
              <w:rPr>
                <w:rFonts w:ascii="Times New Roman" w:cs="Times New Roman" w:eastAsia="Times New Roman" w:hAnsi="Times New Roman"/>
                <w:sz w:val="13"/>
                <w:szCs w:val="13"/>
                <w:color w:val="auto"/>
              </w:rPr>
              <w:t>Runway-Cadma I LLC</w:t>
            </w:r>
            <w:r>
              <w:rPr>
                <w:rFonts w:ascii="Times New Roman" w:cs="Times New Roman" w:eastAsia="Times New Roman" w:hAnsi="Times New Roman"/>
                <w:sz w:val="16"/>
                <w:szCs w:val="16"/>
                <w:color w:val="auto"/>
                <w:vertAlign w:val="superscript"/>
              </w:rPr>
              <w:t>(1)</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5,742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United States</w:t>
            </w: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982,534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190.85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888,917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162.48</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28,360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76,839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Germany</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34,163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44,587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Netherlands</w:t>
            </w: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17,203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14,580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14,667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1,076,840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209.17</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1,025,010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187.36</w:t>
            </w:r>
          </w:p>
        </w:tc>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auto"/>
        <w:rPr>
          <w:sz w:val="20"/>
          <w:szCs w:val="20"/>
          <w:color w:val="auto"/>
        </w:rPr>
      </w:pP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3"/>
          <w:szCs w:val="13"/>
          <w:color w:val="auto"/>
        </w:rPr>
        <w:t>Runway-Cadma I LLC is a joint venture between the Company and Cadma. This entity primarily invests in secured loans to growth-stage companies that have been originated by the Company.</w:t>
      </w:r>
    </w:p>
    <w:p>
      <w:pPr>
        <w:spacing w:after="0"/>
        <w:rPr>
          <w:sz w:val="20"/>
          <w:szCs w:val="20"/>
          <w:color w:val="auto"/>
        </w:rPr>
      </w:pPr>
      <w:r>
        <w:rPr>
          <w:rFonts w:ascii="Times New Roman" w:cs="Times New Roman" w:eastAsia="Times New Roman" w:hAnsi="Times New Roman"/>
          <w:sz w:val="13"/>
          <w:szCs w:val="13"/>
          <w:color w:val="auto"/>
        </w:rPr>
        <w:t>See “Note 2 – Summary of Significant Accounting Policies” for further discussion.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3"/>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3"/>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00" w:type="dxa"/>
            <w:vAlign w:val="bottom"/>
          </w:tcPr>
          <w:p>
            <w:pPr>
              <w:spacing w:after="0"/>
              <w:rPr>
                <w:sz w:val="13"/>
                <w:szCs w:val="13"/>
                <w:color w:val="auto"/>
              </w:rPr>
            </w:pPr>
          </w:p>
        </w:tc>
      </w:tr>
      <w:tr>
        <w:trPr>
          <w:trHeight w:val="156"/>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5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00" w:type="dxa"/>
            <w:vAlign w:val="bottom"/>
          </w:tcPr>
          <w:p>
            <w:pPr>
              <w:spacing w:after="0"/>
              <w:rPr>
                <w:sz w:val="13"/>
                <w:szCs w:val="13"/>
                <w:color w:val="auto"/>
              </w:rPr>
            </w:pPr>
          </w:p>
        </w:tc>
        <w:tc>
          <w:tcPr>
            <w:tcW w:w="138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16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3"/>
                <w:szCs w:val="13"/>
                <w:color w:val="auto"/>
              </w:rPr>
            </w:pPr>
          </w:p>
        </w:tc>
        <w:tc>
          <w:tcPr>
            <w:tcW w:w="15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Application Software</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233,431</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45.35</w:t>
            </w:r>
          </w:p>
        </w:tc>
        <w:tc>
          <w:tcPr>
            <w:tcW w:w="3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200,645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36.67</w:t>
            </w:r>
          </w:p>
        </w:tc>
        <w:tc>
          <w:tcPr>
            <w:tcW w:w="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Healthcare Technology</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218,688</w:t>
            </w:r>
          </w:p>
        </w:tc>
        <w:tc>
          <w:tcPr>
            <w:tcW w:w="14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42.48</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182,200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160,104</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31.10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98,462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18.00</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Data Processing &amp; Outsourced Services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116,720</w:t>
            </w:r>
          </w:p>
        </w:tc>
        <w:tc>
          <w:tcPr>
            <w:tcW w:w="14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22.67</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106,785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System Software</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114,650</w:t>
            </w:r>
          </w:p>
        </w:tc>
        <w:tc>
          <w:tcPr>
            <w:tcW w:w="14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22.26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113,517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20.74</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Property &amp; Casualty Insurance</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76,911</w:t>
            </w:r>
          </w:p>
        </w:tc>
        <w:tc>
          <w:tcPr>
            <w:tcW w:w="14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14.94</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75,205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13.75</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Internet &amp; Direct Marketing Retail</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50,729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55,588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Human Resource &amp; Employment Services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40,560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114,602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20.95</w:t>
            </w:r>
          </w:p>
        </w:tc>
        <w:tc>
          <w:tcPr>
            <w:tcW w:w="300" w:type="dxa"/>
            <w:vAlign w:val="bottom"/>
            <w:shd w:val="clear" w:color="auto" w:fill="CFF0FC"/>
          </w:tcPr>
          <w:p>
            <w:pPr>
              <w:spacing w:after="0"/>
              <w:rPr>
                <w:sz w:val="13"/>
                <w:szCs w:val="13"/>
                <w:color w:val="auto"/>
              </w:rPr>
            </w:pPr>
          </w:p>
        </w:tc>
      </w:tr>
      <w:tr>
        <w:trPr>
          <w:trHeight w:val="27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Electronic Equipment &amp; Instruments</w:t>
            </w:r>
          </w:p>
        </w:tc>
        <w:tc>
          <w:tcPr>
            <w:tcW w:w="100" w:type="dxa"/>
            <w:vAlign w:val="bottom"/>
          </w:tcPr>
          <w:p>
            <w:pPr>
              <w:spacing w:after="0"/>
              <w:rPr>
                <w:sz w:val="24"/>
                <w:szCs w:val="24"/>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40,354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7.84</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27,535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5.04</w:t>
            </w:r>
          </w:p>
        </w:tc>
        <w:tc>
          <w:tcPr>
            <w:tcW w:w="300" w:type="dxa"/>
            <w:vAlign w:val="bottom"/>
          </w:tcPr>
          <w:p>
            <w:pPr>
              <w:spacing w:after="0"/>
              <w:rPr>
                <w:sz w:val="24"/>
                <w:szCs w:val="24"/>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Healthcare Equipment</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15,382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15,524</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line="156" w:lineRule="exact"/>
              <w:rPr>
                <w:sz w:val="20"/>
                <w:szCs w:val="20"/>
                <w:color w:val="auto"/>
              </w:rPr>
            </w:pPr>
            <w:r>
              <w:rPr>
                <w:rFonts w:ascii="Times New Roman" w:cs="Times New Roman" w:eastAsia="Times New Roman" w:hAnsi="Times New Roman"/>
                <w:sz w:val="13"/>
                <w:szCs w:val="13"/>
                <w:color w:val="auto"/>
              </w:rPr>
              <w:t>Multi-Sector Holdings</w:t>
            </w:r>
            <w:r>
              <w:rPr>
                <w:rFonts w:ascii="Times New Roman" w:cs="Times New Roman" w:eastAsia="Times New Roman" w:hAnsi="Times New Roman"/>
                <w:sz w:val="16"/>
                <w:szCs w:val="16"/>
                <w:color w:val="auto"/>
                <w:vertAlign w:val="superscript"/>
              </w:rPr>
              <w:t>(1)</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5,742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Technology Hardware, Storage &amp; Peripherals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2,910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0.56</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Specialized Consumer Services</w:t>
            </w:r>
          </w:p>
        </w:tc>
        <w:tc>
          <w:tcPr>
            <w:tcW w:w="100" w:type="dxa"/>
            <w:vAlign w:val="bottom"/>
          </w:tcPr>
          <w:p>
            <w:pPr>
              <w:spacing w:after="0"/>
              <w:rPr>
                <w:sz w:val="13"/>
                <w:szCs w:val="13"/>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365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Advertising</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152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Management &amp; Custody Banks</w:t>
            </w:r>
          </w:p>
        </w:tc>
        <w:tc>
          <w:tcPr>
            <w:tcW w:w="100" w:type="dxa"/>
            <w:vAlign w:val="bottom"/>
          </w:tcPr>
          <w:p>
            <w:pPr>
              <w:spacing w:after="0"/>
              <w:rPr>
                <w:sz w:val="13"/>
                <w:szCs w:val="13"/>
                <w:color w:val="auto"/>
              </w:rPr>
            </w:pPr>
          </w:p>
        </w:tc>
        <w:tc>
          <w:tcPr>
            <w:tcW w:w="13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138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8,021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300" w:type="dxa"/>
            <w:vAlign w:val="bottom"/>
          </w:tcPr>
          <w:p>
            <w:pPr>
              <w:spacing w:after="0"/>
              <w:rPr>
                <w:sz w:val="13"/>
                <w:szCs w:val="13"/>
                <w:color w:val="auto"/>
              </w:rPr>
            </w:pPr>
          </w:p>
        </w:tc>
      </w:tr>
      <w:tr>
        <w:trPr>
          <w:trHeight w:val="156"/>
        </w:trPr>
        <w:tc>
          <w:tcPr>
            <w:tcW w:w="3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Biotechnology</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300" w:type="dxa"/>
            <w:vAlign w:val="bottom"/>
            <w:shd w:val="clear" w:color="auto" w:fill="CFF0FC"/>
          </w:tcPr>
          <w:p>
            <w:pPr>
              <w:spacing w:after="0"/>
              <w:rPr>
                <w:sz w:val="13"/>
                <w:szCs w:val="13"/>
                <w:color w:val="auto"/>
              </w:rPr>
            </w:pPr>
          </w:p>
        </w:tc>
      </w:tr>
      <w:tr>
        <w:trPr>
          <w:trHeight w:val="15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Education Services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25,796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300" w:type="dxa"/>
            <w:vAlign w:val="bottom"/>
          </w:tcPr>
          <w:p>
            <w:pPr>
              <w:spacing w:after="0"/>
              <w:rPr>
                <w:sz w:val="13"/>
                <w:szCs w:val="13"/>
                <w:color w:val="auto"/>
              </w:rPr>
            </w:pPr>
          </w:p>
        </w:tc>
      </w:tr>
      <w:tr>
        <w:trPr>
          <w:trHeight w:val="196"/>
        </w:trPr>
        <w:tc>
          <w:tcPr>
            <w:tcW w:w="3800" w:type="dxa"/>
            <w:vAlign w:val="bottom"/>
            <w:tcBorders>
              <w:bottom w:val="single" w:sz="8" w:color="CFF0FC"/>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Borders>
              <w:bottom w:val="single" w:sz="8" w:color="auto"/>
            </w:tcBorders>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12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209.17</w:t>
            </w:r>
          </w:p>
        </w:tc>
        <w:tc>
          <w:tcPr>
            <w:tcW w:w="320" w:type="dxa"/>
            <w:vAlign w:val="bottom"/>
            <w:tcBorders>
              <w:bottom w:val="single" w:sz="8" w:color="auto"/>
            </w:tcBorders>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1,025,010</w:t>
            </w:r>
          </w:p>
        </w:tc>
        <w:tc>
          <w:tcPr>
            <w:tcW w:w="20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187.36</w:t>
            </w:r>
          </w:p>
        </w:tc>
        <w:tc>
          <w:tcPr>
            <w:tcW w:w="300" w:type="dxa"/>
            <w:vAlign w:val="bottom"/>
            <w:tcBorders>
              <w:bottom w:val="single" w:sz="8" w:color="auto"/>
            </w:tcBorders>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r>
    </w:tbl>
    <w:p>
      <w:pPr>
        <w:ind w:left="360" w:right="20"/>
        <w:spacing w:after="0" w:line="201"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5" w:name="page116"/>
    <w:bookmarkEnd w:id="11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9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6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spacing w:after="0" w:line="17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2024, the Company had a net realized gain of $1.6 million and a net unrealized loss of $2.6 million from its investments in warrants. For the year ended December 31, 2023, the Company had net realized loss of $1.4 million and a net unrealized loss of $5.2 million from its investments in warrants. For the year ended December 31, 2022, the Company had net realized loss of $0.9 million and a net unrealized loss of $ 2.3 million from its investments in warrants. Realized gains and losses from warrants are included in the respective control, affiliate, or non-control/non-affiliate "Net realized gain (loss) on investments" on the Consolidated Statements of Operations. Unrealized gains and losses from investments in warrants is included in the respective control, affiliate, or non-control/non-affiliate "Net change in unrealized gain (loss) on investments"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6" w:name="page117"/>
    <w:bookmarkEnd w:id="11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Fair Value of Financial Instruments</w:t>
      </w:r>
    </w:p>
    <w:p>
      <w:pPr>
        <w:spacing w:after="0" w:line="189"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6"/>
          <w:szCs w:val="16"/>
          <w:color w:val="auto"/>
        </w:rPr>
        <w:t>The Company’s assets recorded at fair value have been categorized based upon a fair value hierarchy in accordance with ASC 820. Refer to "Note 2</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Summary of Significant Accounting Policies" for a discussion of the Company’s policies.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Investments measured at fair value on a recurring basis are categorized in the tables below based upon the lowest level of significant input to the valuations as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2023,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gridSpan w:val="6"/>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40" w:type="dxa"/>
            <w:vAlign w:val="bottom"/>
          </w:tcPr>
          <w:p>
            <w:pPr>
              <w:spacing w:after="0"/>
              <w:rPr>
                <w:sz w:val="15"/>
                <w:szCs w:val="15"/>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Measured at Net Asset</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3"/>
              </w:rPr>
              <w:t>Value</w:t>
            </w:r>
            <w:r>
              <w:rPr>
                <w:rFonts w:ascii="Times New Roman" w:cs="Times New Roman" w:eastAsia="Times New Roman" w:hAnsi="Times New Roman"/>
                <w:sz w:val="16"/>
                <w:szCs w:val="16"/>
                <w:b w:val="1"/>
                <w:bCs w:val="1"/>
                <w:color w:val="auto"/>
                <w:w w:val="93"/>
                <w:vertAlign w:val="superscript"/>
              </w:rPr>
              <w:t>(1)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5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98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2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Second Lien Term Loans</w:t>
            </w:r>
          </w:p>
        </w:tc>
        <w:tc>
          <w:tcPr>
            <w:tcW w:w="98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20,152</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20,152</w:t>
            </w: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Convertible Note</w:t>
            </w:r>
          </w:p>
        </w:tc>
        <w:tc>
          <w:tcPr>
            <w:tcW w:w="98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98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9,181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73,460</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82,641</w:t>
            </w: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8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2,817</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Interest</w:t>
            </w:r>
          </w:p>
        </w:tc>
        <w:tc>
          <w:tcPr>
            <w:tcW w:w="98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98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430</w:t>
            </w:r>
          </w:p>
        </w:tc>
        <w:tc>
          <w:tcPr>
            <w:tcW w:w="2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13,752</w:t>
            </w:r>
          </w:p>
        </w:tc>
        <w:tc>
          <w:tcPr>
            <w:tcW w:w="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14,182</w:t>
            </w: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980" w:type="dxa"/>
            <w:vAlign w:val="bottom"/>
          </w:tcPr>
          <w:p>
            <w:pPr>
              <w:spacing w:after="0"/>
              <w:rPr>
                <w:sz w:val="13"/>
                <w:szCs w:val="13"/>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11,998</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98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4,026</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tcPr>
          <w:p>
            <w:pPr>
              <w:jc w:val="right"/>
              <w:ind w:right="8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3"/>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16,024</w:t>
            </w:r>
          </w:p>
        </w:tc>
        <w:tc>
          <w:tcPr>
            <w:tcW w:w="980" w:type="dxa"/>
            <w:vAlign w:val="bottom"/>
            <w:gridSpan w:val="2"/>
          </w:tcPr>
          <w:p>
            <w:pPr>
              <w:jc w:val="right"/>
              <w:ind w:right="8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430</w:t>
            </w:r>
          </w:p>
        </w:tc>
        <w:tc>
          <w:tcPr>
            <w:tcW w:w="520" w:type="dxa"/>
            <w:vAlign w:val="bottom"/>
            <w:gridSpan w:val="3"/>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1,058,670</w:t>
            </w:r>
          </w:p>
        </w:tc>
        <w:tc>
          <w:tcPr>
            <w:tcW w:w="220" w:type="dxa"/>
            <w:vAlign w:val="bottom"/>
          </w:tcPr>
          <w:p>
            <w:pPr>
              <w:spacing w:after="0"/>
              <w:rPr>
                <w:sz w:val="13"/>
                <w:szCs w:val="13"/>
                <w:color w:val="auto"/>
              </w:rPr>
            </w:pPr>
          </w:p>
        </w:tc>
        <w:tc>
          <w:tcPr>
            <w:tcW w:w="300" w:type="dxa"/>
            <w:vAlign w:val="bottom"/>
            <w:gridSpan w:val="2"/>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5,742</w:t>
            </w:r>
          </w:p>
        </w:tc>
        <w:tc>
          <w:tcPr>
            <w:tcW w:w="5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1,080,866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gridSpan w:val="6"/>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40" w:type="dxa"/>
            <w:vAlign w:val="bottom"/>
          </w:tcPr>
          <w:p>
            <w:pPr>
              <w:spacing w:after="0"/>
              <w:rPr>
                <w:sz w:val="21"/>
                <w:szCs w:val="21"/>
                <w:color w:val="auto"/>
              </w:rPr>
            </w:pPr>
          </w:p>
        </w:tc>
        <w:tc>
          <w:tcPr>
            <w:tcW w:w="1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Measured at Net Asset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3"/>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w w:val="93"/>
              </w:rPr>
              <w:t>Value</w:t>
            </w:r>
            <w:r>
              <w:rPr>
                <w:rFonts w:ascii="Times New Roman" w:cs="Times New Roman" w:eastAsia="Times New Roman" w:hAnsi="Times New Roman"/>
                <w:sz w:val="16"/>
                <w:szCs w:val="16"/>
                <w:b w:val="1"/>
                <w:bCs w:val="1"/>
                <w:color w:val="auto"/>
                <w:w w:val="93"/>
                <w:vertAlign w:val="superscript"/>
              </w:rPr>
              <w:t>(1)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6"/>
        </w:trPr>
        <w:tc>
          <w:tcPr>
            <w:tcW w:w="25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Senior Secured Term Loans</w:t>
            </w:r>
          </w:p>
        </w:tc>
        <w:tc>
          <w:tcPr>
            <w:tcW w:w="98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FF0FC"/>
          </w:tcPr>
          <w:p>
            <w:pPr>
              <w:jc w:val="right"/>
              <w:ind w:right="83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964,099</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964,099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Second Lien Term Loans</w:t>
            </w:r>
          </w:p>
        </w:tc>
        <w:tc>
          <w:tcPr>
            <w:tcW w:w="980" w:type="dxa"/>
            <w:vAlign w:val="bottom"/>
          </w:tcPr>
          <w:p>
            <w:pPr>
              <w:spacing w:after="0"/>
              <w:rPr>
                <w:sz w:val="13"/>
                <w:szCs w:val="13"/>
                <w:color w:val="auto"/>
              </w:rPr>
            </w:pPr>
          </w:p>
        </w:tc>
        <w:tc>
          <w:tcPr>
            <w:tcW w:w="6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14,399</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14,399</w:t>
            </w: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Convertible Note</w:t>
            </w:r>
          </w:p>
        </w:tc>
        <w:tc>
          <w:tcPr>
            <w:tcW w:w="98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9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3,553</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26,285</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29,838</w:t>
            </w: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Equity Interest</w:t>
            </w:r>
          </w:p>
        </w:tc>
        <w:tc>
          <w:tcPr>
            <w:tcW w:w="980" w:type="dxa"/>
            <w:vAlign w:val="bottom"/>
          </w:tcPr>
          <w:p>
            <w:pPr>
              <w:spacing w:after="0"/>
              <w:rPr>
                <w:sz w:val="13"/>
                <w:szCs w:val="13"/>
                <w:color w:val="auto"/>
              </w:rPr>
            </w:pPr>
          </w:p>
        </w:tc>
        <w:tc>
          <w:tcPr>
            <w:tcW w:w="6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98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12,838</w:t>
            </w:r>
          </w:p>
        </w:tc>
        <w:tc>
          <w:tcPr>
            <w:tcW w:w="22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12,947</w:t>
            </w: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9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1,020,800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1,025,010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U.S. Treasury Bill</w:t>
            </w:r>
          </w:p>
        </w:tc>
        <w:tc>
          <w:tcPr>
            <w:tcW w:w="98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41,999</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41,999</w:t>
            </w: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tcPr>
          <w:p>
            <w:pPr>
              <w:jc w:val="right"/>
              <w:ind w:right="8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4,101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83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42,108</w:t>
            </w:r>
          </w:p>
        </w:tc>
        <w:tc>
          <w:tcPr>
            <w:tcW w:w="520" w:type="dxa"/>
            <w:vAlign w:val="bottom"/>
            <w:gridSpan w:val="3"/>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1,020,800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gridSpan w:val="2"/>
          </w:tcPr>
          <w:p>
            <w:pPr>
              <w:jc w:val="right"/>
              <w:ind w:right="15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1,067,009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160"/>
        <w:spacing w:after="0" w:line="201"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In accordance with ASC 820, the Company's equity investment in Runway-Cadma I LLC is measured using the net asset value as a practical expedient for fair value, and thus has not been classified in the fair value hierarchy.</w:t>
      </w:r>
    </w:p>
    <w:p>
      <w:pPr>
        <w:spacing w:after="0" w:line="17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The Company transfers investments in and out of Levels 1, 2 and 3 as of the beginning balance sheet date, based on changes in the use of observable and unobservable inputs utilized to perform the valuation for the period.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7" w:name="page118"/>
    <w:bookmarkEnd w:id="11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December 31,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Senior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Secured Term</w:t>
            </w:r>
          </w:p>
        </w:tc>
        <w:tc>
          <w:tcPr>
            <w:tcW w:w="1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12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60" w:type="dxa"/>
            <w:vAlign w:val="bottom"/>
          </w:tcPr>
          <w:p>
            <w:pPr>
              <w:spacing w:after="0"/>
              <w:rPr>
                <w:sz w:val="13"/>
                <w:szCs w:val="13"/>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4"/>
                <w:szCs w:val="14"/>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at December 31, 2023</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964,099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14,399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26,285</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12,838</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in (out) of Level 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201,613</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5,737</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36,644</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3,832</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248,165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PIK interest</w:t>
            </w:r>
          </w:p>
        </w:tc>
        <w:tc>
          <w:tcPr>
            <w:tcW w:w="80" w:type="dxa"/>
            <w:vAlign w:val="bottom"/>
          </w:tcPr>
          <w:p>
            <w:pPr>
              <w:spacing w:after="0"/>
              <w:rPr>
                <w:sz w:val="13"/>
                <w:szCs w:val="13"/>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11,974</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Sales or prepayments of investments</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(224,364)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(226,397)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Scheduled principal repayments of</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Amortization of fixed income premiums or</w:t>
            </w: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discounts and ETP</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w:t>
            </w:r>
          </w:p>
        </w:tc>
        <w:tc>
          <w:tcPr>
            <w:tcW w:w="8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(2,890)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10,531</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(2,481)</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at December 31,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950,092</w:t>
            </w:r>
          </w:p>
        </w:tc>
        <w:tc>
          <w:tcPr>
            <w:tcW w:w="10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20,152</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73,460</w:t>
            </w: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16</w:t>
            </w:r>
          </w:p>
        </w:tc>
        <w:tc>
          <w:tcPr>
            <w:tcW w:w="280" w:type="dxa"/>
            <w:vAlign w:val="bottom"/>
            <w:gridSpan w:val="2"/>
          </w:tcPr>
          <w:p>
            <w:pPr>
              <w:jc w:val="right"/>
              <w:ind w:right="1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1,198</w:t>
            </w:r>
          </w:p>
        </w:tc>
        <w:tc>
          <w:tcPr>
            <w:tcW w:w="2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13,752</w:t>
            </w:r>
          </w:p>
        </w:tc>
        <w:tc>
          <w:tcPr>
            <w:tcW w:w="22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1,058,670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8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Level 3 investments still held as of</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(2,726)</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10,531</w:t>
            </w: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2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8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8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2"/>
                <w:szCs w:val="12"/>
                <w:color w:val="auto"/>
              </w:rPr>
              <w:t>December 31, 2024</w:t>
            </w:r>
          </w:p>
        </w:tc>
        <w:tc>
          <w:tcPr>
            <w:tcW w:w="80" w:type="dxa"/>
            <w:vAlign w:val="bottom"/>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Net of reorganization and restructuring of investments.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December 31,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Senior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Secured Term</w:t>
            </w:r>
          </w:p>
        </w:tc>
        <w:tc>
          <w:tcPr>
            <w:tcW w:w="1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Second Lien</w:t>
            </w:r>
          </w:p>
        </w:tc>
        <w:tc>
          <w:tcPr>
            <w:tcW w:w="120" w:type="dxa"/>
            <w:vAlign w:val="bottom"/>
          </w:tcPr>
          <w:p>
            <w:pPr>
              <w:spacing w:after="0"/>
              <w:rPr>
                <w:sz w:val="13"/>
                <w:szCs w:val="13"/>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60" w:type="dxa"/>
            <w:vAlign w:val="bottom"/>
          </w:tcPr>
          <w:p>
            <w:pPr>
              <w:spacing w:after="0"/>
              <w:rPr>
                <w:sz w:val="13"/>
                <w:szCs w:val="13"/>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Term Loans</w:t>
            </w:r>
          </w:p>
        </w:tc>
        <w:tc>
          <w:tcPr>
            <w:tcW w:w="120" w:type="dxa"/>
            <w:vAlign w:val="bottom"/>
          </w:tcPr>
          <w:p>
            <w:pPr>
              <w:spacing w:after="0"/>
              <w:rPr>
                <w:sz w:val="14"/>
                <w:szCs w:val="14"/>
                <w:color w:val="auto"/>
              </w:rPr>
            </w:pPr>
          </w:p>
        </w:tc>
        <w:tc>
          <w:tcPr>
            <w:tcW w:w="82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4"/>
                <w:szCs w:val="14"/>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Fair value at December 31, 2022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1,080,121</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13,654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28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16,650</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1,111,946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 in (out) of Level 3</w:t>
            </w: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166,660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28,220</w:t>
            </w: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PIK interest</w:t>
            </w:r>
          </w:p>
        </w:tc>
        <w:tc>
          <w:tcPr>
            <w:tcW w:w="8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19,413</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Sales or prepayments of investments</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(289,034)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(289,078)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repayments of investments</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Amortization of fixed income premiums or</w:t>
            </w: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 of discounts and ETP</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2,756</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(4,354)</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Fair Value at December 31, 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964,099</w:t>
            </w:r>
          </w:p>
        </w:tc>
        <w:tc>
          <w:tcPr>
            <w:tcW w:w="10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14,399</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1,357</w:t>
            </w:r>
          </w:p>
        </w:tc>
        <w:tc>
          <w:tcPr>
            <w:tcW w:w="240" w:type="dxa"/>
            <w:vAlign w:val="bottom"/>
            <w:gridSpan w:val="2"/>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26,285</w:t>
            </w: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872</w:t>
            </w:r>
          </w:p>
        </w:tc>
        <w:tc>
          <w:tcPr>
            <w:tcW w:w="280" w:type="dxa"/>
            <w:vAlign w:val="bottom"/>
            <w:gridSpan w:val="2"/>
          </w:tcPr>
          <w:p>
            <w:pPr>
              <w:jc w:val="right"/>
              <w:ind w:right="65"/>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950</w:t>
            </w:r>
          </w:p>
        </w:tc>
        <w:tc>
          <w:tcPr>
            <w:tcW w:w="260" w:type="dxa"/>
            <w:vAlign w:val="bottom"/>
            <w:gridSpan w:val="2"/>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12,838</w:t>
            </w:r>
          </w:p>
        </w:tc>
        <w:tc>
          <w:tcPr>
            <w:tcW w:w="22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1,020,800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80" w:type="dxa"/>
            <w:vAlign w:val="bottom"/>
            <w:shd w:val="clear" w:color="auto" w:fill="CFF0FC"/>
          </w:tcPr>
          <w:p>
            <w:pPr>
              <w:ind w:left="20"/>
              <w:spacing w:after="0" w:line="121"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Level 3 investments still held as of</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(7,746)</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shd w:val="clear" w:color="auto" w:fill="CFF0FC"/>
          </w:tcPr>
          <w:p>
            <w:pPr>
              <w:spacing w:after="0"/>
              <w:rPr>
                <w:sz w:val="13"/>
                <w:szCs w:val="13"/>
                <w:color w:val="auto"/>
              </w:rPr>
            </w:pP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(2,282)</w:t>
            </w:r>
          </w:p>
        </w:tc>
        <w:tc>
          <w:tcPr>
            <w:tcW w:w="10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vMerge w:val="restart"/>
            <w:shd w:val="clear" w:color="auto" w:fill="CFF0FC"/>
          </w:tcPr>
          <w:p>
            <w:pPr>
              <w:spacing w:after="0"/>
              <w:rPr>
                <w:sz w:val="13"/>
                <w:szCs w:val="13"/>
                <w:color w:val="auto"/>
              </w:rPr>
            </w:pPr>
          </w:p>
        </w:tc>
        <w:tc>
          <w:tcPr>
            <w:tcW w:w="180" w:type="dxa"/>
            <w:vAlign w:val="bottom"/>
            <w:vMerge w:val="restart"/>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13"/>
                <w:szCs w:val="13"/>
                <w:color w:val="auto"/>
              </w:rPr>
            </w:pP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(5,893)</w:t>
            </w:r>
          </w:p>
        </w:tc>
        <w:tc>
          <w:tcPr>
            <w:tcW w:w="80" w:type="dxa"/>
            <w:vAlign w:val="bottom"/>
            <w:shd w:val="clear" w:color="auto" w:fill="CFF0FC"/>
          </w:tcPr>
          <w:p>
            <w:pPr>
              <w:spacing w:after="0"/>
              <w:rPr>
                <w:sz w:val="13"/>
                <w:szCs w:val="13"/>
                <w:color w:val="auto"/>
              </w:rPr>
            </w:pPr>
          </w:p>
        </w:tc>
        <w:tc>
          <w:tcPr>
            <w:tcW w:w="220" w:type="dxa"/>
            <w:vAlign w:val="bottom"/>
            <w:vMerge w:val="restart"/>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80" w:type="dxa"/>
            <w:vAlign w:val="bottom"/>
            <w:tcBorders>
              <w:bottom w:val="single" w:sz="8" w:color="CFF0FC"/>
            </w:tcBorders>
            <w:shd w:val="clear" w:color="auto" w:fill="CFF0FC"/>
          </w:tcPr>
          <w:p>
            <w:pPr>
              <w:ind w:left="20"/>
              <w:spacing w:after="0" w:line="112" w:lineRule="exact"/>
              <w:rPr>
                <w:sz w:val="20"/>
                <w:szCs w:val="20"/>
                <w:color w:val="auto"/>
              </w:rPr>
            </w:pPr>
            <w:r>
              <w:rPr>
                <w:rFonts w:ascii="Times New Roman" w:cs="Times New Roman" w:eastAsia="Times New Roman" w:hAnsi="Times New Roman"/>
                <w:sz w:val="12"/>
                <w:szCs w:val="12"/>
                <w:color w:val="auto"/>
              </w:rPr>
              <w:t>December 31, 2023</w:t>
            </w: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Net of reorganization and restructuring of investments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-224790</wp:posOffset>
            </wp:positionV>
            <wp:extent cx="17913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18" w:name="page119"/>
    <w:bookmarkEnd w:id="11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December 31,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198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Senior Secured Term Loans</w:t>
            </w:r>
            <w:r>
              <w:rPr>
                <w:rFonts w:ascii="Times New Roman" w:cs="Times New Roman" w:eastAsia="Times New Roman" w:hAnsi="Times New Roman"/>
                <w:sz w:val="16"/>
                <w:szCs w:val="16"/>
                <w:color w:val="auto"/>
                <w:vertAlign w:val="superscript"/>
              </w:rPr>
              <w:t>(1)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944,513</w:t>
            </w: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rPr>
              <w:t xml:space="preserve">Discounted Cash Flow Analysis </w:t>
            </w:r>
            <w:r>
              <w:rPr>
                <w:rFonts w:ascii="Times New Roman" w:cs="Times New Roman" w:eastAsia="Times New Roman" w:hAnsi="Times New Roman"/>
                <w:sz w:val="16"/>
                <w:szCs w:val="16"/>
                <w:color w:val="auto"/>
                <w:vertAlign w:val="superscript"/>
              </w:rPr>
              <w:t>(6)</w:t>
            </w: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10.2% - 45.7% (15.6%)</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Origination yield</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11.1% - 29.9% (13.9%)</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0.28x - 15.25x (4.22x)</w:t>
            </w:r>
          </w:p>
        </w:tc>
      </w:tr>
      <w:tr>
        <w:trPr>
          <w:trHeight w:val="144"/>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2,148</w:t>
            </w:r>
          </w:p>
        </w:tc>
        <w:tc>
          <w:tcPr>
            <w:tcW w:w="160" w:type="dxa"/>
            <w:vAlign w:val="bottom"/>
          </w:tcPr>
          <w:p>
            <w:pPr>
              <w:spacing w:after="0"/>
              <w:rPr>
                <w:sz w:val="12"/>
                <w:szCs w:val="12"/>
                <w:color w:val="auto"/>
              </w:rPr>
            </w:pPr>
          </w:p>
        </w:tc>
        <w:tc>
          <w:tcPr>
            <w:tcW w:w="220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2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gridSpan w:val="2"/>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40.0% - 40.0% (40.0%)</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Origination yield</w:t>
            </w:r>
          </w:p>
        </w:tc>
        <w:tc>
          <w:tcPr>
            <w:tcW w:w="198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rPr>
              <w:t>18.6% - 18.6% (18.6%)</w:t>
            </w:r>
          </w:p>
        </w:tc>
      </w:tr>
      <w:tr>
        <w:trPr>
          <w:trHeight w:val="168"/>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Revenue multiples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1.25x - 1.25x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(1.25x)</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w w:val="97"/>
              </w:rPr>
              <w:t xml:space="preserve">Waterfall Approach </w:t>
            </w:r>
            <w:r>
              <w:rPr>
                <w:rFonts w:ascii="Times New Roman" w:cs="Times New Roman" w:eastAsia="Times New Roman" w:hAnsi="Times New Roman"/>
                <w:sz w:val="16"/>
                <w:szCs w:val="16"/>
                <w:color w:val="auto"/>
                <w:w w:val="97"/>
                <w:vertAlign w:val="superscript"/>
              </w:rPr>
              <w:t>(5)</w:t>
            </w: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52.5% - 52.5% (52.5%)</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3.0 - 3.0 (3.0 years)</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Revenue multiples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3.75x - 3.75x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(3.75x)</w:t>
            </w:r>
          </w:p>
        </w:tc>
      </w:tr>
      <w:tr>
        <w:trPr>
          <w:trHeight w:val="144"/>
        </w:trPr>
        <w:tc>
          <w:tcPr>
            <w:tcW w:w="2360" w:type="dxa"/>
            <w:vAlign w:val="bottom"/>
          </w:tcPr>
          <w:p>
            <w:pPr>
              <w:ind w:left="20"/>
              <w:spacing w:after="0" w:line="145" w:lineRule="exact"/>
              <w:rPr>
                <w:sz w:val="20"/>
                <w:szCs w:val="20"/>
                <w:color w:val="auto"/>
              </w:rPr>
            </w:pPr>
            <w:r>
              <w:rPr>
                <w:rFonts w:ascii="Times New Roman" w:cs="Times New Roman" w:eastAsia="Times New Roman" w:hAnsi="Times New Roman"/>
                <w:sz w:val="13"/>
                <w:szCs w:val="13"/>
                <w:color w:val="auto"/>
              </w:rPr>
              <w:t>Second Lien Term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20,152</w:t>
            </w:r>
          </w:p>
        </w:tc>
        <w:tc>
          <w:tcPr>
            <w:tcW w:w="22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Discounted Cash Flow Analysis</w:t>
            </w:r>
          </w:p>
        </w:tc>
        <w:tc>
          <w:tcPr>
            <w:tcW w:w="192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gridSpan w:val="2"/>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18.6% - 19.2% (19.1%)</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Origination yield</w:t>
            </w:r>
          </w:p>
        </w:tc>
        <w:tc>
          <w:tcPr>
            <w:tcW w:w="198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rPr>
              <w:t>13.0% - 18.4% (14.5%)</w:t>
            </w:r>
          </w:p>
        </w:tc>
      </w:tr>
      <w:tr>
        <w:trPr>
          <w:trHeight w:val="168"/>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1.90x - 2.85x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(2.17x)</w:t>
            </w:r>
          </w:p>
        </w:tc>
      </w:tr>
      <w:tr>
        <w:trPr>
          <w:trHeight w:val="15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35,563</w:t>
            </w:r>
          </w:p>
        </w:tc>
        <w:tc>
          <w:tcPr>
            <w:tcW w:w="2200" w:type="dxa"/>
            <w:vAlign w:val="bottom"/>
            <w:shd w:val="clear" w:color="auto" w:fill="CFF0FC"/>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w w:val="97"/>
              </w:rPr>
              <w:t xml:space="preserve">Waterfall Approach </w:t>
            </w:r>
            <w:r>
              <w:rPr>
                <w:rFonts w:ascii="Times New Roman" w:cs="Times New Roman" w:eastAsia="Times New Roman" w:hAnsi="Times New Roman"/>
                <w:sz w:val="16"/>
                <w:szCs w:val="16"/>
                <w:color w:val="auto"/>
                <w:w w:val="97"/>
                <w:vertAlign w:val="superscript"/>
              </w:rPr>
              <w:t>(5)</w:t>
            </w: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52.5% - 52.5% (52.5%)</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Revenue multiples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3.75x - 3.75x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(3.75x)</w:t>
            </w:r>
          </w:p>
        </w:tc>
      </w:tr>
      <w:tr>
        <w:trPr>
          <w:trHeight w:val="144"/>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37,897</w:t>
            </w:r>
          </w:p>
        </w:tc>
        <w:tc>
          <w:tcPr>
            <w:tcW w:w="2200" w:type="dxa"/>
            <w:vAlign w:val="bottom"/>
          </w:tcPr>
          <w:p>
            <w:pPr>
              <w:jc w:val="center"/>
              <w:ind w:right="14"/>
              <w:spacing w:after="0" w:line="145" w:lineRule="exact"/>
              <w:rPr>
                <w:sz w:val="20"/>
                <w:szCs w:val="20"/>
                <w:color w:val="auto"/>
              </w:rPr>
            </w:pPr>
            <w:r>
              <w:rPr>
                <w:rFonts w:ascii="Times New Roman" w:cs="Times New Roman" w:eastAsia="Times New Roman" w:hAnsi="Times New Roman"/>
                <w:sz w:val="13"/>
                <w:szCs w:val="13"/>
                <w:color w:val="auto"/>
                <w:w w:val="98"/>
              </w:rPr>
              <w:t xml:space="preserve">Option Pricing Model </w:t>
            </w:r>
            <w:r>
              <w:rPr>
                <w:rFonts w:ascii="Times New Roman" w:cs="Times New Roman" w:eastAsia="Times New Roman" w:hAnsi="Times New Roman"/>
                <w:sz w:val="16"/>
                <w:szCs w:val="16"/>
                <w:color w:val="auto"/>
                <w:w w:val="98"/>
                <w:vertAlign w:val="superscript"/>
              </w:rPr>
              <w:t>(6)</w:t>
            </w:r>
          </w:p>
        </w:tc>
        <w:tc>
          <w:tcPr>
            <w:tcW w:w="1920" w:type="dxa"/>
            <w:vAlign w:val="bottom"/>
          </w:tcPr>
          <w:p>
            <w:pPr>
              <w:jc w:val="center"/>
              <w:ind w:right="34"/>
              <w:spacing w:after="0" w:line="144" w:lineRule="exact"/>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gridSpan w:val="2"/>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4.1% - 4.1% (4.1%)</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gridSpan w:val="2"/>
          </w:tcPr>
          <w:p>
            <w:pPr>
              <w:jc w:val="center"/>
              <w:ind w:left="34"/>
              <w:spacing w:after="0"/>
              <w:rPr>
                <w:sz w:val="20"/>
                <w:szCs w:val="20"/>
                <w:color w:val="auto"/>
              </w:rPr>
            </w:pPr>
            <w:r>
              <w:rPr>
                <w:rFonts w:ascii="Times New Roman" w:cs="Times New Roman" w:eastAsia="Times New Roman" w:hAnsi="Times New Roman"/>
                <w:sz w:val="13"/>
                <w:szCs w:val="13"/>
                <w:color w:val="auto"/>
              </w:rPr>
              <w:t>45.0% - 62.5% (45.1%)</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3.0 - 4.7 (3.0 years)</w:t>
            </w:r>
          </w:p>
        </w:tc>
      </w:tr>
      <w:tr>
        <w:trPr>
          <w:trHeight w:val="168"/>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Revenue multiples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2.82x - 12.87x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(12.76x)</w:t>
            </w:r>
          </w:p>
        </w:tc>
      </w:tr>
      <w:tr>
        <w:trPr>
          <w:trHeight w:val="156"/>
        </w:trPr>
        <w:tc>
          <w:tcPr>
            <w:tcW w:w="2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62.5% - 62.5% (62.5%)</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3.0 - 3.0 (3.0 years)</w:t>
            </w:r>
          </w:p>
        </w:tc>
      </w:tr>
      <w:tr>
        <w:trPr>
          <w:trHeight w:val="15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60" w:type="dxa"/>
            <w:vAlign w:val="bottom"/>
          </w:tcPr>
          <w:p>
            <w:pPr>
              <w:spacing w:after="0"/>
              <w:rPr>
                <w:sz w:val="13"/>
                <w:szCs w:val="13"/>
                <w:color w:val="auto"/>
              </w:rPr>
            </w:pPr>
          </w:p>
        </w:tc>
        <w:tc>
          <w:tcPr>
            <w:tcW w:w="2200" w:type="dxa"/>
            <w:vAlign w:val="bottom"/>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w w:val="94"/>
              </w:rPr>
              <w:t xml:space="preserve">PWERM </w:t>
            </w:r>
            <w:r>
              <w:rPr>
                <w:rFonts w:ascii="Times New Roman" w:cs="Times New Roman" w:eastAsia="Times New Roman" w:hAnsi="Times New Roman"/>
                <w:sz w:val="16"/>
                <w:szCs w:val="16"/>
                <w:color w:val="auto"/>
                <w:w w:val="94"/>
                <w:vertAlign w:val="superscript"/>
              </w:rPr>
              <w:t>(4)</w:t>
            </w: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w w:val="98"/>
              </w:rPr>
              <w:t>N/A</w:t>
            </w:r>
          </w:p>
        </w:tc>
        <w:tc>
          <w:tcPr>
            <w:tcW w:w="1200" w:type="dxa"/>
            <w:vAlign w:val="bottom"/>
          </w:tcPr>
          <w:p>
            <w:pPr>
              <w:jc w:val="center"/>
              <w:ind w:left="834"/>
              <w:spacing w:after="0"/>
              <w:rPr>
                <w:sz w:val="20"/>
                <w:szCs w:val="20"/>
                <w:color w:val="auto"/>
              </w:rPr>
            </w:pPr>
            <w:r>
              <w:rPr>
                <w:rFonts w:ascii="Times New Roman" w:cs="Times New Roman" w:eastAsia="Times New Roman" w:hAnsi="Times New Roman"/>
                <w:sz w:val="13"/>
                <w:szCs w:val="13"/>
                <w:color w:val="auto"/>
                <w:w w:val="98"/>
              </w:rPr>
              <w:t>N/A</w:t>
            </w:r>
          </w:p>
        </w:tc>
        <w:tc>
          <w:tcPr>
            <w:tcW w:w="780" w:type="dxa"/>
            <w:vAlign w:val="bottom"/>
          </w:tcPr>
          <w:p>
            <w:pPr>
              <w:spacing w:after="0"/>
              <w:rPr>
                <w:sz w:val="13"/>
                <w:szCs w:val="13"/>
                <w:color w:val="auto"/>
              </w:rPr>
            </w:pP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10,860</w:t>
            </w:r>
          </w:p>
        </w:tc>
        <w:tc>
          <w:tcPr>
            <w:tcW w:w="22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- 4.3% (4.1%)</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22.5% - 110.0% (47.7%)</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gridSpan w:val="2"/>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1.0 - 3.8 (2.9 years)</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Revenue multiples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1.27x - 8.89x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(3.41x)</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60" w:type="dxa"/>
            <w:vAlign w:val="bottom"/>
          </w:tcPr>
          <w:p>
            <w:pPr>
              <w:spacing w:after="0"/>
              <w:rPr>
                <w:sz w:val="13"/>
                <w:szCs w:val="13"/>
                <w:color w:val="auto"/>
              </w:rPr>
            </w:pPr>
          </w:p>
        </w:tc>
        <w:tc>
          <w:tcPr>
            <w:tcW w:w="2200" w:type="dxa"/>
            <w:vAlign w:val="bottom"/>
          </w:tcPr>
          <w:p>
            <w:pPr>
              <w:jc w:val="center"/>
              <w:ind w:right="14"/>
              <w:spacing w:after="0" w:line="156" w:lineRule="exact"/>
              <w:rPr>
                <w:sz w:val="20"/>
                <w:szCs w:val="20"/>
                <w:color w:val="auto"/>
              </w:rPr>
            </w:pPr>
            <w:r>
              <w:rPr>
                <w:rFonts w:ascii="Times New Roman" w:cs="Times New Roman" w:eastAsia="Times New Roman" w:hAnsi="Times New Roman"/>
                <w:sz w:val="13"/>
                <w:szCs w:val="13"/>
                <w:color w:val="auto"/>
                <w:w w:val="94"/>
              </w:rPr>
              <w:t xml:space="preserve">PWERM </w:t>
            </w:r>
            <w:r>
              <w:rPr>
                <w:rFonts w:ascii="Times New Roman" w:cs="Times New Roman" w:eastAsia="Times New Roman" w:hAnsi="Times New Roman"/>
                <w:sz w:val="16"/>
                <w:szCs w:val="16"/>
                <w:color w:val="auto"/>
                <w:w w:val="94"/>
                <w:vertAlign w:val="superscript"/>
              </w:rPr>
              <w:t>(3)</w:t>
            </w:r>
          </w:p>
        </w:tc>
        <w:tc>
          <w:tcPr>
            <w:tcW w:w="19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w w:val="98"/>
              </w:rPr>
              <w:t>N/A</w:t>
            </w:r>
          </w:p>
        </w:tc>
        <w:tc>
          <w:tcPr>
            <w:tcW w:w="1200" w:type="dxa"/>
            <w:vAlign w:val="bottom"/>
          </w:tcPr>
          <w:p>
            <w:pPr>
              <w:jc w:val="center"/>
              <w:ind w:left="834"/>
              <w:spacing w:after="0"/>
              <w:rPr>
                <w:sz w:val="20"/>
                <w:szCs w:val="20"/>
                <w:color w:val="auto"/>
              </w:rPr>
            </w:pPr>
            <w:r>
              <w:rPr>
                <w:rFonts w:ascii="Times New Roman" w:cs="Times New Roman" w:eastAsia="Times New Roman" w:hAnsi="Times New Roman"/>
                <w:sz w:val="13"/>
                <w:szCs w:val="13"/>
                <w:color w:val="auto"/>
                <w:w w:val="98"/>
              </w:rPr>
              <w:t>N/A</w:t>
            </w:r>
          </w:p>
        </w:tc>
        <w:tc>
          <w:tcPr>
            <w:tcW w:w="780" w:type="dxa"/>
            <w:vAlign w:val="bottom"/>
          </w:tcPr>
          <w:p>
            <w:pPr>
              <w:spacing w:after="0"/>
              <w:rPr>
                <w:sz w:val="13"/>
                <w:szCs w:val="13"/>
                <w:color w:val="auto"/>
              </w:rPr>
            </w:pP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60" w:type="dxa"/>
            <w:vAlign w:val="bottom"/>
            <w:shd w:val="clear" w:color="auto" w:fill="CFF0FC"/>
          </w:tcPr>
          <w:p>
            <w:pPr>
              <w:spacing w:after="0"/>
              <w:rPr>
                <w:sz w:val="13"/>
                <w:szCs w:val="13"/>
                <w:color w:val="auto"/>
              </w:rPr>
            </w:pPr>
          </w:p>
        </w:tc>
        <w:tc>
          <w:tcPr>
            <w:tcW w:w="220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Waterfall Approach</w:t>
            </w:r>
          </w:p>
        </w:tc>
        <w:tc>
          <w:tcPr>
            <w:tcW w:w="1920" w:type="dxa"/>
            <w:vAlign w:val="bottom"/>
            <w:shd w:val="clear" w:color="auto" w:fill="CFF0FC"/>
          </w:tcPr>
          <w:p>
            <w:pPr>
              <w:jc w:val="center"/>
              <w:ind w:right="34"/>
              <w:spacing w:after="0"/>
              <w:rPr>
                <w:sz w:val="20"/>
                <w:szCs w:val="20"/>
                <w:color w:val="auto"/>
              </w:rPr>
            </w:pPr>
            <w:r>
              <w:rPr>
                <w:rFonts w:ascii="Times New Roman" w:cs="Times New Roman" w:eastAsia="Times New Roman" w:hAnsi="Times New Roman"/>
                <w:sz w:val="13"/>
                <w:szCs w:val="13"/>
                <w:color w:val="auto"/>
              </w:rPr>
              <w:t>Revenue multiples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1.93x - 1.93x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(1.93x)</w:t>
            </w:r>
          </w:p>
        </w:tc>
      </w:tr>
      <w:tr>
        <w:trPr>
          <w:trHeight w:val="156"/>
        </w:trPr>
        <w:tc>
          <w:tcPr>
            <w:tcW w:w="23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6"/>
        </w:trPr>
        <w:tc>
          <w:tcPr>
            <w:tcW w:w="2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Level 3 Investments</w:t>
            </w:r>
          </w:p>
        </w:tc>
        <w:tc>
          <w:tcPr>
            <w:tcW w:w="1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160" w:type="dxa"/>
            <w:vAlign w:val="bottom"/>
            <w:tcBorders>
              <w:bottom w:val="single" w:sz="8" w:color="CFF0FC"/>
            </w:tcBorders>
            <w:shd w:val="clear" w:color="auto" w:fill="CFF0FC"/>
          </w:tcPr>
          <w:p>
            <w:pPr>
              <w:spacing w:after="0"/>
              <w:rPr>
                <w:sz w:val="17"/>
                <w:szCs w:val="17"/>
                <w:color w:val="auto"/>
              </w:rPr>
            </w:pPr>
          </w:p>
        </w:tc>
        <w:tc>
          <w:tcPr>
            <w:tcW w:w="2200" w:type="dxa"/>
            <w:vAlign w:val="bottom"/>
            <w:tcBorders>
              <w:bottom w:val="single" w:sz="8" w:color="CFF0FC"/>
            </w:tcBorders>
            <w:shd w:val="clear" w:color="auto" w:fill="CFF0FC"/>
          </w:tcPr>
          <w:p>
            <w:pPr>
              <w:spacing w:after="0"/>
              <w:rPr>
                <w:sz w:val="17"/>
                <w:szCs w:val="17"/>
                <w:color w:val="auto"/>
              </w:rPr>
            </w:pPr>
          </w:p>
        </w:tc>
        <w:tc>
          <w:tcPr>
            <w:tcW w:w="192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r>
    </w:tbl>
    <w:p>
      <w:pPr>
        <w:spacing w:after="0" w:line="335" w:lineRule="exact"/>
        <w:rPr>
          <w:sz w:val="20"/>
          <w:szCs w:val="20"/>
          <w:color w:val="auto"/>
        </w:rPr>
      </w:pPr>
    </w:p>
    <w:p>
      <w:pPr>
        <w:ind w:left="360" w:right="80"/>
        <w:spacing w:after="0" w:line="224"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 w:lineRule="exact"/>
        <w:rPr>
          <w:sz w:val="20"/>
          <w:szCs w:val="20"/>
          <w:color w:val="auto"/>
        </w:rPr>
      </w:pPr>
    </w:p>
    <w:p>
      <w:pPr>
        <w:ind w:left="360" w:right="40"/>
        <w:spacing w:after="0" w:line="224"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2024.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2" w:lineRule="exact"/>
        <w:rPr>
          <w:sz w:val="20"/>
          <w:szCs w:val="20"/>
          <w:color w:val="auto"/>
        </w:rPr>
      </w:pPr>
    </w:p>
    <w:p>
      <w:pPr>
        <w:ind w:left="360" w:right="20"/>
        <w:spacing w:after="0" w:line="193"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3"/>
          <w:szCs w:val="13"/>
          <w:color w:val="auto"/>
        </w:rPr>
        <w:t>Warrant investments using a PWERM valuation technique contain success fees, in which case the inputs are not applicable because the nature of a success fee is a fixed payout dependent on certain liquidation events.</w:t>
      </w:r>
    </w:p>
    <w:p>
      <w:pPr>
        <w:ind w:left="360"/>
        <w:spacing w:after="0" w:line="183" w:lineRule="auto"/>
        <w:rPr>
          <w:sz w:val="20"/>
          <w:szCs w:val="20"/>
          <w:color w:val="auto"/>
        </w:rPr>
      </w:pP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3"/>
          <w:szCs w:val="13"/>
          <w:color w:val="auto"/>
        </w:rPr>
        <w:t>Investment valued using a PWERM valuation technique and includes inputs that are based on scenario analysis specific to the asset recovery of such investment.</w:t>
      </w:r>
    </w:p>
    <w:p>
      <w:pPr>
        <w:ind w:left="360" w:right="60"/>
        <w:spacing w:after="0" w:line="193" w:lineRule="auto"/>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3"/>
          <w:szCs w:val="13"/>
          <w:color w:val="auto"/>
        </w:rPr>
        <w:t>Investment valued using a Waterfall valuation technique. The inputs utilized in the valuation are based on an option pricing model that was utilized to value the shares that JobGet Holdings, Inc. owns in JobGet, Inc.</w:t>
      </w:r>
    </w:p>
    <w:p>
      <w:pPr>
        <w:ind w:left="360" w:right="200"/>
        <w:spacing w:after="0" w:line="193" w:lineRule="auto"/>
        <w:rPr>
          <w:sz w:val="20"/>
          <w:szCs w:val="20"/>
          <w:color w:val="auto"/>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3"/>
          <w:szCs w:val="13"/>
          <w:color w:val="auto"/>
        </w:rPr>
        <w:t>Includes Gynesonics, Inc., which was sold on January 2, 2025. As of December 31, 2024, the Company valued its investments in Gynesonics, Inc. at the expected sales proceeds from the acquisition.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9" w:name="page120"/>
    <w:bookmarkEnd w:id="11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December 31,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Senior Secured Term Loans</w:t>
            </w:r>
            <w:r>
              <w:rPr>
                <w:rFonts w:ascii="Times New Roman" w:cs="Times New Roman" w:eastAsia="Times New Roman" w:hAnsi="Times New Roman"/>
                <w:sz w:val="16"/>
                <w:szCs w:val="16"/>
                <w:color w:val="auto"/>
                <w:vertAlign w:val="superscript"/>
              </w:rPr>
              <w:t>(1)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904,739</w:t>
            </w: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10.8% - 22.2% (15.0%)</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Origination yield</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10.8% - 19.9% (13.6%)</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0.29x - 7.49x (3.66x)</w:t>
            </w:r>
          </w:p>
        </w:tc>
      </w:tr>
      <w:tr>
        <w:trPr>
          <w:trHeight w:val="144"/>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59,360</w:t>
            </w:r>
          </w:p>
        </w:tc>
        <w:tc>
          <w:tcPr>
            <w:tcW w:w="2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20.3% - 46.5% (28.8%)</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Origination yield</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10.8% - 29.7% (17.3%)</w:t>
            </w:r>
          </w:p>
        </w:tc>
      </w:tr>
      <w:tr>
        <w:trPr>
          <w:trHeight w:val="168"/>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0.95x - 3.16x (1.89x)</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Second Lien Term Loans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14,399</w:t>
            </w: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16.1% - 16.1% (16.1%)</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Origination yield</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13.1% - 13.1% (13.1%)</w:t>
            </w:r>
          </w:p>
        </w:tc>
      </w:tr>
      <w:tr>
        <w:trPr>
          <w:trHeight w:val="144"/>
        </w:trPr>
        <w:tc>
          <w:tcPr>
            <w:tcW w:w="23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Convertible Notes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1,357</w:t>
            </w:r>
          </w:p>
        </w:tc>
        <w:tc>
          <w:tcPr>
            <w:tcW w:w="160" w:type="dxa"/>
            <w:vAlign w:val="bottom"/>
          </w:tcPr>
          <w:p>
            <w:pPr>
              <w:spacing w:after="0"/>
              <w:rPr>
                <w:sz w:val="12"/>
                <w:szCs w:val="12"/>
                <w:color w:val="auto"/>
              </w:rPr>
            </w:pPr>
          </w:p>
        </w:tc>
        <w:tc>
          <w:tcPr>
            <w:tcW w:w="2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45.0% - 45.0% (45.0%)</w:t>
            </w:r>
          </w:p>
        </w:tc>
      </w:tr>
      <w:tr>
        <w:trPr>
          <w:trHeight w:val="168"/>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Origination yield</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10.8% - 10.8% (10.8%)</w:t>
            </w:r>
          </w:p>
        </w:tc>
      </w:tr>
      <w:tr>
        <w:trPr>
          <w:trHeight w:val="144"/>
        </w:trPr>
        <w:tc>
          <w:tcPr>
            <w:tcW w:w="236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Preferred Stock</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120</w:t>
            </w:r>
          </w:p>
        </w:tc>
        <w:tc>
          <w:tcPr>
            <w:tcW w:w="160" w:type="dxa"/>
            <w:vAlign w:val="bottom"/>
            <w:shd w:val="clear" w:color="auto" w:fill="CFF0FC"/>
          </w:tcPr>
          <w:p>
            <w:pPr>
              <w:spacing w:after="0"/>
              <w:rPr>
                <w:sz w:val="12"/>
                <w:szCs w:val="12"/>
                <w:color w:val="auto"/>
              </w:rPr>
            </w:pPr>
          </w:p>
        </w:tc>
        <w:tc>
          <w:tcPr>
            <w:tcW w:w="21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Recent private market and merger</w:t>
            </w:r>
          </w:p>
        </w:tc>
        <w:tc>
          <w:tcPr>
            <w:tcW w:w="1940" w:type="dxa"/>
            <w:vAlign w:val="bottom"/>
            <w:shd w:val="clear" w:color="auto" w:fill="CFF0FC"/>
          </w:tcPr>
          <w:p>
            <w:pPr>
              <w:jc w:val="center"/>
              <w:ind w:right="14"/>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1980" w:type="dxa"/>
            <w:vAlign w:val="bottom"/>
            <w:shd w:val="clear" w:color="auto" w:fill="CFF0FC"/>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w w:val="98"/>
              </w:rPr>
              <w:t>N/A</w:t>
            </w:r>
          </w:p>
        </w:tc>
      </w:tr>
      <w:tr>
        <w:trPr>
          <w:trHeight w:val="168"/>
        </w:trPr>
        <w:tc>
          <w:tcPr>
            <w:tcW w:w="2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and acquisition transaction prices</w:t>
            </w:r>
          </w:p>
        </w:tc>
        <w:tc>
          <w:tcPr>
            <w:tcW w:w="1940" w:type="dxa"/>
            <w:vAlign w:val="bottom"/>
            <w:shd w:val="clear" w:color="auto" w:fill="CFF0FC"/>
          </w:tcPr>
          <w:p>
            <w:pPr>
              <w:spacing w:after="0"/>
              <w:rPr>
                <w:sz w:val="14"/>
                <w:szCs w:val="14"/>
                <w:color w:val="auto"/>
              </w:rPr>
            </w:pPr>
          </w:p>
        </w:tc>
        <w:tc>
          <w:tcPr>
            <w:tcW w:w="1980" w:type="dxa"/>
            <w:vAlign w:val="bottom"/>
            <w:shd w:val="clear" w:color="auto" w:fill="CFF0FC"/>
          </w:tcPr>
          <w:p>
            <w:pPr>
              <w:spacing w:after="0"/>
              <w:rPr>
                <w:sz w:val="14"/>
                <w:szCs w:val="14"/>
                <w:color w:val="auto"/>
              </w:rPr>
            </w:pPr>
          </w:p>
        </w:tc>
      </w:tr>
      <w:tr>
        <w:trPr>
          <w:trHeight w:val="144"/>
        </w:trPr>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tcPr>
          <w:p>
            <w:pPr>
              <w:jc w:val="right"/>
              <w:ind w:right="160"/>
              <w:spacing w:after="0" w:line="144" w:lineRule="exact"/>
              <w:rPr>
                <w:sz w:val="20"/>
                <w:szCs w:val="20"/>
                <w:color w:val="auto"/>
              </w:rPr>
            </w:pPr>
            <w:r>
              <w:rPr>
                <w:rFonts w:ascii="Times New Roman" w:cs="Times New Roman" w:eastAsia="Times New Roman" w:hAnsi="Times New Roman"/>
                <w:sz w:val="13"/>
                <w:szCs w:val="13"/>
                <w:color w:val="auto"/>
              </w:rPr>
              <w:t>26,038</w:t>
            </w:r>
          </w:p>
        </w:tc>
        <w:tc>
          <w:tcPr>
            <w:tcW w:w="2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4.7% - 4.7% (4.7%)</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40.0% - 40.0% (40.0%)</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2.0 - 2.0 (2.0 years)</w:t>
            </w:r>
          </w:p>
        </w:tc>
      </w:tr>
      <w:tr>
        <w:trPr>
          <w:trHeight w:val="168"/>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4.46x - 4.46x (4.46x)</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Waterfall Approach</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3.0 - 3.0 (3.0 years)</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4.00x - 4.00x (4.00x)</w:t>
            </w:r>
          </w:p>
        </w:tc>
      </w:tr>
      <w:tr>
        <w:trPr>
          <w:trHeight w:val="144"/>
        </w:trPr>
        <w:tc>
          <w:tcPr>
            <w:tcW w:w="236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2"/>
                <w:szCs w:val="12"/>
                <w:color w:val="auto"/>
              </w:rPr>
            </w:pPr>
          </w:p>
        </w:tc>
        <w:tc>
          <w:tcPr>
            <w:tcW w:w="21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Recent private market and merger</w:t>
            </w:r>
          </w:p>
        </w:tc>
        <w:tc>
          <w:tcPr>
            <w:tcW w:w="1940" w:type="dxa"/>
            <w:vAlign w:val="bottom"/>
          </w:tcPr>
          <w:p>
            <w:pPr>
              <w:jc w:val="center"/>
              <w:ind w:right="14"/>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198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w w:val="98"/>
              </w:rPr>
              <w:t>N/A</w:t>
            </w:r>
          </w:p>
        </w:tc>
      </w:tr>
      <w:tr>
        <w:trPr>
          <w:trHeight w:val="168"/>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and acquisition transaction prices</w:t>
            </w:r>
          </w:p>
        </w:tc>
        <w:tc>
          <w:tcPr>
            <w:tcW w:w="1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4.3% - 4.3% (4.3%)</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35.0% - 35.0% (35.0%)</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5.0 - 5.0 (5.0 years)</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3.28x - 3.28x (3.28x)</w:t>
            </w:r>
          </w:p>
        </w:tc>
      </w:tr>
      <w:tr>
        <w:trPr>
          <w:trHeight w:val="15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60" w:type="dxa"/>
            <w:vAlign w:val="bottom"/>
          </w:tcPr>
          <w:p>
            <w:pPr>
              <w:spacing w:after="0"/>
              <w:rPr>
                <w:sz w:val="13"/>
                <w:szCs w:val="13"/>
                <w:color w:val="auto"/>
              </w:rPr>
            </w:pPr>
          </w:p>
        </w:tc>
        <w:tc>
          <w:tcPr>
            <w:tcW w:w="218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4"/>
              </w:rPr>
              <w:t xml:space="preserve">PWERM </w:t>
            </w:r>
            <w:r>
              <w:rPr>
                <w:rFonts w:ascii="Times New Roman" w:cs="Times New Roman" w:eastAsia="Times New Roman" w:hAnsi="Times New Roman"/>
                <w:sz w:val="16"/>
                <w:szCs w:val="16"/>
                <w:color w:val="auto"/>
                <w:w w:val="94"/>
                <w:vertAlign w:val="superscript"/>
              </w:rPr>
              <w:t>(4)</w:t>
            </w: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Discount rate</w:t>
            </w:r>
          </w:p>
        </w:tc>
        <w:tc>
          <w:tcPr>
            <w:tcW w:w="198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20.0% - 20.0% (20.0%)</w:t>
            </w:r>
          </w:p>
        </w:tc>
      </w:tr>
      <w:tr>
        <w:trPr>
          <w:trHeight w:val="156"/>
        </w:trPr>
        <w:tc>
          <w:tcPr>
            <w:tcW w:w="236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7,075</w:t>
            </w: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Risk-free interest rate</w:t>
            </w:r>
          </w:p>
        </w:tc>
        <w:tc>
          <w:tcPr>
            <w:tcW w:w="19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3.8% - 5.3% (4.5%)</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25.0% - 108.8% (45.4%)</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0.8 - 8.2 (3.1 years)</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0.95x - 7.49x (3.95x)</w:t>
            </w:r>
          </w:p>
        </w:tc>
      </w:tr>
      <w:tr>
        <w:trPr>
          <w:trHeight w:val="156"/>
        </w:trPr>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3,912</w:t>
            </w:r>
          </w:p>
        </w:tc>
        <w:tc>
          <w:tcPr>
            <w:tcW w:w="160" w:type="dxa"/>
            <w:vAlign w:val="bottom"/>
          </w:tcPr>
          <w:p>
            <w:pPr>
              <w:spacing w:after="0"/>
              <w:rPr>
                <w:sz w:val="13"/>
                <w:szCs w:val="13"/>
                <w:color w:val="auto"/>
              </w:rPr>
            </w:pPr>
          </w:p>
        </w:tc>
        <w:tc>
          <w:tcPr>
            <w:tcW w:w="218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4"/>
              </w:rPr>
              <w:t xml:space="preserve">PWERM </w:t>
            </w:r>
            <w:r>
              <w:rPr>
                <w:rFonts w:ascii="Times New Roman" w:cs="Times New Roman" w:eastAsia="Times New Roman" w:hAnsi="Times New Roman"/>
                <w:sz w:val="16"/>
                <w:szCs w:val="16"/>
                <w:color w:val="auto"/>
                <w:w w:val="94"/>
                <w:vertAlign w:val="superscript"/>
              </w:rPr>
              <w:t>(3)</w:t>
            </w:r>
          </w:p>
        </w:tc>
        <w:tc>
          <w:tcPr>
            <w:tcW w:w="194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8"/>
              </w:rPr>
              <w:t>N/A</w:t>
            </w:r>
          </w:p>
        </w:tc>
        <w:tc>
          <w:tcPr>
            <w:tcW w:w="19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w w:val="98"/>
              </w:rPr>
              <w:t>N/A</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Waterfall Approach</w:t>
            </w:r>
          </w:p>
        </w:tc>
        <w:tc>
          <w:tcPr>
            <w:tcW w:w="1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Estimated time to exit</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3.0 - 3.0 (3.0 years)</w:t>
            </w:r>
          </w:p>
        </w:tc>
      </w:tr>
      <w:tr>
        <w:trPr>
          <w:trHeight w:val="156"/>
        </w:trPr>
        <w:tc>
          <w:tcPr>
            <w:tcW w:w="2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180" w:type="dxa"/>
            <w:vAlign w:val="bottom"/>
            <w:shd w:val="clear" w:color="auto" w:fill="CFF0FC"/>
          </w:tcPr>
          <w:p>
            <w:pPr>
              <w:spacing w:after="0"/>
              <w:rPr>
                <w:sz w:val="13"/>
                <w:szCs w:val="13"/>
                <w:color w:val="auto"/>
              </w:rPr>
            </w:pPr>
          </w:p>
        </w:tc>
        <w:tc>
          <w:tcPr>
            <w:tcW w:w="194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Revenue multiples</w:t>
            </w:r>
          </w:p>
        </w:tc>
        <w:tc>
          <w:tcPr>
            <w:tcW w:w="198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2.58x - 4.00x (3.39x)</w:t>
            </w:r>
          </w:p>
        </w:tc>
      </w:tr>
      <w:tr>
        <w:trPr>
          <w:trHeight w:val="15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Level 3 Investments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1,020,800</w:t>
            </w:r>
          </w:p>
        </w:tc>
        <w:tc>
          <w:tcPr>
            <w:tcW w:w="1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179133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183" w:lineRule="exact"/>
        <w:rPr>
          <w:sz w:val="20"/>
          <w:szCs w:val="20"/>
          <w:color w:val="auto"/>
        </w:rPr>
      </w:pPr>
    </w:p>
    <w:p>
      <w:pPr>
        <w:ind w:left="360" w:right="80"/>
        <w:spacing w:after="0" w:line="221"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 w:lineRule="exact"/>
        <w:rPr>
          <w:sz w:val="20"/>
          <w:szCs w:val="20"/>
          <w:color w:val="auto"/>
        </w:rPr>
      </w:pPr>
    </w:p>
    <w:p>
      <w:pPr>
        <w:ind w:left="360" w:right="40"/>
        <w:spacing w:after="0" w:line="221"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year ended December 31, 2023.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4" w:lineRule="exact"/>
        <w:rPr>
          <w:sz w:val="20"/>
          <w:szCs w:val="20"/>
          <w:color w:val="auto"/>
        </w:rPr>
      </w:pPr>
    </w:p>
    <w:p>
      <w:pPr>
        <w:ind w:left="360" w:right="20"/>
        <w:spacing w:after="0" w:line="187"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3"/>
          <w:szCs w:val="13"/>
          <w:color w:val="auto"/>
        </w:rPr>
        <w:t>Warrant investments using a PWERM valuation technique contain success fees, in which case the inputs are not applicable because the nature of a success fee is a fixed payout dependent on certain liquidation events.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3"/>
          <w:szCs w:val="13"/>
          <w:color w:val="auto"/>
        </w:rPr>
        <w:t>Investment valued using a PWERM valuation technique and includes inputs that are based on scenario analysis specific to the asset recovery of such investment.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0" w:name="page121"/>
    <w:bookmarkEnd w:id="12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Fair Value of Financial Instruments Reported at Cost</w:t>
      </w:r>
    </w:p>
    <w:p>
      <w:pPr>
        <w:spacing w:after="0" w:line="19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6"/>
          <w:szCs w:val="16"/>
          <w:color w:val="auto"/>
        </w:rPr>
        <w:t>The Company records its debt at amortized cost on the Consolidated Statements of Assets and Liabilities. The fair value of the Company’s Credit Facility, April 2026 Notes, December 2026 Notes, and August 2027 Notes (each defined in "Note 7 – Borrowings") are estimated using Level 3 inputs, which involves discounting the remaining payments based on comparable market rates or market quotes for similar instruments as of the measurement date. The July 2027 and December 2027 are publicly traded on NASDAQ and are valued using Level 1 inputs, reflecting the most recent market prices of $24.88 and $25.10 per share as of December 31, 2024, respectively. As of December 31, 2023, the market prices were $24.80 and $25.13 per share,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additional information about the approximate fair value and level in the fair value hierarchy of the Company’s outstanding borrowings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December 31, 2023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4"/>
          </w:tcPr>
          <w:p>
            <w:pPr>
              <w:ind w:left="540"/>
              <w:spacing w:after="0"/>
              <w:rPr>
                <w:sz w:val="20"/>
                <w:szCs w:val="20"/>
                <w:color w:val="auto"/>
              </w:rPr>
            </w:pPr>
            <w:r>
              <w:rPr>
                <w:rFonts w:ascii="Times New Roman" w:cs="Times New Roman" w:eastAsia="Times New Roman" w:hAnsi="Times New Roman"/>
                <w:sz w:val="12"/>
                <w:szCs w:val="12"/>
                <w:b w:val="1"/>
                <w:bCs w:val="1"/>
                <w:color w:val="auto"/>
                <w:w w:val="96"/>
              </w:rPr>
              <w:t>December 31, 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4"/>
        </w:trPr>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Fair Value Hierarchy</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Fair Value Hierarchy</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8"/>
        </w:trPr>
        <w:tc>
          <w:tcPr>
            <w:tcW w:w="128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Carrying 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Carrying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240" w:type="dxa"/>
            <w:vAlign w:val="bottom"/>
          </w:tcPr>
          <w:p>
            <w:pPr>
              <w:spacing w:after="0"/>
              <w:rPr>
                <w:sz w:val="12"/>
                <w:szCs w:val="12"/>
                <w:color w:val="auto"/>
              </w:rPr>
            </w:pPr>
          </w:p>
        </w:tc>
        <w:tc>
          <w:tcPr>
            <w:tcW w:w="7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55"/>
        </w:trPr>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Credit Facility</w:t>
            </w:r>
          </w:p>
        </w:tc>
        <w:tc>
          <w:tcPr>
            <w:tcW w:w="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308,449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321,785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321,785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267,566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279,190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279,190</w:t>
            </w:r>
          </w:p>
        </w:tc>
      </w:tr>
      <w:tr>
        <w:trPr>
          <w:trHeight w:val="144"/>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April 2026 Notes</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24,839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25,616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25,616</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24,723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25,843</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25,843</w:t>
            </w:r>
          </w:p>
        </w:tc>
      </w:tr>
      <w:tr>
        <w:trPr>
          <w:trHeight w:val="144"/>
        </w:trPr>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2026 Notes</w:t>
            </w:r>
          </w:p>
        </w:tc>
        <w:tc>
          <w:tcPr>
            <w:tcW w:w="260" w:type="dxa"/>
            <w:vAlign w:val="bottom"/>
          </w:tcPr>
          <w:p>
            <w:pPr>
              <w:spacing w:after="0"/>
              <w:rPr>
                <w:sz w:val="12"/>
                <w:szCs w:val="12"/>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69,630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65,512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65,512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69,427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63,762</w:t>
            </w:r>
          </w:p>
        </w:tc>
        <w:tc>
          <w:tcPr>
            <w:tcW w:w="24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63,762</w:t>
            </w:r>
          </w:p>
        </w:tc>
      </w:tr>
      <w:tr>
        <w:trPr>
          <w:trHeight w:val="144"/>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July 2027 Notes</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79,116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80,114</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80,114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78,576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79,840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79,840</w:t>
            </w:r>
          </w:p>
        </w:tc>
      </w:tr>
      <w:tr>
        <w:trPr>
          <w:trHeight w:val="144"/>
        </w:trPr>
        <w:tc>
          <w:tcPr>
            <w:tcW w:w="12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August 2027 Notes</w:t>
            </w:r>
          </w:p>
        </w:tc>
        <w:tc>
          <w:tcPr>
            <w:tcW w:w="260" w:type="dxa"/>
            <w:vAlign w:val="bottom"/>
          </w:tcPr>
          <w:p>
            <w:pPr>
              <w:spacing w:after="0"/>
              <w:rPr>
                <w:sz w:val="12"/>
                <w:szCs w:val="12"/>
                <w:color w:val="auto"/>
              </w:rPr>
            </w:pP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19,628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20,054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20,054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19,489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20,036</w:t>
            </w:r>
          </w:p>
        </w:tc>
        <w:tc>
          <w:tcPr>
            <w:tcW w:w="24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20,036</w:t>
            </w:r>
          </w:p>
        </w:tc>
      </w:tr>
      <w:tr>
        <w:trPr>
          <w:trHeight w:val="144"/>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December 2027 Notes</w:t>
            </w: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50,670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51,957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51,957</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50,297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2"/>
                <w:szCs w:val="12"/>
                <w:color w:val="auto"/>
              </w:rPr>
              <w:t>52,009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52,009</w:t>
            </w:r>
          </w:p>
        </w:tc>
      </w:tr>
      <w:tr>
        <w:trPr>
          <w:trHeight w:val="144"/>
        </w:trPr>
        <w:tc>
          <w:tcPr>
            <w:tcW w:w="12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auto"/>
              </w:rPr>
              <w:t>Total</w:t>
            </w:r>
          </w:p>
        </w:tc>
        <w:tc>
          <w:tcPr>
            <w:tcW w:w="26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552,332</w:t>
            </w:r>
          </w:p>
        </w:tc>
        <w:tc>
          <w:tcPr>
            <w:tcW w:w="20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132,071</w:t>
            </w:r>
          </w:p>
        </w:tc>
        <w:tc>
          <w:tcPr>
            <w:tcW w:w="26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ind w:left="5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432,967</w:t>
            </w:r>
          </w:p>
        </w:tc>
        <w:tc>
          <w:tcPr>
            <w:tcW w:w="2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565,038</w:t>
            </w:r>
          </w:p>
        </w:tc>
        <w:tc>
          <w:tcPr>
            <w:tcW w:w="400" w:type="dxa"/>
            <w:vAlign w:val="bottom"/>
            <w:gridSpan w:val="2"/>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510,078</w:t>
            </w:r>
          </w:p>
        </w:tc>
        <w:tc>
          <w:tcPr>
            <w:tcW w:w="220" w:type="dxa"/>
            <w:vAlign w:val="bottom"/>
            <w:gridSpan w:val="2"/>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131,849</w:t>
            </w:r>
          </w:p>
        </w:tc>
        <w:tc>
          <w:tcPr>
            <w:tcW w:w="20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4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388,831</w:t>
            </w:r>
          </w:p>
        </w:tc>
        <w:tc>
          <w:tcPr>
            <w:tcW w:w="240" w:type="dxa"/>
            <w:vAlign w:val="bottom"/>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520,680</w:t>
            </w:r>
          </w:p>
        </w:tc>
      </w:tr>
      <w:tr>
        <w:trPr>
          <w:trHeight w:val="20"/>
        </w:trPr>
        <w:tc>
          <w:tcPr>
            <w:tcW w:w="1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Concentration of Credit Risk</w:t>
      </w:r>
    </w:p>
    <w:p>
      <w:pPr>
        <w:spacing w:after="0" w:line="189"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In the normal course of business, the Company maintains its cash balances at large, high credit -quality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w:t>
      </w:r>
    </w:p>
    <w:p>
      <w:pPr>
        <w:spacing w:after="0" w:line="13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December 31, 2024. The Company predominantly collateralizes its investments by obtaining a first priority security interest in a portfolio company’s assets, which may include its intellectual property.</w:t>
      </w:r>
    </w:p>
    <w:p>
      <w:pPr>
        <w:spacing w:after="0" w:line="16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As of December 31, 2024 and December 31, 2023, the Company’s five largest debt investments in portfolio companies represented approximately 28.8% and 38.0% respectively, of the total fair value of the Company’s debt investments in portfolio companies. As of December 31, 2024 and December 31, 2023, the Company had debt investments in 20 and 14 portfolio companies, respectively, that represented 5% or more of the Company’s net assets.</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21" w:name="page122"/>
    <w:bookmarkEnd w:id="12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Borrowings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Company's borrowings as of December 31, 2024 and December 31,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0" w:type="dxa"/>
            <w:vAlign w:val="bottom"/>
            <w:gridSpan w:val="4"/>
          </w:tcPr>
          <w:p>
            <w:pPr>
              <w:jc w:val="right"/>
              <w:ind w:right="49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6"/>
        </w:trPr>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8"/>
              </w:rPr>
              <w:t>Unamortized</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Unamortized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0"/>
        </w:trPr>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w w:val="97"/>
              </w:rPr>
              <w:t>Commitment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Face 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DFC</w:t>
            </w: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Commitment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Face 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DFC</w:t>
            </w:r>
          </w:p>
        </w:tc>
        <w:tc>
          <w:tcPr>
            <w:tcW w:w="80" w:type="dxa"/>
            <w:vAlign w:val="bottom"/>
          </w:tcPr>
          <w:p>
            <w:pPr>
              <w:spacing w:after="0"/>
              <w:rPr>
                <w:sz w:val="14"/>
                <w:szCs w:val="14"/>
                <w:color w:val="auto"/>
              </w:rPr>
            </w:pPr>
          </w:p>
        </w:tc>
        <w:tc>
          <w:tcPr>
            <w:tcW w:w="10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Carrying Value</w:t>
            </w:r>
          </w:p>
        </w:tc>
      </w:tr>
      <w:tr>
        <w:trPr>
          <w:trHeight w:val="15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550,000</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311,000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(2,551 )</w:t>
            </w:r>
          </w:p>
        </w:tc>
        <w:tc>
          <w:tcPr>
            <w:tcW w:w="3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308,449</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550,000</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272,000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(4,434 )</w:t>
            </w:r>
          </w:p>
        </w:tc>
        <w:tc>
          <w:tcPr>
            <w:tcW w:w="380" w:type="dxa"/>
            <w:vAlign w:val="bottom"/>
            <w:gridSpan w:val="2"/>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267,566</w:t>
            </w:r>
          </w:p>
        </w:tc>
      </w:tr>
      <w:tr>
        <w:trPr>
          <w:trHeight w:val="15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2026 Notes</w:t>
            </w:r>
          </w:p>
        </w:tc>
        <w:tc>
          <w:tcPr>
            <w:tcW w:w="8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24,839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24,723</w:t>
            </w:r>
          </w:p>
        </w:tc>
      </w:tr>
      <w:tr>
        <w:trPr>
          <w:trHeight w:val="15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70,000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(370 )</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69,630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(573 )</w:t>
            </w: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69,427</w:t>
            </w:r>
          </w:p>
        </w:tc>
      </w:tr>
      <w:tr>
        <w:trPr>
          <w:trHeight w:val="15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8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80,500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80,500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79,116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80,500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80,500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78,576</w:t>
            </w:r>
          </w:p>
        </w:tc>
      </w:tr>
      <w:tr>
        <w:trPr>
          <w:trHeight w:val="156"/>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20,000</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(372 )</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19,628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20,000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(511 )</w:t>
            </w:r>
          </w:p>
        </w:tc>
        <w:tc>
          <w:tcPr>
            <w:tcW w:w="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19,489</w:t>
            </w:r>
          </w:p>
        </w:tc>
      </w:tr>
      <w:tr>
        <w:trPr>
          <w:trHeight w:val="156"/>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80" w:type="dxa"/>
            <w:vAlign w:val="bottom"/>
          </w:tcPr>
          <w:p>
            <w:pPr>
              <w:spacing w:after="0"/>
              <w:rPr>
                <w:sz w:val="13"/>
                <w:szCs w:val="13"/>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51,750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51,750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50,670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51,750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51,750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50,297</w:t>
            </w:r>
          </w:p>
        </w:tc>
      </w:tr>
      <w:tr>
        <w:trPr>
          <w:trHeight w:val="196"/>
        </w:trPr>
        <w:tc>
          <w:tcPr>
            <w:tcW w:w="174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797,250</w:t>
            </w:r>
          </w:p>
        </w:tc>
        <w:tc>
          <w:tcPr>
            <w:tcW w:w="200" w:type="dxa"/>
            <w:vAlign w:val="bottom"/>
            <w:gridSpan w:val="2"/>
            <w:shd w:val="clear" w:color="auto" w:fill="CFF0FC"/>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558,250</w:t>
            </w:r>
          </w:p>
        </w:tc>
        <w:tc>
          <w:tcPr>
            <w:tcW w:w="180" w:type="dxa"/>
            <w:vAlign w:val="bottom"/>
            <w:gridSpan w:val="2"/>
            <w:shd w:val="clear" w:color="auto" w:fill="CFF0FC"/>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(5,918 )</w:t>
            </w:r>
          </w:p>
        </w:tc>
        <w:tc>
          <w:tcPr>
            <w:tcW w:w="360" w:type="dxa"/>
            <w:vAlign w:val="bottom"/>
            <w:gridSpan w:val="2"/>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552,332</w:t>
            </w:r>
          </w:p>
        </w:tc>
        <w:tc>
          <w:tcPr>
            <w:tcW w:w="18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797,250</w:t>
            </w:r>
          </w:p>
        </w:tc>
        <w:tc>
          <w:tcPr>
            <w:tcW w:w="220" w:type="dxa"/>
            <w:vAlign w:val="bottom"/>
            <w:gridSpan w:val="2"/>
            <w:shd w:val="clear" w:color="auto" w:fill="CFF0FC"/>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519,250</w:t>
            </w:r>
          </w:p>
        </w:tc>
        <w:tc>
          <w:tcPr>
            <w:tcW w:w="18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(9,172 )</w:t>
            </w:r>
          </w:p>
        </w:tc>
        <w:tc>
          <w:tcPr>
            <w:tcW w:w="380" w:type="dxa"/>
            <w:vAlign w:val="bottom"/>
            <w:gridSpan w:val="2"/>
            <w:shd w:val="clear" w:color="auto" w:fill="CFF0FC"/>
          </w:tcPr>
          <w:p>
            <w:pPr>
              <w:jc w:val="right"/>
              <w:ind w:right="1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510,078</w:t>
            </w:r>
          </w:p>
        </w:tc>
      </w:tr>
      <w:tr>
        <w:trPr>
          <w:trHeight w:val="24"/>
        </w:trPr>
        <w:tc>
          <w:tcPr>
            <w:tcW w:w="1740" w:type="dxa"/>
            <w:vAlign w:val="bottom"/>
            <w:tcBorders>
              <w:top w:val="single" w:sz="8" w:color="CFF0FC"/>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CFF0FC"/>
              <w:bottom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Borders>
              <w:top w:val="single" w:sz="8" w:color="CFF0FC"/>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80" w:type="dxa"/>
            <w:vAlign w:val="bottom"/>
            <w:tcBorders>
              <w:top w:val="single" w:sz="8" w:color="CFF0FC"/>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r>
    </w:tbl>
    <w:p>
      <w:pPr>
        <w:spacing w:after="0" w:line="179" w:lineRule="exact"/>
        <w:rPr>
          <w:sz w:val="20"/>
          <w:szCs w:val="20"/>
          <w:color w:val="auto"/>
        </w:rPr>
      </w:pPr>
    </w:p>
    <w:p>
      <w:pPr>
        <w:ind w:right="360"/>
        <w:spacing w:after="0" w:line="331" w:lineRule="auto"/>
        <w:rPr>
          <w:sz w:val="20"/>
          <w:szCs w:val="20"/>
          <w:color w:val="auto"/>
        </w:rPr>
      </w:pPr>
      <w:r>
        <w:rPr>
          <w:rFonts w:ascii="Times New Roman" w:cs="Times New Roman" w:eastAsia="Times New Roman" w:hAnsi="Times New Roman"/>
          <w:sz w:val="14"/>
          <w:szCs w:val="14"/>
          <w:color w:val="auto"/>
        </w:rPr>
        <w:t>For the years ended December 31, 2024, December 31, 2023 and December 31, 2022, the components of interest expense, amortization of deferred financing costs, unused fees on the Credit Facility (as defined below), and any other costs associated with the Company's borrowings were as follows (dollars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Total Interest and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5"/>
        </w:trPr>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right"/>
              <w:ind w:right="234"/>
              <w:spacing w:after="0" w:line="145"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160" w:type="dxa"/>
            <w:vAlign w:val="bottom"/>
          </w:tcPr>
          <w:p>
            <w:pPr>
              <w:spacing w:after="0"/>
              <w:rPr>
                <w:sz w:val="12"/>
                <w:szCs w:val="12"/>
                <w:color w:val="auto"/>
              </w:rPr>
            </w:pPr>
          </w:p>
        </w:tc>
        <w:tc>
          <w:tcPr>
            <w:tcW w:w="1340" w:type="dxa"/>
            <w:vAlign w:val="bottom"/>
            <w:gridSpan w:val="2"/>
          </w:tcPr>
          <w:p>
            <w:pPr>
              <w:jc w:val="right"/>
              <w:ind w:right="114"/>
              <w:spacing w:after="0" w:line="145" w:lineRule="exact"/>
              <w:rPr>
                <w:sz w:val="20"/>
                <w:szCs w:val="20"/>
                <w:color w:val="auto"/>
              </w:rPr>
            </w:pPr>
            <w:r>
              <w:rPr>
                <w:rFonts w:ascii="Times New Roman" w:cs="Times New Roman" w:eastAsia="Times New Roman" w:hAnsi="Times New Roman"/>
                <w:sz w:val="13"/>
                <w:szCs w:val="13"/>
                <w:b w:val="1"/>
                <w:bCs w:val="1"/>
                <w:color w:val="auto"/>
              </w:rPr>
              <w:t>Unused Facility and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14"/>
              <w:spacing w:after="0" w:line="145" w:lineRule="exact"/>
              <w:rPr>
                <w:sz w:val="20"/>
                <w:szCs w:val="20"/>
                <w:color w:val="auto"/>
              </w:rPr>
            </w:pPr>
            <w:r>
              <w:rPr>
                <w:rFonts w:ascii="Times New Roman" w:cs="Times New Roman" w:eastAsia="Times New Roman" w:hAnsi="Times New Roman"/>
                <w:sz w:val="13"/>
                <w:szCs w:val="13"/>
                <w:b w:val="1"/>
                <w:bCs w:val="1"/>
                <w:color w:val="auto"/>
              </w:rPr>
              <w:t>Other Debt</w:t>
            </w:r>
          </w:p>
        </w:tc>
        <w:tc>
          <w:tcPr>
            <w:tcW w:w="100" w:type="dxa"/>
            <w:vAlign w:val="bottom"/>
          </w:tcPr>
          <w:p>
            <w:pPr>
              <w:spacing w:after="0"/>
              <w:rPr>
                <w:sz w:val="12"/>
                <w:szCs w:val="12"/>
                <w:color w:val="auto"/>
              </w:rPr>
            </w:pPr>
          </w:p>
        </w:tc>
        <w:tc>
          <w:tcPr>
            <w:tcW w:w="12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40" w:type="dxa"/>
            <w:vAlign w:val="bottom"/>
          </w:tcPr>
          <w:p>
            <w:pPr>
              <w:spacing w:after="0"/>
              <w:rPr>
                <w:sz w:val="12"/>
                <w:szCs w:val="12"/>
                <w:color w:val="auto"/>
              </w:rPr>
            </w:pPr>
          </w:p>
        </w:tc>
      </w:tr>
      <w:tr>
        <w:trPr>
          <w:trHeight w:val="181"/>
        </w:trPr>
        <w:tc>
          <w:tcPr>
            <w:tcW w:w="2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DFC</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Other Fees </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5"/>
                <w:szCs w:val="15"/>
                <w:color w:val="auto"/>
              </w:rPr>
            </w:pPr>
          </w:p>
        </w:tc>
        <w:tc>
          <w:tcPr>
            <w:tcW w:w="1320" w:type="dxa"/>
            <w:vAlign w:val="bottom"/>
            <w:gridSpan w:val="2"/>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Financing Expenses</w:t>
            </w:r>
          </w:p>
        </w:tc>
        <w:tc>
          <w:tcPr>
            <w:tcW w:w="100" w:type="dxa"/>
            <w:vAlign w:val="bottom"/>
          </w:tcPr>
          <w:p>
            <w:pPr>
              <w:spacing w:after="0"/>
              <w:rPr>
                <w:sz w:val="15"/>
                <w:szCs w:val="15"/>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Cost of Debt</w:t>
            </w:r>
          </w:p>
        </w:tc>
        <w:tc>
          <w:tcPr>
            <w:tcW w:w="140" w:type="dxa"/>
            <w:vAlign w:val="bottom"/>
          </w:tcPr>
          <w:p>
            <w:pPr>
              <w:spacing w:after="0"/>
              <w:rPr>
                <w:sz w:val="15"/>
                <w:szCs w:val="15"/>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21,639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1,953</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26,071</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10.06</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April 2026 Notes</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2,135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137</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2,272</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9.09</w:t>
            </w: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2,975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220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3,195</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4.56</w:t>
            </w:r>
          </w:p>
        </w:tc>
        <w:tc>
          <w:tcPr>
            <w:tcW w:w="140" w:type="dxa"/>
            <w:vAlign w:val="bottom"/>
          </w:tcPr>
          <w:p>
            <w:pPr>
              <w:spacing w:after="0"/>
              <w:rPr>
                <w:sz w:val="13"/>
                <w:szCs w:val="13"/>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6,038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579</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6,617</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8.22</w:t>
            </w: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1,539</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7.70</w:t>
            </w:r>
          </w:p>
        </w:tc>
        <w:tc>
          <w:tcPr>
            <w:tcW w:w="140" w:type="dxa"/>
            <w:vAlign w:val="bottom"/>
          </w:tcPr>
          <w:p>
            <w:pPr>
              <w:spacing w:after="0"/>
              <w:rPr>
                <w:sz w:val="13"/>
                <w:szCs w:val="13"/>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4,140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392</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4,532</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8.76</w:t>
            </w: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38,327</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3,420</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44,226</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8.73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2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32"/>
        </w:trPr>
        <w:tc>
          <w:tcPr>
            <w:tcW w:w="28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22,559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1,664</w:t>
            </w:r>
          </w:p>
        </w:tc>
        <w:tc>
          <w:tcPr>
            <w:tcW w:w="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1,474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25,697</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April 2026 Notes</w:t>
            </w: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1,530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87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1,617</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8.98</w:t>
            </w:r>
          </w:p>
        </w:tc>
        <w:tc>
          <w:tcPr>
            <w:tcW w:w="140" w:type="dxa"/>
            <w:vAlign w:val="bottom"/>
          </w:tcPr>
          <w:p>
            <w:pPr>
              <w:spacing w:after="0"/>
              <w:rPr>
                <w:sz w:val="13"/>
                <w:szCs w:val="13"/>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2,975</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210</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3,185</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4.55</w:t>
            </w: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6,038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6,595</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8.19</w:t>
            </w:r>
          </w:p>
        </w:tc>
        <w:tc>
          <w:tcPr>
            <w:tcW w:w="140" w:type="dxa"/>
            <w:vAlign w:val="bottom"/>
          </w:tcPr>
          <w:p>
            <w:pPr>
              <w:spacing w:after="0"/>
              <w:rPr>
                <w:sz w:val="13"/>
                <w:szCs w:val="13"/>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1,400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1,542</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7.71</w:t>
            </w: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4,140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4,507</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8.71</w:t>
            </w:r>
          </w:p>
        </w:tc>
        <w:tc>
          <w:tcPr>
            <w:tcW w:w="140" w:type="dxa"/>
            <w:vAlign w:val="bottom"/>
          </w:tcPr>
          <w:p>
            <w:pPr>
              <w:spacing w:after="0"/>
              <w:rPr>
                <w:sz w:val="13"/>
                <w:szCs w:val="13"/>
                <w:color w:val="auto"/>
              </w:rPr>
            </w:pPr>
          </w:p>
        </w:tc>
      </w:tr>
      <w:tr>
        <w:trPr>
          <w:trHeight w:val="196"/>
        </w:trPr>
        <w:tc>
          <w:tcPr>
            <w:tcW w:w="3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38,642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3,027</w:t>
            </w:r>
          </w:p>
        </w:tc>
        <w:tc>
          <w:tcPr>
            <w:tcW w:w="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1,474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43,143</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8.32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32"/>
        </w:trPr>
        <w:tc>
          <w:tcPr>
            <w:tcW w:w="2820" w:type="dxa"/>
            <w:vAlign w:val="bottom"/>
            <w:tcBorders>
              <w:top w:val="single" w:sz="8" w:color="CFF0FC"/>
            </w:tcBorders>
          </w:tcPr>
          <w:p>
            <w:pPr>
              <w:spacing w:after="0"/>
              <w:rPr>
                <w:sz w:val="11"/>
                <w:szCs w:val="11"/>
                <w:color w:val="auto"/>
              </w:rPr>
            </w:pPr>
          </w:p>
        </w:tc>
        <w:tc>
          <w:tcPr>
            <w:tcW w:w="4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7,713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921</w:t>
            </w:r>
          </w:p>
        </w:tc>
        <w:tc>
          <w:tcPr>
            <w:tcW w:w="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10,249</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7.60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2,734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182</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2,916</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4.52</w:t>
            </w: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2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219</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2,785</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8.04</w:t>
            </w:r>
          </w:p>
        </w:tc>
        <w:tc>
          <w:tcPr>
            <w:tcW w:w="140" w:type="dxa"/>
            <w:vAlign w:val="bottom"/>
          </w:tcPr>
          <w:p>
            <w:pPr>
              <w:spacing w:after="0"/>
              <w:rPr>
                <w:sz w:val="13"/>
                <w:szCs w:val="13"/>
                <w:color w:val="auto"/>
              </w:rPr>
            </w:pPr>
          </w:p>
        </w:tc>
      </w:tr>
      <w:tr>
        <w:trPr>
          <w:trHeight w:val="156"/>
        </w:trPr>
        <w:tc>
          <w:tcPr>
            <w:tcW w:w="32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467</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44</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511</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7.64</w:t>
            </w:r>
          </w:p>
        </w:tc>
        <w:tc>
          <w:tcPr>
            <w:tcW w:w="140" w:type="dxa"/>
            <w:vAlign w:val="bottom"/>
            <w:shd w:val="clear" w:color="auto" w:fill="CFF0FC"/>
          </w:tcPr>
          <w:p>
            <w:pPr>
              <w:spacing w:after="0"/>
              <w:rPr>
                <w:sz w:val="13"/>
                <w:szCs w:val="13"/>
                <w:color w:val="auto"/>
              </w:rPr>
            </w:pPr>
          </w:p>
        </w:tc>
      </w:tr>
      <w:tr>
        <w:trPr>
          <w:trHeight w:val="156"/>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300</w:t>
            </w:r>
          </w:p>
        </w:tc>
        <w:tc>
          <w:tcPr>
            <w:tcW w:w="132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8.44</w:t>
            </w:r>
          </w:p>
        </w:tc>
        <w:tc>
          <w:tcPr>
            <w:tcW w:w="140" w:type="dxa"/>
            <w:vAlign w:val="bottom"/>
          </w:tcPr>
          <w:p>
            <w:pPr>
              <w:spacing w:after="0"/>
              <w:rPr>
                <w:sz w:val="13"/>
                <w:szCs w:val="13"/>
                <w:color w:val="auto"/>
              </w:rPr>
            </w:pPr>
          </w:p>
        </w:tc>
      </w:tr>
      <w:tr>
        <w:trPr>
          <w:trHeight w:val="196"/>
        </w:trPr>
        <w:tc>
          <w:tcPr>
            <w:tcW w:w="32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13,756</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1,390</w:t>
            </w:r>
          </w:p>
        </w:tc>
        <w:tc>
          <w:tcPr>
            <w:tcW w:w="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1,615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16,761</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6.86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282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83" w:lineRule="exact"/>
        <w:rPr>
          <w:sz w:val="20"/>
          <w:szCs w:val="20"/>
          <w:color w:val="auto"/>
        </w:rPr>
      </w:pPr>
    </w:p>
    <w:p>
      <w:pPr>
        <w:ind w:left="360" w:right="440"/>
        <w:spacing w:after="0" w:line="195" w:lineRule="auto"/>
        <w:rPr>
          <w:sz w:val="20"/>
          <w:szCs w:val="20"/>
          <w:color w:val="auto"/>
        </w:rPr>
      </w:pPr>
      <w:r>
        <w:rPr>
          <w:rFonts w:ascii="Times New Roman" w:cs="Times New Roman" w:eastAsia="Times New Roman" w:hAnsi="Times New Roman"/>
          <w:sz w:val="31"/>
          <w:szCs w:val="31"/>
          <w:color w:val="2B333D"/>
          <w:vertAlign w:val="superscript"/>
        </w:rPr>
        <w:t>(1)</w:t>
      </w:r>
      <w:r>
        <w:rPr>
          <w:rFonts w:ascii="Times New Roman" w:cs="Times New Roman" w:eastAsia="Times New Roman" w:hAnsi="Times New Roman"/>
          <w:sz w:val="13"/>
          <w:szCs w:val="13"/>
          <w:color w:val="2B333D"/>
        </w:rPr>
        <w:t>Unused facility and other fees for the year ended December 31, 2024 include supplemental fees of $0.5 million, which were predominantly incurred in the first half of 2024 and were nonrecurring in nature.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2" w:name="page123"/>
    <w:bookmarkEnd w:id="12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Facility</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 December 31, 2024, the Company had $550.0 million in total commitments available under the Credit Facility, subject to an accordion feature that allows the Company to increase the total commitments under the Credit Facility up to $ 600.0 million. The availability period under the Credit Facility expires on April 20, 2025 and is followed by a one-year amortization period. The stated maturity date under the Credit Facility is April 20, 2026, unless extended.</w:t>
      </w:r>
    </w:p>
    <w:p>
      <w:pPr>
        <w:spacing w:after="0" w:line="10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Borrowings under the Credit Facility bear interest on a per annum rate equal to the Adjusted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spacing w:after="0" w:line="95"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4"/>
          <w:szCs w:val="14"/>
          <w:color w:val="auto"/>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For the years ended December 31, 2024, 2023, and 2022, the Company was in compliance with all such covenants.</w:t>
      </w:r>
    </w:p>
    <w:p>
      <w:pPr>
        <w:spacing w:after="0" w:line="59" w:lineRule="exact"/>
        <w:rPr>
          <w:sz w:val="20"/>
          <w:szCs w:val="20"/>
          <w:color w:val="auto"/>
        </w:rPr>
      </w:pPr>
    </w:p>
    <w:p>
      <w:pPr>
        <w:ind w:right="740"/>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2024 and December 31, 2023, the weighted average outstanding principal balance was $259.1 million and $278.2 million, respectively, and the weighted average effective interest rate was 8.35% and 8.15%,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Notes</w:t>
      </w:r>
    </w:p>
    <w:p>
      <w:pPr>
        <w:spacing w:after="0" w:line="12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issued in two closings; the initial issuance of $20.0 million closed on December 10, 2021 and the second issuance of $50.0 million closed on February 10, 2022.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December 2026 Notes and the April 2026 Notes (collectively the "2026 Notes") are subject to a 1.00% increase in the respective interest rates in the event that, subject to certain exceptions, the 2026 Notes cease to have an investment grade rating or receive an investment grade rating below the Investment Grade (as defined in the master note purchase agreement). The 2026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outstanding and future unsecured unsubordinated indebtedness issued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2026 Notes</w:t>
      </w:r>
    </w:p>
    <w:p>
      <w:pPr>
        <w:spacing w:after="0" w:line="15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December 2026 Notes bear an interest rate of 4.25% per year and are due on December 10, 2026, unless redeemed, purchased or prepaid prior to such date by the Company or its affiliates in accordance with their terms. Interest on the December 2026 Notes will be due semiannually in arrears on June 10 and December 10 of each year.</w:t>
      </w:r>
    </w:p>
    <w:p>
      <w:pPr>
        <w:spacing w:after="0" w:line="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December 2026 Notes issuance were $1.0 million, and were capitalized and deferred. As of December 31, 2024 and December 31, 2023, unamortized deferred financing costs related to the December 2026 Notes were $0.4 million and $0.6 million, respectively.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April 2026 Notes</w:t>
      </w:r>
    </w:p>
    <w:p>
      <w:pPr>
        <w:spacing w:after="0" w:line="154" w:lineRule="exact"/>
        <w:rPr>
          <w:sz w:val="20"/>
          <w:szCs w:val="20"/>
          <w:color w:val="auto"/>
        </w:rPr>
      </w:pPr>
    </w:p>
    <w:p>
      <w:pPr>
        <w:spacing w:after="0" w:line="331" w:lineRule="auto"/>
        <w:rPr>
          <w:sz w:val="20"/>
          <w:szCs w:val="20"/>
          <w:color w:val="auto"/>
        </w:rPr>
      </w:pPr>
      <w:r>
        <w:rPr>
          <w:rFonts w:ascii="Times New Roman" w:cs="Times New Roman" w:eastAsia="Times New Roman" w:hAnsi="Times New Roman"/>
          <w:sz w:val="14"/>
          <w:szCs w:val="14"/>
          <w:color w:val="auto"/>
        </w:rPr>
        <w:t>The April 2026 Notes bear an interest rate of 8.54% per year and are due on April 13, 2026, unless redeemed, purchased or prepaid prior to such date by the Company or its affiliates in accordance with their terms. Interest on the April 2026 Notes will be due semiannually in arrears on April 13 and October 13 of each year.</w:t>
      </w:r>
    </w:p>
    <w:p>
      <w:pPr>
        <w:spacing w:after="0" w:line="36"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April 2026 Notes issuance were $0.4 million, and were capitalized and deferred. As of December 31, 2024 and December 31, 2023, unamortized deferred financing costs related to the April 2026 Notes were $0.2 million and $0.3 million, respectively.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3" w:name="page124"/>
    <w:bookmarkEnd w:id="12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July 2027 Notes</w:t>
      </w:r>
    </w:p>
    <w:p>
      <w:pPr>
        <w:spacing w:after="0" w:line="19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6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 xml:space="preserve">The July 2027 Notes bear an interest rate of 7.50% per year and are due on July 28, 2027. 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Company's existing and future unsecured, unsubordinated indebtedness.</w:t>
      </w:r>
    </w:p>
    <w:p>
      <w:pPr>
        <w:spacing w:after="0" w:line="169"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16"/>
          <w:szCs w:val="16"/>
          <w:color w:val="auto"/>
        </w:rPr>
        <w:t>Aggregate costs in connection with the July 2027 Notes issuance, including the underwriter’s discount and commissions, were $2.7 million, and were capitalized and deferred. As of December 31, 2024 and December 31, 2023, unamortized deferred financing costs related to the July 2027 Notes were $1.4 million and $1.9 million, respectively.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August 2027 Notes</w:t>
      </w:r>
    </w:p>
    <w:p>
      <w:pPr>
        <w:spacing w:after="0" w:line="19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On August 31, 2022, the Company issued and sold a private debt offering of $20.0 million in aggregate principal amount of 7.00% interest-bearing unsecured Series 2022A Senior Notes due 2027 (the “August 2027 Notes”) to an institutional accredited investor (as defined in Regulation D under the Securities Act).</w:t>
      </w:r>
    </w:p>
    <w:p>
      <w:pPr>
        <w:spacing w:after="0" w:line="155"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6"/>
          <w:szCs w:val="16"/>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The August 2027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outstanding and future unsecured unsubordinated indebtedness issued by the Company.</w:t>
      </w:r>
    </w:p>
    <w:p>
      <w:pPr>
        <w:spacing w:after="0" w:line="16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August 2027 Notes issuance were $0.7 million, and were capitalized and deferred. As of December 31, 2024 and December 31, 2023, unamortized deferred financing costs related to the August 2027 Notes were $0.4 million and $0.5 million, respectively.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2027 Notes</w:t>
      </w:r>
    </w:p>
    <w:p>
      <w:pPr>
        <w:spacing w:after="0" w:line="19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On December 7, 2022, the Company issued and sold $51.75 million in aggregate principal amount of 8.00% interest-bearing unsecured Notes due December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spacing w:after="0" w:line="164"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 xml:space="preserve">The December 2027 Notes bear an interest rate of 8.0% per year and are due on December 28, 2027. 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the Company's existing and future unsecured, unsubordinated indebtedness.</w:t>
      </w:r>
    </w:p>
    <w:p>
      <w:pPr>
        <w:spacing w:after="0" w:line="169" w:lineRule="exact"/>
        <w:rPr>
          <w:sz w:val="20"/>
          <w:szCs w:val="20"/>
          <w:color w:val="auto"/>
        </w:rPr>
      </w:pPr>
    </w:p>
    <w:p>
      <w:pPr>
        <w:jc w:val="both"/>
        <w:ind w:right="180"/>
        <w:spacing w:after="0" w:line="247" w:lineRule="auto"/>
        <w:rPr>
          <w:sz w:val="20"/>
          <w:szCs w:val="20"/>
          <w:color w:val="auto"/>
        </w:rPr>
      </w:pPr>
      <w:r>
        <w:rPr>
          <w:rFonts w:ascii="Times New Roman" w:cs="Times New Roman" w:eastAsia="Times New Roman" w:hAnsi="Times New Roman"/>
          <w:sz w:val="16"/>
          <w:szCs w:val="16"/>
          <w:color w:val="auto"/>
        </w:rPr>
        <w:t>Aggregate costs in connection with the December 2027 Notes issuance, including the underwriter's discount and commissions, were $1.9 million, and were capitalized and deferred. As of December 31, 2024 and December 31, 2023, unamortized deferred financing costs related to the December 2027 Notes were $1.1 million and $1.5 million, respectively.</w:t>
      </w: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124" w:name="page125"/>
    <w:bookmarkEnd w:id="12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Senior Securities</w:t>
      </w:r>
    </w:p>
    <w:p>
      <w:pPr>
        <w:spacing w:after="0" w:line="11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Information about the Company’s senior securities is shown in the following table for the fiscal years ended December 31, 2024, 2023, 2022, 2021, 2020, 2019 and 2018 (in thousands). No senior securities were outstanding for the fiscal years ended December 31, 2017 and prior.</w:t>
      </w:r>
    </w:p>
    <w:p>
      <w:pPr>
        <w:sectPr>
          <w:pgSz w:w="11900" w:h="16840" w:orient="portrait"/>
          <w:cols w:equalWidth="0" w:num="1">
            <w:col w:w="10580"/>
          </w:cols>
          <w:pgMar w:left="660" w:top="555" w:right="660" w:bottom="1440" w:gutter="0" w:footer="0" w:header="0"/>
        </w:sectPr>
      </w:pP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2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Total Amount Outstanding</w:t>
            </w:r>
          </w:p>
        </w:tc>
        <w:tc>
          <w:tcPr>
            <w:tcW w:w="180" w:type="dxa"/>
            <w:vAlign w:val="bottom"/>
          </w:tcPr>
          <w:p>
            <w:pPr>
              <w:spacing w:after="0"/>
              <w:rPr>
                <w:sz w:val="13"/>
                <w:szCs w:val="13"/>
                <w:color w:val="auto"/>
              </w:rPr>
            </w:pPr>
          </w:p>
        </w:tc>
      </w:tr>
      <w:tr>
        <w:trPr>
          <w:trHeight w:val="145"/>
        </w:trPr>
        <w:tc>
          <w:tcPr>
            <w:tcW w:w="2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80" w:type="dxa"/>
            <w:vAlign w:val="bottom"/>
          </w:tcPr>
          <w:p>
            <w:pPr>
              <w:jc w:val="center"/>
              <w:ind w:right="174"/>
              <w:spacing w:after="0" w:line="145" w:lineRule="exact"/>
              <w:rPr>
                <w:sz w:val="20"/>
                <w:szCs w:val="20"/>
                <w:color w:val="auto"/>
              </w:rPr>
            </w:pPr>
            <w:r>
              <w:rPr>
                <w:rFonts w:ascii="Times New Roman" w:cs="Times New Roman" w:eastAsia="Times New Roman" w:hAnsi="Times New Roman"/>
                <w:sz w:val="13"/>
                <w:szCs w:val="13"/>
                <w:b w:val="1"/>
                <w:bCs w:val="1"/>
                <w:color w:val="auto"/>
              </w:rPr>
              <w:t>Exclusive of Treasury</w:t>
            </w:r>
          </w:p>
        </w:tc>
        <w:tc>
          <w:tcPr>
            <w:tcW w:w="180" w:type="dxa"/>
            <w:vAlign w:val="bottom"/>
          </w:tcPr>
          <w:p>
            <w:pPr>
              <w:spacing w:after="0"/>
              <w:rPr>
                <w:sz w:val="12"/>
                <w:szCs w:val="12"/>
                <w:color w:val="auto"/>
              </w:rPr>
            </w:pPr>
          </w:p>
        </w:tc>
      </w:tr>
      <w:tr>
        <w:trPr>
          <w:trHeight w:val="167"/>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Class and Period</w:t>
            </w:r>
          </w:p>
        </w:tc>
        <w:tc>
          <w:tcPr>
            <w:tcW w:w="860" w:type="dxa"/>
            <w:vAlign w:val="bottom"/>
          </w:tcPr>
          <w:p>
            <w:pPr>
              <w:spacing w:after="0"/>
              <w:rPr>
                <w:sz w:val="14"/>
                <w:szCs w:val="14"/>
                <w:color w:val="auto"/>
              </w:rPr>
            </w:pPr>
          </w:p>
        </w:tc>
        <w:tc>
          <w:tcPr>
            <w:tcW w:w="1880" w:type="dxa"/>
            <w:vAlign w:val="bottom"/>
          </w:tcPr>
          <w:p>
            <w:pPr>
              <w:jc w:val="center"/>
              <w:ind w:right="174"/>
              <w:spacing w:after="0" w:line="168" w:lineRule="exact"/>
              <w:rPr>
                <w:sz w:val="20"/>
                <w:szCs w:val="20"/>
                <w:color w:val="auto"/>
              </w:rPr>
            </w:pPr>
            <w:r>
              <w:rPr>
                <w:rFonts w:ascii="Times New Roman" w:cs="Times New Roman" w:eastAsia="Times New Roman" w:hAnsi="Times New Roman"/>
                <w:sz w:val="13"/>
                <w:szCs w:val="13"/>
                <w:b w:val="1"/>
                <w:bCs w:val="1"/>
                <w:color w:val="auto"/>
                <w:w w:val="96"/>
              </w:rPr>
              <w:t>Securities</w:t>
            </w:r>
            <w:r>
              <w:rPr>
                <w:rFonts w:ascii="Times New Roman" w:cs="Times New Roman" w:eastAsia="Times New Roman" w:hAnsi="Times New Roman"/>
                <w:sz w:val="16"/>
                <w:szCs w:val="16"/>
                <w:b w:val="1"/>
                <w:bCs w:val="1"/>
                <w:color w:val="auto"/>
                <w:w w:val="96"/>
                <w:vertAlign w:val="superscript"/>
              </w:rPr>
              <w:t>(1)</w:t>
            </w:r>
          </w:p>
        </w:tc>
        <w:tc>
          <w:tcPr>
            <w:tcW w:w="180" w:type="dxa"/>
            <w:vAlign w:val="bottom"/>
          </w:tcPr>
          <w:p>
            <w:pPr>
              <w:spacing w:after="0"/>
              <w:rPr>
                <w:sz w:val="14"/>
                <w:szCs w:val="14"/>
                <w:color w:val="auto"/>
              </w:rPr>
            </w:pPr>
          </w:p>
        </w:tc>
      </w:tr>
      <w:tr>
        <w:trPr>
          <w:trHeight w:val="158"/>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2027 Notes</w:t>
            </w:r>
          </w:p>
        </w:tc>
        <w:tc>
          <w:tcPr>
            <w:tcW w:w="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152,250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152,250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152,250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6"/>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2026 Notes</w:t>
            </w: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70,000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6"/>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Credit Facility</w:t>
            </w: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311,000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272,000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337,000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99,000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6"/>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Credit Facility - CIBC </w:t>
            </w:r>
            <w:r>
              <w:rPr>
                <w:rFonts w:ascii="Times New Roman" w:cs="Times New Roman" w:eastAsia="Times New Roman" w:hAnsi="Times New Roman"/>
                <w:sz w:val="16"/>
                <w:szCs w:val="16"/>
                <w:b w:val="1"/>
                <w:bCs w:val="1"/>
                <w:color w:val="auto"/>
                <w:vertAlign w:val="superscript"/>
              </w:rPr>
              <w:t>(5)</w:t>
            </w: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59,500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6"/>
        </w:trPr>
        <w:tc>
          <w:tcPr>
            <w:tcW w:w="2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558,250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519,250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559,250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81,000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2020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99,000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61,000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1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December 31, 2018</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59,500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wp:posOffset>
            </wp:positionV>
            <wp:extent cx="179133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913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58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Involuntary Liquidating</w:t>
            </w:r>
          </w:p>
        </w:tc>
        <w:tc>
          <w:tcPr>
            <w:tcW w:w="300" w:type="dxa"/>
            <w:vAlign w:val="bottom"/>
          </w:tcPr>
          <w:p>
            <w:pPr>
              <w:spacing w:after="0"/>
              <w:rPr>
                <w:sz w:val="12"/>
                <w:szCs w:val="12"/>
                <w:color w:val="auto"/>
              </w:rPr>
            </w:pPr>
          </w:p>
        </w:tc>
        <w:tc>
          <w:tcPr>
            <w:tcW w:w="1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w w:val="99"/>
              </w:rPr>
              <w:t>Average Market Value per</w:t>
            </w:r>
          </w:p>
        </w:tc>
      </w:tr>
      <w:tr>
        <w:trPr>
          <w:trHeight w:val="221"/>
        </w:trPr>
        <w:tc>
          <w:tcPr>
            <w:tcW w:w="176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w w:val="97"/>
              </w:rPr>
              <w:t>Asset Coverage per Unit</w:t>
            </w:r>
            <w:r>
              <w:rPr>
                <w:rFonts w:ascii="Times New Roman" w:cs="Times New Roman" w:eastAsia="Times New Roman" w:hAnsi="Times New Roman"/>
                <w:sz w:val="16"/>
                <w:szCs w:val="16"/>
                <w:b w:val="1"/>
                <w:bCs w:val="1"/>
                <w:color w:val="auto"/>
                <w:w w:val="97"/>
                <w:vertAlign w:val="superscript"/>
              </w:rPr>
              <w:t>(2)</w:t>
            </w:r>
          </w:p>
        </w:tc>
        <w:tc>
          <w:tcPr>
            <w:tcW w:w="158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8"/>
              </w:rPr>
              <w:t>Preference per Unit</w:t>
            </w:r>
            <w:r>
              <w:rPr>
                <w:rFonts w:ascii="Times New Roman" w:cs="Times New Roman" w:eastAsia="Times New Roman" w:hAnsi="Times New Roman"/>
                <w:sz w:val="16"/>
                <w:szCs w:val="16"/>
                <w:b w:val="1"/>
                <w:bCs w:val="1"/>
                <w:color w:val="auto"/>
                <w:w w:val="98"/>
                <w:vertAlign w:val="superscript"/>
              </w:rPr>
              <w:t>(3)</w:t>
            </w:r>
          </w:p>
        </w:tc>
        <w:tc>
          <w:tcPr>
            <w:tcW w:w="300" w:type="dxa"/>
            <w:vAlign w:val="bottom"/>
          </w:tcPr>
          <w:p>
            <w:pPr>
              <w:spacing w:after="0"/>
              <w:rPr>
                <w:sz w:val="19"/>
                <w:szCs w:val="19"/>
                <w:color w:val="auto"/>
              </w:rPr>
            </w:pPr>
          </w:p>
        </w:tc>
        <w:tc>
          <w:tcPr>
            <w:tcW w:w="1680" w:type="dxa"/>
            <w:vAlign w:val="bottom"/>
          </w:tcPr>
          <w:p>
            <w:pPr>
              <w:ind w:left="760"/>
              <w:spacing w:after="0"/>
              <w:rPr>
                <w:sz w:val="20"/>
                <w:szCs w:val="20"/>
                <w:color w:val="auto"/>
              </w:rPr>
            </w:pPr>
            <w:r>
              <w:rPr>
                <w:rFonts w:ascii="Times New Roman" w:cs="Times New Roman" w:eastAsia="Times New Roman" w:hAnsi="Times New Roman"/>
                <w:sz w:val="13"/>
                <w:szCs w:val="13"/>
                <w:b w:val="1"/>
                <w:bCs w:val="1"/>
                <w:color w:val="auto"/>
              </w:rPr>
              <w:t>Unit</w:t>
            </w:r>
            <w:r>
              <w:rPr>
                <w:rFonts w:ascii="Times New Roman" w:cs="Times New Roman" w:eastAsia="Times New Roman" w:hAnsi="Times New Roman"/>
                <w:sz w:val="16"/>
                <w:szCs w:val="16"/>
                <w:b w:val="1"/>
                <w:bCs w:val="1"/>
                <w:color w:val="auto"/>
                <w:vertAlign w:val="superscript"/>
              </w:rPr>
              <w:t>(4)</w:t>
            </w:r>
          </w:p>
        </w:tc>
      </w:tr>
      <w:tr>
        <w:trPr>
          <w:trHeight w:val="260"/>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4,382</w:t>
            </w:r>
          </w:p>
        </w:tc>
        <w:tc>
          <w:tcPr>
            <w:tcW w:w="158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4,593</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4,784</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453"/>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6,420</w:t>
            </w:r>
          </w:p>
        </w:tc>
        <w:tc>
          <w:tcPr>
            <w:tcW w:w="15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6,759</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9,229</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31,310</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453"/>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2,656</w:t>
            </w:r>
          </w:p>
        </w:tc>
        <w:tc>
          <w:tcPr>
            <w:tcW w:w="15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3,011</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2,709</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10,938</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5,710</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7,169</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453"/>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3,813</w:t>
            </w:r>
          </w:p>
        </w:tc>
        <w:tc>
          <w:tcPr>
            <w:tcW w:w="15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453"/>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1,922</w:t>
            </w:r>
          </w:p>
        </w:tc>
        <w:tc>
          <w:tcPr>
            <w:tcW w:w="158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2,054</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2,030</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8,484</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5,710</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56"/>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7,169</w:t>
            </w:r>
          </w:p>
        </w:tc>
        <w:tc>
          <w:tcPr>
            <w:tcW w:w="158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r>
        <w:trPr>
          <w:trHeight w:val="172"/>
        </w:trPr>
        <w:tc>
          <w:tcPr>
            <w:tcW w:w="1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3,813</w:t>
            </w:r>
          </w:p>
        </w:tc>
        <w:tc>
          <w:tcPr>
            <w:tcW w:w="15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-4361815</wp:posOffset>
            </wp:positionV>
            <wp:extent cx="6707505" cy="990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-4163695</wp:posOffset>
            </wp:positionV>
            <wp:extent cx="6707505" cy="990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-3965575</wp:posOffset>
            </wp:positionV>
            <wp:extent cx="6707505" cy="990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-3767455</wp:posOffset>
            </wp:positionV>
            <wp:extent cx="6707505" cy="990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-3569335</wp:posOffset>
            </wp:positionV>
            <wp:extent cx="6707505" cy="990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-3370580</wp:posOffset>
            </wp:positionV>
            <wp:extent cx="6707505" cy="990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-3172460</wp:posOffset>
            </wp:positionV>
            <wp:extent cx="6707505" cy="990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-2974340</wp:posOffset>
            </wp:positionV>
            <wp:extent cx="6707505" cy="990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-2776220</wp:posOffset>
            </wp:positionV>
            <wp:extent cx="6707505" cy="990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-2578100</wp:posOffset>
            </wp:positionV>
            <wp:extent cx="6707505" cy="99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-2379980</wp:posOffset>
            </wp:positionV>
            <wp:extent cx="6707505" cy="990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-2181860</wp:posOffset>
            </wp:positionV>
            <wp:extent cx="6707505" cy="990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-1983740</wp:posOffset>
            </wp:positionV>
            <wp:extent cx="6707505" cy="990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-1785620</wp:posOffset>
            </wp:positionV>
            <wp:extent cx="6707505" cy="990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-1587500</wp:posOffset>
            </wp:positionV>
            <wp:extent cx="6707505" cy="990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-1389380</wp:posOffset>
            </wp:positionV>
            <wp:extent cx="6707505" cy="990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-1191260</wp:posOffset>
            </wp:positionV>
            <wp:extent cx="6707505" cy="990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-992505</wp:posOffset>
            </wp:positionV>
            <wp:extent cx="6707505" cy="990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-794385</wp:posOffset>
            </wp:positionV>
            <wp:extent cx="6707505" cy="990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-596265</wp:posOffset>
            </wp:positionV>
            <wp:extent cx="6707505" cy="990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-398145</wp:posOffset>
            </wp:positionV>
            <wp:extent cx="6707505" cy="990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07505" cy="99060"/>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-200025</wp:posOffset>
            </wp:positionV>
            <wp:extent cx="6707505" cy="990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7505" cy="99060"/>
                    </a:xfrm>
                    <a:prstGeom prst="rect">
                      <a:avLst/>
                    </a:prstGeom>
                    <a:noFill/>
                  </pic:spPr>
                </pic:pic>
              </a:graphicData>
            </a:graphic>
          </wp:anchor>
        </w:drawing>
      </w:r>
    </w:p>
    <w:p>
      <w:pPr>
        <w:spacing w:after="0" w:line="29" w:lineRule="exact"/>
        <w:rPr>
          <w:sz w:val="20"/>
          <w:szCs w:val="20"/>
          <w:color w:val="auto"/>
        </w:rPr>
      </w:pPr>
    </w:p>
    <w:p>
      <w:pPr>
        <w:sectPr>
          <w:pgSz w:w="11900" w:h="16840" w:orient="portrait"/>
          <w:cols w:equalWidth="0" w:num="2">
            <w:col w:w="5060" w:space="60"/>
            <w:col w:w="5460"/>
          </w:cols>
          <w:pgMar w:left="660" w:top="555" w:right="660"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Total amount of each class of senior securities outstanding at the end of the period presented</w:t>
      </w:r>
      <w:r>
        <w:rPr>
          <w:rFonts w:ascii="Times New Roman" w:cs="Times New Roman" w:eastAsia="Times New Roman" w:hAnsi="Times New Roman"/>
          <w:sz w:val="15"/>
          <w:szCs w:val="15"/>
          <w:color w:val="auto"/>
        </w:rPr>
        <w:t>.</w:t>
      </w:r>
    </w:p>
    <w:p>
      <w:pPr>
        <w:ind w:left="360" w:right="320"/>
        <w:spacing w:after="0" w:line="183" w:lineRule="auto"/>
        <w:rPr>
          <w:sz w:val="20"/>
          <w:szCs w:val="20"/>
          <w:color w:val="auto"/>
        </w:rPr>
      </w:pPr>
      <w:r>
        <w:rPr>
          <w:rFonts w:ascii="Times New Roman" w:cs="Times New Roman" w:eastAsia="Times New Roman" w:hAnsi="Times New Roman"/>
          <w:sz w:val="30"/>
          <w:szCs w:val="30"/>
          <w:color w:val="auto"/>
          <w:vertAlign w:val="superscript"/>
        </w:rPr>
        <w:t>(2)</w:t>
      </w:r>
      <w:r>
        <w:rPr>
          <w:rFonts w:ascii="Times New Roman" w:cs="Times New Roman" w:eastAsia="Times New Roman" w:hAnsi="Times New Roman"/>
          <w:sz w:val="15"/>
          <w:szCs w:val="15"/>
          <w:color w:val="auto"/>
        </w:rPr>
        <w:t>A</w:t>
      </w:r>
      <w:r>
        <w:rPr>
          <w:rFonts w:ascii="Times New Roman" w:cs="Times New Roman" w:eastAsia="Times New Roman" w:hAnsi="Times New Roman"/>
          <w:sz w:val="13"/>
          <w:szCs w:val="13"/>
          <w:color w:val="auto"/>
        </w:rPr>
        <w:t>sset coverage per unit is the ratio of the carrying value of total assets, less all liabilities excluding indebtedness represented by senior securities in this table to the aggregate amount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3"/>
          <w:szCs w:val="13"/>
          <w:color w:val="auto"/>
        </w:rPr>
        <w:t>senior securities representing indebtedness. Asset coverage per unit is express in terms of dollar amounts per $1,000 of indebtedness and is calculated on a consolidated basis.</w:t>
      </w:r>
    </w:p>
    <w:p>
      <w:pPr>
        <w:spacing w:after="0" w:line="32" w:lineRule="exact"/>
        <w:rPr>
          <w:sz w:val="20"/>
          <w:szCs w:val="20"/>
          <w:color w:val="auto"/>
        </w:rPr>
      </w:pPr>
    </w:p>
    <w:p>
      <w:pPr>
        <w:ind w:left="360" w:right="120"/>
        <w:spacing w:after="0" w:line="195"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3"/>
          <w:szCs w:val="13"/>
          <w:color w:val="auto"/>
        </w:rPr>
        <w:t>The amount to which such class of senior security would be entitled upon the Company’s involuntary liquidation in preference to any security junior to it. The "—" in this column indicates information that the SEC expressly does not require to be disclosed for certain types of senior securities.</w:t>
      </w:r>
    </w:p>
    <w:p>
      <w:pPr>
        <w:ind w:left="360"/>
        <w:spacing w:after="0" w:line="228" w:lineRule="auto"/>
        <w:rPr>
          <w:sz w:val="20"/>
          <w:szCs w:val="20"/>
          <w:color w:val="auto"/>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3"/>
          <w:szCs w:val="13"/>
          <w:color w:val="auto"/>
        </w:rPr>
        <w:t>Not applicable because the senior securities are not registered for public trading.</w:t>
      </w:r>
    </w:p>
    <w:p>
      <w:pPr>
        <w:ind w:left="360" w:right="560"/>
        <w:spacing w:after="0" w:line="192" w:lineRule="auto"/>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3"/>
          <w:szCs w:val="13"/>
          <w:color w:val="auto"/>
        </w:rPr>
        <w:t>On June 22, 2018, the Company entered into the Credit Facility with CIBC. On May 31, 2019, in conjunction with securing and entering into the new Credit Facility, the Company terminated the Credit Facility with CIBC</w:t>
      </w:r>
      <w:r>
        <w:rPr>
          <w:rFonts w:ascii="Times New Roman" w:cs="Times New Roman" w:eastAsia="Times New Roman" w:hAnsi="Times New Roman"/>
          <w:sz w:val="15"/>
          <w:szCs w:val="15"/>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type w:val="continuous"/>
        </w:sectPr>
      </w:pPr>
    </w:p>
    <w:bookmarkStart w:id="125" w:name="page126"/>
    <w:bookmarkEnd w:id="12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Commitments and Contingencies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Company’s contractual obligations as of December 31,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Contractual Obligations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More than 5 Years</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(2)</w:t>
            </w: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Credit Facility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311,000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311,000</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2026 Notes</w:t>
            </w: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95,000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95,000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2027 Notes</w:t>
            </w: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152,250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152,250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Total Borrowings</w:t>
            </w: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558,250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558,250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Incentive Fees</w:t>
            </w: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10,116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2,584</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4,886</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2,562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35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568,366</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2,584</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563,136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2,562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20"/>
        </w:trPr>
        <w:tc>
          <w:tcPr>
            <w:tcW w:w="268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line="229"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Excludes interest payable on borrowings, accrued expenses, and commitments to extend credit to the Company’s portfolio companies.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Amounts represent future principal repayments and not the carrying value of each liability (refer to “Note 7 – Borrowings”).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Company’s contractual obligations as of December 31,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Contractual Obligations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80" w:type="dxa"/>
            <w:vAlign w:val="bottom"/>
            <w:gridSpan w:val="4"/>
          </w:tcPr>
          <w:p>
            <w:pPr>
              <w:jc w:val="right"/>
              <w:ind w:right="814"/>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554"/>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right"/>
              <w:ind w:right="234"/>
              <w:spacing w:after="0" w:line="147" w:lineRule="exact"/>
              <w:rPr>
                <w:sz w:val="20"/>
                <w:szCs w:val="20"/>
                <w:color w:val="auto"/>
              </w:rPr>
            </w:pPr>
            <w:r>
              <w:rPr>
                <w:rFonts w:ascii="Times New Roman" w:cs="Times New Roman" w:eastAsia="Times New Roman" w:hAnsi="Times New Roman"/>
                <w:sz w:val="13"/>
                <w:szCs w:val="13"/>
                <w:b w:val="1"/>
                <w:bCs w:val="1"/>
                <w:color w:val="auto"/>
              </w:rPr>
              <w:t>Less than 1 Year</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right"/>
              <w:ind w:right="394"/>
              <w:spacing w:after="0" w:line="147" w:lineRule="exact"/>
              <w:rPr>
                <w:sz w:val="20"/>
                <w:szCs w:val="20"/>
                <w:color w:val="auto"/>
              </w:rPr>
            </w:pPr>
            <w:r>
              <w:rPr>
                <w:rFonts w:ascii="Times New Roman" w:cs="Times New Roman" w:eastAsia="Times New Roman" w:hAnsi="Times New Roman"/>
                <w:sz w:val="13"/>
                <w:szCs w:val="13"/>
                <w:b w:val="1"/>
                <w:bCs w:val="1"/>
                <w:color w:val="auto"/>
              </w:rPr>
              <w:t>1-3 years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right"/>
              <w:ind w:right="414"/>
              <w:spacing w:after="0" w:line="147" w:lineRule="exact"/>
              <w:rPr>
                <w:sz w:val="20"/>
                <w:szCs w:val="20"/>
                <w:color w:val="auto"/>
              </w:rPr>
            </w:pPr>
            <w:r>
              <w:rPr>
                <w:rFonts w:ascii="Times New Roman" w:cs="Times New Roman" w:eastAsia="Times New Roman" w:hAnsi="Times New Roman"/>
                <w:sz w:val="13"/>
                <w:szCs w:val="13"/>
                <w:b w:val="1"/>
                <w:bCs w:val="1"/>
                <w:color w:val="auto"/>
              </w:rPr>
              <w:t>3-5 years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194"/>
              <w:spacing w:after="0" w:line="147" w:lineRule="exact"/>
              <w:rPr>
                <w:sz w:val="20"/>
                <w:szCs w:val="20"/>
                <w:color w:val="auto"/>
              </w:rPr>
            </w:pPr>
            <w:r>
              <w:rPr>
                <w:rFonts w:ascii="Times New Roman" w:cs="Times New Roman" w:eastAsia="Times New Roman" w:hAnsi="Times New Roman"/>
                <w:sz w:val="13"/>
                <w:szCs w:val="13"/>
                <w:b w:val="1"/>
                <w:bCs w:val="1"/>
                <w:color w:val="auto"/>
              </w:rPr>
              <w:t>More than 5 Years</w:t>
            </w:r>
          </w:p>
        </w:tc>
        <w:tc>
          <w:tcPr>
            <w:tcW w:w="0" w:type="dxa"/>
            <w:vAlign w:val="bottom"/>
          </w:tcPr>
          <w:p>
            <w:pPr>
              <w:spacing w:after="0"/>
              <w:rPr>
                <w:sz w:val="1"/>
                <w:szCs w:val="1"/>
                <w:color w:val="auto"/>
              </w:rPr>
            </w:pPr>
          </w:p>
        </w:tc>
      </w:tr>
      <w:tr>
        <w:trPr>
          <w:trHeight w:val="179"/>
        </w:trPr>
        <w:tc>
          <w:tcPr>
            <w:tcW w:w="2680" w:type="dxa"/>
            <w:vAlign w:val="bottom"/>
          </w:tcPr>
          <w:p>
            <w:pPr>
              <w:ind w:left="20"/>
              <w:spacing w:after="0" w:line="179"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(2)</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Credit Facility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272,000</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272,000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2026 Notes</w:t>
            </w: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95,000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2027 Notes</w:t>
            </w: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152,250</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152,250</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Borrowings</w:t>
            </w: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519,250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367,000</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152,250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Incentive Fees</w:t>
            </w: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9,165</w:t>
            </w: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2,567</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3,919</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2,548</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312"/>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528,415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2,567</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370,919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154,798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line="229"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Excludes interest payable on borrowings, accrued expenses, and commitments to extend credit to the Company’s portfolio companies.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Amounts represent future principal repayments and not the carrying value of each liability (refer to “Note 7 – Borrowings”).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192" w:lineRule="exact"/>
        <w:rPr>
          <w:sz w:val="20"/>
          <w:szCs w:val="20"/>
          <w:color w:val="auto"/>
        </w:rPr>
      </w:pPr>
    </w:p>
    <w:p>
      <w:pPr>
        <w:ind w:right="360"/>
        <w:spacing w:after="0" w:line="241" w:lineRule="auto"/>
        <w:rPr>
          <w:sz w:val="20"/>
          <w:szCs w:val="20"/>
          <w:color w:val="auto"/>
        </w:rPr>
      </w:pPr>
      <w:r>
        <w:rPr>
          <w:rFonts w:ascii="Times New Roman" w:cs="Times New Roman" w:eastAsia="Times New Roman" w:hAnsi="Times New Roman"/>
          <w:sz w:val="16"/>
          <w:szCs w:val="16"/>
          <w:color w:val="auto"/>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6" w:name="page127"/>
    <w:bookmarkEnd w:id="12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92"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the Consolidated Statements of Asset and Liabilities.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spacing w:after="0" w:line="169"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Company's unfunded commitments to provide debt and equity financing to its portfolio companies and Runway-Cadma I LLC amounted to $176.7 million and $201.5 million as of December 31, 2024 and December 31, 2023, respectively, shown in the table below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3280" w:type="dxa"/>
            <w:vAlign w:val="bottom"/>
          </w:tcPr>
          <w:p>
            <w:pPr>
              <w:jc w:val="center"/>
              <w:ind w:left="334"/>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60" w:type="dxa"/>
            <w:vAlign w:val="bottom"/>
          </w:tcPr>
          <w:p>
            <w:pPr>
              <w:spacing w:after="0"/>
              <w:rPr>
                <w:sz w:val="14"/>
                <w:szCs w:val="14"/>
                <w:color w:val="auto"/>
              </w:rPr>
            </w:pPr>
          </w:p>
        </w:tc>
        <w:tc>
          <w:tcPr>
            <w:tcW w:w="15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3PL Central LLC (dba Extensiv)</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11,500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Betterment Holdings,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5,000</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Blueshift Labs,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14,500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Bombora,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2,000</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Brivo,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6,000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CarNow,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12,000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EBR Systems,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10,000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Elevate Services,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14,000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10,000</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10,000</w:t>
            </w: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Linxup, LLC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7"/>
                <w:szCs w:val="17"/>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7,500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7,500</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Madison Reed,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Moximed,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15,000</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Nalu Medical,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15,000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Onward Medical, N.V.</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38,982</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10,000</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20,000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Runway-Cadma I LLC</w:t>
            </w:r>
          </w:p>
        </w:tc>
        <w:tc>
          <w:tcPr>
            <w:tcW w:w="3280" w:type="dxa"/>
            <w:vAlign w:val="bottom"/>
          </w:tcPr>
          <w:p>
            <w:pPr>
              <w:jc w:val="center"/>
              <w:ind w:left="334"/>
              <w:spacing w:after="0"/>
              <w:rPr>
                <w:sz w:val="20"/>
                <w:szCs w:val="20"/>
                <w:color w:val="auto"/>
              </w:rPr>
            </w:pPr>
            <w:r>
              <w:rPr>
                <w:rFonts w:ascii="Times New Roman" w:cs="Times New Roman" w:eastAsia="Times New Roman" w:hAnsi="Times New Roman"/>
                <w:sz w:val="13"/>
                <w:szCs w:val="13"/>
                <w:color w:val="auto"/>
              </w:rPr>
              <w:t>Joint Venture</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29,400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20,000</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40,000</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Skillshare,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10,000</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JobGet Holdings, Inc. (fka Snagajob,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6,785</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JobGet Holdings, Inc. (fka Snagajob, Inc.)</w:t>
            </w:r>
          </w:p>
        </w:tc>
        <w:tc>
          <w:tcPr>
            <w:tcW w:w="3280" w:type="dxa"/>
            <w:vAlign w:val="bottom"/>
          </w:tcPr>
          <w:p>
            <w:pPr>
              <w:jc w:val="center"/>
              <w:ind w:left="334"/>
              <w:spacing w:after="0"/>
              <w:rPr>
                <w:sz w:val="20"/>
                <w:szCs w:val="20"/>
                <w:color w:val="auto"/>
              </w:rPr>
            </w:pPr>
            <w:r>
              <w:rPr>
                <w:rFonts w:ascii="Times New Roman" w:cs="Times New Roman" w:eastAsia="Times New Roman" w:hAnsi="Times New Roman"/>
                <w:sz w:val="13"/>
                <w:szCs w:val="13"/>
                <w:color w:val="auto"/>
              </w:rPr>
              <w:t>Convertible Note</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2,035</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Snap! Mobile,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5,000</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Synack,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tcPr>
          <w:p>
            <w:pPr>
              <w:spacing w:after="0"/>
              <w:rPr>
                <w:sz w:val="13"/>
                <w:szCs w:val="13"/>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22,500</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25,000</w:t>
            </w:r>
          </w:p>
        </w:tc>
      </w:tr>
      <w:tr>
        <w:trPr>
          <w:trHeight w:val="156"/>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Zinnia Corporate Holdings, LLC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16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5,333</w:t>
            </w: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378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 unused commitments to extend financing</w:t>
            </w:r>
          </w:p>
        </w:tc>
        <w:tc>
          <w:tcPr>
            <w:tcW w:w="328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176,715</w:t>
            </w:r>
          </w:p>
        </w:tc>
        <w:tc>
          <w:tcPr>
            <w:tcW w:w="3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5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201,520</w:t>
            </w:r>
          </w:p>
        </w:tc>
      </w:tr>
      <w:tr>
        <w:trPr>
          <w:trHeight w:val="20"/>
        </w:trPr>
        <w:tc>
          <w:tcPr>
            <w:tcW w:w="3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Net Assets</w:t>
      </w:r>
    </w:p>
    <w:p>
      <w:pPr>
        <w:spacing w:after="0" w:line="189"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and Chairman of the Board of Directors, for an aggregate purchase price of $25 thousand.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Private Common Stock Offerings</w:t>
      </w:r>
    </w:p>
    <w:p>
      <w:pPr>
        <w:spacing w:after="0" w:line="15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28"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4"/>
          <w:szCs w:val="14"/>
          <w:color w:val="auto"/>
        </w:rPr>
        <w:t>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7" w:name="page128"/>
    <w:bookmarkEnd w:id="12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Initial Public Offering</w:t>
      </w:r>
    </w:p>
    <w:p>
      <w:pPr>
        <w:spacing w:after="0" w:line="19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 Program</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February 24, 2022, the Board of Directors approved a share repurchase program (the “First Repurchase Program”) under which the Company was authorized to repurchase up to $25.0 million of its outstanding common stock, at management’s discretion from time to time in open-market transactions and in accordance with all applicable securities laws and regulations. The Company repurchased 871,345 shares in connection with the First Repurchase Program for an aggregate purchase price of $10.8 million. The First Repurchase Program expired on February 24, 2023.</w:t>
      </w:r>
    </w:p>
    <w:p>
      <w:pPr>
        <w:spacing w:after="0" w:line="16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On November 2, 2023, the Board of Directors approved a share repurchase program (the "Second Repurchase Program"), under which the Company was authorized to repurchase up to $ 25.0 million of its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July 30, 2024, the Board of Directors approved a share repurchase program (the "Third Repurchase Program") under which the Company may repurchase up to</w:t>
      </w:r>
    </w:p>
    <w:p>
      <w:pPr>
        <w:spacing w:after="0" w:line="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$15.0 million of its outstanding shares of common stock, at management's discretion from time to time in open-market transactions and in accordance with all applicable securities laws and regulations. If not renewed, the Third Repurchase Program will terminate upon the earlier of (i) July 30, 2025 or (ii) the repurchase of $15.0 million of the Company's shares of common stock. As of December 31, 2024, the Company had repurchased 1,199,867 shares in connection with the Third Repurchase Program for an aggregate purchase price of $12.5 million.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spacing w:after="0" w:line="16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For the year ended December 31, 2024, the Company declared and paid dividends in the amount of $69.9 million, of which $68.7 million was distributed in cash and the remainder distributed in shares to stockholders pursuant to the Company’s Dividend Reinvestment Plan. For the year ended December 31, 2023, the Company declared dividends in the amount of $73.3 million, of which $70.8 million was distributed in cash and the remainder distributed in shares to stockholders pursuant to the Company’s Dividend Reinvestment Plan. For the year ended December 31, 2022, the Company declared dividends in the amount of $51.6 million, of which $40.7 million was distributed in cash and the remainder distributed in shares to stockholders pursuant to the Company’s Dividend Reinvestment Plan (as defined below).</w:t>
      </w: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28" w:name="page129"/>
    <w:bookmarkEnd w:id="12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Reinvestment Plan</w:t>
      </w:r>
    </w:p>
    <w:p>
      <w:pPr>
        <w:spacing w:after="0" w:line="1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The Company maintains a dividend reinvestment plan for common stockholders (the "Dividend Reinvestment Plan"). The Company's Dividend Reinvestment Plan is administered by its transfer agent on behalf of the Company's record holders and participating brokerage firms. Brokerage firms and other financial intermediaries may decide not to participate in the Company's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137"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Under the Dividend Reinvestment plan, 96,092, 204,658, and 781,498 shares of common stock were purchased in the open market for a total of $1.1 million, $2.5 million and $10.9 million during the years ended December 31, 2024, December 31, 2023, and December 31, 2022,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distributions declared and paid since inception through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0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226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Payment Date</w:t>
            </w:r>
          </w:p>
        </w:tc>
        <w:tc>
          <w:tcPr>
            <w:tcW w:w="140" w:type="dxa"/>
            <w:vAlign w:val="bottom"/>
          </w:tcPr>
          <w:p>
            <w:pPr>
              <w:spacing w:after="0"/>
              <w:rPr>
                <w:sz w:val="13"/>
                <w:szCs w:val="13"/>
                <w:color w:val="auto"/>
              </w:rPr>
            </w:pPr>
          </w:p>
        </w:tc>
        <w:tc>
          <w:tcPr>
            <w:tcW w:w="13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Amount per Share</w:t>
            </w:r>
          </w:p>
        </w:tc>
      </w:tr>
      <w:tr>
        <w:trPr>
          <w:trHeight w:val="168"/>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 2018</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15, 2018</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31,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0.15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26, 2018</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August 15, 2018</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31, 2018</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0.25</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 2018</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October 31, 2018</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15, 2018</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0.35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2019</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March 22,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26, 2019</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 2019</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May 7,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21, 2019</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0.45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 2019</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31,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16, 2019</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0.46</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July 30, 2019</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August 5,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26, 2019</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0.45</w:t>
            </w:r>
          </w:p>
        </w:tc>
      </w:tr>
      <w:tr>
        <w:trPr>
          <w:trHeight w:val="192"/>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September 27, 2019</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September 30,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12, 2019</w:t>
            </w: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0.04</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9, 2019</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December 10,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December 23, 2019</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5, 2020</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6, 2020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20, 2020</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7, 2020</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May 8, 2020</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21, 2020</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0.35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5, 2020</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August 6, 2020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20, 2020</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0.36</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1, 2020</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October 1, 2020</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12, 2020</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0.38</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4, 2021</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5, 2021</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19, 2021</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0.37</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29, 2021</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April 30, 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13, 2021</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0.37</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19, 2021</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w w:val="99"/>
              </w:rPr>
              <w:t>July 20, 2021</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12, 2021</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0.34</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28, 2021</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8, 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22, 2021</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0.25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24, 2022</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8, 2022</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2022</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0.27</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28, 2022</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10, 2022</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24, 2022</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0.30</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28, 2022</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August 9, 2022</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23, 2022</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0.33</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27, 2022</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8, 2022</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22, 2022</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0.36</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23, 2023</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7,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21, 2023</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23,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March 7,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21, 2023</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 2023</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15,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31, 2023</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15,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31, 2023</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 2023</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August 15,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31, 2023</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1,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August 15,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31, 2023</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1, 2023</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November 13,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28, 2023</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13,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28, 2023</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0.06</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1, 2024</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February 12,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28, 2024</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1,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February 12,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28, 2024</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0.07</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April 30, 2024</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10,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24, 2024</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April 30,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10,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24, 2024</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0.07</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30, 2024</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August 12,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26, 2024</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July 30,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August 12,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26, 2024</w:t>
            </w:r>
          </w:p>
        </w:tc>
        <w:tc>
          <w:tcPr>
            <w:tcW w:w="140" w:type="dxa"/>
            <w:vAlign w:val="bottom"/>
          </w:tcPr>
          <w:p>
            <w:pPr>
              <w:spacing w:after="0"/>
              <w:rPr>
                <w:sz w:val="13"/>
                <w:szCs w:val="13"/>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0.05</w:t>
            </w: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5, 2024</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November 18,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December 2, 2024</w:t>
            </w:r>
          </w:p>
        </w:tc>
        <w:tc>
          <w:tcPr>
            <w:tcW w:w="14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0.40</w:t>
            </w:r>
          </w:p>
        </w:tc>
      </w:tr>
      <w:tr>
        <w:trPr>
          <w:trHeight w:val="156"/>
        </w:trPr>
        <w:tc>
          <w:tcPr>
            <w:tcW w:w="2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10.63</w:t>
            </w:r>
          </w:p>
        </w:tc>
      </w:tr>
      <w:tr>
        <w:trPr>
          <w:trHeight w:val="20"/>
        </w:trPr>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9" w:name="page130"/>
    <w:bookmarkEnd w:id="12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Income Taxes</w:t>
      </w:r>
    </w:p>
    <w:p>
      <w:pPr>
        <w:spacing w:after="0" w:line="18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spacing w:after="0" w:line="173" w:lineRule="exact"/>
        <w:rPr>
          <w:sz w:val="20"/>
          <w:szCs w:val="20"/>
          <w:color w:val="auto"/>
        </w:rPr>
      </w:pPr>
    </w:p>
    <w:p>
      <w:pPr>
        <w:ind w:right="40"/>
        <w:spacing w:after="0" w:line="183" w:lineRule="exact"/>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will accrue excise tax on estimated excess taxable income as such taxable income is earned. For the years ended December 31, 2024, 2023, and 2022, the Company recorded an expense of $0.4 million, $0.7 million, and $0.3 million, respectively, for U.S. federal excise tax, which is included in tax expense in the statement of operations. Differences between taxable income and net increase in net assets resulting from operations either can be temporary, meaning they will reverse in the future, or permanent. In accordance with Section 946</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205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45</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3 of the ASC, permanent tax differences are reclassified from accumulated undistributed earnings to paid-in-capital at the end of each year and have no impact on total net assets.</w:t>
      </w:r>
    </w:p>
    <w:p>
      <w:pPr>
        <w:spacing w:after="0" w:line="173"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2024, 2023, and 2022, the Company reclassified for book purposes amounts arising from permanent book/tax differences primarily related to non-deductible excise taxes paid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4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2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900" w:type="dxa"/>
            <w:vAlign w:val="bottom"/>
          </w:tcPr>
          <w:p>
            <w:pPr>
              <w:spacing w:after="0"/>
              <w:rPr>
                <w:sz w:val="13"/>
                <w:szCs w:val="13"/>
                <w:color w:val="auto"/>
              </w:rPr>
            </w:pPr>
          </w:p>
        </w:tc>
      </w:tr>
      <w:tr>
        <w:trPr>
          <w:trHeight w:val="170"/>
        </w:trPr>
        <w:tc>
          <w:tcPr>
            <w:tcW w:w="4440" w:type="dxa"/>
            <w:vAlign w:val="bottom"/>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Pr>
          <w:p>
            <w:pPr>
              <w:spacing w:after="0"/>
              <w:rPr>
                <w:sz w:val="14"/>
                <w:szCs w:val="14"/>
                <w:color w:val="auto"/>
              </w:rPr>
            </w:pPr>
          </w:p>
        </w:tc>
        <w:tc>
          <w:tcPr>
            <w:tcW w:w="1240" w:type="dxa"/>
            <w:vAlign w:val="bottom"/>
          </w:tcPr>
          <w:p>
            <w:pPr>
              <w:jc w:val="right"/>
              <w:ind w:right="774"/>
              <w:spacing w:after="0"/>
              <w:rPr>
                <w:sz w:val="20"/>
                <w:szCs w:val="20"/>
                <w:color w:val="auto"/>
              </w:rPr>
            </w:pPr>
            <w:r>
              <w:rPr>
                <w:rFonts w:ascii="Times New Roman" w:cs="Times New Roman" w:eastAsia="Times New Roman" w:hAnsi="Times New Roman"/>
                <w:sz w:val="13"/>
                <w:szCs w:val="13"/>
                <w:b w:val="1"/>
                <w:bCs w:val="1"/>
                <w:color w:val="auto"/>
              </w:rPr>
              <w:t>2023</w:t>
            </w: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200" w:type="dxa"/>
            <w:vAlign w:val="bottom"/>
            <w:shd w:val="clear" w:color="auto" w:fill="CFF0FC"/>
          </w:tcPr>
          <w:p>
            <w:pPr>
              <w:jc w:val="right"/>
              <w:ind w:right="57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(392 )   $</w:t>
            </w:r>
          </w:p>
        </w:tc>
        <w:tc>
          <w:tcPr>
            <w:tcW w:w="1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(664 )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(290 )</w:t>
            </w:r>
          </w:p>
        </w:tc>
      </w:tr>
      <w:tr>
        <w:trPr>
          <w:trHeight w:val="17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undistributed earnings</w:t>
            </w:r>
          </w:p>
        </w:tc>
        <w:tc>
          <w:tcPr>
            <w:tcW w:w="3200" w:type="dxa"/>
            <w:vAlign w:val="bottom"/>
          </w:tcPr>
          <w:p>
            <w:pPr>
              <w:spacing w:after="0"/>
              <w:rPr>
                <w:sz w:val="14"/>
                <w:szCs w:val="14"/>
                <w:color w:val="auto"/>
              </w:rPr>
            </w:pPr>
          </w:p>
        </w:tc>
        <w:tc>
          <w:tcPr>
            <w:tcW w:w="780" w:type="dxa"/>
            <w:vAlign w:val="bottom"/>
          </w:tcPr>
          <w:p>
            <w:pPr>
              <w:jc w:val="right"/>
              <w:ind w:right="414"/>
              <w:spacing w:after="0"/>
              <w:rPr>
                <w:sz w:val="20"/>
                <w:szCs w:val="20"/>
                <w:color w:val="auto"/>
              </w:rPr>
            </w:pPr>
            <w:r>
              <w:rPr>
                <w:rFonts w:ascii="Times New Roman" w:cs="Times New Roman" w:eastAsia="Times New Roman" w:hAnsi="Times New Roman"/>
                <w:sz w:val="13"/>
                <w:szCs w:val="13"/>
                <w:color w:val="auto"/>
              </w:rPr>
              <w:t>392</w:t>
            </w: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rPr>
              <w:t>664</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290</w:t>
            </w:r>
          </w:p>
        </w:tc>
      </w:tr>
    </w:tbl>
    <w:p>
      <w:pPr>
        <w:spacing w:after="0" w:line="16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For U.S. federal income tax purposes, distributions paid to stockholders are reported as ordinary income, return of capital, long term capital gains or a combination thereof. The tax character of distributions paid for the years ended December 31, 2024, 2023, and 2022 was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080" w:type="dxa"/>
            <w:vAlign w:val="bottom"/>
            <w:gridSpan w:val="4"/>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900" w:type="dxa"/>
            <w:vAlign w:val="bottom"/>
          </w:tcPr>
          <w:p>
            <w:pPr>
              <w:spacing w:after="0"/>
              <w:rPr>
                <w:sz w:val="13"/>
                <w:szCs w:val="13"/>
                <w:color w:val="auto"/>
              </w:rPr>
            </w:pPr>
          </w:p>
        </w:tc>
      </w:tr>
      <w:tr>
        <w:trPr>
          <w:trHeight w:val="170"/>
        </w:trPr>
        <w:tc>
          <w:tcPr>
            <w:tcW w:w="4080" w:type="dxa"/>
            <w:vAlign w:val="bottom"/>
          </w:tcPr>
          <w:p>
            <w:pPr>
              <w:spacing w:after="0"/>
              <w:rPr>
                <w:sz w:val="14"/>
                <w:szCs w:val="14"/>
                <w:color w:val="auto"/>
              </w:rPr>
            </w:pPr>
          </w:p>
        </w:tc>
        <w:tc>
          <w:tcPr>
            <w:tcW w:w="3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340" w:type="dxa"/>
            <w:vAlign w:val="bottom"/>
          </w:tcPr>
          <w:p>
            <w:pPr>
              <w:spacing w:after="0"/>
              <w:rPr>
                <w:sz w:val="14"/>
                <w:szCs w:val="14"/>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Ordinary income</w:t>
            </w:r>
          </w:p>
        </w:tc>
        <w:tc>
          <w:tcPr>
            <w:tcW w:w="3500" w:type="dxa"/>
            <w:vAlign w:val="bottom"/>
            <w:shd w:val="clear" w:color="auto" w:fill="CFF0FC"/>
          </w:tcPr>
          <w:p>
            <w:pPr>
              <w:jc w:val="right"/>
              <w:ind w:right="514"/>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69,860</w:t>
            </w:r>
          </w:p>
        </w:tc>
        <w:tc>
          <w:tcPr>
            <w:tcW w:w="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73,322</w:t>
            </w:r>
          </w:p>
        </w:tc>
        <w:tc>
          <w:tcPr>
            <w:tcW w:w="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51,593</w:t>
            </w:r>
          </w:p>
        </w:tc>
      </w:tr>
      <w:tr>
        <w:trPr>
          <w:trHeight w:val="156"/>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capital gain</w:t>
            </w:r>
          </w:p>
        </w:tc>
        <w:tc>
          <w:tcPr>
            <w:tcW w:w="3500" w:type="dxa"/>
            <w:vAlign w:val="bottom"/>
          </w:tcPr>
          <w:p>
            <w:pPr>
              <w:spacing w:after="0"/>
              <w:rPr>
                <w:sz w:val="13"/>
                <w:szCs w:val="13"/>
                <w:color w:val="auto"/>
              </w:rPr>
            </w:pPr>
          </w:p>
        </w:tc>
        <w:tc>
          <w:tcPr>
            <w:tcW w:w="5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Return of capital</w:t>
            </w:r>
          </w:p>
        </w:tc>
        <w:tc>
          <w:tcPr>
            <w:tcW w:w="3500" w:type="dxa"/>
            <w:vAlign w:val="bottom"/>
            <w:shd w:val="clear" w:color="auto" w:fill="CFF0FC"/>
          </w:tcPr>
          <w:p>
            <w:pPr>
              <w:spacing w:after="0"/>
              <w:rPr>
                <w:sz w:val="13"/>
                <w:szCs w:val="13"/>
                <w:color w:val="auto"/>
              </w:rPr>
            </w:pPr>
          </w:p>
        </w:tc>
        <w:tc>
          <w:tcPr>
            <w:tcW w:w="5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bl>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tax cost basis and the estimated aggregate gross unrealized gain (loss) on investments for federal income tax purposes as of and for the years ended December 31, 2024, 2023 and 2022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6"/>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900" w:type="dxa"/>
            <w:vAlign w:val="bottom"/>
          </w:tcPr>
          <w:p>
            <w:pPr>
              <w:spacing w:after="0"/>
              <w:rPr>
                <w:sz w:val="13"/>
                <w:szCs w:val="13"/>
                <w:color w:val="auto"/>
              </w:rPr>
            </w:pPr>
          </w:p>
        </w:tc>
      </w:tr>
      <w:tr>
        <w:trPr>
          <w:trHeight w:val="170"/>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96"/>
        </w:trPr>
        <w:tc>
          <w:tcPr>
            <w:tcW w:w="6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Tax cost of investments</w:t>
            </w:r>
          </w:p>
        </w:tc>
        <w:tc>
          <w:tcPr>
            <w:tcW w:w="220" w:type="dxa"/>
            <w:vAlign w:val="bottom"/>
            <w:tcBorders>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1,100,345</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1,105,481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1,149,902</w:t>
            </w:r>
          </w:p>
        </w:tc>
      </w:tr>
      <w:tr>
        <w:trPr>
          <w:trHeight w:val="132"/>
        </w:trPr>
        <w:tc>
          <w:tcPr>
            <w:tcW w:w="694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color w:val="auto"/>
              </w:rPr>
              <w:t>Change in unrealized gain on a tax basis</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ind w:right="14"/>
              <w:spacing w:after="0" w:line="133" w:lineRule="exact"/>
              <w:rPr>
                <w:sz w:val="20"/>
                <w:szCs w:val="20"/>
                <w:color w:val="auto"/>
              </w:rPr>
            </w:pPr>
            <w:r>
              <w:rPr>
                <w:rFonts w:ascii="Times New Roman" w:cs="Times New Roman" w:eastAsia="Times New Roman" w:hAnsi="Times New Roman"/>
                <w:sz w:val="13"/>
                <w:szCs w:val="13"/>
                <w:color w:val="auto"/>
              </w:rPr>
              <w:t>23,787</w:t>
            </w:r>
          </w:p>
        </w:tc>
        <w:tc>
          <w:tcPr>
            <w:tcW w:w="380" w:type="dxa"/>
            <w:vAlign w:val="bottom"/>
            <w:gridSpan w:val="2"/>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11,239</w:t>
            </w:r>
          </w:p>
        </w:tc>
        <w:tc>
          <w:tcPr>
            <w:tcW w:w="360" w:type="dxa"/>
            <w:vAlign w:val="bottom"/>
            <w:gridSpan w:val="2"/>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ind w:right="34"/>
              <w:spacing w:after="0" w:line="133" w:lineRule="exact"/>
              <w:rPr>
                <w:sz w:val="20"/>
                <w:szCs w:val="20"/>
                <w:color w:val="auto"/>
              </w:rPr>
            </w:pPr>
            <w:r>
              <w:rPr>
                <w:rFonts w:ascii="Times New Roman" w:cs="Times New Roman" w:eastAsia="Times New Roman" w:hAnsi="Times New Roman"/>
                <w:sz w:val="13"/>
                <w:szCs w:val="13"/>
                <w:color w:val="auto"/>
              </w:rPr>
              <w:t>9,207</w:t>
            </w:r>
          </w:p>
        </w:tc>
      </w:tr>
      <w:tr>
        <w:trPr>
          <w:trHeight w:val="15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Change in unrealized loss on a tax basis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(47,292)</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(49,711)</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(32,800)</w:t>
            </w:r>
          </w:p>
        </w:tc>
      </w:tr>
      <w:tr>
        <w:trPr>
          <w:trHeight w:val="156"/>
        </w:trPr>
        <w:tc>
          <w:tcPr>
            <w:tcW w:w="694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Net unrealized gain (loss) on a tax basis</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(23,505)</w:t>
            </w:r>
          </w:p>
        </w:tc>
        <w:tc>
          <w:tcPr>
            <w:tcW w:w="38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(38,472)</w:t>
            </w:r>
          </w:p>
        </w:tc>
        <w:tc>
          <w:tcPr>
            <w:tcW w:w="36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(23,593)</w:t>
            </w:r>
          </w:p>
        </w:tc>
      </w:tr>
      <w:tr>
        <w:trPr>
          <w:trHeight w:val="20"/>
        </w:trPr>
        <w:tc>
          <w:tcPr>
            <w:tcW w:w="6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30" w:name="page131"/>
    <w:bookmarkEnd w:id="13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At December 31, 2024, 2023 and 2022, the components of distributable earnings on a tax basis detailed below differ from the amounts reflected in the Company’s Consolidated Statements of Assets and Liabilities by temporary and other book/tax differences, primarily relating to the tax treatment of debt modifications,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6"/>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900" w:type="dxa"/>
            <w:vAlign w:val="bottom"/>
          </w:tcPr>
          <w:p>
            <w:pPr>
              <w:spacing w:after="0"/>
              <w:rPr>
                <w:sz w:val="13"/>
                <w:szCs w:val="13"/>
                <w:color w:val="auto"/>
              </w:rPr>
            </w:pPr>
          </w:p>
        </w:tc>
      </w:tr>
      <w:tr>
        <w:trPr>
          <w:trHeight w:val="170"/>
        </w:trPr>
        <w:tc>
          <w:tcPr>
            <w:tcW w:w="6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Undistributed ordinary income</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11,747</w:t>
            </w:r>
          </w:p>
        </w:tc>
        <w:tc>
          <w:tcPr>
            <w:tcW w:w="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17,726</w:t>
            </w:r>
          </w:p>
        </w:tc>
        <w:tc>
          <w:tcPr>
            <w:tcW w:w="36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10,473</w:t>
            </w:r>
          </w:p>
        </w:tc>
      </w:tr>
      <w:tr>
        <w:trPr>
          <w:trHeight w:val="156"/>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Undistributed capital gains</w:t>
            </w:r>
          </w:p>
        </w:tc>
        <w:tc>
          <w:tcPr>
            <w:tcW w:w="220" w:type="dxa"/>
            <w:vAlign w:val="bottom"/>
          </w:tcPr>
          <w:p>
            <w:pPr>
              <w:spacing w:after="0"/>
              <w:rPr>
                <w:sz w:val="13"/>
                <w:szCs w:val="13"/>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Capital loss carry forwards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(31,596)</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(26,726)</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(6,011)</w:t>
            </w:r>
          </w:p>
        </w:tc>
      </w:tr>
      <w:tr>
        <w:trPr>
          <w:trHeight w:val="156"/>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Late year losses</w:t>
            </w:r>
          </w:p>
        </w:tc>
        <w:tc>
          <w:tcPr>
            <w:tcW w:w="220" w:type="dxa"/>
            <w:vAlign w:val="bottom"/>
          </w:tcPr>
          <w:p>
            <w:pPr>
              <w:spacing w:after="0"/>
              <w:rPr>
                <w:sz w:val="13"/>
                <w:szCs w:val="13"/>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accumulated losses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(142 )</w:t>
            </w:r>
          </w:p>
        </w:tc>
        <w:tc>
          <w:tcPr>
            <w:tcW w:w="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(165 )</w:t>
            </w: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(189 )</w:t>
            </w:r>
          </w:p>
        </w:tc>
      </w:tr>
      <w:tr>
        <w:trPr>
          <w:trHeight w:val="156"/>
        </w:trPr>
        <w:tc>
          <w:tcPr>
            <w:tcW w:w="6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unrealized gain (loss) on a tax basis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(23,505)</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(38,472)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(23,593)</w:t>
            </w:r>
          </w:p>
        </w:tc>
      </w:tr>
      <w:tr>
        <w:trPr>
          <w:trHeight w:val="196"/>
        </w:trPr>
        <w:tc>
          <w:tcPr>
            <w:tcW w:w="6940" w:type="dxa"/>
            <w:vAlign w:val="bottom"/>
            <w:tcBorders>
              <w:bottom w:val="single" w:sz="8" w:color="CFF0FC"/>
            </w:tcBorders>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Accumulated earnings/(deficit) on a tax basis</w:t>
            </w:r>
          </w:p>
        </w:tc>
        <w:tc>
          <w:tcPr>
            <w:tcW w:w="220" w:type="dxa"/>
            <w:vAlign w:val="bottom"/>
            <w:tcBorders>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(43,496)</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(47,637)</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(19,320)</w:t>
            </w:r>
          </w:p>
        </w:tc>
      </w:tr>
    </w:tbl>
    <w:p>
      <w:pPr>
        <w:spacing w:after="0" w:line="179"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6"/>
          <w:szCs w:val="16"/>
          <w:color w:val="auto"/>
        </w:rPr>
        <w:t>For tax purposes, net realized capital losses may be carried over to offset future capital gains, if any. Funds are permitted to carry forward capital losses for an indefinite period, and such losses will retain their character as either short-term or long-term capital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years ended December 31, 2024, 2023 and 2022, the Company did not utilize any capital loss carryforward to offset realized capital gains.</w:t>
      </w:r>
    </w:p>
    <w:p>
      <w:pPr>
        <w:spacing w:after="0" w:line="18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6"/>
          <w:szCs w:val="16"/>
          <w:color w:val="auto"/>
        </w:rPr>
        <w:t>The Company accounts for income taxes in conformity with ASC Topic 740,</w:t>
      </w:r>
      <w:r>
        <w:rPr>
          <w:rFonts w:ascii="Arial" w:cs="Arial" w:eastAsia="Arial" w:hAnsi="Arial"/>
          <w:sz w:val="16"/>
          <w:szCs w:val="16"/>
          <w:color w:val="auto"/>
        </w:rPr>
        <w:t xml:space="preserve">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xml:space="preserve">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There were no material uncertain income tax positions at December 31, 2024, December 31, 2023 or December 31, 2022. Although the Company files federal and state tax returns, the Company's major tax jurisdiction is federal. The previous three tax year-ends and the interim tax period since then remain subject to examination by the Internal Revenue Service.</w:t>
      </w:r>
    </w:p>
    <w:p>
      <w:pPr>
        <w:spacing w:after="0" w:line="17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If the Company does not distribute (or is not deemed to have distributed) each calendar year the sum of</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31" w:name="page132"/>
    <w:bookmarkEnd w:id="13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Segment Reporting</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operates through a single operating and reporting segment with an investment objective to generate returns to stockholders primarily through current income on loans, and secondarily through capital gains on warrants and other equity positions. The Company's Chief Executive Officer is the Company’s Chief Operating Decision Maker (“CODM”). While the Company lends to and separately evaluates the performance of each of its portfolio companies across various industries, including technology, healthcare, business services, financial services, select consumer services and products, the CODM evaluates and monitors performance of the Company's business on an aggregated basis. Further, each investment is evaluated and managed using similar processes and shared operational support functions, such as deal origination, underwriting, monitoring, compliance, in addition to administrative functions, such as human resources, legal, finance and information technology.</w:t>
      </w:r>
    </w:p>
    <w:p>
      <w:pPr>
        <w:spacing w:after="0" w:line="17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CODM uses the Company's "Net investment income" and "Net increase (decrease) in net assets resulting from operations" as reported in the Consolidated Statements of Operations to assess the Company’s performance and when allocating resources. "Net investment income" is comprised of consolidated total investment income (segment revenues) and consolidated total operating expenses (significant segment expenses), which are considered the key segment measures of profit or loss reviewed by the CODM. The information and operating expense categories included in the Company’s Consolidated Statements of Operations are fully reflective of the significant expense categories and amounts that are regularly provided to the CODM. All applicable segment disclosures are included in or can be derived from the Company’s consolidated financial statements.</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132" w:name="page133"/>
    <w:bookmarkEnd w:id="13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Financial Highlights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financial highlights for the years ended December 31, 2016 through 2024 (in thousands, except for per share data and ratios):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4"/>
        </w:trPr>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2020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2017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2016</w:t>
            </w:r>
          </w:p>
        </w:tc>
      </w:tr>
      <w:tr>
        <w:trPr>
          <w:trHeight w:val="132"/>
        </w:trPr>
        <w:tc>
          <w:tcPr>
            <w:tcW w:w="180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1"/>
                <w:szCs w:val="11"/>
                <w:b w:val="1"/>
                <w:bCs w:val="1"/>
                <w:color w:val="auto"/>
              </w:rPr>
              <w:t>Per Share Data</w:t>
            </w:r>
            <w:r>
              <w:rPr>
                <w:rFonts w:ascii="Times New Roman" w:cs="Times New Roman" w:eastAsia="Times New Roman" w:hAnsi="Times New Roman"/>
                <w:sz w:val="14"/>
                <w:szCs w:val="14"/>
                <w:b w:val="1"/>
                <w:bCs w:val="1"/>
                <w:color w:val="auto"/>
                <w:vertAlign w:val="superscript"/>
              </w:rPr>
              <w:t>(1)</w:t>
            </w:r>
            <w:r>
              <w:rPr>
                <w:rFonts w:ascii="Times New Roman" w:cs="Times New Roman" w:eastAsia="Times New Roman" w:hAnsi="Times New Roman"/>
                <w:sz w:val="11"/>
                <w:szCs w:val="11"/>
                <w:b w:val="1"/>
                <w:bCs w:val="1"/>
                <w:color w:val="auto"/>
              </w:rPr>
              <w:t>:</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0"/>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 value at beginning 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4"/>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13.50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14.22</w:t>
            </w:r>
          </w:p>
        </w:tc>
        <w:tc>
          <w:tcPr>
            <w:tcW w:w="20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14.65</w:t>
            </w:r>
          </w:p>
        </w:tc>
        <w:tc>
          <w:tcPr>
            <w:tcW w:w="10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14.84</w:t>
            </w:r>
          </w:p>
        </w:tc>
        <w:tc>
          <w:tcPr>
            <w:tcW w:w="10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14.58</w:t>
            </w:r>
          </w:p>
        </w:tc>
        <w:tc>
          <w:tcPr>
            <w:tcW w:w="10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15.14</w:t>
            </w:r>
          </w:p>
        </w:tc>
        <w:tc>
          <w:tcPr>
            <w:tcW w:w="320" w:type="dxa"/>
            <w:vAlign w:val="bottom"/>
            <w:gridSpan w:val="2"/>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14.66</w:t>
            </w:r>
          </w:p>
        </w:tc>
        <w:tc>
          <w:tcPr>
            <w:tcW w:w="10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10.38</w:t>
            </w:r>
          </w:p>
        </w:tc>
        <w:tc>
          <w:tcPr>
            <w:tcW w:w="100" w:type="dxa"/>
            <w:vAlign w:val="bottom"/>
          </w:tcPr>
          <w:p>
            <w:pPr>
              <w:spacing w:after="0"/>
              <w:rPr>
                <w:sz w:val="11"/>
                <w:szCs w:val="11"/>
                <w:color w:val="auto"/>
              </w:rPr>
            </w:pP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15.00</w:t>
            </w:r>
          </w:p>
        </w:tc>
      </w:tr>
      <w:tr>
        <w:trPr>
          <w:trHeight w:val="132"/>
        </w:trPr>
        <w:tc>
          <w:tcPr>
            <w:tcW w:w="1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investment income</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(0.66)</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(83.81)</w:t>
            </w:r>
          </w:p>
        </w:tc>
      </w:tr>
      <w:tr>
        <w:trPr>
          <w:trHeight w:val="132"/>
        </w:trPr>
        <w:tc>
          <w:tcPr>
            <w:tcW w:w="1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realized gain (loss)</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(0.08)</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change in unrealized gain (loss)</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0.33</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(0.64)</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(0.09)</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0.52</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(0.50)</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0.14</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(0.01)</w:t>
            </w:r>
          </w:p>
        </w:tc>
      </w:tr>
      <w:tr>
        <w:trPr>
          <w:trHeight w:val="132"/>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from investment operations</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0.79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(0.52)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(83.82)</w:t>
            </w:r>
          </w:p>
        </w:tc>
      </w:tr>
      <w:tr>
        <w:trPr>
          <w:trHeight w:val="132"/>
        </w:trPr>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Distributions</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(0.75)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Offering costs</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(0.21)</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r>
      <w:tr>
        <w:trPr>
          <w:trHeight w:val="132"/>
        </w:trPr>
        <w:tc>
          <w:tcPr>
            <w:tcW w:w="1800" w:type="dxa"/>
            <w:vAlign w:val="bottom"/>
          </w:tcPr>
          <w:p>
            <w:pPr>
              <w:ind w:left="100"/>
              <w:spacing w:after="0" w:line="132" w:lineRule="exact"/>
              <w:rPr>
                <w:sz w:val="20"/>
                <w:szCs w:val="20"/>
                <w:color w:val="auto"/>
              </w:rPr>
            </w:pPr>
            <w:r>
              <w:rPr>
                <w:rFonts w:ascii="Times New Roman" w:cs="Times New Roman" w:eastAsia="Times New Roman" w:hAnsi="Times New Roman"/>
                <w:sz w:val="11"/>
                <w:szCs w:val="11"/>
                <w:color w:val="auto"/>
              </w:rPr>
              <w:t xml:space="preserve">Accretion (dilution), net </w:t>
            </w:r>
            <w:r>
              <w:rPr>
                <w:rFonts w:ascii="Times New Roman" w:cs="Times New Roman" w:eastAsia="Times New Roman" w:hAnsi="Times New Roman"/>
                <w:sz w:val="14"/>
                <w:szCs w:val="14"/>
                <w:color w:val="auto"/>
                <w:vertAlign w:val="superscript"/>
              </w:rPr>
              <w:t>(2)</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0.19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(0.03)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4.80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79.20</w:t>
            </w:r>
          </w:p>
        </w:tc>
      </w:tr>
      <w:tr>
        <w:trPr>
          <w:trHeight w:val="172"/>
        </w:trPr>
        <w:tc>
          <w:tcPr>
            <w:tcW w:w="1800" w:type="dxa"/>
            <w:vAlign w:val="bottom"/>
            <w:tcBorders>
              <w:bottom w:val="single" w:sz="8" w:color="CFF0FC"/>
            </w:tcBorders>
            <w:shd w:val="clear" w:color="auto" w:fill="CFF0FC"/>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Net asset value at end of period</w:t>
            </w:r>
          </w:p>
        </w:tc>
        <w:tc>
          <w:tcPr>
            <w:tcW w:w="160" w:type="dxa"/>
            <w:vAlign w:val="bottom"/>
            <w:tcBorders>
              <w:bottom w:val="single" w:sz="8" w:color="auto"/>
            </w:tcBorders>
            <w:shd w:val="clear" w:color="auto" w:fill="CFF0FC"/>
          </w:tcPr>
          <w:p>
            <w:pPr>
              <w:jc w:val="right"/>
              <w:ind w:right="26"/>
              <w:spacing w:after="0" w:line="11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13.79</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FF0FC"/>
          </w:tcPr>
          <w:p>
            <w:pPr>
              <w:jc w:val="right"/>
              <w:spacing w:after="0" w:line="112" w:lineRule="exact"/>
              <w:rPr>
                <w:sz w:val="20"/>
                <w:szCs w:val="20"/>
                <w:color w:val="auto"/>
              </w:rPr>
            </w:pPr>
            <w:r>
              <w:rPr>
                <w:rFonts w:ascii="Times New Roman" w:cs="Times New Roman" w:eastAsia="Times New Roman" w:hAnsi="Times New Roman"/>
                <w:sz w:val="11"/>
                <w:szCs w:val="11"/>
                <w:color w:val="auto"/>
              </w:rPr>
              <w:t>13.50</w:t>
            </w: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8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rPr>
              <w:t>14.22</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26"/>
              <w:spacing w:after="0" w:line="112" w:lineRule="exact"/>
              <w:rPr>
                <w:sz w:val="20"/>
                <w:szCs w:val="20"/>
                <w:color w:val="auto"/>
              </w:rPr>
            </w:pPr>
            <w:r>
              <w:rPr>
                <w:rFonts w:ascii="Times New Roman" w:cs="Times New Roman" w:eastAsia="Times New Roman" w:hAnsi="Times New Roman"/>
                <w:sz w:val="11"/>
                <w:szCs w:val="11"/>
                <w:color w:val="auto"/>
              </w:rPr>
              <w:t>14.65</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FF0FC"/>
          </w:tcPr>
          <w:p>
            <w:pPr>
              <w:jc w:val="right"/>
              <w:ind w:right="26"/>
              <w:spacing w:after="0" w:line="112" w:lineRule="exact"/>
              <w:rPr>
                <w:sz w:val="20"/>
                <w:szCs w:val="20"/>
                <w:color w:val="auto"/>
              </w:rPr>
            </w:pPr>
            <w:r>
              <w:rPr>
                <w:rFonts w:ascii="Times New Roman" w:cs="Times New Roman" w:eastAsia="Times New Roman" w:hAnsi="Times New Roman"/>
                <w:sz w:val="11"/>
                <w:szCs w:val="11"/>
                <w:color w:val="auto"/>
              </w:rPr>
              <w:t>14.84</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ind w:right="6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FF0FC"/>
          </w:tcPr>
          <w:p>
            <w:pPr>
              <w:jc w:val="right"/>
              <w:ind w:right="126"/>
              <w:spacing w:after="0" w:line="112" w:lineRule="exact"/>
              <w:rPr>
                <w:sz w:val="20"/>
                <w:szCs w:val="20"/>
                <w:color w:val="auto"/>
              </w:rPr>
            </w:pPr>
            <w:r>
              <w:rPr>
                <w:rFonts w:ascii="Times New Roman" w:cs="Times New Roman" w:eastAsia="Times New Roman" w:hAnsi="Times New Roman"/>
                <w:sz w:val="11"/>
                <w:szCs w:val="11"/>
                <w:color w:val="auto"/>
              </w:rPr>
              <w:t>14.58</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ind w:right="46"/>
              <w:spacing w:after="0" w:line="112" w:lineRule="exact"/>
              <w:rPr>
                <w:sz w:val="20"/>
                <w:szCs w:val="20"/>
                <w:color w:val="auto"/>
              </w:rPr>
            </w:pPr>
            <w:r>
              <w:rPr>
                <w:rFonts w:ascii="Times New Roman" w:cs="Times New Roman" w:eastAsia="Times New Roman" w:hAnsi="Times New Roman"/>
                <w:sz w:val="11"/>
                <w:szCs w:val="11"/>
                <w:color w:val="auto"/>
              </w:rPr>
              <w:t>15.14</w:t>
            </w: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106"/>
              <w:spacing w:after="0" w:line="11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ind w:right="26"/>
              <w:spacing w:after="0" w:line="112" w:lineRule="exact"/>
              <w:rPr>
                <w:sz w:val="20"/>
                <w:szCs w:val="20"/>
                <w:color w:val="auto"/>
              </w:rPr>
            </w:pPr>
            <w:r>
              <w:rPr>
                <w:rFonts w:ascii="Times New Roman" w:cs="Times New Roman" w:eastAsia="Times New Roman" w:hAnsi="Times New Roman"/>
                <w:sz w:val="11"/>
                <w:szCs w:val="11"/>
                <w:color w:val="auto"/>
              </w:rPr>
              <w:t>14.66</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jc w:val="right"/>
              <w:ind w:right="106"/>
              <w:spacing w:after="0" w:line="11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ind w:right="106"/>
              <w:spacing w:after="0" w:line="112" w:lineRule="exact"/>
              <w:rPr>
                <w:sz w:val="20"/>
                <w:szCs w:val="20"/>
                <w:color w:val="auto"/>
              </w:rPr>
            </w:pPr>
            <w:r>
              <w:rPr>
                <w:rFonts w:ascii="Times New Roman" w:cs="Times New Roman" w:eastAsia="Times New Roman" w:hAnsi="Times New Roman"/>
                <w:sz w:val="11"/>
                <w:szCs w:val="11"/>
                <w:color w:val="auto"/>
              </w:rPr>
              <w:t>10.38</w:t>
            </w:r>
          </w:p>
        </w:tc>
      </w:tr>
      <w:tr>
        <w:trPr>
          <w:trHeight w:val="108"/>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32"/>
        </w:trPr>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Ratio/Supplemental Data:</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20"/>
        </w:trPr>
        <w:tc>
          <w:tcPr>
            <w:tcW w:w="180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Total return based on net asset</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4"/>
        </w:trPr>
        <w:tc>
          <w:tcPr>
            <w:tcW w:w="1800" w:type="dxa"/>
            <w:vAlign w:val="bottom"/>
          </w:tcPr>
          <w:p>
            <w:pPr>
              <w:ind w:left="100"/>
              <w:spacing w:after="0" w:line="144" w:lineRule="exact"/>
              <w:rPr>
                <w:sz w:val="20"/>
                <w:szCs w:val="20"/>
                <w:color w:val="auto"/>
              </w:rPr>
            </w:pPr>
            <w:r>
              <w:rPr>
                <w:rFonts w:ascii="Times New Roman" w:cs="Times New Roman" w:eastAsia="Times New Roman" w:hAnsi="Times New Roman"/>
                <w:sz w:val="11"/>
                <w:szCs w:val="11"/>
                <w:color w:val="auto"/>
              </w:rPr>
              <w:t>value</w:t>
            </w:r>
            <w:r>
              <w:rPr>
                <w:rFonts w:ascii="Times New Roman" w:cs="Times New Roman" w:eastAsia="Times New Roman" w:hAnsi="Times New Roman"/>
                <w:sz w:val="14"/>
                <w:szCs w:val="14"/>
                <w:color w:val="auto"/>
                <w:vertAlign w:val="superscript"/>
              </w:rPr>
              <w:t>(3)</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15.41%</w:t>
            </w:r>
          </w:p>
        </w:tc>
        <w:tc>
          <w:tcPr>
            <w:tcW w:w="12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7.67 %</w:t>
            </w: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5.67 %</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7.68 %</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12.00%</w:t>
            </w:r>
          </w:p>
        </w:tc>
        <w:tc>
          <w:tcPr>
            <w:tcW w:w="18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10.83%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8.39 %</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41.23%</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(30.80) %</w:t>
            </w:r>
          </w:p>
        </w:tc>
      </w:tr>
      <w:tr>
        <w:trPr>
          <w:trHeight w:val="132"/>
        </w:trPr>
        <w:tc>
          <w:tcPr>
            <w:tcW w:w="1800" w:type="dxa"/>
            <w:vAlign w:val="bottom"/>
            <w:shd w:val="clear" w:color="auto" w:fill="CFF0FC"/>
          </w:tcPr>
          <w:p>
            <w:pPr>
              <w:ind w:left="100"/>
              <w:spacing w:after="0" w:line="132" w:lineRule="exact"/>
              <w:rPr>
                <w:sz w:val="20"/>
                <w:szCs w:val="20"/>
                <w:color w:val="auto"/>
              </w:rPr>
            </w:pPr>
            <w:r>
              <w:rPr>
                <w:rFonts w:ascii="Times New Roman" w:cs="Times New Roman" w:eastAsia="Times New Roman" w:hAnsi="Times New Roman"/>
                <w:sz w:val="11"/>
                <w:szCs w:val="11"/>
                <w:color w:val="auto"/>
              </w:rPr>
              <w:t>Total return based on market value</w:t>
            </w:r>
            <w:r>
              <w:rPr>
                <w:rFonts w:ascii="Times New Roman" w:cs="Times New Roman" w:eastAsia="Times New Roman" w:hAnsi="Times New Roman"/>
                <w:sz w:val="14"/>
                <w:szCs w:val="14"/>
                <w:color w:val="auto"/>
                <w:vertAlign w:val="superscript"/>
              </w:rPr>
              <w:t>(4)</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1.03 %</w:t>
            </w: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24.50%</w:t>
            </w:r>
          </w:p>
        </w:tc>
        <w:tc>
          <w:tcPr>
            <w:tcW w:w="2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0.23 %</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N/A</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N/A</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N/A</w:t>
            </w:r>
          </w:p>
        </w:tc>
        <w:tc>
          <w:tcPr>
            <w:tcW w:w="22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N/A</w:t>
            </w:r>
          </w:p>
        </w:tc>
      </w:tr>
      <w:tr>
        <w:trPr>
          <w:trHeight w:val="120"/>
        </w:trPr>
        <w:tc>
          <w:tcPr>
            <w:tcW w:w="180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Ratio of net investment income to</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4"/>
        </w:trPr>
        <w:tc>
          <w:tcPr>
            <w:tcW w:w="1800" w:type="dxa"/>
            <w:vAlign w:val="bottom"/>
          </w:tcPr>
          <w:p>
            <w:pPr>
              <w:ind w:left="100"/>
              <w:spacing w:after="0" w:line="144" w:lineRule="exact"/>
              <w:rPr>
                <w:sz w:val="20"/>
                <w:szCs w:val="20"/>
                <w:color w:val="auto"/>
              </w:rPr>
            </w:pPr>
            <w:r>
              <w:rPr>
                <w:rFonts w:ascii="Times New Roman" w:cs="Times New Roman" w:eastAsia="Times New Roman" w:hAnsi="Times New Roman"/>
                <w:sz w:val="11"/>
                <w:szCs w:val="11"/>
                <w:color w:val="auto"/>
              </w:rPr>
              <w:t>average net assets</w:t>
            </w:r>
            <w:r>
              <w:rPr>
                <w:rFonts w:ascii="Times New Roman" w:cs="Times New Roman" w:eastAsia="Times New Roman" w:hAnsi="Times New Roman"/>
                <w:sz w:val="14"/>
                <w:szCs w:val="14"/>
                <w:color w:val="auto"/>
                <w:vertAlign w:val="superscript"/>
              </w:rPr>
              <w:t>(5)(6)</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12.30%</w:t>
            </w:r>
          </w:p>
        </w:tc>
        <w:tc>
          <w:tcPr>
            <w:tcW w:w="12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13.62%</w:t>
            </w: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10.14%</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8.74 %</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9.44 %</w:t>
            </w:r>
          </w:p>
        </w:tc>
        <w:tc>
          <w:tcPr>
            <w:tcW w:w="18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12.85%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8.30 %</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(595.90) %</w:t>
            </w:r>
          </w:p>
        </w:tc>
      </w:tr>
      <w:tr>
        <w:trPr>
          <w:trHeight w:val="120"/>
        </w:trPr>
        <w:tc>
          <w:tcPr>
            <w:tcW w:w="180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1"/>
                <w:szCs w:val="11"/>
                <w:color w:val="auto"/>
              </w:rPr>
              <w:t>Ratio of total operating expenses to</w:t>
            </w: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44"/>
        </w:trPr>
        <w:tc>
          <w:tcPr>
            <w:tcW w:w="180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1"/>
                <w:szCs w:val="11"/>
                <w:color w:val="auto"/>
              </w:rPr>
              <w:t>average net assets</w:t>
            </w:r>
            <w:r>
              <w:rPr>
                <w:rFonts w:ascii="Times New Roman" w:cs="Times New Roman" w:eastAsia="Times New Roman" w:hAnsi="Times New Roman"/>
                <w:sz w:val="14"/>
                <w:szCs w:val="14"/>
                <w:color w:val="auto"/>
                <w:vertAlign w:val="superscript"/>
              </w:rPr>
              <w:t>(5)(6)</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15.60%</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14.96%</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8.13 %</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5.23 %</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4.85 %</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6.58 %</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6.42 %</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12.46%</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595.90 %</w:t>
            </w:r>
          </w:p>
        </w:tc>
      </w:tr>
      <w:tr>
        <w:trPr>
          <w:trHeight w:val="132"/>
        </w:trPr>
        <w:tc>
          <w:tcPr>
            <w:tcW w:w="1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Ratio of total operating expenses,</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0"/>
        </w:trPr>
        <w:tc>
          <w:tcPr>
            <w:tcW w:w="1800" w:type="dxa"/>
            <w:vAlign w:val="bottom"/>
          </w:tcPr>
          <w:p>
            <w:pPr>
              <w:ind w:left="100"/>
              <w:spacing w:after="0" w:line="120" w:lineRule="exact"/>
              <w:rPr>
                <w:sz w:val="20"/>
                <w:szCs w:val="20"/>
                <w:color w:val="auto"/>
              </w:rPr>
            </w:pPr>
            <w:r>
              <w:rPr>
                <w:rFonts w:ascii="Times New Roman" w:cs="Times New Roman" w:eastAsia="Times New Roman" w:hAnsi="Times New Roman"/>
                <w:sz w:val="11"/>
                <w:szCs w:val="11"/>
                <w:color w:val="auto"/>
              </w:rPr>
              <w:t>excluding incentive fees, to average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44"/>
        </w:trPr>
        <w:tc>
          <w:tcPr>
            <w:tcW w:w="1800" w:type="dxa"/>
            <w:vAlign w:val="bottom"/>
          </w:tcPr>
          <w:p>
            <w:pPr>
              <w:ind w:left="100"/>
              <w:spacing w:after="0" w:line="144" w:lineRule="exact"/>
              <w:rPr>
                <w:sz w:val="20"/>
                <w:szCs w:val="20"/>
                <w:color w:val="auto"/>
              </w:rPr>
            </w:pPr>
            <w:r>
              <w:rPr>
                <w:rFonts w:ascii="Times New Roman" w:cs="Times New Roman" w:eastAsia="Times New Roman" w:hAnsi="Times New Roman"/>
                <w:sz w:val="11"/>
                <w:szCs w:val="11"/>
                <w:color w:val="auto"/>
              </w:rPr>
              <w:t>net assets</w:t>
            </w:r>
            <w:r>
              <w:rPr>
                <w:rFonts w:ascii="Times New Roman" w:cs="Times New Roman" w:eastAsia="Times New Roman" w:hAnsi="Times New Roman"/>
                <w:sz w:val="14"/>
                <w:szCs w:val="14"/>
                <w:color w:val="auto"/>
                <w:vertAlign w:val="superscript"/>
              </w:rPr>
              <w:t>(5)</w:t>
            </w:r>
          </w:p>
        </w:tc>
        <w:tc>
          <w:tcPr>
            <w:tcW w:w="1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12.79%</w:t>
            </w:r>
          </w:p>
        </w:tc>
        <w:tc>
          <w:tcPr>
            <w:tcW w:w="12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11.64%</w:t>
            </w:r>
          </w:p>
        </w:tc>
        <w:tc>
          <w:tcPr>
            <w:tcW w:w="200" w:type="dxa"/>
            <w:vAlign w:val="bottom"/>
          </w:tcPr>
          <w:p>
            <w:pPr>
              <w:spacing w:after="0"/>
              <w:rPr>
                <w:sz w:val="12"/>
                <w:szCs w:val="1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5.90 %</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3.41 %</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3.05 %</w:t>
            </w:r>
          </w:p>
        </w:tc>
        <w:tc>
          <w:tcPr>
            <w:tcW w:w="180" w:type="dxa"/>
            <w:vAlign w:val="bottom"/>
          </w:tcPr>
          <w:p>
            <w:pPr>
              <w:spacing w:after="0"/>
              <w:rPr>
                <w:sz w:val="12"/>
                <w:szCs w:val="12"/>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3.64 %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5.42 %</w:t>
            </w:r>
          </w:p>
        </w:tc>
        <w:tc>
          <w:tcPr>
            <w:tcW w:w="22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12.46%</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595.90 %</w:t>
            </w:r>
          </w:p>
        </w:tc>
      </w:tr>
      <w:tr>
        <w:trPr>
          <w:trHeight w:val="132"/>
        </w:trPr>
        <w:tc>
          <w:tcPr>
            <w:tcW w:w="1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Ratio of net increase (decrease) in net</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20"/>
        </w:trPr>
        <w:tc>
          <w:tcPr>
            <w:tcW w:w="1800" w:type="dxa"/>
            <w:vAlign w:val="bottom"/>
            <w:shd w:val="clear" w:color="auto" w:fill="CFF0FC"/>
          </w:tcPr>
          <w:p>
            <w:pPr>
              <w:ind w:left="100"/>
              <w:spacing w:after="0" w:line="120" w:lineRule="exact"/>
              <w:rPr>
                <w:sz w:val="20"/>
                <w:szCs w:val="20"/>
                <w:color w:val="auto"/>
              </w:rPr>
            </w:pPr>
            <w:r>
              <w:rPr>
                <w:rFonts w:ascii="Times New Roman" w:cs="Times New Roman" w:eastAsia="Times New Roman" w:hAnsi="Times New Roman"/>
                <w:sz w:val="11"/>
                <w:szCs w:val="11"/>
                <w:color w:val="auto"/>
              </w:rPr>
              <w:t>assets resulting from operations to</w:t>
            </w: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r>
      <w:tr>
        <w:trPr>
          <w:trHeight w:val="144"/>
        </w:trPr>
        <w:tc>
          <w:tcPr>
            <w:tcW w:w="180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1"/>
                <w:szCs w:val="11"/>
                <w:color w:val="auto"/>
              </w:rPr>
              <w:t>average net assets</w:t>
            </w:r>
            <w:r>
              <w:rPr>
                <w:rFonts w:ascii="Times New Roman" w:cs="Times New Roman" w:eastAsia="Times New Roman" w:hAnsi="Times New Roman"/>
                <w:sz w:val="14"/>
                <w:szCs w:val="14"/>
                <w:color w:val="auto"/>
                <w:vertAlign w:val="superscript"/>
              </w:rPr>
              <w:t>(5)(6)</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14.20%</w:t>
            </w:r>
          </w:p>
        </w:tc>
        <w:tc>
          <w:tcPr>
            <w:tcW w:w="12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7.72 %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5.47 %</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8.97 %</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11.65%</w:t>
            </w: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9.74 %</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8.34 %</w:t>
            </w:r>
          </w:p>
        </w:tc>
        <w:tc>
          <w:tcPr>
            <w:tcW w:w="2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(3.56)%</w:t>
            </w:r>
          </w:p>
        </w:tc>
        <w:tc>
          <w:tcPr>
            <w:tcW w:w="2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(595.90) %</w:t>
            </w:r>
          </w:p>
        </w:tc>
      </w:tr>
      <w:tr>
        <w:trPr>
          <w:trHeight w:val="132"/>
        </w:trPr>
        <w:tc>
          <w:tcPr>
            <w:tcW w:w="1800" w:type="dxa"/>
            <w:vAlign w:val="bottom"/>
          </w:tcPr>
          <w:p>
            <w:pPr>
              <w:ind w:left="100"/>
              <w:spacing w:after="0" w:line="132" w:lineRule="exact"/>
              <w:rPr>
                <w:sz w:val="20"/>
                <w:szCs w:val="20"/>
                <w:color w:val="auto"/>
              </w:rPr>
            </w:pPr>
            <w:r>
              <w:rPr>
                <w:rFonts w:ascii="Times New Roman" w:cs="Times New Roman" w:eastAsia="Times New Roman" w:hAnsi="Times New Roman"/>
                <w:sz w:val="11"/>
                <w:szCs w:val="11"/>
                <w:color w:val="auto"/>
              </w:rPr>
              <w:t>Portfolio turnover rate</w:t>
            </w:r>
            <w:r>
              <w:rPr>
                <w:rFonts w:ascii="Times New Roman" w:cs="Times New Roman" w:eastAsia="Times New Roman" w:hAnsi="Times New Roman"/>
                <w:sz w:val="14"/>
                <w:szCs w:val="14"/>
                <w:color w:val="auto"/>
                <w:vertAlign w:val="superscript"/>
              </w:rPr>
              <w:t>(7)</w:t>
            </w:r>
          </w:p>
        </w:tc>
        <w:tc>
          <w:tcPr>
            <w:tcW w:w="16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22.06%</w:t>
            </w:r>
          </w:p>
        </w:tc>
        <w:tc>
          <w:tcPr>
            <w:tcW w:w="12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18.61%</w:t>
            </w:r>
          </w:p>
        </w:tc>
        <w:tc>
          <w:tcPr>
            <w:tcW w:w="200" w:type="dxa"/>
            <w:vAlign w:val="bottom"/>
          </w:tcPr>
          <w:p>
            <w:pPr>
              <w:spacing w:after="0"/>
              <w:rPr>
                <w:sz w:val="11"/>
                <w:szCs w:val="1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19.17%</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52.05%</w:t>
            </w:r>
          </w:p>
        </w:tc>
        <w:tc>
          <w:tcPr>
            <w:tcW w:w="220" w:type="dxa"/>
            <w:vAlign w:val="bottom"/>
          </w:tcPr>
          <w:p>
            <w:pPr>
              <w:spacing w:after="0"/>
              <w:rPr>
                <w:sz w:val="11"/>
                <w:szCs w:val="11"/>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26.31%</w:t>
            </w:r>
          </w:p>
        </w:tc>
        <w:tc>
          <w:tcPr>
            <w:tcW w:w="180" w:type="dxa"/>
            <w:vAlign w:val="bottom"/>
          </w:tcPr>
          <w:p>
            <w:pPr>
              <w:spacing w:after="0"/>
              <w:rPr>
                <w:sz w:val="11"/>
                <w:szCs w:val="11"/>
                <w:color w:val="auto"/>
              </w:rPr>
            </w:pPr>
          </w:p>
        </w:tc>
        <w:tc>
          <w:tcPr>
            <w:tcW w:w="7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35.72%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14.08%</w:t>
            </w:r>
          </w:p>
        </w:tc>
        <w:tc>
          <w:tcPr>
            <w:tcW w:w="22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206.80 %</w:t>
            </w:r>
          </w:p>
        </w:tc>
        <w:tc>
          <w:tcPr>
            <w:tcW w:w="240" w:type="dxa"/>
            <w:vAlign w:val="bottom"/>
          </w:tcPr>
          <w:p>
            <w:pPr>
              <w:spacing w:after="0"/>
              <w:rPr>
                <w:sz w:val="11"/>
                <w:szCs w:val="11"/>
                <w:color w:val="auto"/>
              </w:rPr>
            </w:pP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N/A</w:t>
            </w:r>
          </w:p>
        </w:tc>
      </w:tr>
      <w:tr>
        <w:trPr>
          <w:trHeight w:val="132"/>
        </w:trPr>
        <w:tc>
          <w:tcPr>
            <w:tcW w:w="1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gridSpan w:val="2"/>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20" w:type="dxa"/>
            <w:vAlign w:val="bottom"/>
            <w:gridSpan w:val="2"/>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assets at beginning of period</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547,071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576,052</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606,195</w:t>
            </w:r>
          </w:p>
        </w:tc>
        <w:tc>
          <w:tcPr>
            <w:tcW w:w="100" w:type="dxa"/>
            <w:vAlign w:val="bottom"/>
          </w:tcPr>
          <w:p>
            <w:pPr>
              <w:spacing w:after="0"/>
              <w:rPr>
                <w:sz w:val="11"/>
                <w:szCs w:val="11"/>
                <w:color w:val="auto"/>
              </w:rPr>
            </w:pP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466,244</w:t>
            </w:r>
          </w:p>
        </w:tc>
        <w:tc>
          <w:tcPr>
            <w:tcW w:w="100" w:type="dxa"/>
            <w:vAlign w:val="bottom"/>
          </w:tcPr>
          <w:p>
            <w:pPr>
              <w:spacing w:after="0"/>
              <w:rPr>
                <w:sz w:val="11"/>
                <w:szCs w:val="1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376,313</w:t>
            </w:r>
          </w:p>
        </w:tc>
        <w:tc>
          <w:tcPr>
            <w:tcW w:w="100" w:type="dxa"/>
            <w:vAlign w:val="bottom"/>
          </w:tcPr>
          <w:p>
            <w:pPr>
              <w:spacing w:after="0"/>
              <w:rPr>
                <w:sz w:val="11"/>
                <w:szCs w:val="11"/>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167,369</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127,040</w:t>
            </w:r>
          </w:p>
        </w:tc>
        <w:tc>
          <w:tcPr>
            <w:tcW w:w="100" w:type="dxa"/>
            <w:vAlign w:val="bottom"/>
          </w:tcPr>
          <w:p>
            <w:pPr>
              <w:spacing w:after="0"/>
              <w:rPr>
                <w:sz w:val="11"/>
                <w:szCs w:val="11"/>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3,477</w:t>
            </w:r>
          </w:p>
        </w:tc>
        <w:tc>
          <w:tcPr>
            <w:tcW w:w="100" w:type="dxa"/>
            <w:vAlign w:val="bottom"/>
          </w:tcPr>
          <w:p>
            <w:pPr>
              <w:spacing w:after="0"/>
              <w:rPr>
                <w:sz w:val="11"/>
                <w:szCs w:val="11"/>
                <w:color w:val="auto"/>
              </w:rPr>
            </w:pP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25</w:t>
            </w:r>
          </w:p>
        </w:tc>
      </w:tr>
      <w:tr>
        <w:trPr>
          <w:trHeight w:val="132"/>
        </w:trPr>
        <w:tc>
          <w:tcPr>
            <w:tcW w:w="1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Net assets at end of period</w:t>
            </w:r>
          </w:p>
        </w:tc>
        <w:tc>
          <w:tcPr>
            <w:tcW w:w="16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514,869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547,071</w:t>
            </w:r>
          </w:p>
        </w:tc>
        <w:tc>
          <w:tcPr>
            <w:tcW w:w="20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576,052</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606,195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466,244</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376,313</w:t>
            </w:r>
          </w:p>
        </w:tc>
        <w:tc>
          <w:tcPr>
            <w:tcW w:w="32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167,369</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127,040</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3,477</w:t>
            </w:r>
          </w:p>
        </w:tc>
      </w:tr>
      <w:tr>
        <w:trPr>
          <w:trHeight w:val="156"/>
        </w:trPr>
        <w:tc>
          <w:tcPr>
            <w:tcW w:w="18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Weighted average net assets</w:t>
            </w:r>
          </w:p>
        </w:tc>
        <w:tc>
          <w:tcPr>
            <w:tcW w:w="1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518,381</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574,594</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589,669</w:t>
            </w:r>
          </w:p>
        </w:tc>
        <w:tc>
          <w:tcPr>
            <w:tcW w:w="100" w:type="dxa"/>
            <w:vAlign w:val="bottom"/>
          </w:tcPr>
          <w:p>
            <w:pPr>
              <w:spacing w:after="0"/>
              <w:rPr>
                <w:sz w:val="13"/>
                <w:szCs w:val="13"/>
                <w:color w:val="auto"/>
              </w:rPr>
            </w:pPr>
          </w:p>
        </w:tc>
        <w:tc>
          <w:tcPr>
            <w:tcW w:w="2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508,836</w:t>
            </w:r>
          </w:p>
        </w:tc>
        <w:tc>
          <w:tcPr>
            <w:tcW w:w="10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403,188</w:t>
            </w:r>
          </w:p>
        </w:tc>
        <w:tc>
          <w:tcPr>
            <w:tcW w:w="100" w:type="dxa"/>
            <w:vAlign w:val="bottom"/>
          </w:tcPr>
          <w:p>
            <w:pPr>
              <w:spacing w:after="0"/>
              <w:rPr>
                <w:sz w:val="13"/>
                <w:szCs w:val="13"/>
                <w:color w:val="auto"/>
              </w:rPr>
            </w:pPr>
          </w:p>
        </w:tc>
        <w:tc>
          <w:tcPr>
            <w:tcW w:w="1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rPr>
              <w:t>283,774</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141,046</w:t>
            </w:r>
          </w:p>
        </w:tc>
        <w:tc>
          <w:tcPr>
            <w:tcW w:w="10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40,389</w:t>
            </w:r>
          </w:p>
        </w:tc>
        <w:tc>
          <w:tcPr>
            <w:tcW w:w="100" w:type="dxa"/>
            <w:vAlign w:val="bottom"/>
          </w:tcPr>
          <w:p>
            <w:pPr>
              <w:spacing w:after="0"/>
              <w:rPr>
                <w:sz w:val="13"/>
                <w:szCs w:val="13"/>
                <w:color w:val="auto"/>
              </w:rPr>
            </w:pP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152</w:t>
            </w:r>
          </w:p>
        </w:tc>
      </w:tr>
      <w:tr>
        <w:trPr>
          <w:trHeight w:val="132"/>
        </w:trPr>
        <w:tc>
          <w:tcPr>
            <w:tcW w:w="1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Weighted average shares outstanding</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32"/>
        </w:trPr>
        <w:tc>
          <w:tcPr>
            <w:tcW w:w="1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for the period, basic</w:t>
            </w: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38,852,271</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40,509,269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40,971,242</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34,183,358</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27,617,425</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26"/>
              <w:spacing w:after="0"/>
              <w:rPr>
                <w:sz w:val="20"/>
                <w:szCs w:val="20"/>
                <w:color w:val="auto"/>
              </w:rPr>
            </w:pPr>
            <w:r>
              <w:rPr>
                <w:rFonts w:ascii="Times New Roman" w:cs="Times New Roman" w:eastAsia="Times New Roman" w:hAnsi="Times New Roman"/>
                <w:sz w:val="11"/>
                <w:szCs w:val="11"/>
                <w:color w:val="auto"/>
              </w:rPr>
              <w:t>18,701,021</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9,300,960</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2,795,274</w:t>
            </w:r>
          </w:p>
        </w:tc>
        <w:tc>
          <w:tcPr>
            <w:tcW w:w="1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106"/>
              <w:spacing w:after="0"/>
              <w:rPr>
                <w:sz w:val="20"/>
                <w:szCs w:val="20"/>
                <w:color w:val="auto"/>
              </w:rPr>
            </w:pPr>
            <w:r>
              <w:rPr>
                <w:rFonts w:ascii="Times New Roman" w:cs="Times New Roman" w:eastAsia="Times New Roman" w:hAnsi="Times New Roman"/>
                <w:sz w:val="11"/>
                <w:szCs w:val="11"/>
                <w:color w:val="auto"/>
              </w:rPr>
              <w:t>10,774</w:t>
            </w:r>
          </w:p>
        </w:tc>
      </w:tr>
      <w:tr>
        <w:trPr>
          <w:trHeight w:val="36"/>
        </w:trPr>
        <w:tc>
          <w:tcPr>
            <w:tcW w:w="18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r>
    </w:tbl>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All per share activity, excluding dividends, is calculated based on the weighted-average shares outstanding for the relevant period.</w:t>
      </w:r>
    </w:p>
    <w:p>
      <w:pPr>
        <w:ind w:left="360"/>
        <w:spacing w:after="0" w:line="226"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Net accretion (dilution) represents the effect of issuance and repurchase of common stock.</w:t>
      </w:r>
    </w:p>
    <w:p>
      <w:pPr>
        <w:ind w:left="360"/>
        <w:spacing w:after="0" w:line="226" w:lineRule="auto"/>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3"/>
          <w:szCs w:val="13"/>
          <w:color w:val="auto"/>
        </w:rPr>
        <w:t>Total return based on net asset value is calculated as the change in net asset value per share during the period plus dividends per share, divided by the beginning net asset values per share.</w:t>
      </w:r>
    </w:p>
    <w:p>
      <w:pPr>
        <w:spacing w:after="0" w:line="1" w:lineRule="exact"/>
        <w:rPr>
          <w:sz w:val="20"/>
          <w:szCs w:val="20"/>
          <w:color w:val="auto"/>
        </w:rPr>
      </w:pPr>
    </w:p>
    <w:p>
      <w:pPr>
        <w:ind w:left="360" w:right="80"/>
        <w:spacing w:after="0" w:line="187" w:lineRule="auto"/>
        <w:rPr>
          <w:sz w:val="20"/>
          <w:szCs w:val="20"/>
          <w:color w:val="auto"/>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3"/>
          <w:szCs w:val="13"/>
          <w:color w:val="auto"/>
        </w:rPr>
        <w:t>Total return based on market value is calculated as the change in market value per share during the period plus dividends per share, divided by the beginning market value per share. For the periods 2021 and prior, total return based on market value is not applicable as the Company was not yet public for the entirety of the period.</w:t>
      </w:r>
    </w:p>
    <w:p>
      <w:pPr>
        <w:spacing w:after="0" w:line="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3"/>
          <w:szCs w:val="13"/>
          <w:color w:val="auto"/>
        </w:rPr>
        <w:t>The ratios are calculated based on weighted average net assets for the relevant period.</w:t>
      </w:r>
    </w:p>
    <w:p>
      <w:pPr>
        <w:ind w:left="360" w:right="520"/>
        <w:spacing w:after="0" w:line="187" w:lineRule="auto"/>
        <w:rPr>
          <w:sz w:val="20"/>
          <w:szCs w:val="20"/>
          <w:color w:val="auto"/>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3"/>
          <w:szCs w:val="13"/>
          <w:color w:val="auto"/>
        </w:rPr>
        <w:t>The ratio includes incentive fees and as incentive fees are performance driven, the amount expensed in future periods may vary significantly and is dependent on overall investment performance, early terminations, scheduled prepayments and other liquidity events.</w:t>
      </w:r>
    </w:p>
    <w:p>
      <w:pPr>
        <w:spacing w:after="0" w:line="80" w:lineRule="exact"/>
        <w:rPr>
          <w:sz w:val="20"/>
          <w:szCs w:val="20"/>
          <w:color w:val="auto"/>
        </w:rPr>
      </w:pPr>
    </w:p>
    <w:p>
      <w:pPr>
        <w:ind w:left="360" w:right="260"/>
        <w:spacing w:after="0" w:line="195" w:lineRule="auto"/>
        <w:rPr>
          <w:sz w:val="20"/>
          <w:szCs w:val="20"/>
          <w:color w:val="auto"/>
        </w:rPr>
      </w:pPr>
      <w:r>
        <w:rPr>
          <w:rFonts w:ascii="Times New Roman" w:cs="Times New Roman" w:eastAsia="Times New Roman" w:hAnsi="Times New Roman"/>
          <w:sz w:val="31"/>
          <w:szCs w:val="31"/>
          <w:color w:val="auto"/>
          <w:vertAlign w:val="superscript"/>
        </w:rPr>
        <w:t>(7)</w:t>
      </w:r>
      <w:r>
        <w:rPr>
          <w:rFonts w:ascii="Times New Roman" w:cs="Times New Roman" w:eastAsia="Times New Roman" w:hAnsi="Times New Roman"/>
          <w:sz w:val="13"/>
          <w:szCs w:val="13"/>
          <w:color w:val="auto"/>
        </w:rPr>
        <w:t>The portfolio turnover rate for the period is calculated by taking the lesser of investment portfolio purchases or sales during the period, divided by the average investment portfolio value during the period.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33" w:name="page134"/>
    <w:bookmarkEnd w:id="13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 xml:space="preserve"> Subsequent Events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evaluated events subsequent to December 31, 2024 through March 20, 2025, the date the consolidated financial statements were issued.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On March 20, 2025, the Board of Directors declared a regular distribution of $0.33 per share for stockholders of record as of March 31, 2025 payable on or before April 14, 2025.</w:t>
      </w:r>
    </w:p>
    <w:p>
      <w:pPr>
        <w:spacing w:after="0" w:line="15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On March 20, 2025, the Board of Directors declared a supplemental distribution of $0.03 per share for stockholders of record as of March 31, 2025 payable on or before April 14,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BCP Transaction</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On January 30, 2025, the Adviser was acquired by certain private investment funds advised by BC Partners credit and Mount Logan Capital Inc., pursuant to its minority investment. On January 23, 2025, the Company’s stockholders approved the Third Amended and Restated Advisory Agreement between the Company and the Adviser at a special meeting of stockholders. The Third Amended and Restated Advisory Agreement was entered into in connection with the termination of the former advisory agreement, which terminated automatically in accordance with its terms as a result of the BCP Transaction. The Third Amended and Restated Advisory Agreement took effect upon the closing of the BCP Transaction on January 30, 2025. Other than the date and term of the agreement, there were no changes to the terms of the Third Amended and Restated Advisory Agreement.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Board of Directors</w:t>
      </w:r>
    </w:p>
    <w:p>
      <w:pPr>
        <w:spacing w:after="0" w:line="192"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As previously disclosed, Gregory M. Share informed the Board of Directors on November 15, 2024 of his intent to resign as a director of the Company, effective upon the appointment of a director to fill the vacancy created by his resignation. In connection with the OCM Agreement, OCM Growth submitted Catherine Frey as a replacement nominee for consideration by the Board of Directors. Mr. Share’s resignation was not due to any disagreements with the Company relating to the Company’s operations, policies or practices. The Board of Directors appointed Catherine Frey to serve on the board for the remainder of Mr. Share’s term as a Class III director, effective on January 23, 2025.</w:t>
      </w:r>
    </w:p>
    <w:p>
      <w:pPr>
        <w:spacing w:after="0" w:line="16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March 13, 2025, John F. Engel informed the Board of Directors of his intent to resign as a director of the Company, effective upon the appointment of a director to fill the vacancy created by his resignation. Mr. Engel's resignation was not due to any disagreements with the Company's operations, policies, or practices. The Board of Directors appointed Jennifer Kwon Chou to serve on the board for the remainder of Mr. Engel’s term as a Class II director, effective on March 21, 2025.</w:t>
      </w:r>
    </w:p>
    <w:p>
      <w:pPr>
        <w:spacing w:after="0" w:line="16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6"/>
          <w:szCs w:val="16"/>
          <w:color w:val="auto"/>
        </w:rPr>
        <w:t>On March 13, 2025, the Board of Directors increased the size of the Board of Directors from five to eight members. The Board of Directors appointed the following individuals to serve on the Board of Directors, effective on March 21, 2025:</w:t>
      </w:r>
    </w:p>
    <w:p>
      <w:pPr>
        <w:spacing w:after="0" w:line="155"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•Alexander Duka was appointed to serve on the Board of Directors as an independent Class I Director for a term expiring at the Company's 2026 annual meeting of stockholders.</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•Ted Goldthorpe was appointed to serve as an interested Class II Director for a term expiring at the Company's 2027 annual meeting of stockholders.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Robert Warshauer was appointed to serve as an independent Class III Director for a term expiring at the Company's 2026 annual meeting of stockholders.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34" w:name="page135"/>
    <w:bookmarkEnd w:id="13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Facility</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On March 18, 2025, the Company entered into a Sixth Amendment (the "Credit Agreement Amendment") to the Amended and Restated Credit Agreement dated as of April 20, 2022 (the "Credit Agreement"), among the Company, as borrower; the financial institutions parties thereto as lenders (the "Lenders"); KeyBank National Association, as administrative agent for the Lenders; CIBC Bank USA, as documentation agent; MUFG Bank, Ltd., as co-documentation agent; and U.S. Bank Trust Company, National Association, as collateral custodian and paying agent. The Credit Agreement Amendment amended the Credit Agreement to, among other things, (i) extend the maturity date and revolving period; (ii) permit future financing subsidiaries, and (iii) amend certain other terms of the Credit Agreement, including without limitation loan eligibility criteria, the borrowing base calculation, and excess concentration measures.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Portfolio Activity</w:t>
      </w:r>
    </w:p>
    <w:p>
      <w:pPr>
        <w:spacing w:after="0" w:line="192"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From January 1, 2025 through March 20, 2025, the Company completed $ 2.7 million of additional debt commitments, of which $2.7 million was funded upon closing. In addition, the Company funded $ 13.0 million in unfunded commitments on existing investments. The Company also received $25.6 million in debt prepayments and $37.4 million in proceeds from the sale of equity and warrant positions.</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35" w:name="page136"/>
    <w:bookmarkEnd w:id="13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92" w:lineRule="exact"/>
        <w:rPr>
          <w:sz w:val="20"/>
          <w:szCs w:val="20"/>
          <w:color w:val="auto"/>
        </w:rPr>
      </w:pPr>
    </w:p>
    <w:p>
      <w:pPr>
        <w:ind w:right="20"/>
        <w:spacing w:after="0" w:line="184" w:lineRule="exact"/>
        <w:rPr>
          <w:sz w:val="20"/>
          <w:szCs w:val="20"/>
          <w:color w:val="auto"/>
        </w:rPr>
      </w:pPr>
      <w:r>
        <w:rPr>
          <w:rFonts w:ascii="Times New Roman" w:cs="Times New Roman" w:eastAsia="Times New Roman" w:hAnsi="Times New Roman"/>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Management’s Report on Internal Control over Financial Reporting</w:t>
      </w:r>
    </w:p>
    <w:p>
      <w:pPr>
        <w:spacing w:after="0" w:line="176"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6"/>
          <w:szCs w:val="16"/>
          <w:color w:val="auto"/>
        </w:rPr>
        <w:t xml:space="preserve">Our management is responsible for establishing and maintaining adequate internal control over financial reporting (as defined in Rules 13a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15(f) and 15d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15(f) of the Exchange Act). The Company’s internal control over financial reporting is a process designed under the supervision of its Chief Executive Officer (Principal Executive Officer) and Chief Financial Officer and Treasurer (Principal Financial Officer) and effected by the Company’s Board of Directors, management and other personnel, to provide reasonable assurance regarding the reliability of financial reporting and the preparation of its consolidated financial statements for external reporting purposes in accordance with U.S. GAAP.</w:t>
      </w:r>
    </w:p>
    <w:p>
      <w:pPr>
        <w:spacing w:after="0" w:line="17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The Company’s internal control over financial reporting includes policies and procedures that pertain to the maintenance of records that, in reasonable detail, accurately and fairly reflect transactions and dispositions of the Company’s assets; provide reasonable assurance that transactions are recorded as necessary to permit preparation of consolidated financial statements in accordance with U.S. GAAP, and that receipts and expenditures of the Company are being made only in accordance with authorizations of management and the directors; and provide reasonable assurance regarding prevention or timely detection of unauthorized acquisition, use or disposition of the Company’s assets that could have a material effect on its consolidated financial statements.</w:t>
      </w:r>
    </w:p>
    <w:p>
      <w:pPr>
        <w:spacing w:after="0" w:line="169"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 xml:space="preserve">Management conducted an evaluation of the effectiveness of the Company’s internal control over financial reporting as of December 31, 2024 based on the framework established in </w:t>
      </w:r>
      <w:r>
        <w:rPr>
          <w:rFonts w:ascii="Times New Roman" w:cs="Times New Roman" w:eastAsia="Times New Roman" w:hAnsi="Times New Roman"/>
          <w:sz w:val="16"/>
          <w:szCs w:val="16"/>
          <w:i w:val="1"/>
          <w:iCs w:val="1"/>
          <w:color w:val="auto"/>
        </w:rPr>
        <w:t>Internal Control</w:t>
      </w:r>
      <w:r>
        <w:rPr>
          <w:rFonts w:ascii="Arial" w:cs="Arial" w:eastAsia="Arial" w:hAnsi="Arial"/>
          <w:sz w:val="16"/>
          <w:szCs w:val="16"/>
          <w:i w:val="1"/>
          <w:iCs w:val="1"/>
          <w:color w:val="auto"/>
        </w:rPr>
        <w:t xml:space="preserve"> </w:t>
      </w:r>
      <w:r>
        <w:rPr>
          <w:rFonts w:ascii="Times New Roman" w:cs="Times New Roman" w:eastAsia="Times New Roman" w:hAnsi="Times New Roman"/>
          <w:sz w:val="16"/>
          <w:szCs w:val="16"/>
          <w:i w:val="1"/>
          <w:iCs w:val="1"/>
          <w:color w:val="auto"/>
        </w:rPr>
        <w:t>—</w:t>
      </w:r>
      <w:r>
        <w:rPr>
          <w:rFonts w:ascii="Arial" w:cs="Arial" w:eastAsia="Arial" w:hAnsi="Arial"/>
          <w:sz w:val="16"/>
          <w:szCs w:val="16"/>
          <w:i w:val="1"/>
          <w:iCs w:val="1"/>
          <w:color w:val="auto"/>
        </w:rPr>
        <w:t xml:space="preserve"> </w:t>
      </w:r>
      <w:r>
        <w:rPr>
          <w:rFonts w:ascii="Times New Roman" w:cs="Times New Roman" w:eastAsia="Times New Roman" w:hAnsi="Times New Roman"/>
          <w:sz w:val="16"/>
          <w:szCs w:val="16"/>
          <w:i w:val="1"/>
          <w:iCs w:val="1"/>
          <w:color w:val="auto"/>
        </w:rPr>
        <w:t>Integrated Framework (2013)</w:t>
      </w:r>
      <w:r>
        <w:rPr>
          <w:rFonts w:ascii="Times New Roman" w:cs="Times New Roman" w:eastAsia="Times New Roman" w:hAnsi="Times New Roman"/>
          <w:sz w:val="16"/>
          <w:szCs w:val="16"/>
          <w:color w:val="auto"/>
        </w:rPr>
        <w:t xml:space="preserve"> issued by the Committee of Sponsoring Organizations of the Treadway Commission. Based on this assessment, management concluded that the Company’s internal control over financial reporting as of December 31, 2024 was effective.</w:t>
      </w:r>
    </w:p>
    <w:p>
      <w:pPr>
        <w:spacing w:after="0" w:line="16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the Company’s registered public accounting firm due to an exemption for emerging growth companies under the JOBS 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9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that occurred during the year ended December 31, 2024 that have materially affected, or are reasonably likely to materially affect, our internal control over financial reporting.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36" w:name="page137"/>
    <w:bookmarkEnd w:id="136"/>
    <w:p>
      <w:pPr>
        <w:ind w:left="6"/>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90" w:lineRule="exact"/>
        <w:rPr>
          <w:sz w:val="20"/>
          <w:szCs w:val="20"/>
          <w:color w:val="auto"/>
        </w:rPr>
      </w:pPr>
    </w:p>
    <w:p>
      <w:pPr>
        <w:ind w:left="206" w:hanging="206"/>
        <w:spacing w:after="0"/>
        <w:tabs>
          <w:tab w:leader="none" w:pos="20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None</w:t>
      </w:r>
    </w:p>
    <w:p>
      <w:pPr>
        <w:spacing w:after="0" w:line="188" w:lineRule="exact"/>
        <w:rPr>
          <w:rFonts w:ascii="Times New Roman" w:cs="Times New Roman" w:eastAsia="Times New Roman" w:hAnsi="Times New Roman"/>
          <w:sz w:val="16"/>
          <w:szCs w:val="16"/>
          <w:color w:val="auto"/>
        </w:rPr>
      </w:pPr>
    </w:p>
    <w:p>
      <w:pPr>
        <w:ind w:left="226" w:hanging="226"/>
        <w:spacing w:after="0"/>
        <w:tabs>
          <w:tab w:leader="none" w:pos="22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Rule 10b5-1 Disclosure</w:t>
      </w:r>
    </w:p>
    <w:p>
      <w:pPr>
        <w:spacing w:after="0" w:line="188" w:lineRule="exact"/>
        <w:rPr>
          <w:sz w:val="20"/>
          <w:szCs w:val="20"/>
          <w:color w:val="auto"/>
        </w:rPr>
      </w:pPr>
    </w:p>
    <w:p>
      <w:pPr>
        <w:ind w:left="6"/>
        <w:spacing w:after="0" w:line="247" w:lineRule="auto"/>
        <w:rPr>
          <w:sz w:val="20"/>
          <w:szCs w:val="20"/>
          <w:color w:val="auto"/>
        </w:rPr>
      </w:pPr>
      <w:r>
        <w:rPr>
          <w:rFonts w:ascii="Times New Roman" w:cs="Times New Roman" w:eastAsia="Times New Roman" w:hAnsi="Times New Roman"/>
          <w:sz w:val="16"/>
          <w:szCs w:val="16"/>
          <w:color w:val="auto"/>
        </w:rPr>
        <w:t>For the period covered by this annual report on Form 10-K,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64" w:lineRule="exact"/>
        <w:rPr>
          <w:sz w:val="20"/>
          <w:szCs w:val="20"/>
          <w:color w:val="auto"/>
        </w:rPr>
      </w:pPr>
    </w:p>
    <w:p>
      <w:pPr>
        <w:ind w:left="6" w:right="100"/>
        <w:spacing w:after="0" w:line="259" w:lineRule="auto"/>
        <w:rPr>
          <w:sz w:val="20"/>
          <w:szCs w:val="20"/>
          <w:color w:val="auto"/>
        </w:rPr>
      </w:pPr>
      <w:r>
        <w:rPr>
          <w:rFonts w:ascii="Times New Roman" w:cs="Times New Roman" w:eastAsia="Times New Roman" w:hAnsi="Times New Roman"/>
          <w:sz w:val="16"/>
          <w:szCs w:val="16"/>
          <w:color w:val="auto"/>
        </w:rPr>
        <w:t>The Company has adopted insider trading policies and procedures governing the purchase, sale, and disposition of the Company's securities by officers and directors of the Company that are reasonably designed to promote compliance with insider trading laws, rules and regulations.</w:t>
      </w:r>
    </w:p>
    <w:p>
      <w:pPr>
        <w:spacing w:after="0" w:line="2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None.</w:t>
      </w:r>
    </w:p>
    <w:p>
      <w:pPr>
        <w:spacing w:after="0" w:line="38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419735</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6"/>
          </w:cols>
          <w:pgMar w:left="654" w:top="555" w:right="680" w:bottom="1440" w:gutter="0" w:footer="0" w:header="0"/>
        </w:sectPr>
      </w:pPr>
    </w:p>
    <w:bookmarkStart w:id="137" w:name="page138"/>
    <w:bookmarkEnd w:id="13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We will file a definitive Proxy Statement for our 2025 Annual Meeting of Stockholders with the SEC, pursuant to Regulation 14A, within 120 days after the end of our fiscal year-end, which was December 31, 2024. Accordingly, the information required by Part III has been omitted under General Instruction G(3) to Form 10-K. Only those sections of our definitive Proxy Statement that specifically address the items set forth herein are incorporated by reference herein.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9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10 is hereby incorporated by reference from our definitive Proxy Statement relating to our 2025 Annual Meeting of Stockholders, to be filed with the SEC within 120 days following the end of our fiscal year-end, which was December 31,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9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11 is hereby incorporated by reference from our definitive Proxy Statement relating to our 2025 Annual Meeting of Stockholders, to be filed with the SEC within 120 days following the end of our fiscal year-end, which was December 31,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19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12 is hereby incorporated by reference from our definitive Proxy Statement relating to our 2025 Annual Meeting of Stockholders, to be filed with the SEC within 120 days following the end of our fiscal year-end, which was December 31,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9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13 is hereby incorporated by reference from our definitive Proxy Statement relating to our 2025 Annual Meeting of Stockholders, to be filed with the SEC within 120 days following the end of our fiscal year-end, which was December 31, 2024.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9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information required by Item 14 is hereby incorporated by reference from our definitive Proxy Statement relating to our 2025 Annual Meeting of Stockholders, to be filed with the SEC within 120 days following the end of our fiscal year-end, which was December 31, 2024.</w:t>
      </w: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555" w:right="780" w:bottom="1440" w:gutter="0" w:footer="0" w:header="0"/>
        </w:sectPr>
      </w:pPr>
    </w:p>
    <w:bookmarkStart w:id="138" w:name="page139"/>
    <w:bookmarkEnd w:id="13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2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Item 15. Exhibits and Financial Statement Schedules</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8"/>
        </w:trPr>
        <w:tc>
          <w:tcPr>
            <w:tcW w:w="8260" w:type="dxa"/>
            <w:vAlign w:val="bottom"/>
            <w:gridSpan w:val="9"/>
          </w:tcPr>
          <w:p>
            <w:pPr>
              <w:spacing w:after="0" w:line="184" w:lineRule="exact"/>
              <w:rPr>
                <w:sz w:val="20"/>
                <w:szCs w:val="20"/>
                <w:color w:val="auto"/>
              </w:rPr>
            </w:pPr>
            <w:r>
              <w:rPr>
                <w:rFonts w:ascii="Times New Roman" w:cs="Times New Roman" w:eastAsia="Times New Roman" w:hAnsi="Times New Roman"/>
                <w:sz w:val="16"/>
                <w:szCs w:val="16"/>
                <w:color w:val="auto"/>
              </w:rPr>
              <w:t>The following documents are filed or incorporated by reference as part of this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2"/>
        </w:trPr>
        <w:tc>
          <w:tcPr>
            <w:tcW w:w="826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color w:val="auto"/>
              </w:rPr>
              <w:t>(a) Consolidated Financial Statements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8"/>
        </w:trPr>
        <w:tc>
          <w:tcPr>
            <w:tcW w:w="240" w:type="dxa"/>
            <w:vAlign w:val="bottom"/>
          </w:tcPr>
          <w:p>
            <w:pPr>
              <w:spacing w:after="0"/>
              <w:rPr>
                <w:sz w:val="24"/>
                <w:szCs w:val="24"/>
                <w:color w:val="auto"/>
              </w:rPr>
            </w:pPr>
          </w:p>
        </w:tc>
        <w:tc>
          <w:tcPr>
            <w:tcW w:w="8020" w:type="dxa"/>
            <w:vAlign w:val="bottom"/>
            <w:gridSpan w:val="8"/>
          </w:tcPr>
          <w:p>
            <w:pPr>
              <w:ind w:left="120"/>
              <w:spacing w:after="0" w:line="185" w:lineRule="exact"/>
              <w:rPr>
                <w:sz w:val="20"/>
                <w:szCs w:val="20"/>
                <w:color w:val="auto"/>
              </w:rPr>
            </w:pPr>
            <w:r>
              <w:rPr>
                <w:rFonts w:ascii="Times New Roman" w:cs="Times New Roman" w:eastAsia="Times New Roman" w:hAnsi="Times New Roman"/>
                <w:sz w:val="16"/>
                <w:szCs w:val="16"/>
                <w:color w:val="auto"/>
              </w:rPr>
              <w:t>(1)Consolidated Financial Statements</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Refer to Part II, Item 8 of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which are filed herewith:</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4"/>
        </w:trPr>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00" w:type="dxa"/>
            <w:vAlign w:val="bottom"/>
            <w:gridSpan w:val="2"/>
          </w:tcPr>
          <w:p>
            <w:pPr>
              <w:jc w:val="center"/>
              <w:ind w:left="1182"/>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249"/>
        </w:trPr>
        <w:tc>
          <w:tcPr>
            <w:tcW w:w="240" w:type="dxa"/>
            <w:vAlign w:val="bottom"/>
            <w:tcBorders>
              <w:bottom w:val="single" w:sz="8" w:color="CCEEFF"/>
            </w:tcBorders>
            <w:shd w:val="clear" w:color="auto" w:fill="CCEEFF"/>
          </w:tcPr>
          <w:p>
            <w:pPr>
              <w:spacing w:after="0"/>
              <w:rPr>
                <w:sz w:val="21"/>
                <w:szCs w:val="21"/>
                <w:color w:val="auto"/>
              </w:rPr>
            </w:pPr>
          </w:p>
        </w:tc>
        <w:tc>
          <w:tcPr>
            <w:tcW w:w="802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6"/>
                <w:szCs w:val="16"/>
                <w:color w:val="auto"/>
                <w:w w:val="97"/>
              </w:rPr>
            </w:pPr>
            <w:hyperlink w:anchor="page78">
              <w:r>
                <w:rPr>
                  <w:rFonts w:ascii="Times New Roman" w:cs="Times New Roman" w:eastAsia="Times New Roman" w:hAnsi="Times New Roman"/>
                  <w:sz w:val="16"/>
                  <w:szCs w:val="16"/>
                  <w:color w:val="auto"/>
                  <w:w w:val="97"/>
                </w:rPr>
                <w:t>Report of Independent Registered Public Accounting Firm (Deloitte &amp; Touche LLP; New York, New York, PCAOB ID No. 34)</w:t>
              </w:r>
            </w:hyperlink>
          </w:p>
        </w:tc>
        <w:tc>
          <w:tcPr>
            <w:tcW w:w="2220" w:type="dxa"/>
            <w:vAlign w:val="bottom"/>
            <w:tcBorders>
              <w:bottom w:val="single" w:sz="8" w:color="CCEEFF"/>
            </w:tcBorders>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9"/>
              </w:rPr>
              <w:t>78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240" w:type="dxa"/>
            <w:vAlign w:val="bottom"/>
            <w:tcBorders>
              <w:top w:val="single" w:sz="8" w:color="CCEEFF"/>
            </w:tcBorders>
          </w:tcPr>
          <w:p>
            <w:pPr>
              <w:spacing w:after="0"/>
              <w:rPr>
                <w:sz w:val="18"/>
                <w:szCs w:val="18"/>
                <w:color w:val="auto"/>
              </w:rPr>
            </w:pPr>
          </w:p>
        </w:tc>
        <w:tc>
          <w:tcPr>
            <w:tcW w:w="7100" w:type="dxa"/>
            <w:vAlign w:val="bottom"/>
            <w:tcBorders>
              <w:top w:val="single" w:sz="8" w:color="CCEEFF"/>
              <w:bottom w:val="single" w:sz="8" w:color="0000EE"/>
            </w:tcBorders>
            <w:gridSpan w:val="7"/>
          </w:tcPr>
          <w:p>
            <w:pPr>
              <w:spacing w:after="0"/>
              <w:rPr>
                <w:rFonts w:ascii="Times New Roman" w:cs="Times New Roman" w:eastAsia="Times New Roman" w:hAnsi="Times New Roman"/>
                <w:sz w:val="16"/>
                <w:szCs w:val="16"/>
                <w:color w:val="auto"/>
                <w:w w:val="97"/>
              </w:rPr>
            </w:pPr>
            <w:hyperlink w:anchor="page79">
              <w:r>
                <w:rPr>
                  <w:rFonts w:ascii="Times New Roman" w:cs="Times New Roman" w:eastAsia="Times New Roman" w:hAnsi="Times New Roman"/>
                  <w:sz w:val="16"/>
                  <w:szCs w:val="16"/>
                  <w:color w:val="auto"/>
                  <w:w w:val="97"/>
                </w:rPr>
                <w:t>Report of Independent Registered Public Accounting Firm (RSM US LLP; Chicago, Illinois, PCAOB ID No. 49)</w:t>
              </w:r>
            </w:hyperlink>
          </w:p>
        </w:tc>
        <w:tc>
          <w:tcPr>
            <w:tcW w:w="92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jc w:val="center"/>
              <w:ind w:left="1262"/>
              <w:spacing w:after="0"/>
              <w:rPr>
                <w:sz w:val="20"/>
                <w:szCs w:val="20"/>
                <w:color w:val="auto"/>
              </w:rPr>
            </w:pPr>
            <w:r>
              <w:rPr>
                <w:rFonts w:ascii="Times New Roman" w:cs="Times New Roman" w:eastAsia="Times New Roman" w:hAnsi="Times New Roman"/>
                <w:sz w:val="16"/>
                <w:szCs w:val="16"/>
                <w:color w:val="auto"/>
                <w:w w:val="99"/>
              </w:rPr>
              <w:t>79</w:t>
            </w:r>
          </w:p>
        </w:tc>
        <w:tc>
          <w:tcPr>
            <w:tcW w:w="80" w:type="dxa"/>
            <w:vAlign w:val="bottom"/>
            <w:tcBorders>
              <w:top w:val="single" w:sz="8" w:color="CCEEFF"/>
            </w:tcBorders>
          </w:tcPr>
          <w:p>
            <w:pPr>
              <w:spacing w:after="0"/>
              <w:rPr>
                <w:sz w:val="18"/>
                <w:szCs w:val="18"/>
                <w:color w:val="auto"/>
              </w:rPr>
            </w:pPr>
          </w:p>
        </w:tc>
      </w:tr>
      <w:tr>
        <w:trPr>
          <w:trHeight w:val="28"/>
        </w:trPr>
        <w:tc>
          <w:tcPr>
            <w:tcW w:w="2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9"/>
        </w:trPr>
        <w:tc>
          <w:tcPr>
            <w:tcW w:w="2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0000EE"/>
            </w:tcBorders>
            <w:gridSpan w:val="3"/>
            <w:shd w:val="clear" w:color="auto" w:fill="CCEEFF"/>
          </w:tcPr>
          <w:p>
            <w:pPr>
              <w:spacing w:after="0"/>
              <w:rPr>
                <w:rFonts w:ascii="Times New Roman" w:cs="Times New Roman" w:eastAsia="Times New Roman" w:hAnsi="Times New Roman"/>
                <w:sz w:val="16"/>
                <w:szCs w:val="16"/>
                <w:color w:val="auto"/>
                <w:w w:val="97"/>
              </w:rPr>
            </w:pPr>
            <w:hyperlink w:anchor="page80">
              <w:r>
                <w:rPr>
                  <w:rFonts w:ascii="Times New Roman" w:cs="Times New Roman" w:eastAsia="Times New Roman" w:hAnsi="Times New Roman"/>
                  <w:sz w:val="16"/>
                  <w:szCs w:val="16"/>
                  <w:color w:val="auto"/>
                  <w:w w:val="97"/>
                </w:rPr>
                <w:t>Consolidated Statements of Assets and Liabilities as of December 31, 2024 and 2023</w:t>
              </w:r>
            </w:hyperlink>
          </w:p>
        </w:tc>
        <w:tc>
          <w:tcPr>
            <w:tcW w:w="6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9"/>
              </w:rPr>
              <w:t>80</w:t>
            </w:r>
          </w:p>
        </w:tc>
        <w:tc>
          <w:tcPr>
            <w:tcW w:w="80" w:type="dxa"/>
            <w:vAlign w:val="bottom"/>
          </w:tcPr>
          <w:p>
            <w:pPr>
              <w:spacing w:after="0"/>
              <w:rPr>
                <w:sz w:val="21"/>
                <w:szCs w:val="21"/>
                <w:color w:val="auto"/>
              </w:rPr>
            </w:pPr>
          </w:p>
        </w:tc>
      </w:tr>
      <w:tr>
        <w:trPr>
          <w:trHeight w:val="244"/>
        </w:trPr>
        <w:tc>
          <w:tcPr>
            <w:tcW w:w="240" w:type="dxa"/>
            <w:vAlign w:val="bottom"/>
            <w:tcBorders>
              <w:top w:val="single" w:sz="8" w:color="CCEEFF"/>
            </w:tcBorders>
          </w:tcPr>
          <w:p>
            <w:pPr>
              <w:spacing w:after="0"/>
              <w:rPr>
                <w:sz w:val="21"/>
                <w:szCs w:val="21"/>
                <w:color w:val="auto"/>
              </w:rPr>
            </w:pPr>
          </w:p>
        </w:tc>
        <w:tc>
          <w:tcPr>
            <w:tcW w:w="5980" w:type="dxa"/>
            <w:vAlign w:val="bottom"/>
            <w:tcBorders>
              <w:top w:val="single" w:sz="8" w:color="CCEEFF"/>
              <w:bottom w:val="single" w:sz="8" w:color="0000EE"/>
            </w:tcBorders>
            <w:gridSpan w:val="4"/>
          </w:tcPr>
          <w:p>
            <w:pPr>
              <w:spacing w:after="0"/>
              <w:rPr>
                <w:rFonts w:ascii="Times New Roman" w:cs="Times New Roman" w:eastAsia="Times New Roman" w:hAnsi="Times New Roman"/>
                <w:sz w:val="16"/>
                <w:szCs w:val="16"/>
                <w:color w:val="auto"/>
                <w:w w:val="97"/>
              </w:rPr>
            </w:pPr>
            <w:hyperlink w:anchor="page80">
              <w:r>
                <w:rPr>
                  <w:rFonts w:ascii="Times New Roman" w:cs="Times New Roman" w:eastAsia="Times New Roman" w:hAnsi="Times New Roman"/>
                  <w:sz w:val="16"/>
                  <w:szCs w:val="16"/>
                  <w:color w:val="auto"/>
                  <w:w w:val="97"/>
                </w:rPr>
                <w:t xml:space="preserve">Consolidated </w:t>
              </w:r>
            </w:hyperlink>
            <w:hyperlink w:anchor="page81">
              <w:r>
                <w:rPr>
                  <w:rFonts w:ascii="Times New Roman" w:cs="Times New Roman" w:eastAsia="Times New Roman" w:hAnsi="Times New Roman"/>
                  <w:sz w:val="16"/>
                  <w:szCs w:val="16"/>
                  <w:color w:val="auto"/>
                  <w:w w:val="97"/>
                </w:rPr>
                <w:t>Statements of Operations for the years ended December 31, 2024, 2023 and 2022</w:t>
              </w:r>
            </w:hyperlink>
          </w:p>
        </w:tc>
        <w:tc>
          <w:tcPr>
            <w:tcW w:w="4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320" w:type="dxa"/>
            <w:vAlign w:val="bottom"/>
            <w:tcBorders>
              <w:top w:val="single" w:sz="8" w:color="CCEEFF"/>
            </w:tcBorders>
            <w:gridSpan w:val="2"/>
          </w:tcPr>
          <w:p>
            <w:pPr>
              <w:spacing w:after="0"/>
              <w:rPr>
                <w:sz w:val="21"/>
                <w:szCs w:val="21"/>
                <w:color w:val="auto"/>
              </w:rPr>
            </w:pPr>
          </w:p>
        </w:tc>
        <w:tc>
          <w:tcPr>
            <w:tcW w:w="2220" w:type="dxa"/>
            <w:vAlign w:val="bottom"/>
            <w:tcBorders>
              <w:top w:val="single" w:sz="8" w:color="CCEEFF"/>
            </w:tcBorders>
          </w:tcPr>
          <w:p>
            <w:pPr>
              <w:jc w:val="center"/>
              <w:ind w:left="1262"/>
              <w:spacing w:after="0"/>
              <w:rPr>
                <w:sz w:val="20"/>
                <w:szCs w:val="20"/>
                <w:color w:val="auto"/>
              </w:rPr>
            </w:pPr>
            <w:r>
              <w:rPr>
                <w:rFonts w:ascii="Times New Roman" w:cs="Times New Roman" w:eastAsia="Times New Roman" w:hAnsi="Times New Roman"/>
                <w:sz w:val="16"/>
                <w:szCs w:val="16"/>
                <w:color w:val="auto"/>
                <w:w w:val="99"/>
              </w:rPr>
              <w:t>81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8"/>
        </w:trPr>
        <w:tc>
          <w:tcPr>
            <w:tcW w:w="8260" w:type="dxa"/>
            <w:vAlign w:val="bottom"/>
            <w:gridSpan w:val="9"/>
            <w:shd w:val="clear" w:color="auto" w:fill="CCEEFF"/>
          </w:tcPr>
          <w:p>
            <w:pPr>
              <w:ind w:left="240"/>
              <w:spacing w:after="0" w:line="172" w:lineRule="exact"/>
              <w:rPr>
                <w:rFonts w:ascii="Times New Roman" w:cs="Times New Roman" w:eastAsia="Times New Roman" w:hAnsi="Times New Roman"/>
                <w:sz w:val="16"/>
                <w:szCs w:val="16"/>
                <w:color w:val="auto"/>
              </w:rPr>
            </w:pPr>
            <w:hyperlink w:anchor="page80">
              <w:r>
                <w:rPr>
                  <w:rFonts w:ascii="Times New Roman" w:cs="Times New Roman" w:eastAsia="Times New Roman" w:hAnsi="Times New Roman"/>
                  <w:sz w:val="16"/>
                  <w:szCs w:val="16"/>
                  <w:color w:val="auto"/>
                </w:rPr>
                <w:t xml:space="preserve">Consolidated </w:t>
              </w:r>
            </w:hyperlink>
            <w:hyperlink w:anchor="page82">
              <w:r>
                <w:rPr>
                  <w:rFonts w:ascii="Times New Roman" w:cs="Times New Roman" w:eastAsia="Times New Roman" w:hAnsi="Times New Roman"/>
                  <w:sz w:val="16"/>
                  <w:szCs w:val="16"/>
                  <w:color w:val="auto"/>
                </w:rPr>
                <w:t>Statements of Changes in Net Assets for the years ended December 31, 2024, 2023 and 2022</w:t>
              </w:r>
            </w:hyperlink>
          </w:p>
        </w:tc>
        <w:tc>
          <w:tcPr>
            <w:tcW w:w="2220" w:type="dxa"/>
            <w:vAlign w:val="bottom"/>
            <w:shd w:val="clear" w:color="auto" w:fill="CCEEFF"/>
          </w:tcPr>
          <w:p>
            <w:pPr>
              <w:jc w:val="center"/>
              <w:ind w:left="1262"/>
              <w:spacing w:after="0" w:line="172" w:lineRule="exact"/>
              <w:rPr>
                <w:sz w:val="20"/>
                <w:szCs w:val="20"/>
                <w:color w:val="auto"/>
              </w:rPr>
            </w:pPr>
            <w:r>
              <w:rPr>
                <w:rFonts w:ascii="Times New Roman" w:cs="Times New Roman" w:eastAsia="Times New Roman" w:hAnsi="Times New Roman"/>
                <w:sz w:val="16"/>
                <w:szCs w:val="16"/>
                <w:color w:val="auto"/>
                <w:w w:val="99"/>
              </w:rPr>
              <w:t>82</w:t>
            </w:r>
          </w:p>
        </w:tc>
        <w:tc>
          <w:tcPr>
            <w:tcW w:w="80" w:type="dxa"/>
            <w:vAlign w:val="bottom"/>
          </w:tcPr>
          <w:p>
            <w:pPr>
              <w:spacing w:after="0"/>
              <w:rPr>
                <w:sz w:val="18"/>
                <w:szCs w:val="18"/>
                <w:color w:val="auto"/>
              </w:rPr>
            </w:pPr>
          </w:p>
        </w:tc>
      </w:tr>
      <w:tr>
        <w:trPr>
          <w:trHeight w:val="244"/>
        </w:trPr>
        <w:tc>
          <w:tcPr>
            <w:tcW w:w="240" w:type="dxa"/>
            <w:vAlign w:val="bottom"/>
            <w:tcBorders>
              <w:top w:val="single" w:sz="8" w:color="CCEEFF"/>
            </w:tcBorders>
          </w:tcPr>
          <w:p>
            <w:pPr>
              <w:spacing w:after="0"/>
              <w:rPr>
                <w:sz w:val="21"/>
                <w:szCs w:val="21"/>
                <w:color w:val="auto"/>
              </w:rPr>
            </w:pPr>
          </w:p>
        </w:tc>
        <w:tc>
          <w:tcPr>
            <w:tcW w:w="602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6"/>
                <w:szCs w:val="16"/>
                <w:color w:val="auto"/>
                <w:w w:val="97"/>
              </w:rPr>
            </w:pPr>
            <w:hyperlink w:anchor="page80">
              <w:r>
                <w:rPr>
                  <w:rFonts w:ascii="Times New Roman" w:cs="Times New Roman" w:eastAsia="Times New Roman" w:hAnsi="Times New Roman"/>
                  <w:sz w:val="16"/>
                  <w:szCs w:val="16"/>
                  <w:color w:val="auto"/>
                  <w:w w:val="97"/>
                </w:rPr>
                <w:t xml:space="preserve">Consolidated </w:t>
              </w:r>
            </w:hyperlink>
            <w:hyperlink w:anchor="page83">
              <w:r>
                <w:rPr>
                  <w:rFonts w:ascii="Times New Roman" w:cs="Times New Roman" w:eastAsia="Times New Roman" w:hAnsi="Times New Roman"/>
                  <w:sz w:val="16"/>
                  <w:szCs w:val="16"/>
                  <w:color w:val="auto"/>
                  <w:w w:val="97"/>
                </w:rPr>
                <w:t>Statements of Cash Flows for the years ended December 31, 2024, 2023 and 2022</w:t>
              </w:r>
            </w:hyperlink>
          </w:p>
        </w:tc>
        <w:tc>
          <w:tcPr>
            <w:tcW w:w="680" w:type="dxa"/>
            <w:vAlign w:val="bottom"/>
            <w:tcBorders>
              <w:top w:val="single" w:sz="8" w:color="0000EE"/>
            </w:tcBorders>
          </w:tcPr>
          <w:p>
            <w:pPr>
              <w:spacing w:after="0"/>
              <w:rPr>
                <w:sz w:val="21"/>
                <w:szCs w:val="21"/>
                <w:color w:val="auto"/>
              </w:rPr>
            </w:pPr>
          </w:p>
        </w:tc>
        <w:tc>
          <w:tcPr>
            <w:tcW w:w="1320" w:type="dxa"/>
            <w:vAlign w:val="bottom"/>
            <w:tcBorders>
              <w:top w:val="single" w:sz="8" w:color="CCEEFF"/>
            </w:tcBorders>
            <w:gridSpan w:val="2"/>
          </w:tcPr>
          <w:p>
            <w:pPr>
              <w:spacing w:after="0"/>
              <w:rPr>
                <w:sz w:val="21"/>
                <w:szCs w:val="21"/>
                <w:color w:val="auto"/>
              </w:rPr>
            </w:pPr>
          </w:p>
        </w:tc>
        <w:tc>
          <w:tcPr>
            <w:tcW w:w="2220" w:type="dxa"/>
            <w:vAlign w:val="bottom"/>
            <w:tcBorders>
              <w:top w:val="single" w:sz="8" w:color="CCEEFF"/>
            </w:tcBorders>
          </w:tcPr>
          <w:p>
            <w:pPr>
              <w:jc w:val="center"/>
              <w:ind w:left="1262"/>
              <w:spacing w:after="0"/>
              <w:rPr>
                <w:sz w:val="20"/>
                <w:szCs w:val="20"/>
                <w:color w:val="auto"/>
              </w:rPr>
            </w:pPr>
            <w:r>
              <w:rPr>
                <w:rFonts w:ascii="Times New Roman" w:cs="Times New Roman" w:eastAsia="Times New Roman" w:hAnsi="Times New Roman"/>
                <w:sz w:val="16"/>
                <w:szCs w:val="16"/>
                <w:color w:val="auto"/>
                <w:w w:val="99"/>
              </w:rPr>
              <w:t>83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9"/>
        </w:trPr>
        <w:tc>
          <w:tcPr>
            <w:tcW w:w="24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6"/>
                <w:szCs w:val="16"/>
                <w:color w:val="auto"/>
                <w:w w:val="98"/>
              </w:rPr>
            </w:pPr>
            <w:hyperlink w:anchor="page80">
              <w:r>
                <w:rPr>
                  <w:rFonts w:ascii="Times New Roman" w:cs="Times New Roman" w:eastAsia="Times New Roman" w:hAnsi="Times New Roman"/>
                  <w:sz w:val="16"/>
                  <w:szCs w:val="16"/>
                  <w:color w:val="auto"/>
                  <w:w w:val="98"/>
                </w:rPr>
                <w:t xml:space="preserve">Consolidated </w:t>
              </w:r>
            </w:hyperlink>
            <w:hyperlink w:anchor="page84">
              <w:r>
                <w:rPr>
                  <w:rFonts w:ascii="Times New Roman" w:cs="Times New Roman" w:eastAsia="Times New Roman" w:hAnsi="Times New Roman"/>
                  <w:sz w:val="16"/>
                  <w:szCs w:val="16"/>
                  <w:color w:val="auto"/>
                  <w:w w:val="98"/>
                </w:rPr>
                <w:t>Schedules of Investments as of December 31, 2024 and 2023</w:t>
              </w:r>
            </w:hyperlink>
          </w:p>
        </w:tc>
        <w:tc>
          <w:tcPr>
            <w:tcW w:w="3300" w:type="dxa"/>
            <w:vAlign w:val="bottom"/>
            <w:tcBorders>
              <w:bottom w:val="single" w:sz="8" w:color="CCEEFF"/>
            </w:tcBorders>
            <w:gridSpan w:val="6"/>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center"/>
              <w:ind w:left="1262"/>
              <w:spacing w:after="0"/>
              <w:rPr>
                <w:sz w:val="20"/>
                <w:szCs w:val="20"/>
                <w:color w:val="auto"/>
              </w:rPr>
            </w:pPr>
            <w:r>
              <w:rPr>
                <w:rFonts w:ascii="Times New Roman" w:cs="Times New Roman" w:eastAsia="Times New Roman" w:hAnsi="Times New Roman"/>
                <w:sz w:val="16"/>
                <w:szCs w:val="16"/>
                <w:color w:val="auto"/>
                <w:w w:val="99"/>
              </w:rPr>
              <w:t>84</w:t>
            </w:r>
          </w:p>
        </w:tc>
        <w:tc>
          <w:tcPr>
            <w:tcW w:w="80" w:type="dxa"/>
            <w:vAlign w:val="bottom"/>
          </w:tcPr>
          <w:p>
            <w:pPr>
              <w:spacing w:after="0"/>
              <w:rPr>
                <w:sz w:val="21"/>
                <w:szCs w:val="21"/>
                <w:color w:val="auto"/>
              </w:rPr>
            </w:pPr>
          </w:p>
        </w:tc>
      </w:tr>
      <w:tr>
        <w:trPr>
          <w:trHeight w:val="244"/>
        </w:trPr>
        <w:tc>
          <w:tcPr>
            <w:tcW w:w="240" w:type="dxa"/>
            <w:vAlign w:val="bottom"/>
            <w:tcBorders>
              <w:top w:val="single" w:sz="8" w:color="CCEEFF"/>
              <w:bottom w:val="single" w:sz="8" w:color="CCEEFF"/>
            </w:tcBorders>
          </w:tcPr>
          <w:p>
            <w:pPr>
              <w:spacing w:after="0"/>
              <w:rPr>
                <w:sz w:val="21"/>
                <w:szCs w:val="21"/>
                <w:color w:val="auto"/>
              </w:rPr>
            </w:pPr>
          </w:p>
        </w:tc>
        <w:tc>
          <w:tcPr>
            <w:tcW w:w="2760" w:type="dxa"/>
            <w:vAlign w:val="bottom"/>
            <w:tcBorders>
              <w:top w:val="single" w:sz="8" w:color="CCEEFF"/>
              <w:bottom w:val="single" w:sz="8" w:color="0000EE"/>
            </w:tcBorders>
          </w:tcPr>
          <w:p>
            <w:pPr>
              <w:spacing w:after="0"/>
              <w:rPr>
                <w:rFonts w:ascii="Times New Roman" w:cs="Times New Roman" w:eastAsia="Times New Roman" w:hAnsi="Times New Roman"/>
                <w:sz w:val="16"/>
                <w:szCs w:val="16"/>
                <w:color w:val="auto"/>
                <w:w w:val="97"/>
              </w:rPr>
            </w:pPr>
            <w:hyperlink w:anchor="page98">
              <w:r>
                <w:rPr>
                  <w:rFonts w:ascii="Times New Roman" w:cs="Times New Roman" w:eastAsia="Times New Roman" w:hAnsi="Times New Roman"/>
                  <w:sz w:val="16"/>
                  <w:szCs w:val="16"/>
                  <w:color w:val="auto"/>
                  <w:w w:val="97"/>
                </w:rPr>
                <w:t>Notes to Consolidated Financial Statements</w:t>
              </w:r>
            </w:hyperlink>
          </w:p>
        </w:tc>
        <w:tc>
          <w:tcPr>
            <w:tcW w:w="5260" w:type="dxa"/>
            <w:vAlign w:val="bottom"/>
            <w:tcBorders>
              <w:top w:val="single" w:sz="8" w:color="CCEEFF"/>
              <w:bottom w:val="single" w:sz="8" w:color="CCEEFF"/>
            </w:tcBorders>
            <w:gridSpan w:val="7"/>
          </w:tcPr>
          <w:p>
            <w:pPr>
              <w:spacing w:after="0"/>
              <w:rPr>
                <w:sz w:val="21"/>
                <w:szCs w:val="21"/>
                <w:color w:val="auto"/>
              </w:rPr>
            </w:pPr>
          </w:p>
        </w:tc>
        <w:tc>
          <w:tcPr>
            <w:tcW w:w="2220" w:type="dxa"/>
            <w:vAlign w:val="bottom"/>
            <w:tcBorders>
              <w:top w:val="single" w:sz="8" w:color="CCEEFF"/>
              <w:bottom w:val="single" w:sz="8" w:color="CCEEFF"/>
            </w:tcBorders>
          </w:tcPr>
          <w:p>
            <w:pPr>
              <w:jc w:val="center"/>
              <w:ind w:left="1262"/>
              <w:spacing w:after="0"/>
              <w:rPr>
                <w:sz w:val="20"/>
                <w:szCs w:val="20"/>
                <w:color w:val="auto"/>
              </w:rPr>
            </w:pPr>
            <w:r>
              <w:rPr>
                <w:rFonts w:ascii="Times New Roman" w:cs="Times New Roman" w:eastAsia="Times New Roman" w:hAnsi="Times New Roman"/>
                <w:sz w:val="16"/>
                <w:szCs w:val="16"/>
                <w:color w:val="auto"/>
                <w:w w:val="99"/>
              </w:rPr>
              <w:t>98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934"/>
        </w:trPr>
        <w:tc>
          <w:tcPr>
            <w:tcW w:w="5580" w:type="dxa"/>
            <w:vAlign w:val="bottom"/>
            <w:gridSpan w:val="4"/>
          </w:tcPr>
          <w:p>
            <w:pPr>
              <w:ind w:left="5160"/>
              <w:spacing w:after="0"/>
              <w:rPr>
                <w:sz w:val="20"/>
                <w:szCs w:val="20"/>
                <w:color w:val="auto"/>
              </w:rPr>
            </w:pPr>
            <w:r>
              <w:rPr>
                <w:rFonts w:ascii="Times New Roman" w:cs="Times New Roman" w:eastAsia="Times New Roman" w:hAnsi="Times New Roman"/>
                <w:sz w:val="16"/>
                <w:szCs w:val="16"/>
                <w:color w:val="auto"/>
              </w:rPr>
              <w:t>139</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4"/>
        </w:trPr>
        <w:tc>
          <w:tcPr>
            <w:tcW w:w="240" w:type="dxa"/>
            <w:vAlign w:val="bottom"/>
            <w:tcBorders>
              <w:bottom w:val="single" w:sz="8" w:color="EEEEEE"/>
            </w:tcBorders>
          </w:tcPr>
          <w:p>
            <w:pPr>
              <w:spacing w:after="0"/>
              <w:rPr>
                <w:sz w:val="24"/>
                <w:szCs w:val="24"/>
                <w:color w:val="auto"/>
              </w:rPr>
            </w:pPr>
          </w:p>
        </w:tc>
        <w:tc>
          <w:tcPr>
            <w:tcW w:w="2760" w:type="dxa"/>
            <w:vAlign w:val="bottom"/>
            <w:tcBorders>
              <w:bottom w:val="single" w:sz="8" w:color="EEEEEE"/>
            </w:tcBorders>
          </w:tcPr>
          <w:p>
            <w:pPr>
              <w:spacing w:after="0"/>
              <w:rPr>
                <w:sz w:val="24"/>
                <w:szCs w:val="24"/>
                <w:color w:val="auto"/>
              </w:rPr>
            </w:pPr>
          </w:p>
        </w:tc>
        <w:tc>
          <w:tcPr>
            <w:tcW w:w="1960" w:type="dxa"/>
            <w:vAlign w:val="bottom"/>
            <w:tcBorders>
              <w:bottom w:val="single" w:sz="8" w:color="EEEEEE"/>
            </w:tcBorders>
          </w:tcPr>
          <w:p>
            <w:pPr>
              <w:spacing w:after="0"/>
              <w:rPr>
                <w:sz w:val="24"/>
                <w:szCs w:val="24"/>
                <w:color w:val="auto"/>
              </w:rPr>
            </w:pPr>
          </w:p>
        </w:tc>
        <w:tc>
          <w:tcPr>
            <w:tcW w:w="62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920" w:type="dxa"/>
            <w:vAlign w:val="bottom"/>
            <w:tcBorders>
              <w:bottom w:val="single" w:sz="8" w:color="EEEEEE"/>
            </w:tcBorders>
          </w:tcPr>
          <w:p>
            <w:pPr>
              <w:spacing w:after="0"/>
              <w:rPr>
                <w:sz w:val="24"/>
                <w:szCs w:val="24"/>
                <w:color w:val="auto"/>
              </w:rPr>
            </w:pPr>
          </w:p>
        </w:tc>
        <w:tc>
          <w:tcPr>
            <w:tcW w:w="22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39" w:name="page140"/>
    <w:bookmarkEnd w:id="13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color w:val="0000FF"/>
                <w:w w:val="77"/>
              </w:rPr>
              <w:t>(1)</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31"/>
          </w:tcPr>
          <w:p>
            <w:pPr>
              <w:ind w:left="4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02"/>
        </w:trPr>
        <w:tc>
          <w:tcPr>
            <w:tcW w:w="1180" w:type="dxa"/>
            <w:vAlign w:val="bottom"/>
            <w:vMerge w:val="restart"/>
          </w:tcPr>
          <w:p>
            <w:pPr>
              <w:ind w:left="180"/>
              <w:spacing w:after="0" w:line="169" w:lineRule="exact"/>
              <w:rPr>
                <w:sz w:val="20"/>
                <w:szCs w:val="20"/>
                <w:color w:val="auto"/>
              </w:rPr>
            </w:pPr>
            <w:r>
              <w:rPr>
                <w:rFonts w:ascii="Times New Roman" w:cs="Times New Roman" w:eastAsia="Times New Roman" w:hAnsi="Times New Roman"/>
                <w:sz w:val="16"/>
                <w:szCs w:val="16"/>
                <w:color w:val="auto"/>
              </w:rPr>
              <w:t>3.1</w:t>
            </w:r>
          </w:p>
        </w:tc>
        <w:tc>
          <w:tcPr>
            <w:tcW w:w="2540" w:type="dxa"/>
            <w:vAlign w:val="bottom"/>
            <w:gridSpan w:val="23"/>
            <w:vMerge w:val="restart"/>
          </w:tcPr>
          <w:p>
            <w:pPr>
              <w:spacing w:after="0" w:line="169" w:lineRule="exact"/>
              <w:rPr>
                <w:rFonts w:ascii="Times New Roman" w:cs="Times New Roman" w:eastAsia="Times New Roman" w:hAnsi="Times New Roman"/>
                <w:sz w:val="16"/>
                <w:szCs w:val="16"/>
                <w:color w:val="0000FF"/>
                <w:w w:val="96"/>
              </w:rPr>
            </w:pPr>
            <w:hyperlink r:id="rId186">
              <w:r>
                <w:rPr>
                  <w:rFonts w:ascii="Times New Roman" w:cs="Times New Roman" w:eastAsia="Times New Roman" w:hAnsi="Times New Roman"/>
                  <w:sz w:val="16"/>
                  <w:szCs w:val="16"/>
                  <w:color w:val="0000FF"/>
                  <w:w w:val="96"/>
                </w:rPr>
                <w:t>Articles of Amendment and Restatement</w:t>
              </w:r>
            </w:hyperlink>
          </w:p>
        </w:tc>
        <w:tc>
          <w:tcPr>
            <w:tcW w:w="120" w:type="dxa"/>
            <w:vAlign w:val="bottom"/>
            <w:tcBorders>
              <w:bottom w:val="single" w:sz="8" w:color="0000EE"/>
            </w:tcBorders>
            <w:gridSpan w:val="3"/>
            <w:vMerge w:val="continue"/>
          </w:tcPr>
          <w:p>
            <w:pPr>
              <w:spacing w:after="0"/>
              <w:rPr>
                <w:sz w:val="8"/>
                <w:szCs w:val="8"/>
                <w:color w:val="auto"/>
              </w:rPr>
            </w:pPr>
          </w:p>
        </w:tc>
        <w:tc>
          <w:tcPr>
            <w:tcW w:w="820" w:type="dxa"/>
            <w:vAlign w:val="bottom"/>
            <w:gridSpan w:val="2"/>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20" w:type="dxa"/>
            <w:vAlign w:val="bottom"/>
            <w:gridSpan w:val="2"/>
            <w:vMerge w:val="restart"/>
          </w:tcPr>
          <w:p>
            <w:pPr>
              <w:spacing w:after="0"/>
              <w:rPr>
                <w:sz w:val="8"/>
                <w:szCs w:val="8"/>
                <w:color w:val="auto"/>
              </w:rPr>
            </w:pPr>
          </w:p>
        </w:tc>
        <w:tc>
          <w:tcPr>
            <w:tcW w:w="840" w:type="dxa"/>
            <w:vAlign w:val="bottom"/>
            <w:vMerge w:val="restart"/>
          </w:tcPr>
          <w:p>
            <w:pPr>
              <w:spacing w:after="0"/>
              <w:rPr>
                <w:sz w:val="8"/>
                <w:szCs w:val="8"/>
                <w:color w:val="auto"/>
              </w:rPr>
            </w:pPr>
          </w:p>
        </w:tc>
        <w:tc>
          <w:tcPr>
            <w:tcW w:w="180" w:type="dxa"/>
            <w:vAlign w:val="bottom"/>
            <w:gridSpan w:val="2"/>
            <w:vMerge w:val="restart"/>
          </w:tcPr>
          <w:p>
            <w:pPr>
              <w:spacing w:after="0"/>
              <w:rPr>
                <w:sz w:val="8"/>
                <w:szCs w:val="8"/>
                <w:color w:val="auto"/>
              </w:rPr>
            </w:pPr>
          </w:p>
        </w:tc>
        <w:tc>
          <w:tcPr>
            <w:tcW w:w="920" w:type="dxa"/>
            <w:vAlign w:val="bottom"/>
            <w:gridSpan w:val="3"/>
            <w:vMerge w:val="restart"/>
          </w:tcPr>
          <w:p>
            <w:pPr>
              <w:spacing w:after="0"/>
              <w:rPr>
                <w:sz w:val="8"/>
                <w:szCs w:val="8"/>
                <w:color w:val="auto"/>
              </w:rPr>
            </w:pPr>
          </w:p>
        </w:tc>
        <w:tc>
          <w:tcPr>
            <w:tcW w:w="460" w:type="dxa"/>
            <w:vAlign w:val="bottom"/>
            <w:vMerge w:val="restart"/>
          </w:tcPr>
          <w:p>
            <w:pPr>
              <w:spacing w:after="0"/>
              <w:rPr>
                <w:sz w:val="8"/>
                <w:szCs w:val="8"/>
                <w:color w:val="auto"/>
              </w:rPr>
            </w:pPr>
          </w:p>
        </w:tc>
        <w:tc>
          <w:tcPr>
            <w:tcW w:w="120" w:type="dxa"/>
            <w:vAlign w:val="bottom"/>
            <w:gridSpan w:val="2"/>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180" w:type="dxa"/>
            <w:vAlign w:val="bottom"/>
            <w:gridSpan w:val="2"/>
            <w:vMerge w:val="restart"/>
          </w:tcPr>
          <w:p>
            <w:pPr>
              <w:spacing w:after="0"/>
              <w:rPr>
                <w:sz w:val="8"/>
                <w:szCs w:val="8"/>
                <w:color w:val="auto"/>
              </w:rPr>
            </w:pPr>
          </w:p>
        </w:tc>
        <w:tc>
          <w:tcPr>
            <w:tcW w:w="400" w:type="dxa"/>
            <w:vAlign w:val="bottom"/>
            <w:gridSpan w:val="2"/>
            <w:vMerge w:val="restart"/>
          </w:tcPr>
          <w:p>
            <w:pPr>
              <w:spacing w:after="0"/>
              <w:rPr>
                <w:sz w:val="8"/>
                <w:szCs w:val="8"/>
                <w:color w:val="auto"/>
              </w:rPr>
            </w:pPr>
          </w:p>
        </w:tc>
        <w:tc>
          <w:tcPr>
            <w:tcW w:w="380" w:type="dxa"/>
            <w:vAlign w:val="bottom"/>
            <w:gridSpan w:val="2"/>
            <w:vMerge w:val="restart"/>
          </w:tcPr>
          <w:p>
            <w:pPr>
              <w:spacing w:after="0"/>
              <w:rPr>
                <w:sz w:val="8"/>
                <w:szCs w:val="8"/>
                <w:color w:val="auto"/>
              </w:rPr>
            </w:pPr>
          </w:p>
        </w:tc>
        <w:tc>
          <w:tcPr>
            <w:tcW w:w="1620" w:type="dxa"/>
            <w:vAlign w:val="bottom"/>
            <w:gridSpan w:val="9"/>
            <w:vMerge w:val="restart"/>
          </w:tcPr>
          <w:p>
            <w:pPr>
              <w:spacing w:after="0"/>
              <w:rPr>
                <w:sz w:val="8"/>
                <w:szCs w:val="8"/>
                <w:color w:val="auto"/>
              </w:rPr>
            </w:pPr>
          </w:p>
        </w:tc>
        <w:tc>
          <w:tcPr>
            <w:tcW w:w="260" w:type="dxa"/>
            <w:vAlign w:val="bottom"/>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2540" w:type="dxa"/>
            <w:vAlign w:val="bottom"/>
            <w:tcBorders>
              <w:bottom w:val="single" w:sz="8" w:color="0000EE"/>
            </w:tcBorders>
            <w:gridSpan w:val="23"/>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620" w:type="dxa"/>
            <w:vAlign w:val="bottom"/>
            <w:gridSpan w:val="9"/>
            <w:vMerge w:val="continue"/>
          </w:tcPr>
          <w:p>
            <w:pPr>
              <w:spacing w:after="0"/>
              <w:rPr>
                <w:sz w:val="4"/>
                <w:szCs w:val="4"/>
                <w:color w:val="auto"/>
              </w:rPr>
            </w:pPr>
          </w:p>
        </w:tc>
        <w:tc>
          <w:tcPr>
            <w:tcW w:w="2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3.2</w:t>
            </w:r>
          </w:p>
        </w:tc>
        <w:tc>
          <w:tcPr>
            <w:tcW w:w="1460" w:type="dxa"/>
            <w:vAlign w:val="bottom"/>
            <w:gridSpan w:val="13"/>
            <w:vMerge w:val="restart"/>
          </w:tcPr>
          <w:p>
            <w:pPr>
              <w:spacing w:after="0"/>
              <w:rPr>
                <w:rFonts w:ascii="Times New Roman" w:cs="Times New Roman" w:eastAsia="Times New Roman" w:hAnsi="Times New Roman"/>
                <w:sz w:val="16"/>
                <w:szCs w:val="16"/>
                <w:color w:val="0000FF"/>
                <w:w w:val="95"/>
              </w:rPr>
            </w:pPr>
            <w:hyperlink r:id="rId187">
              <w:r>
                <w:rPr>
                  <w:rFonts w:ascii="Times New Roman" w:cs="Times New Roman" w:eastAsia="Times New Roman" w:hAnsi="Times New Roman"/>
                  <w:sz w:val="16"/>
                  <w:szCs w:val="16"/>
                  <w:color w:val="0000FF"/>
                  <w:w w:val="95"/>
                </w:rPr>
                <w:t>Articles of Amendment</w:t>
              </w:r>
            </w:hyperlink>
          </w:p>
        </w:tc>
        <w:tc>
          <w:tcPr>
            <w:tcW w:w="180" w:type="dxa"/>
            <w:vAlign w:val="bottom"/>
            <w:tcBorders>
              <w:bottom w:val="single" w:sz="8" w:color="0000EE"/>
            </w:tcBorders>
            <w:gridSpan w:val="3"/>
          </w:tcPr>
          <w:p>
            <w:pPr>
              <w:jc w:val="right"/>
              <w:spacing w:after="0"/>
              <w:rPr>
                <w:rFonts w:ascii="Times New Roman" w:cs="Times New Roman" w:eastAsia="Times New Roman" w:hAnsi="Times New Roman"/>
                <w:sz w:val="11"/>
                <w:szCs w:val="11"/>
                <w:color w:val="0000FF"/>
                <w:w w:val="87"/>
              </w:rPr>
            </w:pPr>
            <w:hyperlink r:id="rId187">
              <w:r>
                <w:rPr>
                  <w:rFonts w:ascii="Times New Roman" w:cs="Times New Roman" w:eastAsia="Times New Roman" w:hAnsi="Times New Roman"/>
                  <w:sz w:val="11"/>
                  <w:szCs w:val="11"/>
                  <w:color w:val="0000FF"/>
                  <w:w w:val="87"/>
                </w:rPr>
                <w:t>(13)</w:t>
              </w:r>
            </w:hyperlink>
          </w:p>
        </w:tc>
        <w:tc>
          <w:tcPr>
            <w:tcW w:w="20" w:type="dxa"/>
            <w:vAlign w:val="bottom"/>
            <w:vMerge w:val="restart"/>
          </w:tcPr>
          <w:p>
            <w:pPr>
              <w:spacing w:after="0"/>
              <w:rPr>
                <w:sz w:val="12"/>
                <w:szCs w:val="12"/>
                <w:color w:val="auto"/>
              </w:rPr>
            </w:pPr>
          </w:p>
        </w:tc>
        <w:tc>
          <w:tcPr>
            <w:tcW w:w="600" w:type="dxa"/>
            <w:vAlign w:val="bottom"/>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80" w:type="dxa"/>
            <w:vAlign w:val="bottom"/>
            <w:gridSpan w:val="3"/>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60" w:type="dxa"/>
            <w:vAlign w:val="bottom"/>
            <w:gridSpan w:val="3"/>
            <w:vMerge w:val="restart"/>
          </w:tcPr>
          <w:p>
            <w:pPr>
              <w:spacing w:after="0"/>
              <w:rPr>
                <w:sz w:val="12"/>
                <w:szCs w:val="12"/>
                <w:color w:val="auto"/>
              </w:rPr>
            </w:pPr>
          </w:p>
        </w:tc>
        <w:tc>
          <w:tcPr>
            <w:tcW w:w="320" w:type="dxa"/>
            <w:vAlign w:val="bottom"/>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840" w:type="dxa"/>
            <w:vAlign w:val="bottom"/>
            <w:vMerge w:val="restart"/>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920" w:type="dxa"/>
            <w:vAlign w:val="bottom"/>
            <w:gridSpan w:val="3"/>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380" w:type="dxa"/>
            <w:vAlign w:val="bottom"/>
            <w:gridSpan w:val="2"/>
            <w:vMerge w:val="restart"/>
          </w:tcPr>
          <w:p>
            <w:pPr>
              <w:spacing w:after="0"/>
              <w:rPr>
                <w:sz w:val="12"/>
                <w:szCs w:val="12"/>
                <w:color w:val="auto"/>
              </w:rPr>
            </w:pPr>
          </w:p>
        </w:tc>
        <w:tc>
          <w:tcPr>
            <w:tcW w:w="1620" w:type="dxa"/>
            <w:vAlign w:val="bottom"/>
            <w:gridSpan w:val="9"/>
            <w:vMerge w:val="restart"/>
          </w:tcPr>
          <w:p>
            <w:pPr>
              <w:spacing w:after="0"/>
              <w:rPr>
                <w:sz w:val="12"/>
                <w:szCs w:val="12"/>
                <w:color w:val="auto"/>
              </w:rPr>
            </w:pPr>
          </w:p>
        </w:tc>
        <w:tc>
          <w:tcPr>
            <w:tcW w:w="260" w:type="dxa"/>
            <w:vAlign w:val="bottom"/>
            <w:gridSpan w:val="6"/>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1460" w:type="dxa"/>
            <w:vAlign w:val="bottom"/>
            <w:tcBorders>
              <w:bottom w:val="single" w:sz="8" w:color="0000EE"/>
            </w:tcBorders>
            <w:gridSpan w:val="13"/>
            <w:vMerge w:val="continue"/>
          </w:tcPr>
          <w:p>
            <w:pPr>
              <w:spacing w:after="0"/>
              <w:rPr>
                <w:sz w:val="4"/>
                <w:szCs w:val="4"/>
                <w:color w:val="auto"/>
              </w:rPr>
            </w:pPr>
          </w:p>
        </w:tc>
        <w:tc>
          <w:tcPr>
            <w:tcW w:w="1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620" w:type="dxa"/>
            <w:vAlign w:val="bottom"/>
            <w:gridSpan w:val="9"/>
            <w:vMerge w:val="continue"/>
          </w:tcPr>
          <w:p>
            <w:pPr>
              <w:spacing w:after="0"/>
              <w:rPr>
                <w:sz w:val="4"/>
                <w:szCs w:val="4"/>
                <w:color w:val="auto"/>
              </w:rPr>
            </w:pPr>
          </w:p>
        </w:tc>
        <w:tc>
          <w:tcPr>
            <w:tcW w:w="2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3.3</w:t>
            </w:r>
          </w:p>
        </w:tc>
        <w:tc>
          <w:tcPr>
            <w:tcW w:w="2440" w:type="dxa"/>
            <w:vAlign w:val="bottom"/>
            <w:gridSpan w:val="22"/>
            <w:vMerge w:val="restart"/>
          </w:tcPr>
          <w:p>
            <w:pPr>
              <w:spacing w:after="0"/>
              <w:rPr>
                <w:rFonts w:ascii="Times New Roman" w:cs="Times New Roman" w:eastAsia="Times New Roman" w:hAnsi="Times New Roman"/>
                <w:sz w:val="16"/>
                <w:szCs w:val="16"/>
                <w:color w:val="0000FF"/>
                <w:w w:val="96"/>
              </w:rPr>
            </w:pPr>
            <w:hyperlink r:id="rId188">
              <w:r>
                <w:rPr>
                  <w:rFonts w:ascii="Times New Roman" w:cs="Times New Roman" w:eastAsia="Times New Roman" w:hAnsi="Times New Roman"/>
                  <w:sz w:val="16"/>
                  <w:szCs w:val="16"/>
                  <w:color w:val="0000FF"/>
                  <w:w w:val="96"/>
                </w:rPr>
                <w:t>Second Amended and Restated Bylaws</w:t>
              </w:r>
            </w:hyperlink>
          </w:p>
        </w:tc>
        <w:tc>
          <w:tcPr>
            <w:tcW w:w="1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1"/>
                <w:szCs w:val="11"/>
                <w:color w:val="0000FF"/>
                <w:w w:val="87"/>
              </w:rPr>
              <w:t>(13)</w:t>
            </w:r>
          </w:p>
        </w:tc>
        <w:tc>
          <w:tcPr>
            <w:tcW w:w="860" w:type="dxa"/>
            <w:vAlign w:val="bottom"/>
            <w:gridSpan w:val="3"/>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840" w:type="dxa"/>
            <w:vAlign w:val="bottom"/>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920" w:type="dxa"/>
            <w:vAlign w:val="bottom"/>
            <w:gridSpan w:val="3"/>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400" w:type="dxa"/>
            <w:vAlign w:val="bottom"/>
            <w:gridSpan w:val="2"/>
            <w:vMerge w:val="restart"/>
          </w:tcPr>
          <w:p>
            <w:pPr>
              <w:spacing w:after="0"/>
              <w:rPr>
                <w:sz w:val="13"/>
                <w:szCs w:val="13"/>
                <w:color w:val="auto"/>
              </w:rPr>
            </w:pPr>
          </w:p>
        </w:tc>
        <w:tc>
          <w:tcPr>
            <w:tcW w:w="380" w:type="dxa"/>
            <w:vAlign w:val="bottom"/>
            <w:gridSpan w:val="2"/>
            <w:vMerge w:val="restart"/>
          </w:tcPr>
          <w:p>
            <w:pPr>
              <w:spacing w:after="0"/>
              <w:rPr>
                <w:sz w:val="13"/>
                <w:szCs w:val="13"/>
                <w:color w:val="auto"/>
              </w:rPr>
            </w:pPr>
          </w:p>
        </w:tc>
        <w:tc>
          <w:tcPr>
            <w:tcW w:w="1620" w:type="dxa"/>
            <w:vAlign w:val="bottom"/>
            <w:gridSpan w:val="9"/>
            <w:vMerge w:val="restart"/>
          </w:tcPr>
          <w:p>
            <w:pPr>
              <w:spacing w:after="0"/>
              <w:rPr>
                <w:sz w:val="13"/>
                <w:szCs w:val="13"/>
                <w:color w:val="auto"/>
              </w:rPr>
            </w:pPr>
          </w:p>
        </w:tc>
        <w:tc>
          <w:tcPr>
            <w:tcW w:w="26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2440" w:type="dxa"/>
            <w:vAlign w:val="bottom"/>
            <w:tcBorders>
              <w:bottom w:val="single" w:sz="8" w:color="0000EE"/>
            </w:tcBorders>
            <w:gridSpan w:val="22"/>
            <w:vMerge w:val="continue"/>
          </w:tcPr>
          <w:p>
            <w:pPr>
              <w:spacing w:after="0"/>
              <w:rPr>
                <w:sz w:val="4"/>
                <w:szCs w:val="4"/>
                <w:color w:val="auto"/>
              </w:rPr>
            </w:pPr>
          </w:p>
        </w:tc>
        <w:tc>
          <w:tcPr>
            <w:tcW w:w="1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620" w:type="dxa"/>
            <w:vAlign w:val="bottom"/>
            <w:gridSpan w:val="9"/>
            <w:vMerge w:val="continue"/>
          </w:tcPr>
          <w:p>
            <w:pPr>
              <w:spacing w:after="0"/>
              <w:rPr>
                <w:sz w:val="4"/>
                <w:szCs w:val="4"/>
                <w:color w:val="auto"/>
              </w:rPr>
            </w:pPr>
          </w:p>
        </w:tc>
        <w:tc>
          <w:tcPr>
            <w:tcW w:w="2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4.1</w:t>
            </w:r>
          </w:p>
        </w:tc>
        <w:tc>
          <w:tcPr>
            <w:tcW w:w="1540" w:type="dxa"/>
            <w:vAlign w:val="bottom"/>
            <w:gridSpan w:val="14"/>
            <w:vMerge w:val="restart"/>
          </w:tcPr>
          <w:p>
            <w:pPr>
              <w:spacing w:after="0"/>
              <w:rPr>
                <w:rFonts w:ascii="Times New Roman" w:cs="Times New Roman" w:eastAsia="Times New Roman" w:hAnsi="Times New Roman"/>
                <w:sz w:val="16"/>
                <w:szCs w:val="16"/>
                <w:color w:val="0000FF"/>
                <w:w w:val="95"/>
              </w:rPr>
            </w:pPr>
            <w:hyperlink r:id="rId189">
              <w:r>
                <w:rPr>
                  <w:rFonts w:ascii="Times New Roman" w:cs="Times New Roman" w:eastAsia="Times New Roman" w:hAnsi="Times New Roman"/>
                  <w:sz w:val="16"/>
                  <w:szCs w:val="16"/>
                  <w:color w:val="0000FF"/>
                  <w:w w:val="95"/>
                </w:rPr>
                <w:t>Description of Securities</w:t>
              </w:r>
            </w:hyperlink>
          </w:p>
        </w:tc>
        <w:tc>
          <w:tcPr>
            <w:tcW w:w="12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1"/>
                <w:szCs w:val="11"/>
                <w:color w:val="0000FF"/>
                <w:w w:val="77"/>
              </w:rPr>
              <w:t>(9)</w:t>
            </w:r>
          </w:p>
        </w:tc>
        <w:tc>
          <w:tcPr>
            <w:tcW w:w="60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gridSpan w:val="3"/>
            <w:vMerge w:val="restart"/>
          </w:tcPr>
          <w:p>
            <w:pPr>
              <w:spacing w:after="0"/>
              <w:rPr>
                <w:sz w:val="13"/>
                <w:szCs w:val="13"/>
                <w:color w:val="auto"/>
              </w:rPr>
            </w:pPr>
          </w:p>
        </w:tc>
        <w:tc>
          <w:tcPr>
            <w:tcW w:w="900" w:type="dxa"/>
            <w:vAlign w:val="bottom"/>
            <w:gridSpan w:val="4"/>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840" w:type="dxa"/>
            <w:vAlign w:val="bottom"/>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920" w:type="dxa"/>
            <w:vAlign w:val="bottom"/>
            <w:gridSpan w:val="3"/>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400" w:type="dxa"/>
            <w:vAlign w:val="bottom"/>
            <w:gridSpan w:val="2"/>
            <w:vMerge w:val="restart"/>
          </w:tcPr>
          <w:p>
            <w:pPr>
              <w:spacing w:after="0"/>
              <w:rPr>
                <w:sz w:val="13"/>
                <w:szCs w:val="13"/>
                <w:color w:val="auto"/>
              </w:rPr>
            </w:pPr>
          </w:p>
        </w:tc>
        <w:tc>
          <w:tcPr>
            <w:tcW w:w="380" w:type="dxa"/>
            <w:vAlign w:val="bottom"/>
            <w:gridSpan w:val="2"/>
            <w:vMerge w:val="restart"/>
          </w:tcPr>
          <w:p>
            <w:pPr>
              <w:spacing w:after="0"/>
              <w:rPr>
                <w:sz w:val="13"/>
                <w:szCs w:val="13"/>
                <w:color w:val="auto"/>
              </w:rPr>
            </w:pPr>
          </w:p>
        </w:tc>
        <w:tc>
          <w:tcPr>
            <w:tcW w:w="1620" w:type="dxa"/>
            <w:vAlign w:val="bottom"/>
            <w:gridSpan w:val="9"/>
            <w:vMerge w:val="restart"/>
          </w:tcPr>
          <w:p>
            <w:pPr>
              <w:spacing w:after="0"/>
              <w:rPr>
                <w:sz w:val="13"/>
                <w:szCs w:val="13"/>
                <w:color w:val="auto"/>
              </w:rPr>
            </w:pPr>
          </w:p>
        </w:tc>
        <w:tc>
          <w:tcPr>
            <w:tcW w:w="26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1540" w:type="dxa"/>
            <w:vAlign w:val="bottom"/>
            <w:tcBorders>
              <w:bottom w:val="single" w:sz="8" w:color="0000EE"/>
            </w:tcBorders>
            <w:gridSpan w:val="14"/>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620" w:type="dxa"/>
            <w:vAlign w:val="bottom"/>
            <w:gridSpan w:val="9"/>
            <w:vMerge w:val="continue"/>
          </w:tcPr>
          <w:p>
            <w:pPr>
              <w:spacing w:after="0"/>
              <w:rPr>
                <w:sz w:val="4"/>
                <w:szCs w:val="4"/>
                <w:color w:val="auto"/>
              </w:rPr>
            </w:pPr>
          </w:p>
        </w:tc>
        <w:tc>
          <w:tcPr>
            <w:tcW w:w="2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4.2</w:t>
            </w:r>
          </w:p>
        </w:tc>
        <w:tc>
          <w:tcPr>
            <w:tcW w:w="8960" w:type="dxa"/>
            <w:vAlign w:val="bottom"/>
            <w:gridSpan w:val="49"/>
            <w:vMerge w:val="restart"/>
          </w:tcPr>
          <w:p>
            <w:pPr>
              <w:spacing w:after="0"/>
              <w:rPr>
                <w:rFonts w:ascii="Times New Roman" w:cs="Times New Roman" w:eastAsia="Times New Roman" w:hAnsi="Times New Roman"/>
                <w:sz w:val="16"/>
                <w:szCs w:val="16"/>
                <w:color w:val="0000FF"/>
                <w:w w:val="97"/>
              </w:rPr>
            </w:pPr>
            <w:hyperlink r:id="rId190">
              <w:r>
                <w:rPr>
                  <w:rFonts w:ascii="Times New Roman" w:cs="Times New Roman" w:eastAsia="Times New Roman" w:hAnsi="Times New Roman"/>
                  <w:sz w:val="16"/>
                  <w:szCs w:val="16"/>
                  <w:color w:val="0000FF"/>
                  <w:w w:val="97"/>
                </w:rPr>
                <w:t>Indenture, dated July 28, 2022, by and between Runway Growth Finance Corp. and U.S. Bank Trust Company, National Association, as trustee</w:t>
              </w:r>
            </w:hyperlink>
          </w:p>
        </w:tc>
        <w:tc>
          <w:tcPr>
            <w:tcW w:w="180" w:type="dxa"/>
            <w:vAlign w:val="bottom"/>
            <w:tcBorders>
              <w:bottom w:val="single" w:sz="8" w:color="0000EE"/>
            </w:tcBorders>
            <w:gridSpan w:val="7"/>
          </w:tcPr>
          <w:p>
            <w:pPr>
              <w:jc w:val="right"/>
              <w:spacing w:after="0"/>
              <w:rPr>
                <w:sz w:val="20"/>
                <w:szCs w:val="20"/>
                <w:color w:val="auto"/>
              </w:rPr>
            </w:pPr>
            <w:r>
              <w:rPr>
                <w:rFonts w:ascii="Times New Roman" w:cs="Times New Roman" w:eastAsia="Times New Roman" w:hAnsi="Times New Roman"/>
                <w:sz w:val="11"/>
                <w:szCs w:val="11"/>
                <w:color w:val="0000FF"/>
                <w:w w:val="87"/>
              </w:rPr>
              <w:t>(19)</w:t>
            </w:r>
          </w:p>
        </w:tc>
        <w:tc>
          <w:tcPr>
            <w:tcW w:w="260" w:type="dxa"/>
            <w:vAlign w:val="bottom"/>
            <w:gridSpan w:val="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8960" w:type="dxa"/>
            <w:vAlign w:val="bottom"/>
            <w:tcBorders>
              <w:bottom w:val="single" w:sz="8" w:color="0000EE"/>
            </w:tcBorders>
            <w:gridSpan w:val="49"/>
            <w:vMerge w:val="continue"/>
          </w:tcPr>
          <w:p>
            <w:pPr>
              <w:spacing w:after="0"/>
              <w:rPr>
                <w:sz w:val="4"/>
                <w:szCs w:val="4"/>
                <w:color w:val="auto"/>
              </w:rPr>
            </w:pPr>
          </w:p>
        </w:tc>
        <w:tc>
          <w:tcPr>
            <w:tcW w:w="180" w:type="dxa"/>
            <w:vAlign w:val="bottom"/>
            <w:gridSpan w:val="7"/>
          </w:tcPr>
          <w:p>
            <w:pPr>
              <w:spacing w:after="0"/>
              <w:rPr>
                <w:sz w:val="4"/>
                <w:szCs w:val="4"/>
                <w:color w:val="auto"/>
              </w:rPr>
            </w:pPr>
          </w:p>
        </w:tc>
        <w:tc>
          <w:tcPr>
            <w:tcW w:w="2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4.3</w:t>
            </w:r>
          </w:p>
        </w:tc>
        <w:tc>
          <w:tcPr>
            <w:tcW w:w="9400" w:type="dxa"/>
            <w:vAlign w:val="bottom"/>
            <w:gridSpan w:val="62"/>
          </w:tcPr>
          <w:p>
            <w:pPr>
              <w:spacing w:after="0"/>
              <w:rPr>
                <w:rFonts w:ascii="Times New Roman" w:cs="Times New Roman" w:eastAsia="Times New Roman" w:hAnsi="Times New Roman"/>
                <w:sz w:val="16"/>
                <w:szCs w:val="16"/>
                <w:color w:val="0000FF"/>
              </w:rPr>
            </w:pPr>
            <w:hyperlink r:id="rId191">
              <w:r>
                <w:rPr>
                  <w:rFonts w:ascii="Times New Roman" w:cs="Times New Roman" w:eastAsia="Times New Roman" w:hAnsi="Times New Roman"/>
                  <w:sz w:val="16"/>
                  <w:szCs w:val="16"/>
                  <w:color w:val="0000FF"/>
                </w:rPr>
                <w:t>First Supplemental Indenture, dated July 28, 2022, by and between Runway Growth Finance Corp. and U.S. Bank Trust Company, National</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1400" w:type="dxa"/>
            <w:vAlign w:val="bottom"/>
            <w:tcBorders>
              <w:top w:val="single" w:sz="8" w:color="0000EE"/>
              <w:bottom w:val="single" w:sz="8" w:color="0000EE"/>
            </w:tcBorders>
            <w:gridSpan w:val="12"/>
            <w:vMerge w:val="restart"/>
          </w:tcPr>
          <w:p>
            <w:pPr>
              <w:spacing w:after="0" w:line="160" w:lineRule="exact"/>
              <w:rPr>
                <w:rFonts w:ascii="Times New Roman" w:cs="Times New Roman" w:eastAsia="Times New Roman" w:hAnsi="Times New Roman"/>
                <w:sz w:val="16"/>
                <w:szCs w:val="16"/>
                <w:color w:val="0000FF"/>
                <w:w w:val="96"/>
              </w:rPr>
            </w:pPr>
            <w:hyperlink r:id="rId191">
              <w:r>
                <w:rPr>
                  <w:rFonts w:ascii="Times New Roman" w:cs="Times New Roman" w:eastAsia="Times New Roman" w:hAnsi="Times New Roman"/>
                  <w:sz w:val="16"/>
                  <w:szCs w:val="16"/>
                  <w:color w:val="0000FF"/>
                  <w:w w:val="96"/>
                </w:rPr>
                <w:t>Association, as trustee</w:t>
              </w:r>
            </w:hyperlink>
          </w:p>
        </w:tc>
        <w:tc>
          <w:tcPr>
            <w:tcW w:w="180" w:type="dxa"/>
            <w:vAlign w:val="bottom"/>
            <w:tcBorders>
              <w:top w:val="single" w:sz="8" w:color="0000EE"/>
              <w:bottom w:val="single" w:sz="8" w:color="0000EE"/>
            </w:tcBorders>
            <w:gridSpan w:val="3"/>
          </w:tcPr>
          <w:p>
            <w:pPr>
              <w:jc w:val="right"/>
              <w:spacing w:after="0" w:line="76" w:lineRule="exact"/>
              <w:rPr>
                <w:rFonts w:ascii="Times New Roman" w:cs="Times New Roman" w:eastAsia="Times New Roman" w:hAnsi="Times New Roman"/>
                <w:sz w:val="8"/>
                <w:szCs w:val="8"/>
                <w:color w:val="0000FF"/>
              </w:rPr>
            </w:pPr>
            <w:hyperlink r:id="rId191">
              <w:r>
                <w:rPr>
                  <w:rFonts w:ascii="Times New Roman" w:cs="Times New Roman" w:eastAsia="Times New Roman" w:hAnsi="Times New Roman"/>
                  <w:sz w:val="8"/>
                  <w:szCs w:val="8"/>
                  <w:color w:val="0000FF"/>
                </w:rPr>
                <w:t>(19)</w:t>
              </w:r>
            </w:hyperlink>
          </w:p>
        </w:tc>
        <w:tc>
          <w:tcPr>
            <w:tcW w:w="680" w:type="dxa"/>
            <w:vAlign w:val="bottom"/>
            <w:tcBorders>
              <w:top w:val="single" w:sz="8" w:color="0000EE"/>
              <w:bottom w:val="single" w:sz="8" w:color="0000EE"/>
            </w:tcBorders>
            <w:gridSpan w:val="3"/>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3"/>
            <w:vMerge w:val="restart"/>
          </w:tcPr>
          <w:p>
            <w:pPr>
              <w:spacing w:after="0"/>
              <w:rPr>
                <w:sz w:val="7"/>
                <w:szCs w:val="7"/>
                <w:color w:val="auto"/>
              </w:rPr>
            </w:pPr>
          </w:p>
        </w:tc>
        <w:tc>
          <w:tcPr>
            <w:tcW w:w="900" w:type="dxa"/>
            <w:vAlign w:val="bottom"/>
            <w:tcBorders>
              <w:top w:val="single" w:sz="8" w:color="0000EE"/>
              <w:bottom w:val="single" w:sz="8" w:color="0000EE"/>
            </w:tcBorders>
            <w:gridSpan w:val="4"/>
            <w:vMerge w:val="restart"/>
          </w:tcPr>
          <w:p>
            <w:pPr>
              <w:spacing w:after="0"/>
              <w:rPr>
                <w:sz w:val="7"/>
                <w:szCs w:val="7"/>
                <w:color w:val="auto"/>
              </w:rPr>
            </w:pPr>
          </w:p>
        </w:tc>
        <w:tc>
          <w:tcPr>
            <w:tcW w:w="3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84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tcBorders>
            <w:gridSpan w:val="2"/>
          </w:tcPr>
          <w:p>
            <w:pPr>
              <w:spacing w:after="0"/>
              <w:rPr>
                <w:sz w:val="7"/>
                <w:szCs w:val="7"/>
                <w:color w:val="auto"/>
              </w:rPr>
            </w:pPr>
          </w:p>
        </w:tc>
        <w:tc>
          <w:tcPr>
            <w:tcW w:w="920" w:type="dxa"/>
            <w:vAlign w:val="bottom"/>
            <w:tcBorders>
              <w:top w:val="single" w:sz="8" w:color="0000EE"/>
              <w:bottom w:val="single" w:sz="8" w:color="0000EE"/>
            </w:tcBorders>
            <w:gridSpan w:val="3"/>
            <w:vMerge w:val="restart"/>
          </w:tcPr>
          <w:p>
            <w:pPr>
              <w:spacing w:after="0"/>
              <w:rPr>
                <w:sz w:val="7"/>
                <w:szCs w:val="7"/>
                <w:color w:val="auto"/>
              </w:rPr>
            </w:pPr>
          </w:p>
        </w:tc>
        <w:tc>
          <w:tcPr>
            <w:tcW w:w="4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40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260" w:type="dxa"/>
            <w:vAlign w:val="bottom"/>
            <w:tcBorders>
              <w:top w:val="single" w:sz="8" w:color="0000EE"/>
              <w:bottom w:val="single" w:sz="8" w:color="0000EE"/>
            </w:tcBorders>
            <w:vMerge w:val="restart"/>
          </w:tcPr>
          <w:p>
            <w:pPr>
              <w:spacing w:after="0"/>
              <w:rPr>
                <w:sz w:val="7"/>
                <w:szCs w:val="7"/>
                <w:color w:val="auto"/>
              </w:rPr>
            </w:pPr>
          </w:p>
        </w:tc>
        <w:tc>
          <w:tcPr>
            <w:tcW w:w="2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400" w:type="dxa"/>
            <w:vAlign w:val="bottom"/>
            <w:tcBorders>
              <w:bottom w:val="single" w:sz="8" w:color="0000EE"/>
            </w:tcBorders>
            <w:gridSpan w:val="12"/>
            <w:vMerge w:val="continue"/>
          </w:tcPr>
          <w:p>
            <w:pPr>
              <w:spacing w:after="0"/>
              <w:rPr>
                <w:sz w:val="4"/>
                <w:szCs w:val="4"/>
                <w:color w:val="auto"/>
              </w:rPr>
            </w:pPr>
          </w:p>
        </w:tc>
        <w:tc>
          <w:tcPr>
            <w:tcW w:w="180" w:type="dxa"/>
            <w:vAlign w:val="bottom"/>
            <w:gridSpan w:val="3"/>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00FF"/>
                <w:w w:val="87"/>
              </w:rPr>
              <w:t>(19)</w:t>
            </w:r>
          </w:p>
        </w:tc>
        <w:tc>
          <w:tcPr>
            <w:tcW w:w="92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4.4</w:t>
            </w:r>
          </w:p>
        </w:tc>
        <w:tc>
          <w:tcPr>
            <w:tcW w:w="4760" w:type="dxa"/>
            <w:vAlign w:val="bottom"/>
            <w:gridSpan w:val="32"/>
            <w:vMerge w:val="restart"/>
          </w:tcPr>
          <w:p>
            <w:pPr>
              <w:spacing w:after="0"/>
              <w:rPr>
                <w:rFonts w:ascii="Times New Roman" w:cs="Times New Roman" w:eastAsia="Times New Roman" w:hAnsi="Times New Roman"/>
                <w:sz w:val="16"/>
                <w:szCs w:val="16"/>
                <w:color w:val="0000FF"/>
                <w:w w:val="96"/>
              </w:rPr>
            </w:pPr>
            <w:hyperlink r:id="rId191">
              <w:r>
                <w:rPr>
                  <w:rFonts w:ascii="Times New Roman" w:cs="Times New Roman" w:eastAsia="Times New Roman" w:hAnsi="Times New Roman"/>
                  <w:sz w:val="16"/>
                  <w:szCs w:val="16"/>
                  <w:color w:val="0000FF"/>
                  <w:w w:val="96"/>
                </w:rPr>
                <w:t>Form of Global Note 7.50% Note Due 2027 (included as part of Exhibit 4.3)</w:t>
              </w:r>
            </w:hyperlink>
          </w:p>
        </w:tc>
        <w:tc>
          <w:tcPr>
            <w:tcW w:w="180" w:type="dxa"/>
            <w:vAlign w:val="bottom"/>
            <w:tcBorders>
              <w:bottom w:val="single" w:sz="8" w:color="0000EE"/>
            </w:tcBorders>
            <w:gridSpan w:val="2"/>
            <w:vMerge w:val="continue"/>
          </w:tcPr>
          <w:p>
            <w:pPr>
              <w:spacing w:after="0"/>
              <w:rPr>
                <w:sz w:val="13"/>
                <w:szCs w:val="13"/>
                <w:color w:val="auto"/>
              </w:rPr>
            </w:pPr>
          </w:p>
        </w:tc>
        <w:tc>
          <w:tcPr>
            <w:tcW w:w="920" w:type="dxa"/>
            <w:vAlign w:val="bottom"/>
            <w:gridSpan w:val="3"/>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400" w:type="dxa"/>
            <w:vAlign w:val="bottom"/>
            <w:gridSpan w:val="2"/>
            <w:vMerge w:val="restart"/>
          </w:tcPr>
          <w:p>
            <w:pPr>
              <w:spacing w:after="0"/>
              <w:rPr>
                <w:sz w:val="13"/>
                <w:szCs w:val="13"/>
                <w:color w:val="auto"/>
              </w:rPr>
            </w:pPr>
          </w:p>
        </w:tc>
        <w:tc>
          <w:tcPr>
            <w:tcW w:w="380" w:type="dxa"/>
            <w:vAlign w:val="bottom"/>
            <w:gridSpan w:val="2"/>
            <w:vMerge w:val="restart"/>
          </w:tcPr>
          <w:p>
            <w:pPr>
              <w:spacing w:after="0"/>
              <w:rPr>
                <w:sz w:val="13"/>
                <w:szCs w:val="13"/>
                <w:color w:val="auto"/>
              </w:rPr>
            </w:pPr>
          </w:p>
        </w:tc>
        <w:tc>
          <w:tcPr>
            <w:tcW w:w="1880" w:type="dxa"/>
            <w:vAlign w:val="bottom"/>
            <w:gridSpan w:val="1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80" w:type="dxa"/>
            <w:vAlign w:val="bottom"/>
            <w:vMerge w:val="continue"/>
          </w:tcPr>
          <w:p>
            <w:pPr>
              <w:spacing w:after="0"/>
              <w:rPr>
                <w:sz w:val="4"/>
                <w:szCs w:val="4"/>
                <w:color w:val="auto"/>
              </w:rPr>
            </w:pPr>
          </w:p>
        </w:tc>
        <w:tc>
          <w:tcPr>
            <w:tcW w:w="4760" w:type="dxa"/>
            <w:vAlign w:val="bottom"/>
            <w:tcBorders>
              <w:bottom w:val="single" w:sz="8" w:color="0000EE"/>
            </w:tcBorders>
            <w:gridSpan w:val="3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88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4.5</w:t>
            </w:r>
          </w:p>
        </w:tc>
        <w:tc>
          <w:tcPr>
            <w:tcW w:w="9400" w:type="dxa"/>
            <w:vAlign w:val="bottom"/>
            <w:gridSpan w:val="62"/>
          </w:tcPr>
          <w:p>
            <w:pPr>
              <w:spacing w:after="0"/>
              <w:rPr>
                <w:rFonts w:ascii="Times New Roman" w:cs="Times New Roman" w:eastAsia="Times New Roman" w:hAnsi="Times New Roman"/>
                <w:sz w:val="16"/>
                <w:szCs w:val="16"/>
                <w:color w:val="0000FF"/>
                <w:w w:val="99"/>
              </w:rPr>
            </w:pPr>
            <w:hyperlink r:id="rId192">
              <w:r>
                <w:rPr>
                  <w:rFonts w:ascii="Times New Roman" w:cs="Times New Roman" w:eastAsia="Times New Roman" w:hAnsi="Times New Roman"/>
                  <w:sz w:val="16"/>
                  <w:szCs w:val="16"/>
                  <w:color w:val="0000FF"/>
                  <w:w w:val="99"/>
                </w:rPr>
                <w:t>Second Supplemental Indenture, dated December 7, 2022, by and between Runway Growth Finance Corp. and U.S. Bank Trust Company, National</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1400" w:type="dxa"/>
            <w:vAlign w:val="bottom"/>
            <w:tcBorders>
              <w:top w:val="single" w:sz="8" w:color="0000EE"/>
              <w:bottom w:val="single" w:sz="8" w:color="0000EE"/>
            </w:tcBorders>
            <w:gridSpan w:val="12"/>
            <w:vMerge w:val="restart"/>
          </w:tcPr>
          <w:p>
            <w:pPr>
              <w:spacing w:after="0" w:line="160" w:lineRule="exact"/>
              <w:rPr>
                <w:rFonts w:ascii="Times New Roman" w:cs="Times New Roman" w:eastAsia="Times New Roman" w:hAnsi="Times New Roman"/>
                <w:sz w:val="16"/>
                <w:szCs w:val="16"/>
                <w:color w:val="0000FF"/>
                <w:w w:val="96"/>
              </w:rPr>
            </w:pPr>
            <w:hyperlink r:id="rId192">
              <w:r>
                <w:rPr>
                  <w:rFonts w:ascii="Times New Roman" w:cs="Times New Roman" w:eastAsia="Times New Roman" w:hAnsi="Times New Roman"/>
                  <w:sz w:val="16"/>
                  <w:szCs w:val="16"/>
                  <w:color w:val="0000FF"/>
                  <w:w w:val="96"/>
                </w:rPr>
                <w:t>Association, as trustee</w:t>
              </w:r>
            </w:hyperlink>
          </w:p>
        </w:tc>
        <w:tc>
          <w:tcPr>
            <w:tcW w:w="180" w:type="dxa"/>
            <w:vAlign w:val="bottom"/>
            <w:tcBorders>
              <w:top w:val="single" w:sz="8" w:color="0000EE"/>
              <w:bottom w:val="single" w:sz="8" w:color="0000EE"/>
            </w:tcBorders>
            <w:gridSpan w:val="3"/>
          </w:tcPr>
          <w:p>
            <w:pPr>
              <w:jc w:val="right"/>
              <w:spacing w:after="0" w:line="76" w:lineRule="exact"/>
              <w:rPr>
                <w:rFonts w:ascii="Times New Roman" w:cs="Times New Roman" w:eastAsia="Times New Roman" w:hAnsi="Times New Roman"/>
                <w:sz w:val="8"/>
                <w:szCs w:val="8"/>
                <w:color w:val="0000FF"/>
              </w:rPr>
            </w:pPr>
            <w:hyperlink r:id="rId192">
              <w:r>
                <w:rPr>
                  <w:rFonts w:ascii="Times New Roman" w:cs="Times New Roman" w:eastAsia="Times New Roman" w:hAnsi="Times New Roman"/>
                  <w:sz w:val="8"/>
                  <w:szCs w:val="8"/>
                  <w:color w:val="0000FF"/>
                </w:rPr>
                <w:t>(20)</w:t>
              </w:r>
            </w:hyperlink>
          </w:p>
        </w:tc>
        <w:tc>
          <w:tcPr>
            <w:tcW w:w="680" w:type="dxa"/>
            <w:vAlign w:val="bottom"/>
            <w:tcBorders>
              <w:top w:val="single" w:sz="8" w:color="0000EE"/>
              <w:bottom w:val="single" w:sz="8" w:color="0000EE"/>
            </w:tcBorders>
            <w:gridSpan w:val="3"/>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3"/>
            <w:vMerge w:val="restart"/>
          </w:tcPr>
          <w:p>
            <w:pPr>
              <w:spacing w:after="0"/>
              <w:rPr>
                <w:sz w:val="7"/>
                <w:szCs w:val="7"/>
                <w:color w:val="auto"/>
              </w:rPr>
            </w:pPr>
          </w:p>
        </w:tc>
        <w:tc>
          <w:tcPr>
            <w:tcW w:w="900" w:type="dxa"/>
            <w:vAlign w:val="bottom"/>
            <w:tcBorders>
              <w:top w:val="single" w:sz="8" w:color="0000EE"/>
              <w:bottom w:val="single" w:sz="8" w:color="0000EE"/>
            </w:tcBorders>
            <w:gridSpan w:val="4"/>
            <w:vMerge w:val="restart"/>
          </w:tcPr>
          <w:p>
            <w:pPr>
              <w:spacing w:after="0"/>
              <w:rPr>
                <w:sz w:val="7"/>
                <w:szCs w:val="7"/>
                <w:color w:val="auto"/>
              </w:rPr>
            </w:pPr>
          </w:p>
        </w:tc>
        <w:tc>
          <w:tcPr>
            <w:tcW w:w="3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1940" w:type="dxa"/>
            <w:vAlign w:val="bottom"/>
            <w:tcBorders>
              <w:top w:val="single" w:sz="8" w:color="0000EE"/>
              <w:bottom w:val="single" w:sz="8" w:color="0000EE"/>
            </w:tcBorders>
            <w:gridSpan w:val="6"/>
            <w:vMerge w:val="restart"/>
          </w:tcPr>
          <w:p>
            <w:pPr>
              <w:spacing w:after="0"/>
              <w:rPr>
                <w:sz w:val="7"/>
                <w:szCs w:val="7"/>
                <w:color w:val="auto"/>
              </w:rPr>
            </w:pPr>
          </w:p>
        </w:tc>
        <w:tc>
          <w:tcPr>
            <w:tcW w:w="4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40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740" w:type="dxa"/>
            <w:vAlign w:val="bottom"/>
            <w:tcBorders>
              <w:top w:val="single" w:sz="8" w:color="0000EE"/>
              <w:bottom w:val="single" w:sz="8" w:color="0000EE"/>
            </w:tcBorders>
            <w:gridSpan w:val="10"/>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400" w:type="dxa"/>
            <w:vAlign w:val="bottom"/>
            <w:tcBorders>
              <w:bottom w:val="single" w:sz="8" w:color="0000EE"/>
            </w:tcBorders>
            <w:gridSpan w:val="12"/>
            <w:vMerge w:val="continue"/>
          </w:tcPr>
          <w:p>
            <w:pPr>
              <w:spacing w:after="0"/>
              <w:rPr>
                <w:sz w:val="4"/>
                <w:szCs w:val="4"/>
                <w:color w:val="auto"/>
              </w:rPr>
            </w:pPr>
          </w:p>
        </w:tc>
        <w:tc>
          <w:tcPr>
            <w:tcW w:w="180" w:type="dxa"/>
            <w:vAlign w:val="bottom"/>
            <w:gridSpan w:val="3"/>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940" w:type="dxa"/>
            <w:vAlign w:val="bottom"/>
            <w:gridSpan w:val="6"/>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740" w:type="dxa"/>
            <w:vAlign w:val="bottom"/>
            <w:gridSpan w:val="10"/>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4.6</w:t>
            </w:r>
          </w:p>
        </w:tc>
        <w:tc>
          <w:tcPr>
            <w:tcW w:w="4760" w:type="dxa"/>
            <w:vAlign w:val="bottom"/>
            <w:gridSpan w:val="32"/>
            <w:vMerge w:val="restart"/>
          </w:tcPr>
          <w:p>
            <w:pPr>
              <w:spacing w:after="0"/>
              <w:rPr>
                <w:rFonts w:ascii="Times New Roman" w:cs="Times New Roman" w:eastAsia="Times New Roman" w:hAnsi="Times New Roman"/>
                <w:sz w:val="16"/>
                <w:szCs w:val="16"/>
                <w:color w:val="0000FF"/>
                <w:w w:val="96"/>
              </w:rPr>
            </w:pPr>
            <w:hyperlink r:id="rId192">
              <w:r>
                <w:rPr>
                  <w:rFonts w:ascii="Times New Roman" w:cs="Times New Roman" w:eastAsia="Times New Roman" w:hAnsi="Times New Roman"/>
                  <w:sz w:val="16"/>
                  <w:szCs w:val="16"/>
                  <w:color w:val="0000FF"/>
                  <w:w w:val="96"/>
                </w:rPr>
                <w:t>Form of Global Note 8.00% Note Due 2027 (included as part of Exhibit 4.5)</w:t>
              </w:r>
            </w:hyperlink>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87"/>
              </w:rPr>
              <w:t>(20)</w:t>
            </w:r>
          </w:p>
        </w:tc>
        <w:tc>
          <w:tcPr>
            <w:tcW w:w="920" w:type="dxa"/>
            <w:vAlign w:val="bottom"/>
            <w:gridSpan w:val="3"/>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400" w:type="dxa"/>
            <w:vAlign w:val="bottom"/>
            <w:gridSpan w:val="2"/>
            <w:vMerge w:val="restart"/>
          </w:tcPr>
          <w:p>
            <w:pPr>
              <w:spacing w:after="0"/>
              <w:rPr>
                <w:sz w:val="13"/>
                <w:szCs w:val="13"/>
                <w:color w:val="auto"/>
              </w:rPr>
            </w:pPr>
          </w:p>
        </w:tc>
        <w:tc>
          <w:tcPr>
            <w:tcW w:w="380" w:type="dxa"/>
            <w:vAlign w:val="bottom"/>
            <w:gridSpan w:val="2"/>
            <w:vMerge w:val="restart"/>
          </w:tcPr>
          <w:p>
            <w:pPr>
              <w:spacing w:after="0"/>
              <w:rPr>
                <w:sz w:val="13"/>
                <w:szCs w:val="13"/>
                <w:color w:val="auto"/>
              </w:rPr>
            </w:pPr>
          </w:p>
        </w:tc>
        <w:tc>
          <w:tcPr>
            <w:tcW w:w="1880" w:type="dxa"/>
            <w:vAlign w:val="bottom"/>
            <w:gridSpan w:val="1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80" w:type="dxa"/>
            <w:vAlign w:val="bottom"/>
            <w:vMerge w:val="continue"/>
          </w:tcPr>
          <w:p>
            <w:pPr>
              <w:spacing w:after="0"/>
              <w:rPr>
                <w:sz w:val="4"/>
                <w:szCs w:val="4"/>
                <w:color w:val="auto"/>
              </w:rPr>
            </w:pPr>
          </w:p>
        </w:tc>
        <w:tc>
          <w:tcPr>
            <w:tcW w:w="4760" w:type="dxa"/>
            <w:vAlign w:val="bottom"/>
            <w:tcBorders>
              <w:bottom w:val="single" w:sz="8" w:color="0000EE"/>
            </w:tcBorders>
            <w:gridSpan w:val="3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88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9.1</w:t>
            </w:r>
          </w:p>
        </w:tc>
        <w:tc>
          <w:tcPr>
            <w:tcW w:w="5740" w:type="dxa"/>
            <w:vAlign w:val="bottom"/>
            <w:gridSpan w:val="36"/>
            <w:vMerge w:val="restart"/>
          </w:tcPr>
          <w:p>
            <w:pPr>
              <w:spacing w:after="0"/>
              <w:rPr>
                <w:rFonts w:ascii="Times New Roman" w:cs="Times New Roman" w:eastAsia="Times New Roman" w:hAnsi="Times New Roman"/>
                <w:sz w:val="16"/>
                <w:szCs w:val="16"/>
                <w:color w:val="0000FF"/>
                <w:w w:val="97"/>
              </w:rPr>
            </w:pPr>
            <w:hyperlink r:id="rId193">
              <w:r>
                <w:rPr>
                  <w:rFonts w:ascii="Times New Roman" w:cs="Times New Roman" w:eastAsia="Times New Roman" w:hAnsi="Times New Roman"/>
                  <w:sz w:val="16"/>
                  <w:szCs w:val="16"/>
                  <w:color w:val="0000FF"/>
                  <w:w w:val="97"/>
                </w:rPr>
                <w:t>Voting Proxy of OCM Growth Holdings, LLC in favor of Runway Growth Credit Fund Inc.</w:t>
              </w:r>
            </w:hyperlink>
          </w:p>
        </w:tc>
        <w:tc>
          <w:tcPr>
            <w:tcW w:w="1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FF"/>
                <w:w w:val="77"/>
              </w:rPr>
              <w:t>(3)</w:t>
            </w:r>
          </w:p>
        </w:tc>
        <w:tc>
          <w:tcPr>
            <w:tcW w:w="460" w:type="dxa"/>
            <w:vAlign w:val="bottom"/>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400" w:type="dxa"/>
            <w:vAlign w:val="bottom"/>
            <w:gridSpan w:val="2"/>
            <w:vMerge w:val="restart"/>
          </w:tcPr>
          <w:p>
            <w:pPr>
              <w:spacing w:after="0"/>
              <w:rPr>
                <w:sz w:val="13"/>
                <w:szCs w:val="13"/>
                <w:color w:val="auto"/>
              </w:rPr>
            </w:pPr>
          </w:p>
        </w:tc>
        <w:tc>
          <w:tcPr>
            <w:tcW w:w="380" w:type="dxa"/>
            <w:vAlign w:val="bottom"/>
            <w:gridSpan w:val="2"/>
            <w:vMerge w:val="restart"/>
          </w:tcPr>
          <w:p>
            <w:pPr>
              <w:spacing w:after="0"/>
              <w:rPr>
                <w:sz w:val="13"/>
                <w:szCs w:val="13"/>
                <w:color w:val="auto"/>
              </w:rPr>
            </w:pPr>
          </w:p>
        </w:tc>
        <w:tc>
          <w:tcPr>
            <w:tcW w:w="1880" w:type="dxa"/>
            <w:vAlign w:val="bottom"/>
            <w:gridSpan w:val="1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5740" w:type="dxa"/>
            <w:vAlign w:val="bottom"/>
            <w:tcBorders>
              <w:bottom w:val="single" w:sz="8" w:color="0000EE"/>
            </w:tcBorders>
            <w:gridSpan w:val="36"/>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88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w:t>
            </w:r>
          </w:p>
        </w:tc>
        <w:tc>
          <w:tcPr>
            <w:tcW w:w="9400" w:type="dxa"/>
            <w:vAlign w:val="bottom"/>
            <w:gridSpan w:val="62"/>
          </w:tcPr>
          <w:p>
            <w:pPr>
              <w:spacing w:after="0"/>
              <w:rPr>
                <w:rFonts w:ascii="Times New Roman" w:cs="Times New Roman" w:eastAsia="Times New Roman" w:hAnsi="Times New Roman"/>
                <w:sz w:val="16"/>
                <w:szCs w:val="16"/>
                <w:color w:val="0000FF"/>
                <w:w w:val="98"/>
              </w:rPr>
            </w:pPr>
            <w:hyperlink r:id="rId194">
              <w:r>
                <w:rPr>
                  <w:rFonts w:ascii="Times New Roman" w:cs="Times New Roman" w:eastAsia="Times New Roman" w:hAnsi="Times New Roman"/>
                  <w:sz w:val="16"/>
                  <w:szCs w:val="16"/>
                  <w:color w:val="0000FF"/>
                  <w:w w:val="98"/>
                </w:rPr>
                <w:t>Second Amended and Restated Investment Advisory Agreement between Runway Growth Credit Fund Inc. and Runway Growth Capital LLC, as the</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1160" w:type="dxa"/>
            <w:vAlign w:val="bottom"/>
            <w:tcBorders>
              <w:top w:val="single" w:sz="8" w:color="0000EE"/>
              <w:bottom w:val="single" w:sz="8" w:color="0000EE"/>
            </w:tcBorders>
            <w:gridSpan w:val="9"/>
            <w:vMerge w:val="restart"/>
          </w:tcPr>
          <w:p>
            <w:pPr>
              <w:spacing w:after="0" w:line="160" w:lineRule="exact"/>
              <w:rPr>
                <w:rFonts w:ascii="Times New Roman" w:cs="Times New Roman" w:eastAsia="Times New Roman" w:hAnsi="Times New Roman"/>
                <w:sz w:val="16"/>
                <w:szCs w:val="16"/>
                <w:color w:val="0000FF"/>
                <w:w w:val="94"/>
              </w:rPr>
            </w:pPr>
            <w:hyperlink r:id="rId194">
              <w:r>
                <w:rPr>
                  <w:rFonts w:ascii="Times New Roman" w:cs="Times New Roman" w:eastAsia="Times New Roman" w:hAnsi="Times New Roman"/>
                  <w:sz w:val="16"/>
                  <w:szCs w:val="16"/>
                  <w:color w:val="0000FF"/>
                  <w:w w:val="94"/>
                </w:rPr>
                <w:t>investment adviser</w:t>
              </w:r>
            </w:hyperlink>
          </w:p>
        </w:tc>
        <w:tc>
          <w:tcPr>
            <w:tcW w:w="120" w:type="dxa"/>
            <w:vAlign w:val="bottom"/>
            <w:tcBorders>
              <w:top w:val="single" w:sz="8" w:color="0000EE"/>
              <w:bottom w:val="single" w:sz="8" w:color="0000EE"/>
            </w:tcBorders>
          </w:tcPr>
          <w:p>
            <w:pPr>
              <w:spacing w:after="0" w:line="76" w:lineRule="exact"/>
              <w:rPr>
                <w:rFonts w:ascii="Times New Roman" w:cs="Times New Roman" w:eastAsia="Times New Roman" w:hAnsi="Times New Roman"/>
                <w:sz w:val="8"/>
                <w:szCs w:val="8"/>
                <w:color w:val="0000FF"/>
              </w:rPr>
            </w:pPr>
            <w:hyperlink r:id="rId194">
              <w:r>
                <w:rPr>
                  <w:rFonts w:ascii="Times New Roman" w:cs="Times New Roman" w:eastAsia="Times New Roman" w:hAnsi="Times New Roman"/>
                  <w:sz w:val="8"/>
                  <w:szCs w:val="8"/>
                  <w:color w:val="0000FF"/>
                </w:rPr>
                <w:t>(4)</w:t>
              </w:r>
            </w:hyperlink>
          </w:p>
        </w:tc>
        <w:tc>
          <w:tcPr>
            <w:tcW w:w="60" w:type="dxa"/>
            <w:vAlign w:val="bottom"/>
            <w:tcBorders>
              <w:top w:val="single" w:sz="8" w:color="0000EE"/>
              <w:bottom w:val="single" w:sz="8" w:color="0000EE"/>
            </w:tcBorders>
            <w:vMerge w:val="restart"/>
          </w:tcPr>
          <w:p>
            <w:pPr>
              <w:spacing w:after="0"/>
              <w:rPr>
                <w:sz w:val="7"/>
                <w:szCs w:val="7"/>
                <w:color w:val="auto"/>
              </w:rPr>
            </w:pPr>
          </w:p>
        </w:tc>
        <w:tc>
          <w:tcPr>
            <w:tcW w:w="920" w:type="dxa"/>
            <w:vAlign w:val="bottom"/>
            <w:tcBorders>
              <w:top w:val="single" w:sz="8" w:color="0000EE"/>
              <w:bottom w:val="single" w:sz="8" w:color="0000EE"/>
            </w:tcBorders>
            <w:gridSpan w:val="7"/>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3"/>
            <w:vMerge w:val="restart"/>
          </w:tcPr>
          <w:p>
            <w:pPr>
              <w:spacing w:after="0"/>
              <w:rPr>
                <w:sz w:val="7"/>
                <w:szCs w:val="7"/>
                <w:color w:val="auto"/>
              </w:rPr>
            </w:pPr>
          </w:p>
        </w:tc>
        <w:tc>
          <w:tcPr>
            <w:tcW w:w="900" w:type="dxa"/>
            <w:vAlign w:val="bottom"/>
            <w:tcBorders>
              <w:top w:val="single" w:sz="8" w:color="0000EE"/>
              <w:bottom w:val="single" w:sz="8" w:color="0000EE"/>
            </w:tcBorders>
            <w:gridSpan w:val="4"/>
            <w:vMerge w:val="restart"/>
          </w:tcPr>
          <w:p>
            <w:pPr>
              <w:spacing w:after="0"/>
              <w:rPr>
                <w:sz w:val="7"/>
                <w:szCs w:val="7"/>
                <w:color w:val="auto"/>
              </w:rPr>
            </w:pPr>
          </w:p>
        </w:tc>
        <w:tc>
          <w:tcPr>
            <w:tcW w:w="3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400" w:type="dxa"/>
            <w:vAlign w:val="bottom"/>
            <w:tcBorders>
              <w:top w:val="single" w:sz="8" w:color="0000EE"/>
              <w:bottom w:val="single" w:sz="8" w:color="0000EE"/>
            </w:tcBorders>
            <w:gridSpan w:val="7"/>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40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840" w:type="dxa"/>
            <w:vAlign w:val="bottom"/>
            <w:tcBorders>
              <w:top w:val="single" w:sz="8" w:color="0000EE"/>
              <w:bottom w:val="single" w:sz="8" w:color="0000EE"/>
            </w:tcBorders>
            <w:gridSpan w:val="13"/>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160" w:type="dxa"/>
            <w:vAlign w:val="bottom"/>
            <w:tcBorders>
              <w:bottom w:val="single" w:sz="8" w:color="0000EE"/>
            </w:tcBorders>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920" w:type="dxa"/>
            <w:vAlign w:val="bottom"/>
            <w:gridSpan w:val="7"/>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840" w:type="dxa"/>
            <w:vAlign w:val="bottom"/>
            <w:gridSpan w:val="13"/>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w:t>
            </w:r>
          </w:p>
        </w:tc>
        <w:tc>
          <w:tcPr>
            <w:tcW w:w="9400" w:type="dxa"/>
            <w:vAlign w:val="bottom"/>
            <w:gridSpan w:val="62"/>
          </w:tcPr>
          <w:p>
            <w:pPr>
              <w:spacing w:after="0"/>
              <w:rPr>
                <w:rFonts w:ascii="Times New Roman" w:cs="Times New Roman" w:eastAsia="Times New Roman" w:hAnsi="Times New Roman"/>
                <w:sz w:val="16"/>
                <w:szCs w:val="16"/>
                <w:color w:val="0000FF"/>
              </w:rPr>
            </w:pPr>
            <w:hyperlink r:id="rId195">
              <w:r>
                <w:rPr>
                  <w:rFonts w:ascii="Times New Roman" w:cs="Times New Roman" w:eastAsia="Times New Roman" w:hAnsi="Times New Roman"/>
                  <w:sz w:val="16"/>
                  <w:szCs w:val="16"/>
                  <w:color w:val="0000FF"/>
                </w:rPr>
                <w:t>Third Amended and Restated Investment Advisory Agreement between Runway Growth Finance Corp. and Runway Growth Capital LLC, as the</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1160" w:type="dxa"/>
            <w:vAlign w:val="bottom"/>
            <w:tcBorders>
              <w:top w:val="single" w:sz="8" w:color="0000EE"/>
              <w:bottom w:val="single" w:sz="8" w:color="0000EE"/>
            </w:tcBorders>
            <w:gridSpan w:val="9"/>
            <w:vMerge w:val="restart"/>
          </w:tcPr>
          <w:p>
            <w:pPr>
              <w:spacing w:after="0" w:line="160" w:lineRule="exact"/>
              <w:rPr>
                <w:rFonts w:ascii="Times New Roman" w:cs="Times New Roman" w:eastAsia="Times New Roman" w:hAnsi="Times New Roman"/>
                <w:sz w:val="16"/>
                <w:szCs w:val="16"/>
                <w:color w:val="0000FF"/>
                <w:w w:val="94"/>
              </w:rPr>
            </w:pPr>
            <w:hyperlink r:id="rId195">
              <w:r>
                <w:rPr>
                  <w:rFonts w:ascii="Times New Roman" w:cs="Times New Roman" w:eastAsia="Times New Roman" w:hAnsi="Times New Roman"/>
                  <w:sz w:val="16"/>
                  <w:szCs w:val="16"/>
                  <w:color w:val="0000FF"/>
                  <w:w w:val="94"/>
                </w:rPr>
                <w:t>investment adviser</w:t>
              </w:r>
            </w:hyperlink>
          </w:p>
        </w:tc>
        <w:tc>
          <w:tcPr>
            <w:tcW w:w="180" w:type="dxa"/>
            <w:vAlign w:val="bottom"/>
            <w:tcBorders>
              <w:top w:val="single" w:sz="8" w:color="0000EE"/>
              <w:bottom w:val="single" w:sz="8" w:color="0000EE"/>
            </w:tcBorders>
            <w:gridSpan w:val="2"/>
          </w:tcPr>
          <w:p>
            <w:pPr>
              <w:spacing w:after="0" w:line="76" w:lineRule="exact"/>
              <w:rPr>
                <w:rFonts w:ascii="Times New Roman" w:cs="Times New Roman" w:eastAsia="Times New Roman" w:hAnsi="Times New Roman"/>
                <w:sz w:val="8"/>
                <w:szCs w:val="8"/>
                <w:color w:val="0000FF"/>
              </w:rPr>
            </w:pPr>
            <w:hyperlink r:id="rId195">
              <w:r>
                <w:rPr>
                  <w:rFonts w:ascii="Times New Roman" w:cs="Times New Roman" w:eastAsia="Times New Roman" w:hAnsi="Times New Roman"/>
                  <w:sz w:val="8"/>
                  <w:szCs w:val="8"/>
                  <w:color w:val="0000FF"/>
                </w:rPr>
                <w:t>(26)</w:t>
              </w:r>
            </w:hyperlink>
          </w:p>
        </w:tc>
        <w:tc>
          <w:tcPr>
            <w:tcW w:w="920" w:type="dxa"/>
            <w:vAlign w:val="bottom"/>
            <w:tcBorders>
              <w:top w:val="single" w:sz="8" w:color="0000EE"/>
              <w:bottom w:val="single" w:sz="8" w:color="0000EE"/>
            </w:tcBorders>
            <w:gridSpan w:val="7"/>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3"/>
            <w:vMerge w:val="restart"/>
          </w:tcPr>
          <w:p>
            <w:pPr>
              <w:spacing w:after="0"/>
              <w:rPr>
                <w:sz w:val="7"/>
                <w:szCs w:val="7"/>
                <w:color w:val="auto"/>
              </w:rPr>
            </w:pPr>
          </w:p>
        </w:tc>
        <w:tc>
          <w:tcPr>
            <w:tcW w:w="900" w:type="dxa"/>
            <w:vAlign w:val="bottom"/>
            <w:tcBorders>
              <w:top w:val="single" w:sz="8" w:color="0000EE"/>
              <w:bottom w:val="single" w:sz="8" w:color="0000EE"/>
            </w:tcBorders>
            <w:gridSpan w:val="4"/>
            <w:vMerge w:val="restart"/>
          </w:tcPr>
          <w:p>
            <w:pPr>
              <w:spacing w:after="0"/>
              <w:rPr>
                <w:sz w:val="7"/>
                <w:szCs w:val="7"/>
                <w:color w:val="auto"/>
              </w:rPr>
            </w:pPr>
          </w:p>
        </w:tc>
        <w:tc>
          <w:tcPr>
            <w:tcW w:w="3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400" w:type="dxa"/>
            <w:vAlign w:val="bottom"/>
            <w:tcBorders>
              <w:top w:val="single" w:sz="8" w:color="0000EE"/>
              <w:bottom w:val="single" w:sz="8" w:color="0000EE"/>
            </w:tcBorders>
            <w:gridSpan w:val="7"/>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40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580" w:type="dxa"/>
            <w:vAlign w:val="bottom"/>
            <w:tcBorders>
              <w:top w:val="single" w:sz="8" w:color="0000EE"/>
              <w:bottom w:val="single" w:sz="8" w:color="0000EE"/>
            </w:tcBorders>
            <w:gridSpan w:val="7"/>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160" w:type="dxa"/>
            <w:vAlign w:val="bottom"/>
            <w:tcBorders>
              <w:bottom w:val="single" w:sz="8" w:color="0000EE"/>
            </w:tcBorders>
            <w:gridSpan w:val="9"/>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920" w:type="dxa"/>
            <w:vAlign w:val="bottom"/>
            <w:gridSpan w:val="7"/>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580" w:type="dxa"/>
            <w:vAlign w:val="bottom"/>
            <w:gridSpan w:val="7"/>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10.3</w:t>
            </w:r>
          </w:p>
        </w:tc>
        <w:tc>
          <w:tcPr>
            <w:tcW w:w="9400" w:type="dxa"/>
            <w:vAlign w:val="bottom"/>
            <w:gridSpan w:val="62"/>
          </w:tcPr>
          <w:p>
            <w:pPr>
              <w:spacing w:after="0"/>
              <w:rPr>
                <w:rFonts w:ascii="Times New Roman" w:cs="Times New Roman" w:eastAsia="Times New Roman" w:hAnsi="Times New Roman"/>
                <w:sz w:val="16"/>
                <w:szCs w:val="16"/>
                <w:color w:val="0000FF"/>
              </w:rPr>
            </w:pPr>
            <w:hyperlink r:id="rId196">
              <w:r>
                <w:rPr>
                  <w:rFonts w:ascii="Times New Roman" w:cs="Times New Roman" w:eastAsia="Times New Roman" w:hAnsi="Times New Roman"/>
                  <w:sz w:val="16"/>
                  <w:szCs w:val="16"/>
                  <w:color w:val="0000FF"/>
                </w:rPr>
                <w:t>Amended and Restated Administration Agreement between Runway Growth Credit Fund Inc. and Runway Administrator Services, LLC, as the</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820" w:type="dxa"/>
            <w:vAlign w:val="bottom"/>
            <w:tcBorders>
              <w:top w:val="single" w:sz="8" w:color="0000EE"/>
              <w:bottom w:val="single" w:sz="8" w:color="0000EE"/>
            </w:tcBorders>
            <w:gridSpan w:val="3"/>
            <w:vMerge w:val="restart"/>
          </w:tcPr>
          <w:p>
            <w:pPr>
              <w:spacing w:after="0" w:line="160" w:lineRule="exact"/>
              <w:rPr>
                <w:rFonts w:ascii="Times New Roman" w:cs="Times New Roman" w:eastAsia="Times New Roman" w:hAnsi="Times New Roman"/>
                <w:sz w:val="16"/>
                <w:szCs w:val="16"/>
                <w:color w:val="0000FF"/>
                <w:w w:val="93"/>
              </w:rPr>
            </w:pPr>
            <w:hyperlink r:id="rId196">
              <w:r>
                <w:rPr>
                  <w:rFonts w:ascii="Times New Roman" w:cs="Times New Roman" w:eastAsia="Times New Roman" w:hAnsi="Times New Roman"/>
                  <w:sz w:val="16"/>
                  <w:szCs w:val="16"/>
                  <w:color w:val="0000FF"/>
                  <w:w w:val="93"/>
                </w:rPr>
                <w:t>administrator</w:t>
              </w:r>
            </w:hyperlink>
          </w:p>
        </w:tc>
        <w:tc>
          <w:tcPr>
            <w:tcW w:w="180" w:type="dxa"/>
            <w:vAlign w:val="bottom"/>
            <w:tcBorders>
              <w:top w:val="single" w:sz="8" w:color="0000EE"/>
              <w:bottom w:val="single" w:sz="8" w:color="0000EE"/>
            </w:tcBorders>
            <w:gridSpan w:val="4"/>
          </w:tcPr>
          <w:p>
            <w:pPr>
              <w:jc w:val="right"/>
              <w:spacing w:after="0" w:line="76" w:lineRule="exact"/>
              <w:rPr>
                <w:rFonts w:ascii="Times New Roman" w:cs="Times New Roman" w:eastAsia="Times New Roman" w:hAnsi="Times New Roman"/>
                <w:sz w:val="8"/>
                <w:szCs w:val="8"/>
                <w:color w:val="0000FF"/>
              </w:rPr>
            </w:pPr>
            <w:hyperlink r:id="rId196">
              <w:r>
                <w:rPr>
                  <w:rFonts w:ascii="Times New Roman" w:cs="Times New Roman" w:eastAsia="Times New Roman" w:hAnsi="Times New Roman"/>
                  <w:sz w:val="8"/>
                  <w:szCs w:val="8"/>
                  <w:color w:val="0000FF"/>
                </w:rPr>
                <w:t>(12)</w:t>
              </w:r>
            </w:hyperlink>
          </w:p>
        </w:tc>
        <w:tc>
          <w:tcPr>
            <w:tcW w:w="140" w:type="dxa"/>
            <w:vAlign w:val="bottom"/>
            <w:tcBorders>
              <w:top w:val="single" w:sz="8" w:color="0000EE"/>
              <w:bottom w:val="single" w:sz="8" w:color="0000EE"/>
            </w:tcBorders>
            <w:vMerge w:val="restart"/>
          </w:tcPr>
          <w:p>
            <w:pPr>
              <w:spacing w:after="0"/>
              <w:rPr>
                <w:sz w:val="7"/>
                <w:szCs w:val="7"/>
                <w:color w:val="auto"/>
              </w:rPr>
            </w:pPr>
          </w:p>
        </w:tc>
        <w:tc>
          <w:tcPr>
            <w:tcW w:w="1120" w:type="dxa"/>
            <w:vAlign w:val="bottom"/>
            <w:tcBorders>
              <w:top w:val="single" w:sz="8" w:color="0000EE"/>
              <w:bottom w:val="single" w:sz="8" w:color="0000EE"/>
            </w:tcBorders>
            <w:gridSpan w:val="10"/>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3"/>
            <w:vMerge w:val="restart"/>
          </w:tcPr>
          <w:p>
            <w:pPr>
              <w:spacing w:after="0"/>
              <w:rPr>
                <w:sz w:val="7"/>
                <w:szCs w:val="7"/>
                <w:color w:val="auto"/>
              </w:rPr>
            </w:pPr>
          </w:p>
        </w:tc>
        <w:tc>
          <w:tcPr>
            <w:tcW w:w="900" w:type="dxa"/>
            <w:vAlign w:val="bottom"/>
            <w:tcBorders>
              <w:top w:val="single" w:sz="8" w:color="0000EE"/>
              <w:bottom w:val="single" w:sz="8" w:color="0000EE"/>
            </w:tcBorders>
            <w:gridSpan w:val="4"/>
            <w:vMerge w:val="restart"/>
          </w:tcPr>
          <w:p>
            <w:pPr>
              <w:spacing w:after="0"/>
              <w:rPr>
                <w:sz w:val="7"/>
                <w:szCs w:val="7"/>
                <w:color w:val="auto"/>
              </w:rPr>
            </w:pPr>
          </w:p>
        </w:tc>
        <w:tc>
          <w:tcPr>
            <w:tcW w:w="3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400" w:type="dxa"/>
            <w:vAlign w:val="bottom"/>
            <w:tcBorders>
              <w:top w:val="single" w:sz="8" w:color="0000EE"/>
              <w:bottom w:val="single" w:sz="8" w:color="0000EE"/>
            </w:tcBorders>
            <w:gridSpan w:val="7"/>
            <w:vMerge w:val="restart"/>
          </w:tcPr>
          <w:p>
            <w:pPr>
              <w:spacing w:after="0"/>
              <w:rPr>
                <w:sz w:val="7"/>
                <w:szCs w:val="7"/>
                <w:color w:val="auto"/>
              </w:rPr>
            </w:pPr>
          </w:p>
        </w:tc>
        <w:tc>
          <w:tcPr>
            <w:tcW w:w="120" w:type="dxa"/>
            <w:vAlign w:val="bottom"/>
            <w:tcBorders>
              <w:top w:val="single" w:sz="8" w:color="0000EE"/>
            </w:tcBorders>
            <w:gridSpan w:val="2"/>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40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480" w:type="dxa"/>
            <w:vAlign w:val="bottom"/>
            <w:tcBorders>
              <w:top w:val="single" w:sz="8" w:color="0000EE"/>
              <w:bottom w:val="single" w:sz="8" w:color="0000EE"/>
            </w:tcBorders>
            <w:gridSpan w:val="4"/>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820" w:type="dxa"/>
            <w:vAlign w:val="bottom"/>
            <w:tcBorders>
              <w:bottom w:val="single" w:sz="8" w:color="0000EE"/>
            </w:tcBorders>
            <w:gridSpan w:val="3"/>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120" w:type="dxa"/>
            <w:vAlign w:val="bottom"/>
            <w:gridSpan w:val="10"/>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400" w:type="dxa"/>
            <w:vAlign w:val="bottom"/>
            <w:gridSpan w:val="7"/>
            <w:vMerge w:val="continue"/>
          </w:tcPr>
          <w:p>
            <w:pPr>
              <w:spacing w:after="0"/>
              <w:rPr>
                <w:sz w:val="4"/>
                <w:szCs w:val="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0000FF"/>
                <w:w w:val="77"/>
              </w:rPr>
              <w:t>(1)</w:t>
            </w: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10.4</w:t>
            </w:r>
          </w:p>
        </w:tc>
        <w:tc>
          <w:tcPr>
            <w:tcW w:w="6320" w:type="dxa"/>
            <w:vAlign w:val="bottom"/>
            <w:gridSpan w:val="38"/>
            <w:vMerge w:val="restart"/>
          </w:tcPr>
          <w:p>
            <w:pPr>
              <w:spacing w:after="0"/>
              <w:rPr>
                <w:rFonts w:ascii="Times New Roman" w:cs="Times New Roman" w:eastAsia="Times New Roman" w:hAnsi="Times New Roman"/>
                <w:sz w:val="16"/>
                <w:szCs w:val="16"/>
                <w:color w:val="0000FF"/>
                <w:w w:val="96"/>
              </w:rPr>
            </w:pPr>
            <w:hyperlink r:id="rId197">
              <w:r>
                <w:rPr>
                  <w:rFonts w:ascii="Times New Roman" w:cs="Times New Roman" w:eastAsia="Times New Roman" w:hAnsi="Times New Roman"/>
                  <w:sz w:val="16"/>
                  <w:szCs w:val="16"/>
                  <w:color w:val="0000FF"/>
                  <w:w w:val="96"/>
                </w:rPr>
                <w:t>Stockholder Agreement between Runway Growth Credit Fund Inc. and OCM Growth Holdings, LLC</w:t>
              </w:r>
            </w:hyperlink>
          </w:p>
        </w:tc>
        <w:tc>
          <w:tcPr>
            <w:tcW w:w="120" w:type="dxa"/>
            <w:vAlign w:val="bottom"/>
            <w:tcBorders>
              <w:bottom w:val="single" w:sz="8" w:color="0000EE"/>
            </w:tcBorders>
            <w:gridSpan w:val="2"/>
            <w:vMerge w:val="continue"/>
          </w:tcPr>
          <w:p>
            <w:pPr>
              <w:spacing w:after="0"/>
              <w:rPr>
                <w:sz w:val="10"/>
                <w:szCs w:val="10"/>
                <w:color w:val="auto"/>
              </w:rPr>
            </w:pPr>
          </w:p>
        </w:tc>
        <w:tc>
          <w:tcPr>
            <w:tcW w:w="120" w:type="dxa"/>
            <w:vAlign w:val="bottom"/>
            <w:vMerge w:val="restart"/>
          </w:tcPr>
          <w:p>
            <w:pPr>
              <w:spacing w:after="0"/>
              <w:rPr>
                <w:sz w:val="10"/>
                <w:szCs w:val="10"/>
                <w:color w:val="auto"/>
              </w:rPr>
            </w:pPr>
          </w:p>
        </w:tc>
        <w:tc>
          <w:tcPr>
            <w:tcW w:w="180" w:type="dxa"/>
            <w:vAlign w:val="bottom"/>
            <w:gridSpan w:val="2"/>
            <w:vMerge w:val="restart"/>
          </w:tcPr>
          <w:p>
            <w:pPr>
              <w:spacing w:after="0"/>
              <w:rPr>
                <w:sz w:val="10"/>
                <w:szCs w:val="10"/>
                <w:color w:val="auto"/>
              </w:rPr>
            </w:pPr>
          </w:p>
        </w:tc>
        <w:tc>
          <w:tcPr>
            <w:tcW w:w="400" w:type="dxa"/>
            <w:vAlign w:val="bottom"/>
            <w:gridSpan w:val="2"/>
            <w:vMerge w:val="restart"/>
          </w:tcPr>
          <w:p>
            <w:pPr>
              <w:spacing w:after="0"/>
              <w:rPr>
                <w:sz w:val="10"/>
                <w:szCs w:val="10"/>
                <w:color w:val="auto"/>
              </w:rPr>
            </w:pPr>
          </w:p>
        </w:tc>
        <w:tc>
          <w:tcPr>
            <w:tcW w:w="380" w:type="dxa"/>
            <w:vAlign w:val="bottom"/>
            <w:gridSpan w:val="2"/>
            <w:vMerge w:val="restart"/>
          </w:tcPr>
          <w:p>
            <w:pPr>
              <w:spacing w:after="0"/>
              <w:rPr>
                <w:sz w:val="10"/>
                <w:szCs w:val="10"/>
                <w:color w:val="auto"/>
              </w:rPr>
            </w:pPr>
          </w:p>
        </w:tc>
        <w:tc>
          <w:tcPr>
            <w:tcW w:w="1880" w:type="dxa"/>
            <w:vAlign w:val="bottom"/>
            <w:gridSpan w:val="1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180" w:type="dxa"/>
            <w:vAlign w:val="bottom"/>
            <w:vMerge w:val="continue"/>
          </w:tcPr>
          <w:p>
            <w:pPr>
              <w:spacing w:after="0"/>
              <w:rPr>
                <w:sz w:val="4"/>
                <w:szCs w:val="4"/>
                <w:color w:val="auto"/>
              </w:rPr>
            </w:pPr>
          </w:p>
        </w:tc>
        <w:tc>
          <w:tcPr>
            <w:tcW w:w="6320" w:type="dxa"/>
            <w:vAlign w:val="bottom"/>
            <w:tcBorders>
              <w:bottom w:val="single" w:sz="8" w:color="0000EE"/>
            </w:tcBorders>
            <w:gridSpan w:val="3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88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10.5</w:t>
            </w:r>
          </w:p>
        </w:tc>
        <w:tc>
          <w:tcPr>
            <w:tcW w:w="9400" w:type="dxa"/>
            <w:vAlign w:val="bottom"/>
            <w:gridSpan w:val="62"/>
          </w:tcPr>
          <w:p>
            <w:pPr>
              <w:spacing w:after="0"/>
              <w:rPr>
                <w:rFonts w:ascii="Times New Roman" w:cs="Times New Roman" w:eastAsia="Times New Roman" w:hAnsi="Times New Roman"/>
                <w:sz w:val="16"/>
                <w:szCs w:val="16"/>
                <w:color w:val="0000FF"/>
              </w:rPr>
            </w:pPr>
            <w:hyperlink r:id="rId198">
              <w:r>
                <w:rPr>
                  <w:rFonts w:ascii="Times New Roman" w:cs="Times New Roman" w:eastAsia="Times New Roman" w:hAnsi="Times New Roman"/>
                  <w:sz w:val="16"/>
                  <w:szCs w:val="16"/>
                  <w:color w:val="0000FF"/>
                </w:rPr>
                <w:t>Custody Agreement between Runway Growth Credit Fund Inc. and U.S. Bank National Association, as the custodian dated as of December 16,</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300" w:type="dxa"/>
            <w:vAlign w:val="bottom"/>
            <w:tcBorders>
              <w:top w:val="single" w:sz="8" w:color="0000EE"/>
              <w:bottom w:val="single" w:sz="8" w:color="0000EE"/>
            </w:tcBorders>
            <w:vMerge w:val="restart"/>
          </w:tcPr>
          <w:p>
            <w:pPr>
              <w:spacing w:after="0" w:line="160" w:lineRule="exact"/>
              <w:rPr>
                <w:rFonts w:ascii="Times New Roman" w:cs="Times New Roman" w:eastAsia="Times New Roman" w:hAnsi="Times New Roman"/>
                <w:sz w:val="16"/>
                <w:szCs w:val="16"/>
                <w:color w:val="0000FF"/>
                <w:w w:val="87"/>
              </w:rPr>
            </w:pPr>
            <w:hyperlink r:id="rId198">
              <w:r>
                <w:rPr>
                  <w:rFonts w:ascii="Times New Roman" w:cs="Times New Roman" w:eastAsia="Times New Roman" w:hAnsi="Times New Roman"/>
                  <w:sz w:val="16"/>
                  <w:szCs w:val="16"/>
                  <w:color w:val="0000FF"/>
                  <w:w w:val="87"/>
                </w:rPr>
                <w:t>2016</w:t>
              </w:r>
            </w:hyperlink>
          </w:p>
        </w:tc>
        <w:tc>
          <w:tcPr>
            <w:tcW w:w="120" w:type="dxa"/>
            <w:vAlign w:val="bottom"/>
            <w:tcBorders>
              <w:top w:val="single" w:sz="8" w:color="0000EE"/>
              <w:bottom w:val="single" w:sz="8" w:color="0000EE"/>
            </w:tcBorders>
          </w:tcPr>
          <w:p>
            <w:pPr>
              <w:jc w:val="right"/>
              <w:spacing w:after="0" w:line="76" w:lineRule="exact"/>
              <w:rPr>
                <w:rFonts w:ascii="Times New Roman" w:cs="Times New Roman" w:eastAsia="Times New Roman" w:hAnsi="Times New Roman"/>
                <w:sz w:val="8"/>
                <w:szCs w:val="8"/>
                <w:color w:val="0000FF"/>
              </w:rPr>
            </w:pPr>
            <w:hyperlink r:id="rId198">
              <w:r>
                <w:rPr>
                  <w:rFonts w:ascii="Times New Roman" w:cs="Times New Roman" w:eastAsia="Times New Roman" w:hAnsi="Times New Roman"/>
                  <w:sz w:val="8"/>
                  <w:szCs w:val="8"/>
                  <w:color w:val="0000FF"/>
                </w:rPr>
                <w:t>(1)</w:t>
              </w:r>
            </w:hyperlink>
          </w:p>
        </w:tc>
        <w:tc>
          <w:tcPr>
            <w:tcW w:w="400" w:type="dxa"/>
            <w:vAlign w:val="bottom"/>
            <w:tcBorders>
              <w:top w:val="single" w:sz="8" w:color="0000EE"/>
              <w:bottom w:val="single" w:sz="8" w:color="0000EE"/>
            </w:tcBorders>
            <w:vMerge w:val="restart"/>
          </w:tcPr>
          <w:p>
            <w:pPr>
              <w:spacing w:after="0"/>
              <w:rPr>
                <w:sz w:val="7"/>
                <w:szCs w:val="7"/>
                <w:color w:val="auto"/>
              </w:rPr>
            </w:pPr>
          </w:p>
        </w:tc>
        <w:tc>
          <w:tcPr>
            <w:tcW w:w="8160" w:type="dxa"/>
            <w:vAlign w:val="bottom"/>
            <w:tcBorders>
              <w:top w:val="single" w:sz="8" w:color="0000EE"/>
            </w:tcBorders>
            <w:gridSpan w:val="47"/>
          </w:tcPr>
          <w:p>
            <w:pPr>
              <w:spacing w:after="0"/>
              <w:rPr>
                <w:sz w:val="7"/>
                <w:szCs w:val="7"/>
                <w:color w:val="auto"/>
              </w:rPr>
            </w:pPr>
          </w:p>
        </w:tc>
        <w:tc>
          <w:tcPr>
            <w:tcW w:w="420" w:type="dxa"/>
            <w:vAlign w:val="bottom"/>
            <w:gridSpan w:val="12"/>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300" w:type="dxa"/>
            <w:vAlign w:val="bottom"/>
            <w:tcBorders>
              <w:bottom w:val="single" w:sz="8" w:color="0000EE"/>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8580" w:type="dxa"/>
            <w:vAlign w:val="bottom"/>
            <w:gridSpan w:val="59"/>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10.6</w:t>
            </w:r>
          </w:p>
        </w:tc>
        <w:tc>
          <w:tcPr>
            <w:tcW w:w="9400" w:type="dxa"/>
            <w:vAlign w:val="bottom"/>
            <w:gridSpan w:val="62"/>
          </w:tcPr>
          <w:p>
            <w:pPr>
              <w:spacing w:after="0"/>
              <w:rPr>
                <w:rFonts w:ascii="Times New Roman" w:cs="Times New Roman" w:eastAsia="Times New Roman" w:hAnsi="Times New Roman"/>
                <w:sz w:val="16"/>
                <w:szCs w:val="16"/>
                <w:color w:val="0000FF"/>
                <w:w w:val="99"/>
              </w:rPr>
            </w:pPr>
            <w:hyperlink r:id="rId199">
              <w:r>
                <w:rPr>
                  <w:rFonts w:ascii="Times New Roman" w:cs="Times New Roman" w:eastAsia="Times New Roman" w:hAnsi="Times New Roman"/>
                  <w:sz w:val="16"/>
                  <w:szCs w:val="16"/>
                  <w:color w:val="0000FF"/>
                  <w:w w:val="99"/>
                </w:rPr>
                <w:t>First Amendment to Custody Agreement between Runway Growth Finance Corp. and U.S. Bank National Association, as the custodian, dated as of</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960" w:type="dxa"/>
            <w:vAlign w:val="bottom"/>
            <w:tcBorders>
              <w:top w:val="single" w:sz="8" w:color="0000EE"/>
              <w:bottom w:val="single" w:sz="8" w:color="0000EE"/>
            </w:tcBorders>
            <w:gridSpan w:val="6"/>
            <w:vMerge w:val="restart"/>
          </w:tcPr>
          <w:p>
            <w:pPr>
              <w:spacing w:after="0" w:line="160" w:lineRule="exact"/>
              <w:rPr>
                <w:rFonts w:ascii="Times New Roman" w:cs="Times New Roman" w:eastAsia="Times New Roman" w:hAnsi="Times New Roman"/>
                <w:sz w:val="16"/>
                <w:szCs w:val="16"/>
                <w:color w:val="0000FF"/>
                <w:w w:val="95"/>
              </w:rPr>
            </w:pPr>
            <w:hyperlink r:id="rId199">
              <w:r>
                <w:rPr>
                  <w:rFonts w:ascii="Times New Roman" w:cs="Times New Roman" w:eastAsia="Times New Roman" w:hAnsi="Times New Roman"/>
                  <w:sz w:val="16"/>
                  <w:szCs w:val="16"/>
                  <w:color w:val="0000FF"/>
                  <w:w w:val="95"/>
                </w:rPr>
                <w:t>August 3, 2023</w:t>
              </w:r>
            </w:hyperlink>
          </w:p>
        </w:tc>
        <w:tc>
          <w:tcPr>
            <w:tcW w:w="180" w:type="dxa"/>
            <w:vAlign w:val="bottom"/>
            <w:tcBorders>
              <w:top w:val="single" w:sz="8" w:color="0000EE"/>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198">
              <w:r>
                <w:rPr>
                  <w:rFonts w:ascii="Times New Roman" w:cs="Times New Roman" w:eastAsia="Times New Roman" w:hAnsi="Times New Roman"/>
                  <w:sz w:val="8"/>
                  <w:szCs w:val="8"/>
                  <w:color w:val="0000FF"/>
                </w:rPr>
                <w:t>(23)</w:t>
              </w:r>
            </w:hyperlink>
          </w:p>
        </w:tc>
        <w:tc>
          <w:tcPr>
            <w:tcW w:w="1120" w:type="dxa"/>
            <w:vAlign w:val="bottom"/>
            <w:tcBorders>
              <w:top w:val="single" w:sz="8" w:color="0000EE"/>
              <w:bottom w:val="single" w:sz="8" w:color="0000EE"/>
            </w:tcBorders>
            <w:gridSpan w:val="10"/>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3"/>
            <w:vMerge w:val="restart"/>
          </w:tcPr>
          <w:p>
            <w:pPr>
              <w:spacing w:after="0"/>
              <w:rPr>
                <w:sz w:val="7"/>
                <w:szCs w:val="7"/>
                <w:color w:val="auto"/>
              </w:rPr>
            </w:pPr>
          </w:p>
        </w:tc>
        <w:tc>
          <w:tcPr>
            <w:tcW w:w="900" w:type="dxa"/>
            <w:vAlign w:val="bottom"/>
            <w:tcBorders>
              <w:top w:val="single" w:sz="8" w:color="0000EE"/>
              <w:bottom w:val="single" w:sz="8" w:color="0000EE"/>
            </w:tcBorders>
            <w:gridSpan w:val="4"/>
            <w:vMerge w:val="restart"/>
          </w:tcPr>
          <w:p>
            <w:pPr>
              <w:spacing w:after="0"/>
              <w:rPr>
                <w:sz w:val="7"/>
                <w:szCs w:val="7"/>
                <w:color w:val="auto"/>
              </w:rPr>
            </w:pPr>
          </w:p>
        </w:tc>
        <w:tc>
          <w:tcPr>
            <w:tcW w:w="3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640" w:type="dxa"/>
            <w:vAlign w:val="bottom"/>
            <w:tcBorders>
              <w:top w:val="single" w:sz="8" w:color="0000EE"/>
              <w:bottom w:val="single" w:sz="8" w:color="0000EE"/>
            </w:tcBorders>
            <w:gridSpan w:val="10"/>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40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740" w:type="dxa"/>
            <w:vAlign w:val="bottom"/>
            <w:tcBorders>
              <w:top w:val="single" w:sz="8" w:color="0000EE"/>
              <w:bottom w:val="single" w:sz="8" w:color="0000EE"/>
            </w:tcBorders>
            <w:gridSpan w:val="10"/>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960" w:type="dxa"/>
            <w:vAlign w:val="bottom"/>
            <w:gridSpan w:val="6"/>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1120" w:type="dxa"/>
            <w:vAlign w:val="bottom"/>
            <w:gridSpan w:val="10"/>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900" w:type="dxa"/>
            <w:vAlign w:val="bottom"/>
            <w:gridSpan w:val="4"/>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640" w:type="dxa"/>
            <w:vAlign w:val="bottom"/>
            <w:gridSpan w:val="10"/>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740" w:type="dxa"/>
            <w:vAlign w:val="bottom"/>
            <w:gridSpan w:val="10"/>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00FF"/>
                <w:w w:val="87"/>
              </w:rPr>
              <w:t>(17)</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10.7</w:t>
            </w:r>
          </w:p>
        </w:tc>
        <w:tc>
          <w:tcPr>
            <w:tcW w:w="3300" w:type="dxa"/>
            <w:vAlign w:val="bottom"/>
            <w:gridSpan w:val="27"/>
            <w:vMerge w:val="restart"/>
          </w:tcPr>
          <w:p>
            <w:pPr>
              <w:spacing w:after="0"/>
              <w:rPr>
                <w:rFonts w:ascii="Times New Roman" w:cs="Times New Roman" w:eastAsia="Times New Roman" w:hAnsi="Times New Roman"/>
                <w:sz w:val="16"/>
                <w:szCs w:val="16"/>
                <w:color w:val="0000FF"/>
                <w:w w:val="96"/>
              </w:rPr>
            </w:pPr>
            <w:hyperlink r:id="rId200">
              <w:r>
                <w:rPr>
                  <w:rFonts w:ascii="Times New Roman" w:cs="Times New Roman" w:eastAsia="Times New Roman" w:hAnsi="Times New Roman"/>
                  <w:sz w:val="16"/>
                  <w:szCs w:val="16"/>
                  <w:color w:val="0000FF"/>
                  <w:w w:val="96"/>
                </w:rPr>
                <w:t>Amended and Restated Dividend Reinvestment Plan,</w:t>
              </w:r>
            </w:hyperlink>
          </w:p>
        </w:tc>
        <w:tc>
          <w:tcPr>
            <w:tcW w:w="180" w:type="dxa"/>
            <w:vAlign w:val="bottom"/>
            <w:tcBorders>
              <w:bottom w:val="single" w:sz="8" w:color="0000EE"/>
            </w:tcBorders>
            <w:vMerge w:val="continue"/>
          </w:tcPr>
          <w:p>
            <w:pPr>
              <w:spacing w:after="0"/>
              <w:rPr>
                <w:sz w:val="12"/>
                <w:szCs w:val="12"/>
                <w:color w:val="auto"/>
              </w:rPr>
            </w:pPr>
          </w:p>
        </w:tc>
        <w:tc>
          <w:tcPr>
            <w:tcW w:w="320" w:type="dxa"/>
            <w:vAlign w:val="bottom"/>
            <w:vMerge w:val="restart"/>
          </w:tcPr>
          <w:p>
            <w:pPr>
              <w:spacing w:after="0"/>
              <w:rPr>
                <w:sz w:val="12"/>
                <w:szCs w:val="12"/>
                <w:color w:val="auto"/>
              </w:rPr>
            </w:pPr>
          </w:p>
        </w:tc>
        <w:tc>
          <w:tcPr>
            <w:tcW w:w="120" w:type="dxa"/>
            <w:vAlign w:val="bottom"/>
            <w:gridSpan w:val="2"/>
            <w:vMerge w:val="restart"/>
          </w:tcPr>
          <w:p>
            <w:pPr>
              <w:spacing w:after="0"/>
              <w:rPr>
                <w:sz w:val="12"/>
                <w:szCs w:val="12"/>
                <w:color w:val="auto"/>
              </w:rPr>
            </w:pPr>
          </w:p>
        </w:tc>
        <w:tc>
          <w:tcPr>
            <w:tcW w:w="2640" w:type="dxa"/>
            <w:vAlign w:val="bottom"/>
            <w:gridSpan w:val="10"/>
            <w:vMerge w:val="restart"/>
          </w:tcPr>
          <w:p>
            <w:pPr>
              <w:spacing w:after="0"/>
              <w:rPr>
                <w:sz w:val="12"/>
                <w:szCs w:val="12"/>
                <w:color w:val="auto"/>
              </w:rPr>
            </w:pPr>
          </w:p>
        </w:tc>
        <w:tc>
          <w:tcPr>
            <w:tcW w:w="180" w:type="dxa"/>
            <w:vAlign w:val="bottom"/>
            <w:gridSpan w:val="2"/>
            <w:vMerge w:val="restart"/>
          </w:tcPr>
          <w:p>
            <w:pPr>
              <w:spacing w:after="0"/>
              <w:rPr>
                <w:sz w:val="12"/>
                <w:szCs w:val="12"/>
                <w:color w:val="auto"/>
              </w:rPr>
            </w:pPr>
          </w:p>
        </w:tc>
        <w:tc>
          <w:tcPr>
            <w:tcW w:w="400" w:type="dxa"/>
            <w:vAlign w:val="bottom"/>
            <w:gridSpan w:val="2"/>
            <w:vMerge w:val="restart"/>
          </w:tcPr>
          <w:p>
            <w:pPr>
              <w:spacing w:after="0"/>
              <w:rPr>
                <w:sz w:val="12"/>
                <w:szCs w:val="12"/>
                <w:color w:val="auto"/>
              </w:rPr>
            </w:pPr>
          </w:p>
        </w:tc>
        <w:tc>
          <w:tcPr>
            <w:tcW w:w="380" w:type="dxa"/>
            <w:vAlign w:val="bottom"/>
            <w:gridSpan w:val="2"/>
            <w:vMerge w:val="restart"/>
          </w:tcPr>
          <w:p>
            <w:pPr>
              <w:spacing w:after="0"/>
              <w:rPr>
                <w:sz w:val="12"/>
                <w:szCs w:val="12"/>
                <w:color w:val="auto"/>
              </w:rPr>
            </w:pPr>
          </w:p>
        </w:tc>
        <w:tc>
          <w:tcPr>
            <w:tcW w:w="1880" w:type="dxa"/>
            <w:vAlign w:val="bottom"/>
            <w:gridSpan w:val="1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3300" w:type="dxa"/>
            <w:vAlign w:val="bottom"/>
            <w:tcBorders>
              <w:bottom w:val="single" w:sz="8" w:color="0000EE"/>
            </w:tcBorders>
            <w:gridSpan w:val="27"/>
            <w:vMerge w:val="continue"/>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640" w:type="dxa"/>
            <w:vAlign w:val="bottom"/>
            <w:gridSpan w:val="10"/>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88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10.8</w:t>
            </w:r>
          </w:p>
        </w:tc>
        <w:tc>
          <w:tcPr>
            <w:tcW w:w="2260" w:type="dxa"/>
            <w:vAlign w:val="bottom"/>
            <w:gridSpan w:val="18"/>
            <w:vMerge w:val="restart"/>
          </w:tcPr>
          <w:p>
            <w:pPr>
              <w:spacing w:after="0"/>
              <w:rPr>
                <w:rFonts w:ascii="Times New Roman" w:cs="Times New Roman" w:eastAsia="Times New Roman" w:hAnsi="Times New Roman"/>
                <w:sz w:val="16"/>
                <w:szCs w:val="16"/>
                <w:color w:val="0000FF"/>
                <w:w w:val="95"/>
              </w:rPr>
            </w:pPr>
            <w:hyperlink r:id="rId201">
              <w:r>
                <w:rPr>
                  <w:rFonts w:ascii="Times New Roman" w:cs="Times New Roman" w:eastAsia="Times New Roman" w:hAnsi="Times New Roman"/>
                  <w:sz w:val="16"/>
                  <w:szCs w:val="16"/>
                  <w:color w:val="0000FF"/>
                  <w:w w:val="95"/>
                </w:rPr>
                <w:t>Form of Indemnification Agreement</w:t>
              </w:r>
            </w:hyperlink>
          </w:p>
        </w:tc>
        <w:tc>
          <w:tcPr>
            <w:tcW w:w="12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1"/>
                <w:szCs w:val="11"/>
                <w:color w:val="0000FF"/>
                <w:w w:val="77"/>
              </w:rPr>
              <w:t>(5)</w:t>
            </w:r>
          </w:p>
        </w:tc>
        <w:tc>
          <w:tcPr>
            <w:tcW w:w="20" w:type="dxa"/>
            <w:vAlign w:val="bottom"/>
            <w:vMerge w:val="restart"/>
          </w:tcPr>
          <w:p>
            <w:pPr>
              <w:spacing w:after="0"/>
              <w:rPr>
                <w:sz w:val="13"/>
                <w:szCs w:val="13"/>
                <w:color w:val="auto"/>
              </w:rPr>
            </w:pPr>
          </w:p>
        </w:tc>
        <w:tc>
          <w:tcPr>
            <w:tcW w:w="180" w:type="dxa"/>
            <w:vAlign w:val="bottom"/>
            <w:gridSpan w:val="3"/>
            <w:vMerge w:val="restart"/>
          </w:tcPr>
          <w:p>
            <w:pPr>
              <w:spacing w:after="0"/>
              <w:rPr>
                <w:sz w:val="13"/>
                <w:szCs w:val="13"/>
                <w:color w:val="auto"/>
              </w:rPr>
            </w:pPr>
          </w:p>
        </w:tc>
        <w:tc>
          <w:tcPr>
            <w:tcW w:w="1220" w:type="dxa"/>
            <w:vAlign w:val="bottom"/>
            <w:gridSpan w:val="5"/>
            <w:vMerge w:val="restart"/>
          </w:tcPr>
          <w:p>
            <w:pPr>
              <w:spacing w:after="0"/>
              <w:rPr>
                <w:sz w:val="13"/>
                <w:szCs w:val="13"/>
                <w:color w:val="auto"/>
              </w:rPr>
            </w:pPr>
          </w:p>
        </w:tc>
        <w:tc>
          <w:tcPr>
            <w:tcW w:w="120" w:type="dxa"/>
            <w:vAlign w:val="bottom"/>
            <w:gridSpan w:val="2"/>
            <w:vMerge w:val="restart"/>
          </w:tcPr>
          <w:p>
            <w:pPr>
              <w:spacing w:after="0"/>
              <w:rPr>
                <w:sz w:val="13"/>
                <w:szCs w:val="13"/>
                <w:color w:val="auto"/>
              </w:rPr>
            </w:pPr>
          </w:p>
        </w:tc>
        <w:tc>
          <w:tcPr>
            <w:tcW w:w="2640" w:type="dxa"/>
            <w:vAlign w:val="bottom"/>
            <w:gridSpan w:val="10"/>
            <w:vMerge w:val="restart"/>
          </w:tcPr>
          <w:p>
            <w:pPr>
              <w:spacing w:after="0"/>
              <w:rPr>
                <w:sz w:val="13"/>
                <w:szCs w:val="13"/>
                <w:color w:val="auto"/>
              </w:rPr>
            </w:pPr>
          </w:p>
        </w:tc>
        <w:tc>
          <w:tcPr>
            <w:tcW w:w="180" w:type="dxa"/>
            <w:vAlign w:val="bottom"/>
            <w:gridSpan w:val="2"/>
            <w:vMerge w:val="restart"/>
          </w:tcPr>
          <w:p>
            <w:pPr>
              <w:spacing w:after="0"/>
              <w:rPr>
                <w:sz w:val="13"/>
                <w:szCs w:val="13"/>
                <w:color w:val="auto"/>
              </w:rPr>
            </w:pPr>
          </w:p>
        </w:tc>
        <w:tc>
          <w:tcPr>
            <w:tcW w:w="400" w:type="dxa"/>
            <w:vAlign w:val="bottom"/>
            <w:gridSpan w:val="2"/>
            <w:vMerge w:val="restart"/>
          </w:tcPr>
          <w:p>
            <w:pPr>
              <w:spacing w:after="0"/>
              <w:rPr>
                <w:sz w:val="13"/>
                <w:szCs w:val="13"/>
                <w:color w:val="auto"/>
              </w:rPr>
            </w:pPr>
          </w:p>
        </w:tc>
        <w:tc>
          <w:tcPr>
            <w:tcW w:w="380" w:type="dxa"/>
            <w:vAlign w:val="bottom"/>
            <w:gridSpan w:val="2"/>
            <w:vMerge w:val="restart"/>
          </w:tcPr>
          <w:p>
            <w:pPr>
              <w:spacing w:after="0"/>
              <w:rPr>
                <w:sz w:val="13"/>
                <w:szCs w:val="13"/>
                <w:color w:val="auto"/>
              </w:rPr>
            </w:pPr>
          </w:p>
        </w:tc>
        <w:tc>
          <w:tcPr>
            <w:tcW w:w="1880" w:type="dxa"/>
            <w:vAlign w:val="bottom"/>
            <w:gridSpan w:val="1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80" w:type="dxa"/>
            <w:vAlign w:val="bottom"/>
            <w:vMerge w:val="continue"/>
          </w:tcPr>
          <w:p>
            <w:pPr>
              <w:spacing w:after="0"/>
              <w:rPr>
                <w:sz w:val="4"/>
                <w:szCs w:val="4"/>
                <w:color w:val="auto"/>
              </w:rPr>
            </w:pPr>
          </w:p>
        </w:tc>
        <w:tc>
          <w:tcPr>
            <w:tcW w:w="2260" w:type="dxa"/>
            <w:vAlign w:val="bottom"/>
            <w:tcBorders>
              <w:bottom w:val="single" w:sz="8" w:color="0000EE"/>
            </w:tcBorders>
            <w:gridSpan w:val="1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1220" w:type="dxa"/>
            <w:vAlign w:val="bottom"/>
            <w:gridSpan w:val="5"/>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2640" w:type="dxa"/>
            <w:vAlign w:val="bottom"/>
            <w:gridSpan w:val="10"/>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188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10.9</w:t>
            </w:r>
          </w:p>
        </w:tc>
        <w:tc>
          <w:tcPr>
            <w:tcW w:w="7340" w:type="dxa"/>
            <w:vAlign w:val="bottom"/>
            <w:gridSpan w:val="46"/>
            <w:vMerge w:val="restart"/>
          </w:tcPr>
          <w:p>
            <w:pPr>
              <w:spacing w:after="0"/>
              <w:rPr>
                <w:rFonts w:ascii="Times New Roman" w:cs="Times New Roman" w:eastAsia="Times New Roman" w:hAnsi="Times New Roman"/>
                <w:sz w:val="16"/>
                <w:szCs w:val="16"/>
                <w:color w:val="0000FF"/>
                <w:w w:val="97"/>
              </w:rPr>
            </w:pPr>
            <w:hyperlink r:id="rId202">
              <w:r>
                <w:rPr>
                  <w:rFonts w:ascii="Times New Roman" w:cs="Times New Roman" w:eastAsia="Times New Roman" w:hAnsi="Times New Roman"/>
                  <w:sz w:val="16"/>
                  <w:szCs w:val="16"/>
                  <w:color w:val="0000FF"/>
                  <w:w w:val="97"/>
                </w:rPr>
                <w:t>Trademark License Agreement by and between Runway Growth Capital LLC and the Runway Growth Finance Corp.</w:t>
              </w:r>
            </w:hyperlink>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1"/>
                <w:szCs w:val="11"/>
                <w:color w:val="0000FF"/>
                <w:w w:val="87"/>
              </w:rPr>
              <w:t>(16)</w:t>
            </w:r>
          </w:p>
        </w:tc>
        <w:tc>
          <w:tcPr>
            <w:tcW w:w="1880" w:type="dxa"/>
            <w:vAlign w:val="bottom"/>
            <w:gridSpan w:val="1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7340" w:type="dxa"/>
            <w:vAlign w:val="bottom"/>
            <w:tcBorders>
              <w:bottom w:val="single" w:sz="8" w:color="0000EE"/>
            </w:tcBorders>
            <w:gridSpan w:val="46"/>
            <w:vMerge w:val="continue"/>
          </w:tcPr>
          <w:p>
            <w:pPr>
              <w:spacing w:after="0"/>
              <w:rPr>
                <w:sz w:val="4"/>
                <w:szCs w:val="4"/>
                <w:color w:val="auto"/>
              </w:rPr>
            </w:pPr>
          </w:p>
        </w:tc>
        <w:tc>
          <w:tcPr>
            <w:tcW w:w="180" w:type="dxa"/>
            <w:vAlign w:val="bottom"/>
          </w:tcPr>
          <w:p>
            <w:pPr>
              <w:spacing w:after="0"/>
              <w:rPr>
                <w:sz w:val="4"/>
                <w:szCs w:val="4"/>
                <w:color w:val="auto"/>
              </w:rPr>
            </w:pPr>
          </w:p>
        </w:tc>
        <w:tc>
          <w:tcPr>
            <w:tcW w:w="188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10.10</w:t>
            </w:r>
          </w:p>
        </w:tc>
        <w:tc>
          <w:tcPr>
            <w:tcW w:w="7020" w:type="dxa"/>
            <w:vAlign w:val="bottom"/>
            <w:gridSpan w:val="44"/>
            <w:vMerge w:val="restart"/>
          </w:tcPr>
          <w:p>
            <w:pPr>
              <w:spacing w:after="0"/>
              <w:rPr>
                <w:rFonts w:ascii="Times New Roman" w:cs="Times New Roman" w:eastAsia="Times New Roman" w:hAnsi="Times New Roman"/>
                <w:sz w:val="16"/>
                <w:szCs w:val="16"/>
                <w:color w:val="0000FF"/>
                <w:w w:val="96"/>
              </w:rPr>
            </w:pPr>
            <w:hyperlink r:id="rId203">
              <w:r>
                <w:rPr>
                  <w:rFonts w:ascii="Times New Roman" w:cs="Times New Roman" w:eastAsia="Times New Roman" w:hAnsi="Times New Roman"/>
                  <w:sz w:val="16"/>
                  <w:szCs w:val="16"/>
                  <w:color w:val="0000FF"/>
                  <w:w w:val="96"/>
                </w:rPr>
                <w:t>Transfer Agent Agreement by and between American Stock Transfer &amp; Trust Company, LLC and the Registrant</w:t>
              </w:r>
            </w:hyperlink>
          </w:p>
        </w:tc>
        <w:tc>
          <w:tcPr>
            <w:tcW w:w="120" w:type="dxa"/>
            <w:vAlign w:val="bottom"/>
            <w:tcBorders>
              <w:bottom w:val="single" w:sz="8" w:color="0000EE"/>
            </w:tcBorders>
          </w:tcPr>
          <w:p>
            <w:pPr>
              <w:jc w:val="right"/>
              <w:spacing w:after="0" w:line="100" w:lineRule="exact"/>
              <w:rPr>
                <w:rFonts w:ascii="Times New Roman" w:cs="Times New Roman" w:eastAsia="Times New Roman" w:hAnsi="Times New Roman"/>
                <w:sz w:val="11"/>
                <w:szCs w:val="11"/>
                <w:color w:val="0000FF"/>
                <w:w w:val="77"/>
              </w:rPr>
            </w:pPr>
            <w:hyperlink r:id="rId203">
              <w:r>
                <w:rPr>
                  <w:rFonts w:ascii="Times New Roman" w:cs="Times New Roman" w:eastAsia="Times New Roman" w:hAnsi="Times New Roman"/>
                  <w:sz w:val="11"/>
                  <w:szCs w:val="11"/>
                  <w:color w:val="0000FF"/>
                  <w:w w:val="77"/>
                </w:rPr>
                <w:t>(7)</w:t>
              </w:r>
            </w:hyperlink>
          </w:p>
        </w:tc>
        <w:tc>
          <w:tcPr>
            <w:tcW w:w="2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7020" w:type="dxa"/>
            <w:vAlign w:val="bottom"/>
            <w:tcBorders>
              <w:bottom w:val="single" w:sz="8" w:color="0000EE"/>
            </w:tcBorders>
            <w:gridSpan w:val="44"/>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10.11</w:t>
            </w:r>
          </w:p>
        </w:tc>
        <w:tc>
          <w:tcPr>
            <w:tcW w:w="9400" w:type="dxa"/>
            <w:vAlign w:val="bottom"/>
            <w:gridSpan w:val="62"/>
          </w:tcPr>
          <w:p>
            <w:pPr>
              <w:spacing w:after="0"/>
              <w:rPr>
                <w:rFonts w:ascii="Times New Roman" w:cs="Times New Roman" w:eastAsia="Times New Roman" w:hAnsi="Times New Roman"/>
                <w:sz w:val="16"/>
                <w:szCs w:val="16"/>
                <w:color w:val="0000FF"/>
                <w:w w:val="98"/>
              </w:rPr>
            </w:pPr>
            <w:hyperlink r:id="rId204">
              <w:r>
                <w:rPr>
                  <w:rFonts w:ascii="Times New Roman" w:cs="Times New Roman" w:eastAsia="Times New Roman" w:hAnsi="Times New Roman"/>
                  <w:sz w:val="16"/>
                  <w:szCs w:val="16"/>
                  <w:color w:val="0000FF"/>
                  <w:w w:val="98"/>
                </w:rPr>
                <w:t>Credit Agreement, dated as of May 31, 2019, by and among the Company, as borrower, KeyBank National Association, as administrative agent and</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280" w:type="dxa"/>
            <w:vAlign w:val="bottom"/>
            <w:tcBorders>
              <w:top w:val="single" w:sz="8" w:color="0000EE"/>
            </w:tcBorders>
            <w:gridSpan w:val="58"/>
          </w:tcPr>
          <w:p>
            <w:pPr>
              <w:spacing w:after="0" w:line="160" w:lineRule="exact"/>
              <w:rPr>
                <w:rFonts w:ascii="Times New Roman" w:cs="Times New Roman" w:eastAsia="Times New Roman" w:hAnsi="Times New Roman"/>
                <w:sz w:val="16"/>
                <w:szCs w:val="16"/>
                <w:color w:val="0000FF"/>
                <w:w w:val="99"/>
              </w:rPr>
            </w:pPr>
            <w:hyperlink r:id="rId204">
              <w:r>
                <w:rPr>
                  <w:rFonts w:ascii="Times New Roman" w:cs="Times New Roman" w:eastAsia="Times New Roman" w:hAnsi="Times New Roman"/>
                  <w:sz w:val="16"/>
                  <w:szCs w:val="16"/>
                  <w:color w:val="0000FF"/>
                  <w:w w:val="99"/>
                </w:rPr>
                <w:t>syndication agent, CIBC Bank USA, as documentation agent, U.S. Bank National Association, as paying agent, the guarantors from time to time</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3800" w:type="dxa"/>
            <w:vAlign w:val="bottom"/>
            <w:tcBorders>
              <w:top w:val="single" w:sz="8" w:color="0000EE"/>
              <w:bottom w:val="single" w:sz="8" w:color="0000EE"/>
            </w:tcBorders>
            <w:gridSpan w:val="29"/>
            <w:vMerge w:val="restart"/>
          </w:tcPr>
          <w:p>
            <w:pPr>
              <w:spacing w:after="0" w:line="160" w:lineRule="exact"/>
              <w:rPr>
                <w:rFonts w:ascii="Times New Roman" w:cs="Times New Roman" w:eastAsia="Times New Roman" w:hAnsi="Times New Roman"/>
                <w:sz w:val="16"/>
                <w:szCs w:val="16"/>
                <w:color w:val="0000FF"/>
                <w:w w:val="96"/>
              </w:rPr>
            </w:pPr>
            <w:hyperlink r:id="rId204">
              <w:r>
                <w:rPr>
                  <w:rFonts w:ascii="Times New Roman" w:cs="Times New Roman" w:eastAsia="Times New Roman" w:hAnsi="Times New Roman"/>
                  <w:sz w:val="16"/>
                  <w:szCs w:val="16"/>
                  <w:color w:val="0000FF"/>
                  <w:w w:val="96"/>
                </w:rPr>
                <w:t>party thereto, and the lenders from time to time party thereto.</w:t>
              </w:r>
            </w:hyperlink>
          </w:p>
        </w:tc>
        <w:tc>
          <w:tcPr>
            <w:tcW w:w="120" w:type="dxa"/>
            <w:vAlign w:val="bottom"/>
            <w:tcBorders>
              <w:top w:val="single" w:sz="8" w:color="0000EE"/>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204">
              <w:r>
                <w:rPr>
                  <w:rFonts w:ascii="Times New Roman" w:cs="Times New Roman" w:eastAsia="Times New Roman" w:hAnsi="Times New Roman"/>
                  <w:sz w:val="8"/>
                  <w:szCs w:val="8"/>
                  <w:color w:val="0000FF"/>
                </w:rPr>
                <w:t>(8)</w:t>
              </w:r>
            </w:hyperlink>
          </w:p>
        </w:tc>
        <w:tc>
          <w:tcPr>
            <w:tcW w:w="2640" w:type="dxa"/>
            <w:vAlign w:val="bottom"/>
            <w:tcBorders>
              <w:top w:val="single" w:sz="8" w:color="0000EE"/>
              <w:bottom w:val="single" w:sz="8" w:color="0000EE"/>
            </w:tcBorders>
            <w:gridSpan w:val="10"/>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2320" w:type="dxa"/>
            <w:vAlign w:val="bottom"/>
            <w:tcBorders>
              <w:top w:val="single" w:sz="8" w:color="0000EE"/>
              <w:bottom w:val="single" w:sz="8" w:color="0000EE"/>
            </w:tcBorders>
            <w:gridSpan w:val="9"/>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3"/>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3800" w:type="dxa"/>
            <w:vAlign w:val="bottom"/>
            <w:tcBorders>
              <w:bottom w:val="single" w:sz="8" w:color="0000EE"/>
            </w:tcBorders>
            <w:gridSpan w:val="29"/>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10"/>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320" w:type="dxa"/>
            <w:vAlign w:val="bottom"/>
            <w:gridSpan w:val="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10.12</w:t>
            </w:r>
          </w:p>
        </w:tc>
        <w:tc>
          <w:tcPr>
            <w:tcW w:w="9400" w:type="dxa"/>
            <w:vAlign w:val="bottom"/>
            <w:gridSpan w:val="62"/>
          </w:tcPr>
          <w:p>
            <w:pPr>
              <w:spacing w:after="0"/>
              <w:rPr>
                <w:rFonts w:ascii="Times New Roman" w:cs="Times New Roman" w:eastAsia="Times New Roman" w:hAnsi="Times New Roman"/>
                <w:sz w:val="16"/>
                <w:szCs w:val="16"/>
                <w:color w:val="0000FF"/>
                <w:w w:val="98"/>
              </w:rPr>
            </w:pPr>
            <w:hyperlink r:id="rId205">
              <w:r>
                <w:rPr>
                  <w:rFonts w:ascii="Times New Roman" w:cs="Times New Roman" w:eastAsia="Times New Roman" w:hAnsi="Times New Roman"/>
                  <w:sz w:val="16"/>
                  <w:szCs w:val="16"/>
                  <w:color w:val="0000FF"/>
                  <w:w w:val="98"/>
                </w:rPr>
                <w:t>First Amendment to Credit Agreement, dated as of November 10, 2020, among the Company, as borrower; the financial institutions party thereto as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280" w:type="dxa"/>
            <w:vAlign w:val="bottom"/>
            <w:tcBorders>
              <w:top w:val="single" w:sz="8" w:color="0000EE"/>
            </w:tcBorders>
            <w:gridSpan w:val="58"/>
          </w:tcPr>
          <w:p>
            <w:pPr>
              <w:spacing w:after="0" w:line="160" w:lineRule="exact"/>
              <w:rPr>
                <w:rFonts w:ascii="Times New Roman" w:cs="Times New Roman" w:eastAsia="Times New Roman" w:hAnsi="Times New Roman"/>
                <w:sz w:val="16"/>
                <w:szCs w:val="16"/>
                <w:color w:val="0000FF"/>
                <w:w w:val="99"/>
              </w:rPr>
            </w:pPr>
            <w:hyperlink r:id="rId205">
              <w:r>
                <w:rPr>
                  <w:rFonts w:ascii="Times New Roman" w:cs="Times New Roman" w:eastAsia="Times New Roman" w:hAnsi="Times New Roman"/>
                  <w:sz w:val="16"/>
                  <w:szCs w:val="16"/>
                  <w:color w:val="0000FF"/>
                  <w:w w:val="99"/>
                </w:rPr>
                <w:t>lenders; KeyBank National Association, as administrative agent and lender; CIBC Bank USA, as documentation agent and lender; and U.S. Bank</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2400" w:type="dxa"/>
            <w:vAlign w:val="bottom"/>
            <w:tcBorders>
              <w:top w:val="single" w:sz="8" w:color="0000EE"/>
              <w:bottom w:val="single" w:sz="8" w:color="0000EE"/>
            </w:tcBorders>
            <w:gridSpan w:val="21"/>
            <w:vMerge w:val="restart"/>
          </w:tcPr>
          <w:p>
            <w:pPr>
              <w:spacing w:after="0" w:line="160" w:lineRule="exact"/>
              <w:rPr>
                <w:rFonts w:ascii="Times New Roman" w:cs="Times New Roman" w:eastAsia="Times New Roman" w:hAnsi="Times New Roman"/>
                <w:sz w:val="16"/>
                <w:szCs w:val="16"/>
                <w:color w:val="0000FF"/>
                <w:w w:val="96"/>
              </w:rPr>
            </w:pPr>
            <w:hyperlink r:id="rId205">
              <w:r>
                <w:rPr>
                  <w:rFonts w:ascii="Times New Roman" w:cs="Times New Roman" w:eastAsia="Times New Roman" w:hAnsi="Times New Roman"/>
                  <w:sz w:val="16"/>
                  <w:szCs w:val="16"/>
                  <w:color w:val="0000FF"/>
                  <w:w w:val="96"/>
                </w:rPr>
                <w:t>National Association, as paying agent.</w:t>
              </w:r>
            </w:hyperlink>
          </w:p>
        </w:tc>
        <w:tc>
          <w:tcPr>
            <w:tcW w:w="180" w:type="dxa"/>
            <w:vAlign w:val="bottom"/>
            <w:tcBorders>
              <w:top w:val="single" w:sz="8" w:color="0000EE"/>
              <w:bottom w:val="single" w:sz="8" w:color="0000EE"/>
            </w:tcBorders>
            <w:gridSpan w:val="3"/>
          </w:tcPr>
          <w:p>
            <w:pPr>
              <w:jc w:val="right"/>
              <w:spacing w:after="0" w:line="76" w:lineRule="exact"/>
              <w:rPr>
                <w:rFonts w:ascii="Times New Roman" w:cs="Times New Roman" w:eastAsia="Times New Roman" w:hAnsi="Times New Roman"/>
                <w:sz w:val="8"/>
                <w:szCs w:val="8"/>
                <w:color w:val="0000FF"/>
              </w:rPr>
            </w:pPr>
            <w:hyperlink r:id="rId205">
              <w:r>
                <w:rPr>
                  <w:rFonts w:ascii="Times New Roman" w:cs="Times New Roman" w:eastAsia="Times New Roman" w:hAnsi="Times New Roman"/>
                  <w:sz w:val="8"/>
                  <w:szCs w:val="8"/>
                  <w:color w:val="0000FF"/>
                </w:rPr>
                <w:t>(10)</w:t>
              </w:r>
            </w:hyperlink>
          </w:p>
        </w:tc>
        <w:tc>
          <w:tcPr>
            <w:tcW w:w="3980" w:type="dxa"/>
            <w:vAlign w:val="bottom"/>
            <w:tcBorders>
              <w:top w:val="single" w:sz="8" w:color="0000EE"/>
              <w:bottom w:val="single" w:sz="8" w:color="0000EE"/>
            </w:tcBorders>
            <w:gridSpan w:val="17"/>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2380" w:type="dxa"/>
            <w:vAlign w:val="bottom"/>
            <w:tcBorders>
              <w:top w:val="single" w:sz="8" w:color="0000EE"/>
              <w:bottom w:val="single" w:sz="8" w:color="0000EE"/>
            </w:tcBorders>
            <w:gridSpan w:val="12"/>
            <w:vMerge w:val="restart"/>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gridSpan w:val="3"/>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2400" w:type="dxa"/>
            <w:vAlign w:val="bottom"/>
            <w:tcBorders>
              <w:bottom w:val="single" w:sz="8" w:color="0000EE"/>
            </w:tcBorders>
            <w:gridSpan w:val="21"/>
            <w:vMerge w:val="continue"/>
          </w:tcPr>
          <w:p>
            <w:pPr>
              <w:spacing w:after="0"/>
              <w:rPr>
                <w:sz w:val="4"/>
                <w:szCs w:val="4"/>
                <w:color w:val="auto"/>
              </w:rPr>
            </w:pPr>
          </w:p>
        </w:tc>
        <w:tc>
          <w:tcPr>
            <w:tcW w:w="180" w:type="dxa"/>
            <w:vAlign w:val="bottom"/>
            <w:gridSpan w:val="3"/>
          </w:tcPr>
          <w:p>
            <w:pPr>
              <w:spacing w:after="0"/>
              <w:rPr>
                <w:sz w:val="4"/>
                <w:szCs w:val="4"/>
                <w:color w:val="auto"/>
              </w:rPr>
            </w:pPr>
          </w:p>
        </w:tc>
        <w:tc>
          <w:tcPr>
            <w:tcW w:w="3980" w:type="dxa"/>
            <w:vAlign w:val="bottom"/>
            <w:gridSpan w:val="17"/>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380" w:type="dxa"/>
            <w:vAlign w:val="bottom"/>
            <w:gridSpan w:val="12"/>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10.13</w:t>
            </w:r>
          </w:p>
        </w:tc>
        <w:tc>
          <w:tcPr>
            <w:tcW w:w="9400" w:type="dxa"/>
            <w:vAlign w:val="bottom"/>
            <w:gridSpan w:val="62"/>
          </w:tcPr>
          <w:p>
            <w:pPr>
              <w:spacing w:after="0"/>
              <w:rPr>
                <w:rFonts w:ascii="Times New Roman" w:cs="Times New Roman" w:eastAsia="Times New Roman" w:hAnsi="Times New Roman"/>
                <w:sz w:val="16"/>
                <w:szCs w:val="16"/>
                <w:color w:val="0000FF"/>
                <w:w w:val="98"/>
              </w:rPr>
            </w:pPr>
            <w:hyperlink r:id="rId206">
              <w:r>
                <w:rPr>
                  <w:rFonts w:ascii="Times New Roman" w:cs="Times New Roman" w:eastAsia="Times New Roman" w:hAnsi="Times New Roman"/>
                  <w:sz w:val="16"/>
                  <w:szCs w:val="16"/>
                  <w:color w:val="0000FF"/>
                  <w:w w:val="98"/>
                </w:rPr>
                <w:t>Second Amendment to Credit Agreement, dated as of December 2, 2020, among the Company, as borrower; the financial institutions party thereto as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340" w:type="dxa"/>
            <w:vAlign w:val="bottom"/>
            <w:tcBorders>
              <w:top w:val="single" w:sz="8" w:color="0000EE"/>
            </w:tcBorders>
            <w:gridSpan w:val="59"/>
          </w:tcPr>
          <w:p>
            <w:pPr>
              <w:spacing w:after="0" w:line="160" w:lineRule="exact"/>
              <w:rPr>
                <w:rFonts w:ascii="Times New Roman" w:cs="Times New Roman" w:eastAsia="Times New Roman" w:hAnsi="Times New Roman"/>
                <w:sz w:val="16"/>
                <w:szCs w:val="16"/>
                <w:color w:val="0000FF"/>
              </w:rPr>
            </w:pPr>
            <w:hyperlink r:id="rId206">
              <w:r>
                <w:rPr>
                  <w:rFonts w:ascii="Times New Roman" w:cs="Times New Roman" w:eastAsia="Times New Roman" w:hAnsi="Times New Roman"/>
                  <w:sz w:val="16"/>
                  <w:szCs w:val="16"/>
                  <w:color w:val="0000FF"/>
                </w:rPr>
                <w:t>lenders; KeyBank National Association, as administrative agent and lender; CIBC Bank USA, as documentation agent and lender; MUFG Union</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6560" w:type="dxa"/>
            <w:vAlign w:val="bottom"/>
            <w:tcBorders>
              <w:top w:val="single" w:sz="8" w:color="0000EE"/>
              <w:bottom w:val="single" w:sz="8" w:color="0000EE"/>
            </w:tcBorders>
            <w:gridSpan w:val="41"/>
            <w:vMerge w:val="restart"/>
          </w:tcPr>
          <w:p>
            <w:pPr>
              <w:spacing w:after="0" w:line="160" w:lineRule="exact"/>
              <w:rPr>
                <w:rFonts w:ascii="Times New Roman" w:cs="Times New Roman" w:eastAsia="Times New Roman" w:hAnsi="Times New Roman"/>
                <w:sz w:val="16"/>
                <w:szCs w:val="16"/>
                <w:color w:val="0000FF"/>
                <w:w w:val="96"/>
              </w:rPr>
            </w:pPr>
            <w:hyperlink r:id="rId206">
              <w:r>
                <w:rPr>
                  <w:rFonts w:ascii="Times New Roman" w:cs="Times New Roman" w:eastAsia="Times New Roman" w:hAnsi="Times New Roman"/>
                  <w:sz w:val="16"/>
                  <w:szCs w:val="16"/>
                  <w:color w:val="0000FF"/>
                  <w:w w:val="96"/>
                </w:rPr>
                <w:t>Bank, N.A., as co-documentation agent and lender; and U.S. Bank National Association, as paying agent.</w:t>
              </w:r>
            </w:hyperlink>
          </w:p>
        </w:tc>
        <w:tc>
          <w:tcPr>
            <w:tcW w:w="180" w:type="dxa"/>
            <w:vAlign w:val="bottom"/>
            <w:tcBorders>
              <w:top w:val="single" w:sz="8" w:color="0000EE"/>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206">
              <w:r>
                <w:rPr>
                  <w:rFonts w:ascii="Times New Roman" w:cs="Times New Roman" w:eastAsia="Times New Roman" w:hAnsi="Times New Roman"/>
                  <w:sz w:val="8"/>
                  <w:szCs w:val="8"/>
                  <w:color w:val="0000FF"/>
                </w:rPr>
                <w:t>(11)</w:t>
              </w:r>
            </w:hyperlink>
          </w:p>
        </w:tc>
        <w:tc>
          <w:tcPr>
            <w:tcW w:w="2340" w:type="dxa"/>
            <w:vAlign w:val="bottom"/>
            <w:tcBorders>
              <w:top w:val="single" w:sz="8" w:color="0000EE"/>
              <w:bottom w:val="single" w:sz="8" w:color="0000EE"/>
            </w:tcBorders>
            <w:gridSpan w:val="10"/>
            <w:vMerge w:val="restart"/>
          </w:tcPr>
          <w:p>
            <w:pPr>
              <w:spacing w:after="0"/>
              <w:rPr>
                <w:sz w:val="7"/>
                <w:szCs w:val="7"/>
                <w:color w:val="auto"/>
              </w:rPr>
            </w:pPr>
          </w:p>
        </w:tc>
        <w:tc>
          <w:tcPr>
            <w:tcW w:w="60" w:type="dxa"/>
            <w:vAlign w:val="bottom"/>
            <w:gridSpan w:val="3"/>
          </w:tcPr>
          <w:p>
            <w:pPr>
              <w:spacing w:after="0"/>
              <w:rPr>
                <w:sz w:val="7"/>
                <w:szCs w:val="7"/>
                <w:color w:val="auto"/>
              </w:rPr>
            </w:pPr>
          </w:p>
        </w:tc>
        <w:tc>
          <w:tcPr>
            <w:tcW w:w="240" w:type="dxa"/>
            <w:vAlign w:val="bottom"/>
            <w:gridSpan w:val="5"/>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6560" w:type="dxa"/>
            <w:vAlign w:val="bottom"/>
            <w:tcBorders>
              <w:bottom w:val="single" w:sz="8" w:color="0000EE"/>
            </w:tcBorders>
            <w:gridSpan w:val="41"/>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340" w:type="dxa"/>
            <w:vAlign w:val="bottom"/>
            <w:gridSpan w:val="10"/>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10.14</w:t>
            </w:r>
          </w:p>
        </w:tc>
        <w:tc>
          <w:tcPr>
            <w:tcW w:w="9400" w:type="dxa"/>
            <w:vAlign w:val="bottom"/>
            <w:gridSpan w:val="62"/>
          </w:tcPr>
          <w:p>
            <w:pPr>
              <w:spacing w:after="0"/>
              <w:rPr>
                <w:rFonts w:ascii="Times New Roman" w:cs="Times New Roman" w:eastAsia="Times New Roman" w:hAnsi="Times New Roman"/>
                <w:sz w:val="16"/>
                <w:szCs w:val="16"/>
                <w:color w:val="0000FF"/>
                <w:w w:val="97"/>
              </w:rPr>
            </w:pPr>
            <w:hyperlink r:id="rId207">
              <w:r>
                <w:rPr>
                  <w:rFonts w:ascii="Times New Roman" w:cs="Times New Roman" w:eastAsia="Times New Roman" w:hAnsi="Times New Roman"/>
                  <w:sz w:val="16"/>
                  <w:szCs w:val="16"/>
                  <w:color w:val="0000FF"/>
                  <w:w w:val="97"/>
                </w:rPr>
                <w:t>Third Amendment to Credit Agreement, dated as of June 1, 2021, among the Company, as borrower; the financial institutions party thereto as lenders;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380" w:type="dxa"/>
            <w:vAlign w:val="bottom"/>
            <w:tcBorders>
              <w:top w:val="single" w:sz="8" w:color="0000EE"/>
            </w:tcBorders>
            <w:gridSpan w:val="61"/>
          </w:tcPr>
          <w:p>
            <w:pPr>
              <w:spacing w:after="0" w:line="160" w:lineRule="exact"/>
              <w:rPr>
                <w:rFonts w:ascii="Times New Roman" w:cs="Times New Roman" w:eastAsia="Times New Roman" w:hAnsi="Times New Roman"/>
                <w:sz w:val="16"/>
                <w:szCs w:val="16"/>
                <w:color w:val="0000FF"/>
              </w:rPr>
            </w:pPr>
            <w:hyperlink r:id="rId207">
              <w:r>
                <w:rPr>
                  <w:rFonts w:ascii="Times New Roman" w:cs="Times New Roman" w:eastAsia="Times New Roman" w:hAnsi="Times New Roman"/>
                  <w:sz w:val="16"/>
                  <w:szCs w:val="16"/>
                  <w:color w:val="0000FF"/>
                </w:rPr>
                <w:t>KeyBank National Association, as administrative agent and lender; CIBC Bank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0"/>
        </w:trPr>
        <w:tc>
          <w:tcPr>
            <w:tcW w:w="1180" w:type="dxa"/>
            <w:vAlign w:val="bottom"/>
          </w:tcPr>
          <w:p>
            <w:pPr>
              <w:spacing w:after="0"/>
              <w:rPr>
                <w:sz w:val="24"/>
                <w:szCs w:val="24"/>
                <w:color w:val="auto"/>
              </w:rPr>
            </w:pPr>
          </w:p>
        </w:tc>
        <w:tc>
          <w:tcPr>
            <w:tcW w:w="4760" w:type="dxa"/>
            <w:vAlign w:val="bottom"/>
            <w:tcBorders>
              <w:top w:val="single" w:sz="8" w:color="0000EE"/>
            </w:tcBorders>
            <w:gridSpan w:val="32"/>
          </w:tcPr>
          <w:p>
            <w:pPr>
              <w:ind w:left="3980"/>
              <w:spacing w:after="0"/>
              <w:rPr>
                <w:sz w:val="20"/>
                <w:szCs w:val="20"/>
                <w:color w:val="auto"/>
              </w:rPr>
            </w:pPr>
            <w:r>
              <w:rPr>
                <w:rFonts w:ascii="Times New Roman" w:cs="Times New Roman" w:eastAsia="Times New Roman" w:hAnsi="Times New Roman"/>
                <w:sz w:val="16"/>
                <w:szCs w:val="16"/>
                <w:color w:val="auto"/>
              </w:rPr>
              <w:t>140</w:t>
            </w: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0580" w:type="dxa"/>
            <w:vAlign w:val="bottom"/>
            <w:tcBorders>
              <w:bottom w:val="single" w:sz="8" w:color="EEEEEE"/>
            </w:tcBorders>
            <w:gridSpan w:val="6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2435225</wp:posOffset>
            </wp:positionH>
            <wp:positionV relativeFrom="paragraph">
              <wp:posOffset>-5853430</wp:posOffset>
            </wp:positionV>
            <wp:extent cx="228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1795145</wp:posOffset>
            </wp:positionH>
            <wp:positionV relativeFrom="paragraph">
              <wp:posOffset>-5701030</wp:posOffset>
            </wp:positionV>
            <wp:extent cx="2286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2412365</wp:posOffset>
            </wp:positionH>
            <wp:positionV relativeFrom="paragraph">
              <wp:posOffset>-5540375</wp:posOffset>
            </wp:positionV>
            <wp:extent cx="228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4470400</wp:posOffset>
            </wp:positionH>
            <wp:positionV relativeFrom="paragraph">
              <wp:posOffset>-4191635</wp:posOffset>
            </wp:positionV>
            <wp:extent cx="228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-3932555</wp:posOffset>
            </wp:positionV>
            <wp:extent cx="228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1383665</wp:posOffset>
            </wp:positionH>
            <wp:positionV relativeFrom="paragraph">
              <wp:posOffset>-3429635</wp:posOffset>
            </wp:positionV>
            <wp:extent cx="228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4843780</wp:posOffset>
            </wp:positionH>
            <wp:positionV relativeFrom="paragraph">
              <wp:posOffset>-3291840</wp:posOffset>
            </wp:positionV>
            <wp:extent cx="228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-2636520</wp:posOffset>
            </wp:positionV>
            <wp:extent cx="2286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2259965</wp:posOffset>
            </wp:positionH>
            <wp:positionV relativeFrom="paragraph">
              <wp:posOffset>-2476500</wp:posOffset>
            </wp:positionV>
            <wp:extent cx="228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-2316480</wp:posOffset>
            </wp:positionV>
            <wp:extent cx="2286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-2186940</wp:posOffset>
            </wp:positionV>
            <wp:extent cx="2286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22860" cy="7620"/>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-1828800</wp:posOffset>
            </wp:positionV>
            <wp:extent cx="2286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22860" cy="762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40" w:name="page141"/>
    <w:bookmarkEnd w:id="14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9400" w:type="dxa"/>
            <w:vAlign w:val="bottom"/>
            <w:gridSpan w:val="40"/>
          </w:tcPr>
          <w:p>
            <w:pPr>
              <w:spacing w:after="0"/>
              <w:rPr>
                <w:rFonts w:ascii="Times New Roman" w:cs="Times New Roman" w:eastAsia="Times New Roman" w:hAnsi="Times New Roman"/>
                <w:sz w:val="16"/>
                <w:szCs w:val="16"/>
                <w:color w:val="0000FF"/>
                <w:w w:val="98"/>
              </w:rPr>
            </w:pPr>
            <w:hyperlink r:id="rId207">
              <w:r>
                <w:rPr>
                  <w:rFonts w:ascii="Times New Roman" w:cs="Times New Roman" w:eastAsia="Times New Roman" w:hAnsi="Times New Roman"/>
                  <w:sz w:val="16"/>
                  <w:szCs w:val="16"/>
                  <w:color w:val="0000FF"/>
                  <w:w w:val="98"/>
                </w:rPr>
                <w:t>USA, as documentation agent and lender; MUFG Union Bank, N.A., as co-documentation agent and lender; and U.S. Bank National Association, as</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800" w:type="dxa"/>
            <w:vAlign w:val="bottom"/>
            <w:tcBorders>
              <w:top w:val="single" w:sz="8" w:color="0000EE"/>
              <w:bottom w:val="single" w:sz="8" w:color="0000EE"/>
            </w:tcBorders>
            <w:gridSpan w:val="2"/>
            <w:vMerge w:val="restart"/>
          </w:tcPr>
          <w:p>
            <w:pPr>
              <w:spacing w:after="0" w:line="160" w:lineRule="exact"/>
              <w:rPr>
                <w:rFonts w:ascii="Times New Roman" w:cs="Times New Roman" w:eastAsia="Times New Roman" w:hAnsi="Times New Roman"/>
                <w:sz w:val="16"/>
                <w:szCs w:val="16"/>
                <w:color w:val="0000FF"/>
                <w:w w:val="94"/>
              </w:rPr>
            </w:pPr>
            <w:hyperlink r:id="rId207">
              <w:r>
                <w:rPr>
                  <w:rFonts w:ascii="Times New Roman" w:cs="Times New Roman" w:eastAsia="Times New Roman" w:hAnsi="Times New Roman"/>
                  <w:sz w:val="16"/>
                  <w:szCs w:val="16"/>
                  <w:color w:val="0000FF"/>
                  <w:w w:val="94"/>
                </w:rPr>
                <w:t>paying agent</w:t>
              </w:r>
            </w:hyperlink>
          </w:p>
        </w:tc>
        <w:tc>
          <w:tcPr>
            <w:tcW w:w="180" w:type="dxa"/>
            <w:vAlign w:val="bottom"/>
            <w:tcBorders>
              <w:top w:val="single" w:sz="8" w:color="0000EE"/>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207">
              <w:r>
                <w:rPr>
                  <w:rFonts w:ascii="Times New Roman" w:cs="Times New Roman" w:eastAsia="Times New Roman" w:hAnsi="Times New Roman"/>
                  <w:sz w:val="8"/>
                  <w:szCs w:val="8"/>
                  <w:color w:val="0000FF"/>
                </w:rPr>
                <w:t>(14)</w:t>
              </w:r>
            </w:hyperlink>
          </w:p>
        </w:tc>
        <w:tc>
          <w:tcPr>
            <w:tcW w:w="160" w:type="dxa"/>
            <w:vAlign w:val="bottom"/>
            <w:tcBorders>
              <w:top w:val="single" w:sz="8" w:color="0000EE"/>
              <w:bottom w:val="single" w:sz="8" w:color="0000EE"/>
            </w:tcBorders>
            <w:vMerge w:val="restart"/>
          </w:tcPr>
          <w:p>
            <w:pPr>
              <w:spacing w:after="0"/>
              <w:rPr>
                <w:sz w:val="7"/>
                <w:szCs w:val="7"/>
                <w:color w:val="auto"/>
              </w:rPr>
            </w:pPr>
          </w:p>
        </w:tc>
        <w:tc>
          <w:tcPr>
            <w:tcW w:w="300" w:type="dxa"/>
            <w:vAlign w:val="bottom"/>
            <w:tcBorders>
              <w:top w:val="single" w:sz="8" w:color="0000EE"/>
              <w:bottom w:val="single" w:sz="8" w:color="0000EE"/>
            </w:tcBorders>
            <w:gridSpan w:val="2"/>
            <w:vMerge w:val="restart"/>
          </w:tcPr>
          <w:p>
            <w:pPr>
              <w:spacing w:after="0"/>
              <w:rPr>
                <w:sz w:val="7"/>
                <w:szCs w:val="7"/>
                <w:color w:val="auto"/>
              </w:rPr>
            </w:pPr>
          </w:p>
        </w:tc>
        <w:tc>
          <w:tcPr>
            <w:tcW w:w="1780" w:type="dxa"/>
            <w:vAlign w:val="bottom"/>
            <w:tcBorders>
              <w:top w:val="single" w:sz="8" w:color="0000EE"/>
              <w:bottom w:val="single" w:sz="8" w:color="0000EE"/>
            </w:tcBorders>
            <w:gridSpan w:val="5"/>
            <w:vMerge w:val="restart"/>
          </w:tcPr>
          <w:p>
            <w:pPr>
              <w:spacing w:after="0"/>
              <w:rPr>
                <w:sz w:val="7"/>
                <w:szCs w:val="7"/>
                <w:color w:val="auto"/>
              </w:rPr>
            </w:pPr>
          </w:p>
        </w:tc>
        <w:tc>
          <w:tcPr>
            <w:tcW w:w="56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vMerge w:val="restart"/>
          </w:tcPr>
          <w:p>
            <w:pPr>
              <w:spacing w:after="0"/>
              <w:rPr>
                <w:sz w:val="7"/>
                <w:szCs w:val="7"/>
                <w:color w:val="auto"/>
              </w:rPr>
            </w:pPr>
          </w:p>
        </w:tc>
        <w:tc>
          <w:tcPr>
            <w:tcW w:w="200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1260" w:type="dxa"/>
            <w:vAlign w:val="bottom"/>
            <w:tcBorders>
              <w:top w:val="single" w:sz="8" w:color="0000EE"/>
              <w:bottom w:val="single" w:sz="8" w:color="0000EE"/>
            </w:tcBorders>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40" w:type="dxa"/>
            <w:vAlign w:val="bottom"/>
            <w:tcBorders>
              <w:top w:val="single" w:sz="8" w:color="0000EE"/>
              <w:bottom w:val="single" w:sz="8" w:color="0000EE"/>
            </w:tcBorders>
            <w:vMerge w:val="restart"/>
          </w:tcPr>
          <w:p>
            <w:pPr>
              <w:spacing w:after="0"/>
              <w:rPr>
                <w:sz w:val="7"/>
                <w:szCs w:val="7"/>
                <w:color w:val="auto"/>
              </w:rPr>
            </w:pPr>
          </w:p>
        </w:tc>
        <w:tc>
          <w:tcPr>
            <w:tcW w:w="1660" w:type="dxa"/>
            <w:vAlign w:val="bottom"/>
            <w:tcBorders>
              <w:top w:val="single" w:sz="8" w:color="0000EE"/>
              <w:bottom w:val="single" w:sz="8" w:color="0000EE"/>
            </w:tcBorders>
            <w:gridSpan w:val="14"/>
            <w:vMerge w:val="restart"/>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800" w:type="dxa"/>
            <w:vAlign w:val="bottom"/>
            <w:tcBorders>
              <w:bottom w:val="single" w:sz="8" w:color="0000EE"/>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660" w:type="dxa"/>
            <w:vAlign w:val="bottom"/>
            <w:gridSpan w:val="1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10.15</w:t>
            </w:r>
          </w:p>
        </w:tc>
        <w:tc>
          <w:tcPr>
            <w:tcW w:w="9400" w:type="dxa"/>
            <w:vAlign w:val="bottom"/>
            <w:gridSpan w:val="40"/>
          </w:tcPr>
          <w:p>
            <w:pPr>
              <w:spacing w:after="0"/>
              <w:rPr>
                <w:rFonts w:ascii="Times New Roman" w:cs="Times New Roman" w:eastAsia="Times New Roman" w:hAnsi="Times New Roman"/>
                <w:sz w:val="16"/>
                <w:szCs w:val="16"/>
                <w:color w:val="0000FF"/>
                <w:w w:val="97"/>
              </w:rPr>
            </w:pPr>
            <w:hyperlink r:id="rId221">
              <w:r>
                <w:rPr>
                  <w:rFonts w:ascii="Times New Roman" w:cs="Times New Roman" w:eastAsia="Times New Roman" w:hAnsi="Times New Roman"/>
                  <w:sz w:val="16"/>
                  <w:szCs w:val="16"/>
                  <w:color w:val="0000FF"/>
                  <w:w w:val="97"/>
                </w:rPr>
                <w:t>Fourth Amendment to Credit Agreement, dated as of August 3, 2021, among Runway Growth Credit Fund Inc., as borrower; the financial institutions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380" w:type="dxa"/>
            <w:vAlign w:val="bottom"/>
            <w:tcBorders>
              <w:top w:val="single" w:sz="8" w:color="0000EE"/>
            </w:tcBorders>
            <w:gridSpan w:val="39"/>
          </w:tcPr>
          <w:p>
            <w:pPr>
              <w:spacing w:after="0" w:line="160" w:lineRule="exact"/>
              <w:rPr>
                <w:rFonts w:ascii="Times New Roman" w:cs="Times New Roman" w:eastAsia="Times New Roman" w:hAnsi="Times New Roman"/>
                <w:sz w:val="16"/>
                <w:szCs w:val="16"/>
                <w:color w:val="0000FF"/>
                <w:w w:val="99"/>
              </w:rPr>
            </w:pPr>
            <w:hyperlink r:id="rId221">
              <w:r>
                <w:rPr>
                  <w:rFonts w:ascii="Times New Roman" w:cs="Times New Roman" w:eastAsia="Times New Roman" w:hAnsi="Times New Roman"/>
                  <w:sz w:val="16"/>
                  <w:szCs w:val="16"/>
                  <w:color w:val="0000FF"/>
                  <w:w w:val="99"/>
                </w:rPr>
                <w:t>party thereto as lenders; KeyBank National Association, as administrative agent and lender; CIBC Bank USA, as documentation agent and lender;</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7400" w:type="dxa"/>
            <w:vAlign w:val="bottom"/>
            <w:tcBorders>
              <w:top w:val="single" w:sz="8" w:color="0000EE"/>
              <w:bottom w:val="single" w:sz="8" w:color="0000EE"/>
            </w:tcBorders>
            <w:gridSpan w:val="18"/>
            <w:vMerge w:val="restart"/>
          </w:tcPr>
          <w:p>
            <w:pPr>
              <w:spacing w:after="0" w:line="160" w:lineRule="exact"/>
              <w:rPr>
                <w:rFonts w:ascii="Times New Roman" w:cs="Times New Roman" w:eastAsia="Times New Roman" w:hAnsi="Times New Roman"/>
                <w:sz w:val="16"/>
                <w:szCs w:val="16"/>
                <w:color w:val="0000FF"/>
                <w:w w:val="96"/>
              </w:rPr>
            </w:pPr>
            <w:hyperlink r:id="rId221">
              <w:r>
                <w:rPr>
                  <w:rFonts w:ascii="Times New Roman" w:cs="Times New Roman" w:eastAsia="Times New Roman" w:hAnsi="Times New Roman"/>
                  <w:sz w:val="16"/>
                  <w:szCs w:val="16"/>
                  <w:color w:val="0000FF"/>
                  <w:w w:val="96"/>
                </w:rPr>
                <w:t>MUFG Union Bank, N.A. as co-documentation agent and lender; and U.S. Bank National Association, as paying agent</w:t>
              </w:r>
            </w:hyperlink>
          </w:p>
        </w:tc>
        <w:tc>
          <w:tcPr>
            <w:tcW w:w="180" w:type="dxa"/>
            <w:vAlign w:val="bottom"/>
            <w:tcBorders>
              <w:top w:val="single" w:sz="8" w:color="0000EE"/>
              <w:bottom w:val="single" w:sz="8" w:color="0000EE"/>
            </w:tcBorders>
            <w:gridSpan w:val="2"/>
          </w:tcPr>
          <w:p>
            <w:pPr>
              <w:spacing w:after="0" w:line="76" w:lineRule="exact"/>
              <w:rPr>
                <w:rFonts w:ascii="Times New Roman" w:cs="Times New Roman" w:eastAsia="Times New Roman" w:hAnsi="Times New Roman"/>
                <w:sz w:val="8"/>
                <w:szCs w:val="8"/>
                <w:color w:val="0000FF"/>
              </w:rPr>
            </w:pPr>
            <w:hyperlink r:id="rId221">
              <w:r>
                <w:rPr>
                  <w:rFonts w:ascii="Times New Roman" w:cs="Times New Roman" w:eastAsia="Times New Roman" w:hAnsi="Times New Roman"/>
                  <w:sz w:val="8"/>
                  <w:szCs w:val="8"/>
                  <w:color w:val="0000FF"/>
                </w:rPr>
                <w:t>(12)</w:t>
              </w:r>
            </w:hyperlink>
          </w:p>
        </w:tc>
        <w:tc>
          <w:tcPr>
            <w:tcW w:w="40" w:type="dxa"/>
            <w:vAlign w:val="bottom"/>
            <w:tcBorders>
              <w:top w:val="single" w:sz="8" w:color="0000EE"/>
              <w:bottom w:val="single" w:sz="8" w:color="0000EE"/>
            </w:tcBorders>
            <w:vMerge w:val="restart"/>
          </w:tcPr>
          <w:p>
            <w:pPr>
              <w:spacing w:after="0"/>
              <w:rPr>
                <w:sz w:val="7"/>
                <w:szCs w:val="7"/>
                <w:color w:val="auto"/>
              </w:rPr>
            </w:pPr>
          </w:p>
        </w:tc>
        <w:tc>
          <w:tcPr>
            <w:tcW w:w="1540" w:type="dxa"/>
            <w:vAlign w:val="bottom"/>
            <w:tcBorders>
              <w:top w:val="single" w:sz="8" w:color="0000EE"/>
              <w:bottom w:val="single" w:sz="8" w:color="0000EE"/>
            </w:tcBorders>
            <w:gridSpan w:val="10"/>
            <w:vMerge w:val="restart"/>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7400" w:type="dxa"/>
            <w:vAlign w:val="bottom"/>
            <w:tcBorders>
              <w:bottom w:val="single" w:sz="8" w:color="0000EE"/>
            </w:tcBorders>
            <w:gridSpan w:val="1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40" w:type="dxa"/>
            <w:vAlign w:val="bottom"/>
            <w:gridSpan w:val="10"/>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10.16</w:t>
            </w:r>
          </w:p>
        </w:tc>
        <w:tc>
          <w:tcPr>
            <w:tcW w:w="9040" w:type="dxa"/>
            <w:vAlign w:val="bottom"/>
            <w:gridSpan w:val="27"/>
            <w:vMerge w:val="restart"/>
          </w:tcPr>
          <w:p>
            <w:pPr>
              <w:spacing w:after="0"/>
              <w:rPr>
                <w:rFonts w:ascii="Times New Roman" w:cs="Times New Roman" w:eastAsia="Times New Roman" w:hAnsi="Times New Roman"/>
                <w:sz w:val="16"/>
                <w:szCs w:val="16"/>
                <w:color w:val="0000FF"/>
                <w:w w:val="97"/>
              </w:rPr>
            </w:pPr>
            <w:hyperlink r:id="rId222">
              <w:r>
                <w:rPr>
                  <w:rFonts w:ascii="Times New Roman" w:cs="Times New Roman" w:eastAsia="Times New Roman" w:hAnsi="Times New Roman"/>
                  <w:sz w:val="16"/>
                  <w:szCs w:val="16"/>
                  <w:color w:val="0000FF"/>
                  <w:w w:val="97"/>
                </w:rPr>
                <w:t>Master Note Purchase Agreement, dated December 10, 2021, by and among Runway Growth Finance Corp. and the Purchasers signatory thereto</w:t>
              </w:r>
            </w:hyperlink>
          </w:p>
        </w:tc>
        <w:tc>
          <w:tcPr>
            <w:tcW w:w="180" w:type="dxa"/>
            <w:vAlign w:val="bottom"/>
            <w:tcBorders>
              <w:bottom w:val="single" w:sz="8" w:color="0000EE"/>
            </w:tcBorders>
            <w:gridSpan w:val="5"/>
          </w:tcPr>
          <w:p>
            <w:pPr>
              <w:jc w:val="right"/>
              <w:spacing w:after="0" w:line="104" w:lineRule="exact"/>
              <w:rPr>
                <w:rFonts w:ascii="Times New Roman" w:cs="Times New Roman" w:eastAsia="Times New Roman" w:hAnsi="Times New Roman"/>
                <w:sz w:val="11"/>
                <w:szCs w:val="11"/>
                <w:color w:val="0000FF"/>
                <w:w w:val="87"/>
              </w:rPr>
            </w:pPr>
            <w:hyperlink r:id="rId222">
              <w:r>
                <w:rPr>
                  <w:rFonts w:ascii="Times New Roman" w:cs="Times New Roman" w:eastAsia="Times New Roman" w:hAnsi="Times New Roman"/>
                  <w:sz w:val="11"/>
                  <w:szCs w:val="11"/>
                  <w:color w:val="0000FF"/>
                  <w:w w:val="87"/>
                </w:rPr>
                <w:t>(15)</w:t>
              </w:r>
            </w:hyperlink>
          </w:p>
        </w:tc>
        <w:tc>
          <w:tcPr>
            <w:tcW w:w="180" w:type="dxa"/>
            <w:vAlign w:val="bottom"/>
            <w:gridSpan w:val="8"/>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9040" w:type="dxa"/>
            <w:vAlign w:val="bottom"/>
            <w:tcBorders>
              <w:bottom w:val="single" w:sz="8" w:color="0000EE"/>
            </w:tcBorders>
            <w:gridSpan w:val="27"/>
            <w:vMerge w:val="continue"/>
          </w:tcPr>
          <w:p>
            <w:pPr>
              <w:spacing w:after="0"/>
              <w:rPr>
                <w:sz w:val="4"/>
                <w:szCs w:val="4"/>
                <w:color w:val="auto"/>
              </w:rPr>
            </w:pPr>
          </w:p>
        </w:tc>
        <w:tc>
          <w:tcPr>
            <w:tcW w:w="180" w:type="dxa"/>
            <w:vAlign w:val="bottom"/>
            <w:gridSpan w:val="5"/>
          </w:tcPr>
          <w:p>
            <w:pPr>
              <w:spacing w:after="0"/>
              <w:rPr>
                <w:sz w:val="4"/>
                <w:szCs w:val="4"/>
                <w:color w:val="auto"/>
              </w:rPr>
            </w:pPr>
          </w:p>
        </w:tc>
        <w:tc>
          <w:tcPr>
            <w:tcW w:w="1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10.17</w:t>
            </w:r>
          </w:p>
        </w:tc>
        <w:tc>
          <w:tcPr>
            <w:tcW w:w="9400" w:type="dxa"/>
            <w:vAlign w:val="bottom"/>
            <w:gridSpan w:val="40"/>
          </w:tcPr>
          <w:p>
            <w:pPr>
              <w:spacing w:after="0"/>
              <w:rPr>
                <w:rFonts w:ascii="Times New Roman" w:cs="Times New Roman" w:eastAsia="Times New Roman" w:hAnsi="Times New Roman"/>
                <w:sz w:val="16"/>
                <w:szCs w:val="16"/>
                <w:color w:val="0000FF"/>
              </w:rPr>
            </w:pPr>
            <w:hyperlink r:id="rId223">
              <w:r>
                <w:rPr>
                  <w:rFonts w:ascii="Times New Roman" w:cs="Times New Roman" w:eastAsia="Times New Roman" w:hAnsi="Times New Roman"/>
                  <w:sz w:val="16"/>
                  <w:szCs w:val="16"/>
                  <w:color w:val="0000FF"/>
                </w:rPr>
                <w:t>First Supplement to Note Purchase Agreement, dated April 13, 2023, by and between Runway Growth Finance Corp. and the Purchasers party</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8920" w:type="dxa"/>
            <w:vAlign w:val="bottom"/>
            <w:tcBorders>
              <w:top w:val="single" w:sz="8" w:color="0000EE"/>
            </w:tcBorders>
            <w:gridSpan w:val="25"/>
          </w:tcPr>
          <w:p>
            <w:pPr>
              <w:spacing w:after="0" w:line="160" w:lineRule="exact"/>
              <w:rPr>
                <w:rFonts w:ascii="Times New Roman" w:cs="Times New Roman" w:eastAsia="Times New Roman" w:hAnsi="Times New Roman"/>
                <w:sz w:val="14"/>
                <w:szCs w:val="14"/>
                <w:color w:val="0000FF"/>
              </w:rPr>
            </w:pPr>
            <w:hyperlink r:id="rId223">
              <w:r>
                <w:rPr>
                  <w:rFonts w:ascii="Times New Roman" w:cs="Times New Roman" w:eastAsia="Times New Roman" w:hAnsi="Times New Roman"/>
                  <w:sz w:val="14"/>
                  <w:szCs w:val="14"/>
                  <w:color w:val="0000FF"/>
                </w:rPr>
                <w:t>thereto</w:t>
              </w:r>
              <w:r>
                <w:rPr>
                  <w:rFonts w:ascii="Times New Roman" w:cs="Times New Roman" w:eastAsia="Times New Roman" w:hAnsi="Times New Roman"/>
                  <w:sz w:val="18"/>
                  <w:szCs w:val="18"/>
                  <w:color w:val="0000FF"/>
                  <w:vertAlign w:val="superscript"/>
                </w:rPr>
                <w:t>(22)</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10.18</w:t>
            </w:r>
          </w:p>
        </w:tc>
        <w:tc>
          <w:tcPr>
            <w:tcW w:w="9400" w:type="dxa"/>
            <w:vAlign w:val="bottom"/>
            <w:gridSpan w:val="40"/>
          </w:tcPr>
          <w:p>
            <w:pPr>
              <w:spacing w:after="0"/>
              <w:rPr>
                <w:rFonts w:ascii="Times New Roman" w:cs="Times New Roman" w:eastAsia="Times New Roman" w:hAnsi="Times New Roman"/>
                <w:sz w:val="16"/>
                <w:szCs w:val="16"/>
                <w:color w:val="0000FF"/>
                <w:w w:val="99"/>
              </w:rPr>
            </w:pPr>
            <w:hyperlink r:id="rId224">
              <w:r>
                <w:rPr>
                  <w:rFonts w:ascii="Times New Roman" w:cs="Times New Roman" w:eastAsia="Times New Roman" w:hAnsi="Times New Roman"/>
                  <w:sz w:val="16"/>
                  <w:szCs w:val="16"/>
                  <w:color w:val="0000FF"/>
                  <w:w w:val="99"/>
                </w:rPr>
                <w:t>Fifth Amendment to Credit Agreement, dated as of October 19, 2021, among Runway Growth Finance Corp., as borrower; the financial institutions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240" w:type="dxa"/>
            <w:vAlign w:val="bottom"/>
            <w:tcBorders>
              <w:top w:val="single" w:sz="8" w:color="0000EE"/>
            </w:tcBorders>
            <w:gridSpan w:val="33"/>
          </w:tcPr>
          <w:p>
            <w:pPr>
              <w:spacing w:after="0" w:line="160" w:lineRule="exact"/>
              <w:rPr>
                <w:rFonts w:ascii="Times New Roman" w:cs="Times New Roman" w:eastAsia="Times New Roman" w:hAnsi="Times New Roman"/>
                <w:sz w:val="16"/>
                <w:szCs w:val="16"/>
                <w:color w:val="0000FF"/>
                <w:w w:val="98"/>
              </w:rPr>
            </w:pPr>
            <w:hyperlink r:id="rId224">
              <w:r>
                <w:rPr>
                  <w:rFonts w:ascii="Times New Roman" w:cs="Times New Roman" w:eastAsia="Times New Roman" w:hAnsi="Times New Roman"/>
                  <w:sz w:val="16"/>
                  <w:szCs w:val="16"/>
                  <w:color w:val="0000FF"/>
                  <w:w w:val="98"/>
                </w:rPr>
                <w:t>party thereto as lenders; KeyBank National Association, as administrative agent and lender; CIBC Bank USA, as documentation agent and lender;</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7400" w:type="dxa"/>
            <w:vAlign w:val="bottom"/>
            <w:tcBorders>
              <w:top w:val="single" w:sz="8" w:color="0000EE"/>
              <w:bottom w:val="single" w:sz="8" w:color="0000EE"/>
            </w:tcBorders>
            <w:gridSpan w:val="18"/>
            <w:vMerge w:val="restart"/>
          </w:tcPr>
          <w:p>
            <w:pPr>
              <w:spacing w:after="0" w:line="160" w:lineRule="exact"/>
              <w:rPr>
                <w:rFonts w:ascii="Times New Roman" w:cs="Times New Roman" w:eastAsia="Times New Roman" w:hAnsi="Times New Roman"/>
                <w:sz w:val="16"/>
                <w:szCs w:val="16"/>
                <w:color w:val="0000FF"/>
                <w:w w:val="96"/>
              </w:rPr>
            </w:pPr>
            <w:hyperlink r:id="rId224">
              <w:r>
                <w:rPr>
                  <w:rFonts w:ascii="Times New Roman" w:cs="Times New Roman" w:eastAsia="Times New Roman" w:hAnsi="Times New Roman"/>
                  <w:sz w:val="16"/>
                  <w:szCs w:val="16"/>
                  <w:color w:val="0000FF"/>
                  <w:w w:val="96"/>
                </w:rPr>
                <w:t>MUFG Union Bank, N.A. as co-documentation agent and lender; and U.S. Bank National Association, as paying agent</w:t>
              </w:r>
            </w:hyperlink>
          </w:p>
        </w:tc>
        <w:tc>
          <w:tcPr>
            <w:tcW w:w="180" w:type="dxa"/>
            <w:vAlign w:val="bottom"/>
            <w:tcBorders>
              <w:top w:val="single" w:sz="8" w:color="0000EE"/>
              <w:bottom w:val="single" w:sz="8" w:color="0000EE"/>
            </w:tcBorders>
            <w:gridSpan w:val="2"/>
          </w:tcPr>
          <w:p>
            <w:pPr>
              <w:spacing w:after="0" w:line="76" w:lineRule="exact"/>
              <w:rPr>
                <w:rFonts w:ascii="Times New Roman" w:cs="Times New Roman" w:eastAsia="Times New Roman" w:hAnsi="Times New Roman"/>
                <w:sz w:val="8"/>
                <w:szCs w:val="8"/>
                <w:color w:val="0000FF"/>
              </w:rPr>
            </w:pPr>
            <w:hyperlink r:id="rId224">
              <w:r>
                <w:rPr>
                  <w:rFonts w:ascii="Times New Roman" w:cs="Times New Roman" w:eastAsia="Times New Roman" w:hAnsi="Times New Roman"/>
                  <w:sz w:val="8"/>
                  <w:szCs w:val="8"/>
                  <w:color w:val="0000FF"/>
                </w:rPr>
                <w:t>(17)</w:t>
              </w:r>
            </w:hyperlink>
          </w:p>
        </w:tc>
        <w:tc>
          <w:tcPr>
            <w:tcW w:w="40" w:type="dxa"/>
            <w:vAlign w:val="bottom"/>
            <w:tcBorders>
              <w:top w:val="single" w:sz="8" w:color="0000EE"/>
              <w:bottom w:val="single" w:sz="8" w:color="0000EE"/>
            </w:tcBorders>
            <w:vMerge w:val="restart"/>
          </w:tcPr>
          <w:p>
            <w:pPr>
              <w:spacing w:after="0"/>
              <w:rPr>
                <w:sz w:val="7"/>
                <w:szCs w:val="7"/>
                <w:color w:val="auto"/>
              </w:rPr>
            </w:pPr>
          </w:p>
        </w:tc>
        <w:tc>
          <w:tcPr>
            <w:tcW w:w="1540" w:type="dxa"/>
            <w:vAlign w:val="bottom"/>
            <w:tcBorders>
              <w:top w:val="single" w:sz="8" w:color="0000EE"/>
              <w:bottom w:val="single" w:sz="8" w:color="0000EE"/>
            </w:tcBorders>
            <w:gridSpan w:val="10"/>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7400" w:type="dxa"/>
            <w:vAlign w:val="bottom"/>
            <w:tcBorders>
              <w:bottom w:val="single" w:sz="8" w:color="0000EE"/>
            </w:tcBorders>
            <w:gridSpan w:val="1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540" w:type="dxa"/>
            <w:vAlign w:val="bottom"/>
            <w:gridSpan w:val="10"/>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10.19</w:t>
            </w:r>
          </w:p>
        </w:tc>
        <w:tc>
          <w:tcPr>
            <w:tcW w:w="9400" w:type="dxa"/>
            <w:vAlign w:val="bottom"/>
            <w:gridSpan w:val="40"/>
          </w:tcPr>
          <w:p>
            <w:pPr>
              <w:spacing w:after="0"/>
              <w:rPr>
                <w:rFonts w:ascii="Times New Roman" w:cs="Times New Roman" w:eastAsia="Times New Roman" w:hAnsi="Times New Roman"/>
                <w:sz w:val="16"/>
                <w:szCs w:val="16"/>
                <w:color w:val="0000FF"/>
                <w:w w:val="99"/>
              </w:rPr>
            </w:pPr>
            <w:hyperlink r:id="rId225">
              <w:r>
                <w:rPr>
                  <w:rFonts w:ascii="Times New Roman" w:cs="Times New Roman" w:eastAsia="Times New Roman" w:hAnsi="Times New Roman"/>
                  <w:sz w:val="16"/>
                  <w:szCs w:val="16"/>
                  <w:color w:val="0000FF"/>
                  <w:w w:val="99"/>
                </w:rPr>
                <w:t>Amended and Restated Credit Agreement, dated as of April 20, 2022, among Runway Growth Finance Corp., as borrower; the financial institutions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240" w:type="dxa"/>
            <w:vAlign w:val="bottom"/>
            <w:tcBorders>
              <w:top w:val="single" w:sz="8" w:color="0000EE"/>
            </w:tcBorders>
            <w:gridSpan w:val="33"/>
          </w:tcPr>
          <w:p>
            <w:pPr>
              <w:spacing w:after="0" w:line="160" w:lineRule="exact"/>
              <w:rPr>
                <w:rFonts w:ascii="Times New Roman" w:cs="Times New Roman" w:eastAsia="Times New Roman" w:hAnsi="Times New Roman"/>
                <w:sz w:val="16"/>
                <w:szCs w:val="16"/>
                <w:color w:val="0000FF"/>
                <w:w w:val="98"/>
              </w:rPr>
            </w:pPr>
            <w:hyperlink r:id="rId225">
              <w:r>
                <w:rPr>
                  <w:rFonts w:ascii="Times New Roman" w:cs="Times New Roman" w:eastAsia="Times New Roman" w:hAnsi="Times New Roman"/>
                  <w:sz w:val="16"/>
                  <w:szCs w:val="16"/>
                  <w:color w:val="0000FF"/>
                  <w:w w:val="98"/>
                </w:rPr>
                <w:t>party thereto as lenders; KeyBank National Association, as administrative agent and lender; CIBC Bank USA, as documentation agent and lender;</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7400" w:type="dxa"/>
            <w:vAlign w:val="bottom"/>
            <w:tcBorders>
              <w:top w:val="single" w:sz="8" w:color="0000EE"/>
              <w:bottom w:val="single" w:sz="8" w:color="0000EE"/>
            </w:tcBorders>
            <w:gridSpan w:val="18"/>
            <w:vMerge w:val="restart"/>
          </w:tcPr>
          <w:p>
            <w:pPr>
              <w:spacing w:after="0" w:line="160" w:lineRule="exact"/>
              <w:rPr>
                <w:rFonts w:ascii="Times New Roman" w:cs="Times New Roman" w:eastAsia="Times New Roman" w:hAnsi="Times New Roman"/>
                <w:sz w:val="16"/>
                <w:szCs w:val="16"/>
                <w:color w:val="0000FF"/>
                <w:w w:val="96"/>
              </w:rPr>
            </w:pPr>
            <w:hyperlink r:id="rId225">
              <w:r>
                <w:rPr>
                  <w:rFonts w:ascii="Times New Roman" w:cs="Times New Roman" w:eastAsia="Times New Roman" w:hAnsi="Times New Roman"/>
                  <w:sz w:val="16"/>
                  <w:szCs w:val="16"/>
                  <w:color w:val="0000FF"/>
                  <w:w w:val="96"/>
                </w:rPr>
                <w:t>MUFG Union Bank, N.A. as co-documentation agent and lender; and U.S. Bank National Association, as paying agent</w:t>
              </w:r>
            </w:hyperlink>
          </w:p>
        </w:tc>
        <w:tc>
          <w:tcPr>
            <w:tcW w:w="220" w:type="dxa"/>
            <w:vAlign w:val="bottom"/>
            <w:tcBorders>
              <w:top w:val="single" w:sz="8" w:color="0000EE"/>
              <w:bottom w:val="single" w:sz="8" w:color="0000EE"/>
            </w:tcBorders>
            <w:gridSpan w:val="3"/>
          </w:tcPr>
          <w:p>
            <w:pPr>
              <w:spacing w:after="0" w:line="76" w:lineRule="exact"/>
              <w:rPr>
                <w:rFonts w:ascii="Times New Roman" w:cs="Times New Roman" w:eastAsia="Times New Roman" w:hAnsi="Times New Roman"/>
                <w:sz w:val="8"/>
                <w:szCs w:val="8"/>
                <w:color w:val="0000FF"/>
              </w:rPr>
            </w:pPr>
            <w:hyperlink r:id="rId225">
              <w:r>
                <w:rPr>
                  <w:rFonts w:ascii="Times New Roman" w:cs="Times New Roman" w:eastAsia="Times New Roman" w:hAnsi="Times New Roman"/>
                  <w:sz w:val="8"/>
                  <w:szCs w:val="8"/>
                  <w:color w:val="0000FF"/>
                </w:rPr>
                <w:t>(18)</w:t>
              </w:r>
            </w:hyperlink>
          </w:p>
        </w:tc>
        <w:tc>
          <w:tcPr>
            <w:tcW w:w="1540" w:type="dxa"/>
            <w:vAlign w:val="bottom"/>
            <w:tcBorders>
              <w:top w:val="single" w:sz="8" w:color="0000EE"/>
              <w:bottom w:val="single" w:sz="8" w:color="0000EE"/>
            </w:tcBorders>
            <w:gridSpan w:val="10"/>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7400" w:type="dxa"/>
            <w:vAlign w:val="bottom"/>
            <w:tcBorders>
              <w:bottom w:val="single" w:sz="8" w:color="0000EE"/>
            </w:tcBorders>
            <w:gridSpan w:val="1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0" w:type="dxa"/>
            <w:vAlign w:val="bottom"/>
            <w:gridSpan w:val="2"/>
          </w:tcPr>
          <w:p>
            <w:pPr>
              <w:spacing w:after="0"/>
              <w:rPr>
                <w:sz w:val="4"/>
                <w:szCs w:val="4"/>
                <w:color w:val="auto"/>
              </w:rPr>
            </w:pPr>
          </w:p>
        </w:tc>
        <w:tc>
          <w:tcPr>
            <w:tcW w:w="1540" w:type="dxa"/>
            <w:vAlign w:val="bottom"/>
            <w:gridSpan w:val="10"/>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10.20</w:t>
            </w:r>
          </w:p>
        </w:tc>
        <w:tc>
          <w:tcPr>
            <w:tcW w:w="8820" w:type="dxa"/>
            <w:vAlign w:val="bottom"/>
            <w:tcBorders>
              <w:bottom w:val="single" w:sz="8" w:color="0000EE"/>
            </w:tcBorders>
            <w:gridSpan w:val="24"/>
          </w:tcPr>
          <w:p>
            <w:pPr>
              <w:spacing w:after="0"/>
              <w:rPr>
                <w:rFonts w:ascii="Times New Roman" w:cs="Times New Roman" w:eastAsia="Times New Roman" w:hAnsi="Times New Roman"/>
                <w:sz w:val="16"/>
                <w:szCs w:val="16"/>
                <w:color w:val="0000FF"/>
                <w:w w:val="97"/>
              </w:rPr>
            </w:pPr>
            <w:hyperlink r:id="rId226">
              <w:r>
                <w:rPr>
                  <w:rFonts w:ascii="Times New Roman" w:cs="Times New Roman" w:eastAsia="Times New Roman" w:hAnsi="Times New Roman"/>
                  <w:sz w:val="16"/>
                  <w:szCs w:val="16"/>
                  <w:color w:val="0000FF"/>
                  <w:w w:val="97"/>
                </w:rPr>
                <w:t>Second Amendment to the Amended and Restated Credit Agreement, dated as of January 4, 2023, among Runway Growth Finance Corp., as</w:t>
              </w:r>
            </w:hyperlink>
          </w:p>
        </w:tc>
        <w:tc>
          <w:tcPr>
            <w:tcW w:w="5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400" w:type="dxa"/>
            <w:vAlign w:val="bottom"/>
            <w:gridSpan w:val="40"/>
          </w:tcPr>
          <w:p>
            <w:pPr>
              <w:spacing w:after="0" w:line="160" w:lineRule="exact"/>
              <w:rPr>
                <w:rFonts w:ascii="Times New Roman" w:cs="Times New Roman" w:eastAsia="Times New Roman" w:hAnsi="Times New Roman"/>
                <w:sz w:val="16"/>
                <w:szCs w:val="16"/>
                <w:color w:val="0000FF"/>
              </w:rPr>
            </w:pPr>
            <w:hyperlink r:id="rId226">
              <w:r>
                <w:rPr>
                  <w:rFonts w:ascii="Times New Roman" w:cs="Times New Roman" w:eastAsia="Times New Roman" w:hAnsi="Times New Roman"/>
                  <w:sz w:val="16"/>
                  <w:szCs w:val="16"/>
                  <w:color w:val="0000FF"/>
                </w:rPr>
                <w:t>borrower; the financial institutions parties thereto as lenders; and KeyBank National Association, as administrative agent and lender; CIBC Bank</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080" w:type="dxa"/>
            <w:vAlign w:val="bottom"/>
            <w:tcBorders>
              <w:top w:val="single" w:sz="8" w:color="0000EE"/>
              <w:bottom w:val="single" w:sz="8" w:color="0000EE"/>
            </w:tcBorders>
            <w:gridSpan w:val="29"/>
          </w:tcPr>
          <w:p>
            <w:pPr>
              <w:spacing w:after="0" w:line="160" w:lineRule="exact"/>
              <w:rPr>
                <w:rFonts w:ascii="Times New Roman" w:cs="Times New Roman" w:eastAsia="Times New Roman" w:hAnsi="Times New Roman"/>
                <w:sz w:val="16"/>
                <w:szCs w:val="16"/>
                <w:color w:val="0000FF"/>
                <w:w w:val="97"/>
              </w:rPr>
            </w:pPr>
            <w:hyperlink r:id="rId226">
              <w:r>
                <w:rPr>
                  <w:rFonts w:ascii="Times New Roman" w:cs="Times New Roman" w:eastAsia="Times New Roman" w:hAnsi="Times New Roman"/>
                  <w:sz w:val="16"/>
                  <w:szCs w:val="16"/>
                  <w:color w:val="0000FF"/>
                  <w:w w:val="97"/>
                </w:rPr>
                <w:t>USA, as documentation agent; MUFG Union Bank, Ltd (as successor-in-interest to MUFG Union Bank, N.A.), as documentation agent; and U.S.</w:t>
              </w:r>
            </w:hyperlink>
          </w:p>
        </w:tc>
        <w:tc>
          <w:tcPr>
            <w:tcW w:w="40" w:type="dxa"/>
            <w:vAlign w:val="bottom"/>
            <w:tcBorders>
              <w:bottom w:val="single" w:sz="8" w:color="0000EE"/>
            </w:tcBorders>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3780" w:type="dxa"/>
            <w:vAlign w:val="bottom"/>
            <w:gridSpan w:val="13"/>
            <w:vMerge w:val="restart"/>
          </w:tcPr>
          <w:p>
            <w:pPr>
              <w:spacing w:after="0" w:line="160" w:lineRule="exact"/>
              <w:rPr>
                <w:rFonts w:ascii="Times New Roman" w:cs="Times New Roman" w:eastAsia="Times New Roman" w:hAnsi="Times New Roman"/>
                <w:sz w:val="16"/>
                <w:szCs w:val="16"/>
                <w:color w:val="0000FF"/>
                <w:w w:val="96"/>
              </w:rPr>
            </w:pPr>
            <w:hyperlink r:id="rId226">
              <w:r>
                <w:rPr>
                  <w:rFonts w:ascii="Times New Roman" w:cs="Times New Roman" w:eastAsia="Times New Roman" w:hAnsi="Times New Roman"/>
                  <w:sz w:val="16"/>
                  <w:szCs w:val="16"/>
                  <w:color w:val="0000FF"/>
                  <w:w w:val="96"/>
                </w:rPr>
                <w:t>Bank Trust Company, National Association, as paying agent</w:t>
              </w:r>
            </w:hyperlink>
          </w:p>
        </w:tc>
        <w:tc>
          <w:tcPr>
            <w:tcW w:w="180" w:type="dxa"/>
            <w:vAlign w:val="bottom"/>
            <w:tcBorders>
              <w:bottom w:val="single" w:sz="8" w:color="0000EE"/>
            </w:tcBorders>
          </w:tcPr>
          <w:p>
            <w:pPr>
              <w:jc w:val="right"/>
              <w:spacing w:after="0" w:line="76" w:lineRule="exact"/>
              <w:rPr>
                <w:rFonts w:ascii="Times New Roman" w:cs="Times New Roman" w:eastAsia="Times New Roman" w:hAnsi="Times New Roman"/>
                <w:sz w:val="8"/>
                <w:szCs w:val="8"/>
                <w:color w:val="0000FF"/>
              </w:rPr>
            </w:pPr>
            <w:hyperlink r:id="rId226">
              <w:r>
                <w:rPr>
                  <w:rFonts w:ascii="Times New Roman" w:cs="Times New Roman" w:eastAsia="Times New Roman" w:hAnsi="Times New Roman"/>
                  <w:sz w:val="8"/>
                  <w:szCs w:val="8"/>
                  <w:color w:val="0000FF"/>
                </w:rPr>
                <w:t>(21)</w:t>
              </w:r>
            </w:hyperlink>
          </w:p>
        </w:tc>
        <w:tc>
          <w:tcPr>
            <w:tcW w:w="2000" w:type="dxa"/>
            <w:vAlign w:val="bottom"/>
            <w:vMerge w:val="restart"/>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2980" w:type="dxa"/>
            <w:vAlign w:val="bottom"/>
            <w:gridSpan w:val="13"/>
            <w:vMerge w:val="restart"/>
          </w:tcPr>
          <w:p>
            <w:pPr>
              <w:spacing w:after="0"/>
              <w:rPr>
                <w:sz w:val="7"/>
                <w:szCs w:val="7"/>
                <w:color w:val="auto"/>
              </w:rPr>
            </w:pPr>
          </w:p>
        </w:tc>
        <w:tc>
          <w:tcPr>
            <w:tcW w:w="10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180" w:type="dxa"/>
            <w:vAlign w:val="bottom"/>
          </w:tcPr>
          <w:p>
            <w:pPr>
              <w:spacing w:after="0"/>
              <w:rPr>
                <w:sz w:val="4"/>
                <w:szCs w:val="4"/>
                <w:color w:val="auto"/>
              </w:rPr>
            </w:pPr>
          </w:p>
        </w:tc>
        <w:tc>
          <w:tcPr>
            <w:tcW w:w="3780" w:type="dxa"/>
            <w:vAlign w:val="bottom"/>
            <w:tcBorders>
              <w:bottom w:val="single" w:sz="8" w:color="0000EE"/>
            </w:tcBorders>
            <w:gridSpan w:val="13"/>
            <w:vMerge w:val="continue"/>
          </w:tcPr>
          <w:p>
            <w:pPr>
              <w:spacing w:after="0"/>
              <w:rPr>
                <w:sz w:val="4"/>
                <w:szCs w:val="4"/>
                <w:color w:val="auto"/>
              </w:rPr>
            </w:pPr>
          </w:p>
        </w:tc>
        <w:tc>
          <w:tcPr>
            <w:tcW w:w="18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980" w:type="dxa"/>
            <w:vAlign w:val="bottom"/>
            <w:gridSpan w:val="13"/>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10.21</w:t>
            </w:r>
          </w:p>
        </w:tc>
        <w:tc>
          <w:tcPr>
            <w:tcW w:w="9400" w:type="dxa"/>
            <w:vAlign w:val="bottom"/>
            <w:gridSpan w:val="40"/>
          </w:tcPr>
          <w:p>
            <w:pPr>
              <w:spacing w:after="0"/>
              <w:rPr>
                <w:rFonts w:ascii="Times New Roman" w:cs="Times New Roman" w:eastAsia="Times New Roman" w:hAnsi="Times New Roman"/>
                <w:sz w:val="16"/>
                <w:szCs w:val="16"/>
                <w:color w:val="0000FF"/>
                <w:w w:val="97"/>
              </w:rPr>
            </w:pPr>
            <w:hyperlink r:id="rId227">
              <w:r>
                <w:rPr>
                  <w:rFonts w:ascii="Times New Roman" w:cs="Times New Roman" w:eastAsia="Times New Roman" w:hAnsi="Times New Roman"/>
                  <w:sz w:val="16"/>
                  <w:szCs w:val="16"/>
                  <w:color w:val="0000FF"/>
                  <w:w w:val="97"/>
                </w:rPr>
                <w:t>Third Amendment to the Amended and Restated Credit Agreement, dated as of March 24, 2023, among Runway Growth Finance Corp., as borrower,</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360" w:type="dxa"/>
            <w:vAlign w:val="bottom"/>
            <w:tcBorders>
              <w:top w:val="single" w:sz="8" w:color="0000EE"/>
            </w:tcBorders>
            <w:gridSpan w:val="38"/>
          </w:tcPr>
          <w:p>
            <w:pPr>
              <w:spacing w:after="0" w:line="160" w:lineRule="exact"/>
              <w:rPr>
                <w:rFonts w:ascii="Times New Roman" w:cs="Times New Roman" w:eastAsia="Times New Roman" w:hAnsi="Times New Roman"/>
                <w:sz w:val="16"/>
                <w:szCs w:val="16"/>
                <w:color w:val="0000FF"/>
                <w:w w:val="98"/>
              </w:rPr>
            </w:pPr>
            <w:hyperlink r:id="rId227">
              <w:r>
                <w:rPr>
                  <w:rFonts w:ascii="Times New Roman" w:cs="Times New Roman" w:eastAsia="Times New Roman" w:hAnsi="Times New Roman"/>
                  <w:sz w:val="16"/>
                  <w:szCs w:val="16"/>
                  <w:color w:val="0000FF"/>
                  <w:w w:val="98"/>
                </w:rPr>
                <w:t>the financial institutions party thereto as lenders, KeyBank National Association, as administrative and lender, CIBC Bank USA, as documentation,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240" w:type="dxa"/>
            <w:vAlign w:val="bottom"/>
            <w:tcBorders>
              <w:top w:val="single" w:sz="8" w:color="0000EE"/>
              <w:bottom w:val="single" w:sz="8" w:color="0000EE"/>
            </w:tcBorders>
            <w:gridSpan w:val="33"/>
          </w:tcPr>
          <w:p>
            <w:pPr>
              <w:spacing w:after="0" w:line="160" w:lineRule="exact"/>
              <w:rPr>
                <w:rFonts w:ascii="Times New Roman" w:cs="Times New Roman" w:eastAsia="Times New Roman" w:hAnsi="Times New Roman"/>
                <w:sz w:val="16"/>
                <w:szCs w:val="16"/>
                <w:color w:val="0000FF"/>
                <w:w w:val="96"/>
              </w:rPr>
            </w:pPr>
            <w:hyperlink r:id="rId227">
              <w:r>
                <w:rPr>
                  <w:rFonts w:ascii="Times New Roman" w:cs="Times New Roman" w:eastAsia="Times New Roman" w:hAnsi="Times New Roman"/>
                  <w:sz w:val="16"/>
                  <w:szCs w:val="16"/>
                  <w:color w:val="0000FF"/>
                  <w:w w:val="96"/>
                </w:rPr>
                <w:t>MUFG Bank, Ltd. (as successor in interest to MUFG Bank, N.A.), as co-documentation agent, and U.S. Bank Trust Company, National Association,</w:t>
              </w:r>
            </w:hyperlink>
          </w:p>
        </w:tc>
        <w:tc>
          <w:tcPr>
            <w:tcW w:w="20" w:type="dxa"/>
            <w:vAlign w:val="bottom"/>
            <w:tcBorders>
              <w:bottom w:val="single" w:sz="8" w:color="0000EE"/>
            </w:tcBorders>
          </w:tcPr>
          <w:p>
            <w:pPr>
              <w:spacing w:after="0"/>
              <w:rPr>
                <w:sz w:val="13"/>
                <w:szCs w:val="13"/>
                <w:color w:val="auto"/>
              </w:rPr>
            </w:pPr>
          </w:p>
        </w:tc>
        <w:tc>
          <w:tcPr>
            <w:tcW w:w="60" w:type="dxa"/>
            <w:vAlign w:val="bottom"/>
            <w:tcBorders>
              <w:bottom w:val="single" w:sz="8" w:color="0000EE"/>
            </w:tcBorders>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960" w:type="dxa"/>
            <w:vAlign w:val="bottom"/>
            <w:gridSpan w:val="3"/>
            <w:vMerge w:val="restart"/>
          </w:tcPr>
          <w:p>
            <w:pPr>
              <w:spacing w:after="0" w:line="160" w:lineRule="exact"/>
              <w:rPr>
                <w:rFonts w:ascii="Times New Roman" w:cs="Times New Roman" w:eastAsia="Times New Roman" w:hAnsi="Times New Roman"/>
                <w:sz w:val="16"/>
                <w:szCs w:val="16"/>
                <w:color w:val="0000FF"/>
                <w:w w:val="94"/>
              </w:rPr>
            </w:pPr>
            <w:hyperlink r:id="rId227">
              <w:r>
                <w:rPr>
                  <w:rFonts w:ascii="Times New Roman" w:cs="Times New Roman" w:eastAsia="Times New Roman" w:hAnsi="Times New Roman"/>
                  <w:sz w:val="16"/>
                  <w:szCs w:val="16"/>
                  <w:color w:val="0000FF"/>
                  <w:w w:val="94"/>
                </w:rPr>
                <w:t>as paying agent</w:t>
              </w:r>
            </w:hyperlink>
          </w:p>
        </w:tc>
        <w:tc>
          <w:tcPr>
            <w:tcW w:w="180" w:type="dxa"/>
            <w:vAlign w:val="bottom"/>
            <w:tcBorders>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227">
              <w:r>
                <w:rPr>
                  <w:rFonts w:ascii="Times New Roman" w:cs="Times New Roman" w:eastAsia="Times New Roman" w:hAnsi="Times New Roman"/>
                  <w:sz w:val="8"/>
                  <w:szCs w:val="8"/>
                  <w:color w:val="0000FF"/>
                </w:rPr>
                <w:t>(28)</w:t>
              </w:r>
            </w:hyperlink>
          </w:p>
        </w:tc>
        <w:tc>
          <w:tcPr>
            <w:tcW w:w="300" w:type="dxa"/>
            <w:vAlign w:val="bottom"/>
            <w:gridSpan w:val="2"/>
            <w:vMerge w:val="restart"/>
          </w:tcPr>
          <w:p>
            <w:pPr>
              <w:spacing w:after="0"/>
              <w:rPr>
                <w:sz w:val="7"/>
                <w:szCs w:val="7"/>
                <w:color w:val="auto"/>
              </w:rPr>
            </w:pPr>
          </w:p>
        </w:tc>
        <w:tc>
          <w:tcPr>
            <w:tcW w:w="1780" w:type="dxa"/>
            <w:vAlign w:val="bottom"/>
            <w:gridSpan w:val="5"/>
            <w:vMerge w:val="restart"/>
          </w:tcPr>
          <w:p>
            <w:pPr>
              <w:spacing w:after="0"/>
              <w:rPr>
                <w:sz w:val="7"/>
                <w:szCs w:val="7"/>
                <w:color w:val="auto"/>
              </w:rPr>
            </w:pPr>
          </w:p>
        </w:tc>
        <w:tc>
          <w:tcPr>
            <w:tcW w:w="2740" w:type="dxa"/>
            <w:vAlign w:val="bottom"/>
            <w:gridSpan w:val="3"/>
            <w:vMerge w:val="restart"/>
          </w:tcPr>
          <w:p>
            <w:pPr>
              <w:spacing w:after="0"/>
              <w:rPr>
                <w:sz w:val="7"/>
                <w:szCs w:val="7"/>
                <w:color w:val="auto"/>
              </w:rPr>
            </w:pPr>
          </w:p>
        </w:tc>
        <w:tc>
          <w:tcPr>
            <w:tcW w:w="180" w:type="dxa"/>
            <w:vAlign w:val="bottom"/>
            <w:gridSpan w:val="2"/>
            <w:vMerge w:val="restart"/>
          </w:tcPr>
          <w:p>
            <w:pPr>
              <w:spacing w:after="0"/>
              <w:rPr>
                <w:sz w:val="7"/>
                <w:szCs w:val="7"/>
                <w:color w:val="auto"/>
              </w:rPr>
            </w:pPr>
          </w:p>
        </w:tc>
        <w:tc>
          <w:tcPr>
            <w:tcW w:w="3180" w:type="dxa"/>
            <w:vAlign w:val="bottom"/>
            <w:gridSpan w:val="19"/>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180" w:type="dxa"/>
            <w:vAlign w:val="bottom"/>
          </w:tcPr>
          <w:p>
            <w:pPr>
              <w:spacing w:after="0"/>
              <w:rPr>
                <w:sz w:val="4"/>
                <w:szCs w:val="4"/>
                <w:color w:val="auto"/>
              </w:rPr>
            </w:pPr>
          </w:p>
        </w:tc>
        <w:tc>
          <w:tcPr>
            <w:tcW w:w="960" w:type="dxa"/>
            <w:vAlign w:val="bottom"/>
            <w:tcBorders>
              <w:bottom w:val="single" w:sz="8" w:color="0000EE"/>
            </w:tcBorders>
            <w:gridSpan w:val="3"/>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3180" w:type="dxa"/>
            <w:vAlign w:val="bottom"/>
            <w:gridSpan w:val="19"/>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10.22</w:t>
            </w:r>
          </w:p>
        </w:tc>
        <w:tc>
          <w:tcPr>
            <w:tcW w:w="8940" w:type="dxa"/>
            <w:vAlign w:val="bottom"/>
            <w:tcBorders>
              <w:bottom w:val="single" w:sz="8" w:color="0000EE"/>
            </w:tcBorders>
            <w:gridSpan w:val="26"/>
          </w:tcPr>
          <w:p>
            <w:pPr>
              <w:spacing w:after="0"/>
              <w:rPr>
                <w:rFonts w:ascii="Times New Roman" w:cs="Times New Roman" w:eastAsia="Times New Roman" w:hAnsi="Times New Roman"/>
                <w:sz w:val="16"/>
                <w:szCs w:val="16"/>
                <w:color w:val="0000FF"/>
                <w:w w:val="97"/>
              </w:rPr>
            </w:pPr>
            <w:hyperlink r:id="rId228">
              <w:r>
                <w:rPr>
                  <w:rFonts w:ascii="Times New Roman" w:cs="Times New Roman" w:eastAsia="Times New Roman" w:hAnsi="Times New Roman"/>
                  <w:sz w:val="16"/>
                  <w:szCs w:val="16"/>
                  <w:color w:val="0000FF"/>
                  <w:w w:val="97"/>
                </w:rPr>
                <w:t>Fourth Amendment to the Amended and Restated Credit Agreement, dated as of December 4, 2023, among Runway Growth Finance Corp., as</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400" w:type="dxa"/>
            <w:vAlign w:val="bottom"/>
            <w:gridSpan w:val="40"/>
          </w:tcPr>
          <w:p>
            <w:pPr>
              <w:spacing w:after="0" w:line="160" w:lineRule="exact"/>
              <w:rPr>
                <w:rFonts w:ascii="Times New Roman" w:cs="Times New Roman" w:eastAsia="Times New Roman" w:hAnsi="Times New Roman"/>
                <w:sz w:val="16"/>
                <w:szCs w:val="16"/>
                <w:color w:val="0000FF"/>
                <w:w w:val="98"/>
              </w:rPr>
            </w:pPr>
            <w:hyperlink r:id="rId228">
              <w:r>
                <w:rPr>
                  <w:rFonts w:ascii="Times New Roman" w:cs="Times New Roman" w:eastAsia="Times New Roman" w:hAnsi="Times New Roman"/>
                  <w:sz w:val="16"/>
                  <w:szCs w:val="16"/>
                  <w:color w:val="0000FF"/>
                  <w:w w:val="98"/>
                </w:rPr>
                <w:t>borrower, the financial institutions party thereto as lenders, KeyBank National Association, as administrative agent and lender, CIBC Bank USA, as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260" w:type="dxa"/>
            <w:vAlign w:val="bottom"/>
            <w:tcBorders>
              <w:top w:val="single" w:sz="8" w:color="0000EE"/>
            </w:tcBorders>
            <w:gridSpan w:val="34"/>
          </w:tcPr>
          <w:p>
            <w:pPr>
              <w:spacing w:after="0" w:line="160" w:lineRule="exact"/>
              <w:rPr>
                <w:rFonts w:ascii="Times New Roman" w:cs="Times New Roman" w:eastAsia="Times New Roman" w:hAnsi="Times New Roman"/>
                <w:sz w:val="16"/>
                <w:szCs w:val="16"/>
                <w:color w:val="0000FF"/>
                <w:w w:val="99"/>
              </w:rPr>
            </w:pPr>
            <w:hyperlink r:id="rId228">
              <w:r>
                <w:rPr>
                  <w:rFonts w:ascii="Times New Roman" w:cs="Times New Roman" w:eastAsia="Times New Roman" w:hAnsi="Times New Roman"/>
                  <w:sz w:val="16"/>
                  <w:szCs w:val="16"/>
                  <w:color w:val="0000FF"/>
                  <w:w w:val="99"/>
                </w:rPr>
                <w:t>documentation agent, MUFG Bank, Ltd. (as successor in interest to MUFG Union Bank, N.A.), as co-documentation agent, and U.S. Bank Trust</w:t>
              </w:r>
            </w:hyperlink>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3040" w:type="dxa"/>
            <w:vAlign w:val="bottom"/>
            <w:tcBorders>
              <w:top w:val="single" w:sz="8" w:color="0000EE"/>
              <w:bottom w:val="single" w:sz="8" w:color="0000EE"/>
            </w:tcBorders>
            <w:gridSpan w:val="10"/>
            <w:vMerge w:val="restart"/>
          </w:tcPr>
          <w:p>
            <w:pPr>
              <w:spacing w:after="0" w:line="160" w:lineRule="exact"/>
              <w:rPr>
                <w:rFonts w:ascii="Times New Roman" w:cs="Times New Roman" w:eastAsia="Times New Roman" w:hAnsi="Times New Roman"/>
                <w:sz w:val="16"/>
                <w:szCs w:val="16"/>
                <w:color w:val="0000FF"/>
                <w:w w:val="96"/>
              </w:rPr>
            </w:pPr>
            <w:hyperlink r:id="rId228">
              <w:r>
                <w:rPr>
                  <w:rFonts w:ascii="Times New Roman" w:cs="Times New Roman" w:eastAsia="Times New Roman" w:hAnsi="Times New Roman"/>
                  <w:sz w:val="16"/>
                  <w:szCs w:val="16"/>
                  <w:color w:val="0000FF"/>
                  <w:w w:val="96"/>
                </w:rPr>
                <w:t>Company, National Association, as paying agent</w:t>
              </w:r>
            </w:hyperlink>
          </w:p>
        </w:tc>
        <w:tc>
          <w:tcPr>
            <w:tcW w:w="180" w:type="dxa"/>
            <w:vAlign w:val="bottom"/>
            <w:tcBorders>
              <w:top w:val="single" w:sz="8" w:color="0000EE"/>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228">
              <w:r>
                <w:rPr>
                  <w:rFonts w:ascii="Times New Roman" w:cs="Times New Roman" w:eastAsia="Times New Roman" w:hAnsi="Times New Roman"/>
                  <w:sz w:val="8"/>
                  <w:szCs w:val="8"/>
                  <w:color w:val="0000FF"/>
                </w:rPr>
                <w:t>(24)</w:t>
              </w:r>
            </w:hyperlink>
          </w:p>
        </w:tc>
        <w:tc>
          <w:tcPr>
            <w:tcW w:w="2740" w:type="dxa"/>
            <w:vAlign w:val="bottom"/>
            <w:tcBorders>
              <w:top w:val="single" w:sz="8" w:color="0000EE"/>
              <w:bottom w:val="single" w:sz="8" w:color="0000EE"/>
            </w:tcBorders>
            <w:gridSpan w:val="3"/>
            <w:vMerge w:val="restart"/>
          </w:tcPr>
          <w:p>
            <w:pPr>
              <w:spacing w:after="0"/>
              <w:rPr>
                <w:sz w:val="7"/>
                <w:szCs w:val="7"/>
                <w:color w:val="auto"/>
              </w:rPr>
            </w:pPr>
          </w:p>
        </w:tc>
        <w:tc>
          <w:tcPr>
            <w:tcW w:w="180" w:type="dxa"/>
            <w:vAlign w:val="bottom"/>
            <w:tcBorders>
              <w:top w:val="single" w:sz="8" w:color="0000EE"/>
              <w:bottom w:val="single" w:sz="8" w:color="0000EE"/>
            </w:tcBorders>
            <w:gridSpan w:val="2"/>
            <w:vMerge w:val="restart"/>
          </w:tcPr>
          <w:p>
            <w:pPr>
              <w:spacing w:after="0"/>
              <w:rPr>
                <w:sz w:val="7"/>
                <w:szCs w:val="7"/>
                <w:color w:val="auto"/>
              </w:rPr>
            </w:pPr>
          </w:p>
        </w:tc>
        <w:tc>
          <w:tcPr>
            <w:tcW w:w="2920" w:type="dxa"/>
            <w:vAlign w:val="bottom"/>
            <w:tcBorders>
              <w:top w:val="single" w:sz="8" w:color="0000EE"/>
              <w:bottom w:val="single" w:sz="8" w:color="0000EE"/>
            </w:tcBorders>
            <w:gridSpan w:val="11"/>
            <w:vMerge w:val="restart"/>
          </w:tcPr>
          <w:p>
            <w:pPr>
              <w:spacing w:after="0"/>
              <w:rPr>
                <w:sz w:val="7"/>
                <w:szCs w:val="7"/>
                <w:color w:val="auto"/>
              </w:rPr>
            </w:pPr>
          </w:p>
        </w:tc>
        <w:tc>
          <w:tcPr>
            <w:tcW w:w="160" w:type="dxa"/>
            <w:vAlign w:val="bottom"/>
            <w:gridSpan w:val="4"/>
          </w:tcPr>
          <w:p>
            <w:pPr>
              <w:spacing w:after="0"/>
              <w:rPr>
                <w:sz w:val="7"/>
                <w:szCs w:val="7"/>
                <w:color w:val="auto"/>
              </w:rPr>
            </w:pPr>
          </w:p>
        </w:tc>
        <w:tc>
          <w:tcPr>
            <w:tcW w:w="120" w:type="dxa"/>
            <w:vAlign w:val="bottom"/>
            <w:gridSpan w:val="5"/>
          </w:tcPr>
          <w:p>
            <w:pPr>
              <w:spacing w:after="0"/>
              <w:rPr>
                <w:sz w:val="7"/>
                <w:szCs w:val="7"/>
                <w:color w:val="auto"/>
              </w:rPr>
            </w:pPr>
          </w:p>
        </w:tc>
        <w:tc>
          <w:tcPr>
            <w:tcW w:w="6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3040" w:type="dxa"/>
            <w:vAlign w:val="bottom"/>
            <w:tcBorders>
              <w:bottom w:val="single" w:sz="8" w:color="0000EE"/>
            </w:tcBorders>
            <w:gridSpan w:val="10"/>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920" w:type="dxa"/>
            <w:vAlign w:val="bottom"/>
            <w:gridSpan w:val="11"/>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10.23</w:t>
            </w:r>
          </w:p>
        </w:tc>
        <w:tc>
          <w:tcPr>
            <w:tcW w:w="9400" w:type="dxa"/>
            <w:vAlign w:val="bottom"/>
            <w:gridSpan w:val="40"/>
          </w:tcPr>
          <w:p>
            <w:pPr>
              <w:spacing w:after="0"/>
              <w:rPr>
                <w:rFonts w:ascii="Times New Roman" w:cs="Times New Roman" w:eastAsia="Times New Roman" w:hAnsi="Times New Roman"/>
                <w:sz w:val="16"/>
                <w:szCs w:val="16"/>
                <w:color w:val="0000FF"/>
                <w:w w:val="99"/>
              </w:rPr>
            </w:pPr>
            <w:hyperlink r:id="rId229">
              <w:r>
                <w:rPr>
                  <w:rFonts w:ascii="Times New Roman" w:cs="Times New Roman" w:eastAsia="Times New Roman" w:hAnsi="Times New Roman"/>
                  <w:sz w:val="16"/>
                  <w:szCs w:val="16"/>
                  <w:color w:val="0000FF"/>
                  <w:w w:val="99"/>
                </w:rPr>
                <w:t>Joinder Agreement and Facility Amount Increase, dated as of December 4, 2023, among Runway Growth Finance Corp., as borrower, the financial</w:t>
              </w:r>
            </w:hyperlink>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5960" w:type="dxa"/>
            <w:vAlign w:val="bottom"/>
            <w:tcBorders>
              <w:top w:val="single" w:sz="8" w:color="0000EE"/>
              <w:bottom w:val="single" w:sz="8" w:color="0000EE"/>
            </w:tcBorders>
            <w:gridSpan w:val="15"/>
            <w:vMerge w:val="restart"/>
          </w:tcPr>
          <w:p>
            <w:pPr>
              <w:spacing w:after="0" w:line="160" w:lineRule="exact"/>
              <w:rPr>
                <w:rFonts w:ascii="Times New Roman" w:cs="Times New Roman" w:eastAsia="Times New Roman" w:hAnsi="Times New Roman"/>
                <w:sz w:val="16"/>
                <w:szCs w:val="16"/>
                <w:color w:val="0000FF"/>
                <w:w w:val="96"/>
              </w:rPr>
            </w:pPr>
            <w:hyperlink r:id="rId229">
              <w:r>
                <w:rPr>
                  <w:rFonts w:ascii="Times New Roman" w:cs="Times New Roman" w:eastAsia="Times New Roman" w:hAnsi="Times New Roman"/>
                  <w:sz w:val="16"/>
                  <w:szCs w:val="16"/>
                  <w:color w:val="0000FF"/>
                  <w:w w:val="96"/>
                </w:rPr>
                <w:t>institutions party thereto as lenders, and KeyBank National Association, as administrative agent</w:t>
              </w:r>
            </w:hyperlink>
          </w:p>
        </w:tc>
        <w:tc>
          <w:tcPr>
            <w:tcW w:w="180" w:type="dxa"/>
            <w:vAlign w:val="bottom"/>
            <w:tcBorders>
              <w:top w:val="single" w:sz="8" w:color="0000EE"/>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229">
              <w:r>
                <w:rPr>
                  <w:rFonts w:ascii="Times New Roman" w:cs="Times New Roman" w:eastAsia="Times New Roman" w:hAnsi="Times New Roman"/>
                  <w:sz w:val="8"/>
                  <w:szCs w:val="8"/>
                  <w:color w:val="0000FF"/>
                </w:rPr>
                <w:t>(24)</w:t>
              </w:r>
            </w:hyperlink>
          </w:p>
        </w:tc>
        <w:tc>
          <w:tcPr>
            <w:tcW w:w="3080" w:type="dxa"/>
            <w:vAlign w:val="bottom"/>
            <w:tcBorders>
              <w:top w:val="single" w:sz="8" w:color="0000EE"/>
              <w:bottom w:val="single" w:sz="8" w:color="0000EE"/>
            </w:tcBorders>
            <w:gridSpan w:val="15"/>
            <w:vMerge w:val="restart"/>
          </w:tcPr>
          <w:p>
            <w:pPr>
              <w:spacing w:after="0"/>
              <w:rPr>
                <w:sz w:val="7"/>
                <w:szCs w:val="7"/>
                <w:color w:val="auto"/>
              </w:rPr>
            </w:pPr>
          </w:p>
        </w:tc>
        <w:tc>
          <w:tcPr>
            <w:tcW w:w="120" w:type="dxa"/>
            <w:vAlign w:val="bottom"/>
            <w:gridSpan w:val="5"/>
          </w:tcPr>
          <w:p>
            <w:pPr>
              <w:spacing w:after="0"/>
              <w:rPr>
                <w:sz w:val="7"/>
                <w:szCs w:val="7"/>
                <w:color w:val="auto"/>
              </w:rPr>
            </w:pPr>
          </w:p>
        </w:tc>
        <w:tc>
          <w:tcPr>
            <w:tcW w:w="6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5960" w:type="dxa"/>
            <w:vAlign w:val="bottom"/>
            <w:tcBorders>
              <w:bottom w:val="single" w:sz="8" w:color="0000EE"/>
            </w:tcBorders>
            <w:gridSpan w:val="15"/>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080" w:type="dxa"/>
            <w:vAlign w:val="bottom"/>
            <w:gridSpan w:val="15"/>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10.24</w:t>
            </w:r>
          </w:p>
        </w:tc>
        <w:tc>
          <w:tcPr>
            <w:tcW w:w="8920" w:type="dxa"/>
            <w:vAlign w:val="bottom"/>
            <w:tcBorders>
              <w:bottom w:val="single" w:sz="8" w:color="0000EE"/>
            </w:tcBorders>
            <w:gridSpan w:val="25"/>
          </w:tcPr>
          <w:p>
            <w:pPr>
              <w:spacing w:after="0"/>
              <w:rPr>
                <w:rFonts w:ascii="Times New Roman" w:cs="Times New Roman" w:eastAsia="Times New Roman" w:hAnsi="Times New Roman"/>
                <w:sz w:val="16"/>
                <w:szCs w:val="16"/>
                <w:color w:val="0000FF"/>
                <w:w w:val="97"/>
              </w:rPr>
            </w:pPr>
            <w:hyperlink r:id="rId230">
              <w:r>
                <w:rPr>
                  <w:rFonts w:ascii="Times New Roman" w:cs="Times New Roman" w:eastAsia="Times New Roman" w:hAnsi="Times New Roman"/>
                  <w:sz w:val="16"/>
                  <w:szCs w:val="16"/>
                  <w:color w:val="0000FF"/>
                  <w:w w:val="97"/>
                </w:rPr>
                <w:t>Fifth Amendment to the Amended and Restated Credit Agreement, dated as of November 22, 2024, among Runway Growth Finance Corp., as</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400" w:type="dxa"/>
            <w:vAlign w:val="bottom"/>
            <w:gridSpan w:val="40"/>
          </w:tcPr>
          <w:p>
            <w:pPr>
              <w:spacing w:after="0" w:line="160" w:lineRule="exact"/>
              <w:rPr>
                <w:rFonts w:ascii="Times New Roman" w:cs="Times New Roman" w:eastAsia="Times New Roman" w:hAnsi="Times New Roman"/>
                <w:sz w:val="16"/>
                <w:szCs w:val="16"/>
                <w:color w:val="0000FF"/>
                <w:w w:val="98"/>
              </w:rPr>
            </w:pPr>
            <w:hyperlink r:id="rId230">
              <w:r>
                <w:rPr>
                  <w:rFonts w:ascii="Times New Roman" w:cs="Times New Roman" w:eastAsia="Times New Roman" w:hAnsi="Times New Roman"/>
                  <w:sz w:val="16"/>
                  <w:szCs w:val="16"/>
                  <w:color w:val="0000FF"/>
                  <w:w w:val="98"/>
                </w:rPr>
                <w:t>borrower, the financial institutions party thereto as lenders, KeyBank National Association, as administrative agent and lender, CIBC Bank USA, as</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260" w:type="dxa"/>
            <w:vAlign w:val="bottom"/>
            <w:tcBorders>
              <w:top w:val="single" w:sz="8" w:color="0000EE"/>
            </w:tcBorders>
            <w:gridSpan w:val="34"/>
          </w:tcPr>
          <w:p>
            <w:pPr>
              <w:spacing w:after="0" w:line="160" w:lineRule="exact"/>
              <w:rPr>
                <w:rFonts w:ascii="Times New Roman" w:cs="Times New Roman" w:eastAsia="Times New Roman" w:hAnsi="Times New Roman"/>
                <w:sz w:val="16"/>
                <w:szCs w:val="16"/>
                <w:color w:val="0000FF"/>
                <w:w w:val="99"/>
              </w:rPr>
            </w:pPr>
            <w:hyperlink r:id="rId230">
              <w:r>
                <w:rPr>
                  <w:rFonts w:ascii="Times New Roman" w:cs="Times New Roman" w:eastAsia="Times New Roman" w:hAnsi="Times New Roman"/>
                  <w:sz w:val="16"/>
                  <w:szCs w:val="16"/>
                  <w:color w:val="0000FF"/>
                  <w:w w:val="99"/>
                </w:rPr>
                <w:t>documentation agent, MUFG Bank, Ltd. (as successor in interest to MUFG Union Bank, N.A.), as co-documentation agent, and U.S. Bank Trust</w:t>
              </w:r>
            </w:hyperlink>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3040" w:type="dxa"/>
            <w:vAlign w:val="bottom"/>
            <w:tcBorders>
              <w:top w:val="single" w:sz="8" w:color="0000EE"/>
              <w:bottom w:val="single" w:sz="8" w:color="0000EE"/>
            </w:tcBorders>
            <w:gridSpan w:val="10"/>
            <w:vMerge w:val="restart"/>
          </w:tcPr>
          <w:p>
            <w:pPr>
              <w:spacing w:after="0" w:line="160" w:lineRule="exact"/>
              <w:rPr>
                <w:rFonts w:ascii="Times New Roman" w:cs="Times New Roman" w:eastAsia="Times New Roman" w:hAnsi="Times New Roman"/>
                <w:sz w:val="16"/>
                <w:szCs w:val="16"/>
                <w:color w:val="0000FF"/>
                <w:w w:val="96"/>
              </w:rPr>
            </w:pPr>
            <w:hyperlink r:id="rId230">
              <w:r>
                <w:rPr>
                  <w:rFonts w:ascii="Times New Roman" w:cs="Times New Roman" w:eastAsia="Times New Roman" w:hAnsi="Times New Roman"/>
                  <w:sz w:val="16"/>
                  <w:szCs w:val="16"/>
                  <w:color w:val="0000FF"/>
                  <w:w w:val="96"/>
                </w:rPr>
                <w:t>Company, National Association, as paying agent</w:t>
              </w:r>
            </w:hyperlink>
          </w:p>
        </w:tc>
        <w:tc>
          <w:tcPr>
            <w:tcW w:w="180" w:type="dxa"/>
            <w:vAlign w:val="bottom"/>
            <w:tcBorders>
              <w:top w:val="single" w:sz="8" w:color="0000EE"/>
              <w:bottom w:val="single" w:sz="8" w:color="0000EE"/>
            </w:tcBorders>
            <w:gridSpan w:val="2"/>
          </w:tcPr>
          <w:p>
            <w:pPr>
              <w:jc w:val="right"/>
              <w:spacing w:after="0" w:line="76" w:lineRule="exact"/>
              <w:rPr>
                <w:rFonts w:ascii="Times New Roman" w:cs="Times New Roman" w:eastAsia="Times New Roman" w:hAnsi="Times New Roman"/>
                <w:sz w:val="8"/>
                <w:szCs w:val="8"/>
                <w:color w:val="0000FF"/>
              </w:rPr>
            </w:pPr>
            <w:hyperlink r:id="rId230">
              <w:r>
                <w:rPr>
                  <w:rFonts w:ascii="Times New Roman" w:cs="Times New Roman" w:eastAsia="Times New Roman" w:hAnsi="Times New Roman"/>
                  <w:sz w:val="8"/>
                  <w:szCs w:val="8"/>
                  <w:color w:val="0000FF"/>
                </w:rPr>
                <w:t>(28)</w:t>
              </w:r>
            </w:hyperlink>
          </w:p>
        </w:tc>
        <w:tc>
          <w:tcPr>
            <w:tcW w:w="5840" w:type="dxa"/>
            <w:vAlign w:val="bottom"/>
            <w:tcBorders>
              <w:top w:val="single" w:sz="8" w:color="0000EE"/>
              <w:bottom w:val="single" w:sz="8" w:color="0000EE"/>
            </w:tcBorders>
            <w:gridSpan w:val="16"/>
            <w:vMerge w:val="restart"/>
          </w:tcPr>
          <w:p>
            <w:pPr>
              <w:spacing w:after="0"/>
              <w:rPr>
                <w:sz w:val="7"/>
                <w:szCs w:val="7"/>
                <w:color w:val="auto"/>
              </w:rPr>
            </w:pPr>
          </w:p>
        </w:tc>
        <w:tc>
          <w:tcPr>
            <w:tcW w:w="280" w:type="dxa"/>
            <w:vAlign w:val="bottom"/>
            <w:gridSpan w:val="9"/>
          </w:tcPr>
          <w:p>
            <w:pPr>
              <w:spacing w:after="0"/>
              <w:rPr>
                <w:sz w:val="7"/>
                <w:szCs w:val="7"/>
                <w:color w:val="auto"/>
              </w:rPr>
            </w:pPr>
          </w:p>
        </w:tc>
        <w:tc>
          <w:tcPr>
            <w:tcW w:w="6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3040" w:type="dxa"/>
            <w:vAlign w:val="bottom"/>
            <w:tcBorders>
              <w:bottom w:val="single" w:sz="8" w:color="0000EE"/>
            </w:tcBorders>
            <w:gridSpan w:val="10"/>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5840" w:type="dxa"/>
            <w:vAlign w:val="bottom"/>
            <w:gridSpan w:val="16"/>
            <w:vMerge w:val="continue"/>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10.25</w:t>
            </w:r>
          </w:p>
        </w:tc>
        <w:tc>
          <w:tcPr>
            <w:tcW w:w="9400" w:type="dxa"/>
            <w:vAlign w:val="bottom"/>
            <w:gridSpan w:val="40"/>
          </w:tcPr>
          <w:p>
            <w:pPr>
              <w:spacing w:after="0"/>
              <w:rPr>
                <w:rFonts w:ascii="Times New Roman" w:cs="Times New Roman" w:eastAsia="Times New Roman" w:hAnsi="Times New Roman"/>
                <w:sz w:val="16"/>
                <w:szCs w:val="16"/>
                <w:color w:val="0000FF"/>
                <w:w w:val="98"/>
              </w:rPr>
            </w:pPr>
            <w:hyperlink w:anchor="page1">
              <w:r>
                <w:rPr>
                  <w:rFonts w:ascii="Times New Roman" w:cs="Times New Roman" w:eastAsia="Times New Roman" w:hAnsi="Times New Roman"/>
                  <w:sz w:val="16"/>
                  <w:szCs w:val="16"/>
                  <w:color w:val="0000FF"/>
                  <w:w w:val="98"/>
                </w:rPr>
                <w:t>Sixth Amendment to the Amended and Restated Credit Agreement, dated as of March 18, 2025, among Runway Growth Finance Corp., as borrower,</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9340" w:type="dxa"/>
            <w:vAlign w:val="bottom"/>
            <w:tcBorders>
              <w:top w:val="single" w:sz="8" w:color="0000EE"/>
            </w:tcBorders>
            <w:gridSpan w:val="37"/>
          </w:tcPr>
          <w:p>
            <w:pPr>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the financial institutions party thereto as lenders, KeyBank National Association, as administrative agent and lender, CIBC Bank USA, as</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8620" w:type="dxa"/>
            <w:vAlign w:val="bottom"/>
            <w:tcBorders>
              <w:top w:val="single" w:sz="8" w:color="0000EE"/>
            </w:tcBorders>
            <w:gridSpan w:val="23"/>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documentation agent, MUFG Bank, Ltd. (as successor in interest to MUFG Union Bank, N.A.), as co-documentation agent, and U.S. Bank</w:t>
              </w:r>
            </w:hyperlink>
          </w:p>
        </w:tc>
        <w:tc>
          <w:tcPr>
            <w:tcW w:w="780" w:type="dxa"/>
            <w:vAlign w:val="bottom"/>
            <w:gridSpan w:val="17"/>
          </w:tcPr>
          <w:p>
            <w:pPr>
              <w:ind w:left="80"/>
              <w:spacing w:after="0" w:line="160" w:lineRule="exact"/>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Trust</w:t>
              </w:r>
            </w:hyperlink>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3120" w:type="dxa"/>
            <w:vAlign w:val="bottom"/>
            <w:tcBorders>
              <w:top w:val="single" w:sz="8" w:color="0000EE"/>
              <w:bottom w:val="single" w:sz="8" w:color="0000EE"/>
            </w:tcBorders>
            <w:gridSpan w:val="11"/>
          </w:tcPr>
          <w:p>
            <w:pPr>
              <w:spacing w:after="0" w:line="160" w:lineRule="exact"/>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Company, National Association, as paying agent*</w:t>
              </w:r>
            </w:hyperlink>
          </w:p>
        </w:tc>
        <w:tc>
          <w:tcPr>
            <w:tcW w:w="5940" w:type="dxa"/>
            <w:vAlign w:val="bottom"/>
            <w:tcBorders>
              <w:top w:val="single" w:sz="8" w:color="0000EE"/>
            </w:tcBorders>
            <w:gridSpan w:val="17"/>
          </w:tcPr>
          <w:p>
            <w:pPr>
              <w:spacing w:after="0"/>
              <w:rPr>
                <w:sz w:val="13"/>
                <w:szCs w:val="13"/>
                <w:color w:val="auto"/>
              </w:rPr>
            </w:pPr>
          </w:p>
        </w:tc>
        <w:tc>
          <w:tcPr>
            <w:tcW w:w="34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11.1</w:t>
            </w:r>
          </w:p>
        </w:tc>
        <w:tc>
          <w:tcPr>
            <w:tcW w:w="7640" w:type="dxa"/>
            <w:vAlign w:val="bottom"/>
            <w:tcBorders>
              <w:bottom w:val="single" w:sz="8" w:color="0000EE"/>
            </w:tcBorders>
            <w:gridSpan w:val="22"/>
          </w:tcPr>
          <w:p>
            <w:pPr>
              <w:spacing w:after="0"/>
              <w:rPr>
                <w:rFonts w:ascii="Times New Roman" w:cs="Times New Roman" w:eastAsia="Times New Roman" w:hAnsi="Times New Roman"/>
                <w:sz w:val="16"/>
                <w:szCs w:val="16"/>
                <w:color w:val="0000FF"/>
                <w:w w:val="97"/>
              </w:rPr>
            </w:pPr>
            <w:hyperlink w:anchor="page81">
              <w:r>
                <w:rPr>
                  <w:rFonts w:ascii="Times New Roman" w:cs="Times New Roman" w:eastAsia="Times New Roman" w:hAnsi="Times New Roman"/>
                  <w:sz w:val="16"/>
                  <w:szCs w:val="16"/>
                  <w:color w:val="0000FF"/>
                  <w:w w:val="97"/>
                </w:rPr>
                <w:t>Computation of Per Share Earnings (Included in the notes to the consolidated financial statements contained in this report)</w:t>
              </w:r>
            </w:hyperlink>
          </w:p>
        </w:tc>
        <w:tc>
          <w:tcPr>
            <w:tcW w:w="1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1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14.1</w:t>
            </w:r>
          </w:p>
        </w:tc>
        <w:tc>
          <w:tcPr>
            <w:tcW w:w="1260" w:type="dxa"/>
            <w:vAlign w:val="bottom"/>
            <w:gridSpan w:val="6"/>
            <w:vMerge w:val="restart"/>
          </w:tcPr>
          <w:p>
            <w:pPr>
              <w:spacing w:after="0"/>
              <w:rPr>
                <w:rFonts w:ascii="Times New Roman" w:cs="Times New Roman" w:eastAsia="Times New Roman" w:hAnsi="Times New Roman"/>
                <w:sz w:val="16"/>
                <w:szCs w:val="16"/>
                <w:color w:val="0000FF"/>
                <w:w w:val="95"/>
              </w:rPr>
            </w:pPr>
            <w:hyperlink r:id="rId231">
              <w:r>
                <w:rPr>
                  <w:rFonts w:ascii="Times New Roman" w:cs="Times New Roman" w:eastAsia="Times New Roman" w:hAnsi="Times New Roman"/>
                  <w:sz w:val="16"/>
                  <w:szCs w:val="16"/>
                  <w:color w:val="0000FF"/>
                  <w:w w:val="95"/>
                </w:rPr>
                <w:t>Joint Code of Ethics</w:t>
              </w:r>
            </w:hyperlink>
          </w:p>
        </w:tc>
        <w:tc>
          <w:tcPr>
            <w:tcW w:w="180" w:type="dxa"/>
            <w:vAlign w:val="bottom"/>
            <w:tcBorders>
              <w:bottom w:val="single" w:sz="8" w:color="0000EE"/>
            </w:tcBorders>
          </w:tcPr>
          <w:p>
            <w:pPr>
              <w:jc w:val="right"/>
              <w:spacing w:after="0" w:line="112" w:lineRule="exact"/>
              <w:rPr>
                <w:rFonts w:ascii="Times New Roman" w:cs="Times New Roman" w:eastAsia="Times New Roman" w:hAnsi="Times New Roman"/>
                <w:sz w:val="11"/>
                <w:szCs w:val="11"/>
                <w:color w:val="0000FF"/>
                <w:w w:val="87"/>
              </w:rPr>
            </w:pPr>
            <w:hyperlink r:id="rId231">
              <w:r>
                <w:rPr>
                  <w:rFonts w:ascii="Times New Roman" w:cs="Times New Roman" w:eastAsia="Times New Roman" w:hAnsi="Times New Roman"/>
                  <w:sz w:val="11"/>
                  <w:szCs w:val="11"/>
                  <w:color w:val="0000FF"/>
                  <w:w w:val="87"/>
                </w:rPr>
                <w:t>(25)</w:t>
              </w:r>
            </w:hyperlink>
          </w:p>
        </w:tc>
        <w:tc>
          <w:tcPr>
            <w:tcW w:w="7960" w:type="dxa"/>
            <w:vAlign w:val="bottom"/>
            <w:gridSpan w:val="3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1180" w:type="dxa"/>
            <w:vAlign w:val="bottom"/>
            <w:vMerge w:val="continue"/>
          </w:tcPr>
          <w:p>
            <w:pPr>
              <w:spacing w:after="0"/>
              <w:rPr>
                <w:sz w:val="4"/>
                <w:szCs w:val="4"/>
                <w:color w:val="auto"/>
              </w:rPr>
            </w:pPr>
          </w:p>
        </w:tc>
        <w:tc>
          <w:tcPr>
            <w:tcW w:w="1260" w:type="dxa"/>
            <w:vAlign w:val="bottom"/>
            <w:tcBorders>
              <w:bottom w:val="single" w:sz="8" w:color="0000EE"/>
            </w:tcBorders>
            <w:gridSpan w:val="6"/>
            <w:vMerge w:val="continue"/>
          </w:tcPr>
          <w:p>
            <w:pPr>
              <w:spacing w:after="0"/>
              <w:rPr>
                <w:sz w:val="4"/>
                <w:szCs w:val="4"/>
                <w:color w:val="auto"/>
              </w:rPr>
            </w:pPr>
          </w:p>
        </w:tc>
        <w:tc>
          <w:tcPr>
            <w:tcW w:w="180" w:type="dxa"/>
            <w:vAlign w:val="bottom"/>
          </w:tcPr>
          <w:p>
            <w:pPr>
              <w:spacing w:after="0"/>
              <w:rPr>
                <w:sz w:val="4"/>
                <w:szCs w:val="4"/>
                <w:color w:val="auto"/>
              </w:rPr>
            </w:pPr>
          </w:p>
        </w:tc>
        <w:tc>
          <w:tcPr>
            <w:tcW w:w="7960" w:type="dxa"/>
            <w:vAlign w:val="bottom"/>
            <w:gridSpan w:val="3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19.1</w:t>
            </w:r>
          </w:p>
        </w:tc>
        <w:tc>
          <w:tcPr>
            <w:tcW w:w="9400" w:type="dxa"/>
            <w:vAlign w:val="bottom"/>
            <w:gridSpan w:val="40"/>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Insider Trading Policy and Procedures*</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21.1</w:t>
            </w:r>
          </w:p>
        </w:tc>
        <w:tc>
          <w:tcPr>
            <w:tcW w:w="9400" w:type="dxa"/>
            <w:vAlign w:val="bottom"/>
            <w:gridSpan w:val="40"/>
          </w:tcPr>
          <w:p>
            <w:pPr>
              <w:spacing w:after="0"/>
              <w:rPr>
                <w:sz w:val="20"/>
                <w:szCs w:val="20"/>
                <w:color w:val="auto"/>
              </w:rPr>
            </w:pPr>
            <w:r>
              <w:rPr>
                <w:rFonts w:ascii="Times New Roman" w:cs="Times New Roman" w:eastAsia="Times New Roman" w:hAnsi="Times New Roman"/>
                <w:sz w:val="16"/>
                <w:szCs w:val="16"/>
                <w:color w:val="auto"/>
              </w:rPr>
              <w:t>List of Subsidiaries: P3 Holdco LLC - Delaware</w:t>
            </w:r>
          </w:p>
        </w:tc>
        <w:tc>
          <w:tcPr>
            <w:tcW w:w="0" w:type="dxa"/>
            <w:vAlign w:val="bottom"/>
          </w:tcPr>
          <w:p>
            <w:pPr>
              <w:spacing w:after="0"/>
              <w:rPr>
                <w:sz w:val="1"/>
                <w:szCs w:val="1"/>
                <w:color w:val="auto"/>
              </w:rPr>
            </w:pPr>
          </w:p>
        </w:tc>
      </w:tr>
      <w:tr>
        <w:trPr>
          <w:trHeight w:val="218"/>
        </w:trPr>
        <w:tc>
          <w:tcPr>
            <w:tcW w:w="1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23.1</w:t>
            </w:r>
          </w:p>
        </w:tc>
        <w:tc>
          <w:tcPr>
            <w:tcW w:w="1680" w:type="dxa"/>
            <w:vAlign w:val="bottom"/>
            <w:tcBorders>
              <w:bottom w:val="single" w:sz="8" w:color="0000EE"/>
            </w:tcBorders>
            <w:gridSpan w:val="8"/>
          </w:tcPr>
          <w:p>
            <w:pPr>
              <w:spacing w:after="0"/>
              <w:rPr>
                <w:rFonts w:ascii="Times New Roman" w:cs="Times New Roman" w:eastAsia="Times New Roman" w:hAnsi="Times New Roman"/>
                <w:sz w:val="16"/>
                <w:szCs w:val="16"/>
                <w:color w:val="0000FF"/>
                <w:w w:val="96"/>
              </w:rPr>
            </w:pPr>
            <w:hyperlink w:anchor="page1">
              <w:r>
                <w:rPr>
                  <w:rFonts w:ascii="Times New Roman" w:cs="Times New Roman" w:eastAsia="Times New Roman" w:hAnsi="Times New Roman"/>
                  <w:sz w:val="16"/>
                  <w:szCs w:val="16"/>
                  <w:color w:val="0000FF"/>
                  <w:w w:val="96"/>
                </w:rPr>
                <w:t>Consent of RSM US LLP*</w:t>
              </w:r>
            </w:hyperlink>
          </w:p>
        </w:tc>
        <w:tc>
          <w:tcPr>
            <w:tcW w:w="7720" w:type="dxa"/>
            <w:vAlign w:val="bottom"/>
            <w:gridSpan w:val="32"/>
          </w:tcPr>
          <w:p>
            <w:pPr>
              <w:spacing w:after="0"/>
              <w:rPr>
                <w:sz w:val="18"/>
                <w:szCs w:val="18"/>
                <w:color w:val="auto"/>
              </w:rPr>
            </w:pPr>
          </w:p>
        </w:tc>
        <w:tc>
          <w:tcPr>
            <w:tcW w:w="0" w:type="dxa"/>
            <w:vAlign w:val="bottom"/>
          </w:tcPr>
          <w:p>
            <w:pPr>
              <w:spacing w:after="0"/>
              <w:rPr>
                <w:sz w:val="1"/>
                <w:szCs w:val="1"/>
                <w:color w:val="auto"/>
              </w:rPr>
            </w:pPr>
          </w:p>
        </w:tc>
      </w:tr>
      <w:tr>
        <w:trPr>
          <w:trHeight w:val="602"/>
        </w:trPr>
        <w:tc>
          <w:tcPr>
            <w:tcW w:w="1180" w:type="dxa"/>
            <w:vAlign w:val="bottom"/>
          </w:tcPr>
          <w:p>
            <w:pPr>
              <w:spacing w:after="0"/>
              <w:rPr>
                <w:sz w:val="24"/>
                <w:szCs w:val="24"/>
                <w:color w:val="auto"/>
              </w:rPr>
            </w:pPr>
          </w:p>
        </w:tc>
        <w:tc>
          <w:tcPr>
            <w:tcW w:w="5960" w:type="dxa"/>
            <w:vAlign w:val="bottom"/>
            <w:gridSpan w:val="15"/>
          </w:tcPr>
          <w:p>
            <w:pPr>
              <w:ind w:left="3980"/>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4"/>
        </w:trPr>
        <w:tc>
          <w:tcPr>
            <w:tcW w:w="118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780" w:type="dxa"/>
            <w:vAlign w:val="bottom"/>
            <w:tcBorders>
              <w:bottom w:val="single" w:sz="8" w:color="EEEEEE"/>
            </w:tcBorders>
          </w:tcPr>
          <w:p>
            <w:pPr>
              <w:spacing w:after="0"/>
              <w:rPr>
                <w:sz w:val="24"/>
                <w:szCs w:val="24"/>
                <w:color w:val="auto"/>
              </w:rPr>
            </w:pPr>
          </w:p>
        </w:tc>
        <w:tc>
          <w:tcPr>
            <w:tcW w:w="5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20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1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41" w:name="page142"/>
    <w:bookmarkEnd w:id="14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7420" w:type="dxa"/>
            <w:vAlign w:val="bottom"/>
            <w:tcBorders>
              <w:bottom w:val="single" w:sz="8" w:color="0000EE"/>
            </w:tcBorders>
            <w:gridSpan w:val="5"/>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Rule 13a-14 of the Securities Exchange Act of 1934, as amended*</w:t>
              </w:r>
            </w:hyperlink>
          </w:p>
        </w:tc>
        <w:tc>
          <w:tcPr>
            <w:tcW w:w="1920" w:type="dxa"/>
            <w:vAlign w:val="bottom"/>
          </w:tcPr>
          <w:p>
            <w:pPr>
              <w:spacing w:after="0"/>
              <w:rPr>
                <w:sz w:val="16"/>
                <w:szCs w:val="16"/>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7400" w:type="dxa"/>
            <w:vAlign w:val="bottom"/>
            <w:tcBorders>
              <w:bottom w:val="single" w:sz="8" w:color="0000EE"/>
            </w:tcBorders>
            <w:gridSpan w:val="4"/>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Rule 13a-14 of the Securities Exchange Act of 1934, as amended*</w:t>
              </w:r>
            </w:hyperlink>
          </w:p>
        </w:tc>
        <w:tc>
          <w:tcPr>
            <w:tcW w:w="1940" w:type="dxa"/>
            <w:vAlign w:val="bottom"/>
            <w:gridSpan w:val="2"/>
          </w:tcPr>
          <w:p>
            <w:pPr>
              <w:spacing w:after="0"/>
              <w:rPr>
                <w:sz w:val="17"/>
                <w:szCs w:val="17"/>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6320" w:type="dxa"/>
            <w:vAlign w:val="bottom"/>
            <w:tcBorders>
              <w:bottom w:val="single" w:sz="8" w:color="0000EE"/>
            </w:tcBorders>
            <w:gridSpan w:val="3"/>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Executive Officer pursuant to Section 906 of the Sarbanes-Oxley Act of 2002*</w:t>
              </w:r>
            </w:hyperlink>
          </w:p>
        </w:tc>
        <w:tc>
          <w:tcPr>
            <w:tcW w:w="3020" w:type="dxa"/>
            <w:vAlign w:val="bottom"/>
            <w:gridSpan w:val="3"/>
          </w:tcPr>
          <w:p>
            <w:pPr>
              <w:spacing w:after="0"/>
              <w:rPr>
                <w:sz w:val="17"/>
                <w:szCs w:val="17"/>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6300" w:type="dxa"/>
            <w:vAlign w:val="bottom"/>
            <w:tcBorders>
              <w:bottom w:val="single" w:sz="8" w:color="0000EE"/>
            </w:tcBorders>
            <w:gridSpan w:val="2"/>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Certification of Chief Financial Officer pursuant to Section 906 of the Sarbanes-Oxley Act of 2002*</w:t>
              </w:r>
            </w:hyperlink>
          </w:p>
        </w:tc>
        <w:tc>
          <w:tcPr>
            <w:tcW w:w="3040" w:type="dxa"/>
            <w:vAlign w:val="bottom"/>
            <w:gridSpan w:val="4"/>
          </w:tcPr>
          <w:p>
            <w:pPr>
              <w:spacing w:after="0"/>
              <w:rPr>
                <w:sz w:val="17"/>
                <w:szCs w:val="17"/>
                <w:color w:val="auto"/>
              </w:rPr>
            </w:pPr>
          </w:p>
        </w:tc>
      </w:tr>
      <w:tr>
        <w:trPr>
          <w:trHeight w:val="19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97.1</w:t>
            </w:r>
          </w:p>
        </w:tc>
        <w:tc>
          <w:tcPr>
            <w:tcW w:w="4380" w:type="dxa"/>
            <w:vAlign w:val="bottom"/>
            <w:tcBorders>
              <w:bottom w:val="single" w:sz="8" w:color="0000EE"/>
            </w:tcBorders>
          </w:tcPr>
          <w:p>
            <w:pPr>
              <w:spacing w:after="0"/>
              <w:rPr>
                <w:rFonts w:ascii="Times New Roman" w:cs="Times New Roman" w:eastAsia="Times New Roman" w:hAnsi="Times New Roman"/>
                <w:sz w:val="16"/>
                <w:szCs w:val="16"/>
                <w:color w:val="0000FF"/>
                <w:w w:val="97"/>
              </w:rPr>
            </w:pPr>
            <w:hyperlink w:anchor="page1">
              <w:r>
                <w:rPr>
                  <w:rFonts w:ascii="Times New Roman" w:cs="Times New Roman" w:eastAsia="Times New Roman" w:hAnsi="Times New Roman"/>
                  <w:sz w:val="16"/>
                  <w:szCs w:val="16"/>
                  <w:color w:val="0000FF"/>
                  <w:w w:val="97"/>
                </w:rPr>
                <w:t>Policy Relating to Recovery of Erroneously Awarded Compensation*</w:t>
              </w:r>
            </w:hyperlink>
          </w:p>
        </w:tc>
        <w:tc>
          <w:tcPr>
            <w:tcW w:w="4960" w:type="dxa"/>
            <w:vAlign w:val="bottom"/>
            <w:gridSpan w:val="5"/>
          </w:tcPr>
          <w:p>
            <w:pPr>
              <w:spacing w:after="0"/>
              <w:rPr>
                <w:sz w:val="17"/>
                <w:szCs w:val="17"/>
                <w:color w:val="auto"/>
              </w:rPr>
            </w:pPr>
          </w:p>
        </w:tc>
      </w:t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34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7"/>
              </w:rPr>
              <w:t>Inline XBRL Instance Document–the instance document does not appear in the Interactive Data File as its XBRL tags are embedded within the Inline</w:t>
            </w:r>
          </w:p>
        </w:tc>
      </w:tr>
      <w:tr>
        <w:trPr>
          <w:trHeight w:val="203"/>
        </w:trPr>
        <w:tc>
          <w:tcPr>
            <w:tcW w:w="1000" w:type="dxa"/>
            <w:vAlign w:val="bottom"/>
          </w:tcPr>
          <w:p>
            <w:pPr>
              <w:spacing w:after="0"/>
              <w:rPr>
                <w:sz w:val="17"/>
                <w:szCs w:val="17"/>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3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Inline XBRL Taxonomy Extension Schema With Embedded Linkbase Documents</w:t>
            </w:r>
          </w:p>
        </w:tc>
      </w:tr>
    </w:tbl>
    <w:p>
      <w:pPr>
        <w:spacing w:after="0" w:line="13" w:lineRule="exact"/>
        <w:rPr>
          <w:sz w:val="20"/>
          <w:szCs w:val="20"/>
          <w:color w:val="auto"/>
        </w:rPr>
      </w:pPr>
    </w:p>
    <w:p>
      <w:pPr>
        <w:ind w:left="1180" w:hanging="994"/>
        <w:spacing w:after="0"/>
        <w:tabs>
          <w:tab w:leader="none" w:pos="118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formatted as Inline XBRL and contained in Exhibit 101</w:t>
      </w:r>
    </w:p>
    <w:p>
      <w:pPr>
        <w:spacing w:after="0" w:line="200" w:lineRule="exact"/>
        <w:rPr>
          <w:rFonts w:ascii="Times New Roman" w:cs="Times New Roman" w:eastAsia="Times New Roman" w:hAnsi="Times New Roman"/>
          <w:sz w:val="16"/>
          <w:szCs w:val="16"/>
          <w:color w:val="auto"/>
        </w:rPr>
      </w:pPr>
    </w:p>
    <w:p>
      <w:pPr>
        <w:spacing w:after="0" w:line="396" w:lineRule="exact"/>
        <w:rPr>
          <w:rFonts w:ascii="Times New Roman" w:cs="Times New Roman" w:eastAsia="Times New Roman" w:hAnsi="Times New Roman"/>
          <w:sz w:val="16"/>
          <w:szCs w:val="16"/>
          <w:color w:val="auto"/>
        </w:rPr>
      </w:pPr>
    </w:p>
    <w:p>
      <w:pPr>
        <w:ind w:left="5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-359410</wp:posOffset>
            </wp:positionV>
            <wp:extent cx="179133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179133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55" w:right="720" w:bottom="1440" w:gutter="0" w:footer="0" w:header="0"/>
        </w:sectPr>
      </w:pPr>
    </w:p>
    <w:bookmarkStart w:id="142" w:name="page143"/>
    <w:bookmarkEnd w:id="14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 Filed herewith.</w:t>
      </w:r>
    </w:p>
    <w:p>
      <w:pPr>
        <w:spacing w:after="0" w:line="116" w:lineRule="exact"/>
        <w:rPr>
          <w:sz w:val="20"/>
          <w:szCs w:val="20"/>
          <w:color w:val="auto"/>
        </w:rPr>
      </w:pPr>
    </w:p>
    <w:p>
      <w:pPr>
        <w:ind w:left="360"/>
        <w:spacing w:after="0" w:line="357" w:lineRule="exact"/>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6"/>
          <w:szCs w:val="16"/>
          <w:color w:val="auto"/>
        </w:rPr>
        <w:t>Previously filed as an exhibit to the Company’s Current Report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filed with the SEC on December 19, 2016.</w:t>
      </w:r>
    </w:p>
    <w:p>
      <w:pPr>
        <w:spacing w:after="0" w:line="34" w:lineRule="exact"/>
        <w:rPr>
          <w:sz w:val="20"/>
          <w:szCs w:val="20"/>
          <w:color w:val="auto"/>
        </w:rPr>
      </w:pPr>
    </w:p>
    <w:p>
      <w:pPr>
        <w:ind w:left="360"/>
        <w:spacing w:after="0" w:line="357" w:lineRule="exact"/>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6"/>
          <w:szCs w:val="16"/>
          <w:color w:val="auto"/>
        </w:rPr>
        <w:t>Previously filed as an exhibit to the Company’s Current Report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filed with the SEC on June 14, 2017.</w:t>
      </w:r>
    </w:p>
    <w:p>
      <w:pPr>
        <w:spacing w:after="0" w:line="16" w:lineRule="exact"/>
        <w:rPr>
          <w:sz w:val="20"/>
          <w:szCs w:val="20"/>
          <w:color w:val="auto"/>
        </w:rPr>
      </w:pPr>
    </w:p>
    <w:p>
      <w:pPr>
        <w:ind w:left="360"/>
        <w:spacing w:after="0" w:line="357" w:lineRule="exact"/>
        <w:rPr>
          <w:sz w:val="20"/>
          <w:szCs w:val="20"/>
          <w:color w:val="auto"/>
        </w:rPr>
      </w:pPr>
      <w:r>
        <w:rPr>
          <w:rFonts w:ascii="Times New Roman" w:cs="Times New Roman" w:eastAsia="Times New Roman" w:hAnsi="Times New Roman"/>
          <w:sz w:val="31"/>
          <w:szCs w:val="31"/>
          <w:color w:val="auto"/>
          <w:vertAlign w:val="superscript"/>
        </w:rPr>
        <w:t>(3)</w:t>
      </w:r>
      <w:r>
        <w:rPr>
          <w:rFonts w:ascii="Times New Roman" w:cs="Times New Roman" w:eastAsia="Times New Roman" w:hAnsi="Times New Roman"/>
          <w:sz w:val="16"/>
          <w:szCs w:val="16"/>
          <w:color w:val="auto"/>
        </w:rPr>
        <w:t>Previously filed as an exhibit to the Company’s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filed with the SEC on March 29, 2017.</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(4)</w:t>
      </w:r>
      <w:r>
        <w:rPr>
          <w:rFonts w:ascii="Times New Roman" w:cs="Times New Roman" w:eastAsia="Times New Roman" w:hAnsi="Times New Roman"/>
          <w:sz w:val="16"/>
          <w:szCs w:val="16"/>
          <w:color w:val="auto"/>
        </w:rPr>
        <w:t>Previously filed as an exhibit to the Company’s Current Report on Form 8-K filed with the SEC on May 28, 2021.</w:t>
      </w:r>
    </w:p>
    <w:p>
      <w:pPr>
        <w:spacing w:after="0" w:line="16" w:lineRule="exact"/>
        <w:rPr>
          <w:sz w:val="20"/>
          <w:szCs w:val="20"/>
          <w:color w:val="auto"/>
        </w:rPr>
      </w:pPr>
    </w:p>
    <w:p>
      <w:pPr>
        <w:ind w:left="360"/>
        <w:spacing w:after="0" w:line="357" w:lineRule="exact"/>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6"/>
          <w:szCs w:val="16"/>
          <w:color w:val="auto"/>
        </w:rPr>
        <w:t>Previously filed as an exhibit to the Company’s Registration Statement on Form 10 (File No. 000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55544) filed with the SEC on February 12, 2016.</w:t>
      </w:r>
    </w:p>
    <w:p>
      <w:pPr>
        <w:spacing w:after="0" w:line="16" w:lineRule="exact"/>
        <w:rPr>
          <w:sz w:val="20"/>
          <w:szCs w:val="20"/>
          <w:color w:val="auto"/>
        </w:rPr>
      </w:pPr>
    </w:p>
    <w:p>
      <w:pPr>
        <w:ind w:left="360"/>
        <w:spacing w:after="0" w:line="357" w:lineRule="exact"/>
        <w:rPr>
          <w:sz w:val="20"/>
          <w:szCs w:val="20"/>
          <w:color w:val="auto"/>
        </w:rPr>
      </w:pPr>
      <w:r>
        <w:rPr>
          <w:rFonts w:ascii="Times New Roman" w:cs="Times New Roman" w:eastAsia="Times New Roman" w:hAnsi="Times New Roman"/>
          <w:sz w:val="31"/>
          <w:szCs w:val="31"/>
          <w:color w:val="auto"/>
          <w:vertAlign w:val="superscript"/>
        </w:rPr>
        <w:t>(6)</w:t>
      </w:r>
      <w:r>
        <w:rPr>
          <w:rFonts w:ascii="Times New Roman" w:cs="Times New Roman" w:eastAsia="Times New Roman" w:hAnsi="Times New Roman"/>
          <w:sz w:val="16"/>
          <w:szCs w:val="16"/>
          <w:color w:val="auto"/>
        </w:rPr>
        <w:t>Previously filed as an exhibit to the Company’s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filed with the SEC on November 9, 2017.</w:t>
      </w:r>
    </w:p>
    <w:p>
      <w:pPr>
        <w:spacing w:after="0" w:line="16" w:lineRule="exact"/>
        <w:rPr>
          <w:sz w:val="20"/>
          <w:szCs w:val="20"/>
          <w:color w:val="auto"/>
        </w:rPr>
      </w:pPr>
    </w:p>
    <w:p>
      <w:pPr>
        <w:ind w:left="360"/>
        <w:spacing w:after="0" w:line="357" w:lineRule="exact"/>
        <w:rPr>
          <w:sz w:val="20"/>
          <w:szCs w:val="20"/>
          <w:color w:val="auto"/>
        </w:rPr>
      </w:pPr>
      <w:r>
        <w:rPr>
          <w:rFonts w:ascii="Times New Roman" w:cs="Times New Roman" w:eastAsia="Times New Roman" w:hAnsi="Times New Roman"/>
          <w:sz w:val="31"/>
          <w:szCs w:val="31"/>
          <w:color w:val="auto"/>
          <w:vertAlign w:val="superscript"/>
        </w:rPr>
        <w:t>(7)</w:t>
      </w:r>
      <w:r>
        <w:rPr>
          <w:rFonts w:ascii="Times New Roman" w:cs="Times New Roman" w:eastAsia="Times New Roman" w:hAnsi="Times New Roman"/>
          <w:sz w:val="16"/>
          <w:szCs w:val="16"/>
          <w:color w:val="auto"/>
        </w:rPr>
        <w:t>Previously filed as an exhibit to the Company’s Current Report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filed with the SEC on December 28, 2018.</w:t>
      </w:r>
    </w:p>
    <w:p>
      <w:pPr>
        <w:spacing w:after="0" w:line="16" w:lineRule="exact"/>
        <w:rPr>
          <w:sz w:val="20"/>
          <w:szCs w:val="20"/>
          <w:color w:val="auto"/>
        </w:rPr>
      </w:pPr>
    </w:p>
    <w:p>
      <w:pPr>
        <w:ind w:left="360"/>
        <w:spacing w:after="0" w:line="357" w:lineRule="exact"/>
        <w:rPr>
          <w:sz w:val="20"/>
          <w:szCs w:val="20"/>
          <w:color w:val="auto"/>
        </w:rPr>
      </w:pPr>
      <w:r>
        <w:rPr>
          <w:rFonts w:ascii="Times New Roman" w:cs="Times New Roman" w:eastAsia="Times New Roman" w:hAnsi="Times New Roman"/>
          <w:sz w:val="31"/>
          <w:szCs w:val="31"/>
          <w:color w:val="auto"/>
          <w:vertAlign w:val="superscript"/>
        </w:rPr>
        <w:t>(8)</w:t>
      </w:r>
      <w:r>
        <w:rPr>
          <w:rFonts w:ascii="Times New Roman" w:cs="Times New Roman" w:eastAsia="Times New Roman" w:hAnsi="Times New Roman"/>
          <w:sz w:val="16"/>
          <w:szCs w:val="16"/>
          <w:color w:val="auto"/>
        </w:rPr>
        <w:t>Previously filed as an exhibit to the Company’s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filed with the SEC on March 28, 2019.</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(9)</w:t>
      </w:r>
      <w:r>
        <w:rPr>
          <w:rFonts w:ascii="Times New Roman" w:cs="Times New Roman" w:eastAsia="Times New Roman" w:hAnsi="Times New Roman"/>
          <w:sz w:val="16"/>
          <w:szCs w:val="16"/>
          <w:color w:val="auto"/>
        </w:rPr>
        <w:t>Previously filed as an exhibit to the Company’s Annual Report on Form 10-K filed with the SEC on March 20, 2020.</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(10)</w:t>
      </w:r>
      <w:r>
        <w:rPr>
          <w:rFonts w:ascii="Times New Roman" w:cs="Times New Roman" w:eastAsia="Times New Roman" w:hAnsi="Times New Roman"/>
          <w:sz w:val="16"/>
          <w:szCs w:val="16"/>
          <w:color w:val="auto"/>
        </w:rPr>
        <w:t>Previously filed as an exhibit to the Company’s Quarterly Report on Form 10-Q filed with the SEC on November 12, 2020.</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(11)</w:t>
      </w:r>
      <w:r>
        <w:rPr>
          <w:rFonts w:ascii="Times New Roman" w:cs="Times New Roman" w:eastAsia="Times New Roman" w:hAnsi="Times New Roman"/>
          <w:sz w:val="16"/>
          <w:szCs w:val="16"/>
          <w:color w:val="auto"/>
        </w:rPr>
        <w:t>Previously filed as an exhibit to the Company’s Current Report on Form 8-K filed with the SEC on December 4, 2020.</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(12)</w:t>
      </w:r>
      <w:r>
        <w:rPr>
          <w:rFonts w:ascii="Times New Roman" w:cs="Times New Roman" w:eastAsia="Times New Roman" w:hAnsi="Times New Roman"/>
          <w:sz w:val="16"/>
          <w:szCs w:val="16"/>
          <w:color w:val="auto"/>
        </w:rPr>
        <w:t>Previously filed as an exhibit to the Company’s Quarterly Report on Form 10-Q filed with the SEC on August 5, 2021.</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6"/>
          <w:szCs w:val="16"/>
          <w:color w:val="auto"/>
        </w:rPr>
        <w:t>Previously filed as an exhibit to the Company’s Current Report on Form 8-K filed with the SEC on August 19, 2021.</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0"/>
          <w:szCs w:val="30"/>
          <w:color w:val="auto"/>
          <w:vertAlign w:val="superscript"/>
        </w:rPr>
        <w:t>(14)</w:t>
      </w:r>
      <w:r>
        <w:rPr>
          <w:rFonts w:ascii="Times New Roman" w:cs="Times New Roman" w:eastAsia="Times New Roman" w:hAnsi="Times New Roman"/>
          <w:sz w:val="15"/>
          <w:szCs w:val="15"/>
          <w:color w:val="auto"/>
        </w:rPr>
        <w:t>Previously filed as an exhibit to the Company’s Registration Statement on Form N-2 (File No. 333-259824) filed with the SEC on September 27, 2021.</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(15)</w:t>
      </w:r>
      <w:r>
        <w:rPr>
          <w:rFonts w:ascii="Times New Roman" w:cs="Times New Roman" w:eastAsia="Times New Roman" w:hAnsi="Times New Roman"/>
          <w:sz w:val="16"/>
          <w:szCs w:val="16"/>
          <w:color w:val="auto"/>
        </w:rPr>
        <w:t>Previously filed as an exhibit to the Company’s Current Report on Form 8-K filed with the SEC on December 13, 2021.</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(16)</w:t>
      </w:r>
      <w:r>
        <w:rPr>
          <w:rFonts w:ascii="Times New Roman" w:cs="Times New Roman" w:eastAsia="Times New Roman" w:hAnsi="Times New Roman"/>
          <w:sz w:val="16"/>
          <w:szCs w:val="16"/>
          <w:color w:val="auto"/>
        </w:rPr>
        <w:t>Previously filed as an exhibit to the Company’s Current Report on Form 8-K filed with the SEC on September 23, 2021.</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(17)</w:t>
      </w:r>
      <w:r>
        <w:rPr>
          <w:rFonts w:ascii="Times New Roman" w:cs="Times New Roman" w:eastAsia="Times New Roman" w:hAnsi="Times New Roman"/>
          <w:sz w:val="16"/>
          <w:szCs w:val="16"/>
          <w:color w:val="auto"/>
        </w:rPr>
        <w:t>Previously filed as an exhibit to the Company’s Annual Report on Form 10-K filed with the SEC on March 14, 2022.</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(18)</w:t>
      </w:r>
      <w:r>
        <w:rPr>
          <w:rFonts w:ascii="Times New Roman" w:cs="Times New Roman" w:eastAsia="Times New Roman" w:hAnsi="Times New Roman"/>
          <w:sz w:val="16"/>
          <w:szCs w:val="16"/>
          <w:color w:val="auto"/>
        </w:rPr>
        <w:t>Previously filed as an exhibit to the Company’s Current Report on Form 8-K filed with the SEC on April 20, 2022.</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(19)</w:t>
      </w:r>
      <w:r>
        <w:rPr>
          <w:rFonts w:ascii="Times New Roman" w:cs="Times New Roman" w:eastAsia="Times New Roman" w:hAnsi="Times New Roman"/>
          <w:sz w:val="16"/>
          <w:szCs w:val="16"/>
          <w:color w:val="auto"/>
        </w:rPr>
        <w:t>Previously filed as an exhibit to the Company’s Current Report on Form 8-K filed with the SEC on July 22, 2022.</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(20)</w:t>
      </w:r>
      <w:r>
        <w:rPr>
          <w:rFonts w:ascii="Times New Roman" w:cs="Times New Roman" w:eastAsia="Times New Roman" w:hAnsi="Times New Roman"/>
          <w:sz w:val="16"/>
          <w:szCs w:val="16"/>
          <w:color w:val="auto"/>
        </w:rPr>
        <w:t>Previously filed as an exhibit to the Company’s Current Report on Form 8-K filed with the SEC on December 7, 2022.</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(21)</w:t>
      </w:r>
      <w:r>
        <w:rPr>
          <w:rFonts w:ascii="Times New Roman" w:cs="Times New Roman" w:eastAsia="Times New Roman" w:hAnsi="Times New Roman"/>
          <w:sz w:val="16"/>
          <w:szCs w:val="16"/>
          <w:color w:val="auto"/>
        </w:rPr>
        <w:t>Previously filed as an exhibit to the Company’s Current Report on Form 8-K filed with the SEC on January 9, 2023.</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(22)</w:t>
      </w:r>
      <w:r>
        <w:rPr>
          <w:rFonts w:ascii="Times New Roman" w:cs="Times New Roman" w:eastAsia="Times New Roman" w:hAnsi="Times New Roman"/>
          <w:sz w:val="16"/>
          <w:szCs w:val="16"/>
          <w:color w:val="auto"/>
        </w:rPr>
        <w:t>Previously filed as an exhibit to the Company’s Current Report on Form 8-K filed with the SEC on April 14, 2023.</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(23)</w:t>
      </w:r>
      <w:r>
        <w:rPr>
          <w:rFonts w:ascii="Times New Roman" w:cs="Times New Roman" w:eastAsia="Times New Roman" w:hAnsi="Times New Roman"/>
          <w:sz w:val="16"/>
          <w:szCs w:val="16"/>
          <w:color w:val="auto"/>
        </w:rPr>
        <w:t>Previously filed as an exhibit to the Company’s Quarterly Report on Form 10-Q filed with the SEC on August 8, 2023.</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(24)</w:t>
      </w:r>
      <w:r>
        <w:rPr>
          <w:rFonts w:ascii="Times New Roman" w:cs="Times New Roman" w:eastAsia="Times New Roman" w:hAnsi="Times New Roman"/>
          <w:sz w:val="16"/>
          <w:szCs w:val="16"/>
          <w:color w:val="auto"/>
        </w:rPr>
        <w:t>Previously filed as an exhibit to the Company’s Current Report on Form 8-K filed with the SEC on December 6, 2023.</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(25)</w:t>
      </w:r>
      <w:r>
        <w:rPr>
          <w:rFonts w:ascii="Times New Roman" w:cs="Times New Roman" w:eastAsia="Times New Roman" w:hAnsi="Times New Roman"/>
          <w:sz w:val="16"/>
          <w:szCs w:val="16"/>
          <w:color w:val="auto"/>
        </w:rPr>
        <w:t>Previously filed as an exhibit to the Company’s Current Report on Form 8-K filed with the SEC on January 29, 2025.</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(26)</w:t>
      </w:r>
      <w:r>
        <w:rPr>
          <w:rFonts w:ascii="Times New Roman" w:cs="Times New Roman" w:eastAsia="Times New Roman" w:hAnsi="Times New Roman"/>
          <w:sz w:val="16"/>
          <w:szCs w:val="16"/>
          <w:color w:val="auto"/>
        </w:rPr>
        <w:t>Previously filed as an exhibit to the Company’s Current Report on Form 8-K filed with the SEC on January 31, 2025.</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(27)</w:t>
      </w:r>
      <w:r>
        <w:rPr>
          <w:rFonts w:ascii="Times New Roman" w:cs="Times New Roman" w:eastAsia="Times New Roman" w:hAnsi="Times New Roman"/>
          <w:sz w:val="16"/>
          <w:szCs w:val="16"/>
          <w:color w:val="auto"/>
        </w:rPr>
        <w:t>Previously filed as an exhibit to the Company’s Registration Statement on Form N-2 filed with the SEC on February 7, 2025.</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31"/>
          <w:szCs w:val="31"/>
          <w:color w:val="auto"/>
          <w:vertAlign w:val="superscript"/>
        </w:rPr>
        <w:t>(28)</w:t>
      </w:r>
      <w:r>
        <w:rPr>
          <w:rFonts w:ascii="Times New Roman" w:cs="Times New Roman" w:eastAsia="Times New Roman" w:hAnsi="Times New Roman"/>
          <w:sz w:val="16"/>
          <w:szCs w:val="16"/>
          <w:color w:val="auto"/>
        </w:rPr>
        <w:t>Previously filed as an exhibit to the Company’s Registration Statement on Form N-2/A filed with the SEC on March 19,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ectPr>
          <w:pgSz w:w="11900" w:h="16840" w:orient="portrait"/>
          <w:cols w:equalWidth="0" w:num="1">
            <w:col w:w="10080"/>
          </w:cols>
          <w:pgMar w:left="660" w:top="555" w:right="1160" w:bottom="1440" w:gutter="0" w:footer="0" w:header="0"/>
        </w:sectPr>
      </w:pPr>
    </w:p>
    <w:p>
      <w:pPr>
        <w:spacing w:after="0" w:line="38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660" w:top="555" w:right="1160" w:bottom="1440" w:gutter="0" w:footer="0" w:header="0"/>
          <w:type w:val="continuous"/>
        </w:sectPr>
      </w:pPr>
    </w:p>
    <w:bookmarkStart w:id="143" w:name="page144"/>
    <w:bookmarkEnd w:id="14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March 20, 2025</w:t>
      </w:r>
    </w:p>
    <w:p>
      <w:pPr>
        <w:spacing w:after="0" w:line="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By:</w:t>
      </w:r>
    </w:p>
    <w:p>
      <w:pPr>
        <w:ind w:left="5700"/>
        <w:spacing w:after="0" w:line="234" w:lineRule="auto"/>
        <w:rPr>
          <w:sz w:val="20"/>
          <w:szCs w:val="20"/>
          <w:color w:val="auto"/>
        </w:rPr>
      </w:pPr>
      <w:r>
        <w:rPr>
          <w:rFonts w:ascii="Times New Roman" w:cs="Times New Roman" w:eastAsia="Times New Roman" w:hAnsi="Times New Roman"/>
          <w:sz w:val="16"/>
          <w:szCs w:val="16"/>
          <w:color w:val="auto"/>
        </w:rPr>
        <w:t>/s/ R. David Spreng</w:t>
      </w:r>
    </w:p>
    <w:p>
      <w:pPr>
        <w:ind w:left="5700"/>
        <w:spacing w:after="0" w:line="235" w:lineRule="auto"/>
        <w:rPr>
          <w:sz w:val="20"/>
          <w:szCs w:val="20"/>
          <w:color w:val="auto"/>
        </w:rPr>
      </w:pPr>
      <w:r>
        <w:rPr>
          <w:rFonts w:ascii="Times New Roman" w:cs="Times New Roman" w:eastAsia="Times New Roman" w:hAnsi="Times New Roman"/>
          <w:sz w:val="16"/>
          <w:szCs w:val="16"/>
          <w:color w:val="auto"/>
        </w:rPr>
        <w:t>R. David Spreng</w:t>
      </w:r>
    </w:p>
    <w:p>
      <w:pPr>
        <w:ind w:left="5700"/>
        <w:spacing w:after="0" w:line="235" w:lineRule="auto"/>
        <w:rPr>
          <w:sz w:val="20"/>
          <w:szCs w:val="20"/>
          <w:color w:val="auto"/>
        </w:rPr>
      </w:pPr>
      <w:r>
        <w:rPr>
          <w:rFonts w:ascii="Times New Roman" w:cs="Times New Roman" w:eastAsia="Times New Roman" w:hAnsi="Times New Roman"/>
          <w:sz w:val="16"/>
          <w:szCs w:val="16"/>
          <w:color w:val="auto"/>
        </w:rPr>
        <w:t>President, Chief Executive Officer and Chairman of the Board of Directors</w:t>
      </w:r>
    </w:p>
    <w:p>
      <w:pPr>
        <w:ind w:left="57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5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20, 2025</w:t>
            </w:r>
          </w:p>
        </w:tc>
        <w:tc>
          <w:tcPr>
            <w:tcW w:w="72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/s/ R. David Spreng</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R. David Spreng</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President, Chief Executive Officer and Chairman of the Board of Directors</w:t>
            </w:r>
          </w:p>
        </w:tc>
      </w:tr>
      <w:tr>
        <w:trPr>
          <w:trHeight w:val="203"/>
        </w:trPr>
        <w:tc>
          <w:tcPr>
            <w:tcW w:w="3280" w:type="dxa"/>
            <w:vAlign w:val="bottom"/>
          </w:tcPr>
          <w:p>
            <w:pPr>
              <w:spacing w:after="0"/>
              <w:rPr>
                <w:sz w:val="17"/>
                <w:szCs w:val="17"/>
                <w:color w:val="auto"/>
              </w:rPr>
            </w:pPr>
          </w:p>
        </w:tc>
        <w:tc>
          <w:tcPr>
            <w:tcW w:w="72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1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20, 2025</w:t>
            </w:r>
          </w:p>
        </w:tc>
        <w:tc>
          <w:tcPr>
            <w:tcW w:w="72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/s/ Thomas B. Raterman</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Thomas B. Raterman</w:t>
            </w:r>
          </w:p>
        </w:tc>
      </w:tr>
      <w:tr>
        <w:trPr>
          <w:trHeight w:val="203"/>
        </w:trPr>
        <w:tc>
          <w:tcPr>
            <w:tcW w:w="3280" w:type="dxa"/>
            <w:vAlign w:val="bottom"/>
          </w:tcPr>
          <w:p>
            <w:pPr>
              <w:spacing w:after="0"/>
              <w:rPr>
                <w:sz w:val="17"/>
                <w:szCs w:val="17"/>
                <w:color w:val="auto"/>
              </w:rPr>
            </w:pPr>
          </w:p>
        </w:tc>
        <w:tc>
          <w:tcPr>
            <w:tcW w:w="72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Chief Financial Officer, Chief Operating Officer, Treasurer and Secretary</w:t>
            </w:r>
          </w:p>
        </w:tc>
      </w:tr>
      <w:tr>
        <w:trPr>
          <w:trHeight w:val="312"/>
        </w:trPr>
        <w:tc>
          <w:tcPr>
            <w:tcW w:w="3280" w:type="dxa"/>
            <w:vAlign w:val="bottom"/>
          </w:tcPr>
          <w:p>
            <w:pPr>
              <w:spacing w:after="0"/>
              <w:rPr>
                <w:sz w:val="24"/>
                <w:szCs w:val="24"/>
                <w:color w:val="auto"/>
              </w:rPr>
            </w:pPr>
          </w:p>
        </w:tc>
        <w:tc>
          <w:tcPr>
            <w:tcW w:w="72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33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20, 2025</w:t>
            </w:r>
          </w:p>
        </w:tc>
        <w:tc>
          <w:tcPr>
            <w:tcW w:w="72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/s/ Gary Kovacs</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Gary Kovacs</w:t>
            </w:r>
          </w:p>
        </w:tc>
      </w:tr>
      <w:tr>
        <w:trPr>
          <w:trHeight w:val="203"/>
        </w:trPr>
        <w:tc>
          <w:tcPr>
            <w:tcW w:w="3280" w:type="dxa"/>
            <w:vAlign w:val="bottom"/>
          </w:tcPr>
          <w:p>
            <w:pPr>
              <w:spacing w:after="0"/>
              <w:rPr>
                <w:sz w:val="17"/>
                <w:szCs w:val="17"/>
                <w:color w:val="auto"/>
              </w:rPr>
            </w:pPr>
          </w:p>
        </w:tc>
        <w:tc>
          <w:tcPr>
            <w:tcW w:w="72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Director</w:t>
            </w:r>
          </w:p>
        </w:tc>
      </w:tr>
      <w:tr>
        <w:trPr>
          <w:trHeight w:val="33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20, 2025</w:t>
            </w:r>
          </w:p>
        </w:tc>
        <w:tc>
          <w:tcPr>
            <w:tcW w:w="72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/s/ Catherine Frey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Catherine Frey</w:t>
            </w:r>
          </w:p>
        </w:tc>
      </w:tr>
      <w:tr>
        <w:trPr>
          <w:trHeight w:val="203"/>
        </w:trPr>
        <w:tc>
          <w:tcPr>
            <w:tcW w:w="3280" w:type="dxa"/>
            <w:vAlign w:val="bottom"/>
          </w:tcPr>
          <w:p>
            <w:pPr>
              <w:spacing w:after="0"/>
              <w:rPr>
                <w:sz w:val="17"/>
                <w:szCs w:val="17"/>
                <w:color w:val="auto"/>
              </w:rPr>
            </w:pPr>
          </w:p>
        </w:tc>
        <w:tc>
          <w:tcPr>
            <w:tcW w:w="72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Director</w:t>
            </w:r>
          </w:p>
        </w:tc>
      </w:tr>
      <w:tr>
        <w:trPr>
          <w:trHeight w:val="33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20, 2025</w:t>
            </w:r>
          </w:p>
        </w:tc>
        <w:tc>
          <w:tcPr>
            <w:tcW w:w="72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/s/ Julie Persily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Julie Persily</w:t>
            </w:r>
          </w:p>
        </w:tc>
      </w:tr>
      <w:tr>
        <w:trPr>
          <w:trHeight w:val="203"/>
        </w:trPr>
        <w:tc>
          <w:tcPr>
            <w:tcW w:w="3280" w:type="dxa"/>
            <w:vAlign w:val="bottom"/>
          </w:tcPr>
          <w:p>
            <w:pPr>
              <w:spacing w:after="0"/>
              <w:rPr>
                <w:sz w:val="17"/>
                <w:szCs w:val="17"/>
                <w:color w:val="auto"/>
              </w:rPr>
            </w:pPr>
          </w:p>
        </w:tc>
        <w:tc>
          <w:tcPr>
            <w:tcW w:w="72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Director</w:t>
            </w:r>
          </w:p>
        </w:tc>
      </w:tr>
      <w:tr>
        <w:trPr>
          <w:trHeight w:val="33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March 20, 2025</w:t>
            </w:r>
          </w:p>
        </w:tc>
        <w:tc>
          <w:tcPr>
            <w:tcW w:w="728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By:</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/s/ John F. Engel</w:t>
            </w:r>
          </w:p>
        </w:tc>
      </w:tr>
      <w:tr>
        <w:trPr>
          <w:trHeight w:val="180"/>
        </w:trPr>
        <w:tc>
          <w:tcPr>
            <w:tcW w:w="3280" w:type="dxa"/>
            <w:vAlign w:val="bottom"/>
          </w:tcPr>
          <w:p>
            <w:pPr>
              <w:spacing w:after="0"/>
              <w:rPr>
                <w:sz w:val="15"/>
                <w:szCs w:val="15"/>
                <w:color w:val="auto"/>
              </w:rPr>
            </w:pPr>
          </w:p>
        </w:tc>
        <w:tc>
          <w:tcPr>
            <w:tcW w:w="7280" w:type="dxa"/>
            <w:vAlign w:val="bottom"/>
          </w:tcPr>
          <w:p>
            <w:pPr>
              <w:ind w:left="2420"/>
              <w:spacing w:after="0" w:line="180" w:lineRule="exact"/>
              <w:rPr>
                <w:sz w:val="20"/>
                <w:szCs w:val="20"/>
                <w:color w:val="auto"/>
              </w:rPr>
            </w:pPr>
            <w:r>
              <w:rPr>
                <w:rFonts w:ascii="Times New Roman" w:cs="Times New Roman" w:eastAsia="Times New Roman" w:hAnsi="Times New Roman"/>
                <w:sz w:val="16"/>
                <w:szCs w:val="16"/>
                <w:color w:val="auto"/>
              </w:rPr>
              <w:t>John F. Engel</w:t>
            </w:r>
          </w:p>
        </w:tc>
      </w:tr>
      <w:tr>
        <w:trPr>
          <w:trHeight w:val="203"/>
        </w:trPr>
        <w:tc>
          <w:tcPr>
            <w:tcW w:w="3280" w:type="dxa"/>
            <w:vAlign w:val="bottom"/>
          </w:tcPr>
          <w:p>
            <w:pPr>
              <w:spacing w:after="0"/>
              <w:rPr>
                <w:sz w:val="17"/>
                <w:szCs w:val="17"/>
                <w:color w:val="auto"/>
              </w:rPr>
            </w:pPr>
          </w:p>
        </w:tc>
        <w:tc>
          <w:tcPr>
            <w:tcW w:w="7280" w:type="dxa"/>
            <w:vAlign w:val="bottom"/>
          </w:tcPr>
          <w:p>
            <w:pPr>
              <w:ind w:left="2420"/>
              <w:spacing w:after="0"/>
              <w:rPr>
                <w:sz w:val="20"/>
                <w:szCs w:val="20"/>
                <w:color w:val="auto"/>
              </w:rPr>
            </w:pPr>
            <w:r>
              <w:rPr>
                <w:rFonts w:ascii="Times New Roman" w:cs="Times New Roman" w:eastAsia="Times New Roman" w:hAnsi="Times New Roman"/>
                <w:sz w:val="16"/>
                <w:szCs w:val="16"/>
                <w:color w:val="auto"/>
              </w:rPr>
              <w:t>Director</w:t>
            </w:r>
          </w:p>
        </w:tc>
      </w:tr>
      <w:tr>
        <w:trPr>
          <w:trHeight w:val="744"/>
        </w:trPr>
        <w:tc>
          <w:tcPr>
            <w:tcW w:w="3280" w:type="dxa"/>
            <w:vAlign w:val="bottom"/>
          </w:tcPr>
          <w:p>
            <w:pPr>
              <w:spacing w:after="0"/>
              <w:rPr>
                <w:sz w:val="24"/>
                <w:szCs w:val="24"/>
                <w:color w:val="auto"/>
              </w:rPr>
            </w:pPr>
          </w:p>
        </w:tc>
        <w:tc>
          <w:tcPr>
            <w:tcW w:w="7280" w:type="dxa"/>
            <w:vAlign w:val="bottom"/>
          </w:tcPr>
          <w:p>
            <w:pPr>
              <w:ind w:left="1880"/>
              <w:spacing w:after="0"/>
              <w:rPr>
                <w:sz w:val="20"/>
                <w:szCs w:val="20"/>
                <w:color w:val="auto"/>
              </w:rPr>
            </w:pPr>
            <w:r>
              <w:rPr>
                <w:rFonts w:ascii="Times New Roman" w:cs="Times New Roman" w:eastAsia="Times New Roman" w:hAnsi="Times New Roman"/>
                <w:sz w:val="16"/>
                <w:szCs w:val="16"/>
                <w:color w:val="auto"/>
              </w:rPr>
              <w:t>144</w:t>
            </w:r>
          </w:p>
        </w:tc>
      </w:tr>
      <w:tr>
        <w:trPr>
          <w:trHeight w:val="674"/>
        </w:trPr>
        <w:tc>
          <w:tcPr>
            <w:tcW w:w="3280" w:type="dxa"/>
            <w:vAlign w:val="bottom"/>
            <w:tcBorders>
              <w:bottom w:val="single" w:sz="8" w:color="EEEEEE"/>
            </w:tcBorders>
          </w:tcPr>
          <w:p>
            <w:pPr>
              <w:spacing w:after="0"/>
              <w:rPr>
                <w:sz w:val="24"/>
                <w:szCs w:val="24"/>
                <w:color w:val="auto"/>
              </w:rPr>
            </w:pPr>
          </w:p>
        </w:tc>
        <w:tc>
          <w:tcPr>
            <w:tcW w:w="728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auto"/>
        </w:rPr>
        <w:t>Exhibit 10.25</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IXTH</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MENDMENT TO</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REDIT</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26"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auto"/>
        </w:rPr>
        <w:t xml:space="preserve">This Sixth Amendment to Amended and Restated Credit Agreement, dated as of March 18, 2025 (the </w:t>
      </w:r>
      <w:r>
        <w:rPr>
          <w:rFonts w:ascii="Times New Roman" w:cs="Times New Roman" w:eastAsia="Times New Roman" w:hAnsi="Times New Roman"/>
          <w:sz w:val="19"/>
          <w:szCs w:val="19"/>
          <w:i w:val="1"/>
          <w:iCs w:val="1"/>
          <w:color w:val="auto"/>
        </w:rPr>
        <w:t>“Amendment”</w:t>
      </w:r>
      <w:r>
        <w:rPr>
          <w:rFonts w:ascii="Times New Roman" w:cs="Times New Roman" w:eastAsia="Times New Roman" w:hAnsi="Times New Roman"/>
          <w:sz w:val="19"/>
          <w:szCs w:val="19"/>
          <w:color w:val="auto"/>
        </w:rPr>
        <w:t xml:space="preserve">), is made pursuant to that certain Amended and Restated Credit Agreement dated as of April 20, 2022 (as amended, restated, modified or supplemented from time to time, the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xml:space="preserve">), among Runway Growth Finance Corp. (f/k/a Runway Growth Credit Fund Inc.), a Maryland corporation, as borrower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each Guarantor party thereto; the financial institutions currently party thereto as lenders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xml:space="preserve">); KeyBank National Association, as administrative agent for the Lenders (in such capacity, together with its successors and assigns,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xml:space="preserve">); CIBC Bank USA, as documentation agent (together with its successors and assigns, the </w:t>
      </w:r>
      <w:r>
        <w:rPr>
          <w:rFonts w:ascii="Times New Roman" w:cs="Times New Roman" w:eastAsia="Times New Roman" w:hAnsi="Times New Roman"/>
          <w:sz w:val="19"/>
          <w:szCs w:val="19"/>
          <w:i w:val="1"/>
          <w:iCs w:val="1"/>
          <w:color w:val="auto"/>
        </w:rPr>
        <w:t>“Documentation Agent”</w:t>
      </w:r>
      <w:r>
        <w:rPr>
          <w:rFonts w:ascii="Times New Roman" w:cs="Times New Roman" w:eastAsia="Times New Roman" w:hAnsi="Times New Roman"/>
          <w:sz w:val="19"/>
          <w:szCs w:val="19"/>
          <w:color w:val="auto"/>
        </w:rPr>
        <w:t xml:space="preserve">); MUFG Bank, Ltd. (as successor- in-interest to MUFG Union Bank, N.A.), as co-documentation agent (together with its successors and assigns, the </w:t>
      </w:r>
      <w:r>
        <w:rPr>
          <w:rFonts w:ascii="Times New Roman" w:cs="Times New Roman" w:eastAsia="Times New Roman" w:hAnsi="Times New Roman"/>
          <w:sz w:val="19"/>
          <w:szCs w:val="19"/>
          <w:i w:val="1"/>
          <w:iCs w:val="1"/>
          <w:color w:val="auto"/>
        </w:rPr>
        <w:t>“Co-Documentation Agent”</w:t>
      </w:r>
      <w:r>
        <w:rPr>
          <w:rFonts w:ascii="Times New Roman" w:cs="Times New Roman" w:eastAsia="Times New Roman" w:hAnsi="Times New Roman"/>
          <w:sz w:val="19"/>
          <w:szCs w:val="19"/>
          <w:color w:val="auto"/>
        </w:rPr>
        <w:t xml:space="preserve">); and U.S. Bank Trust Company, National Association, not in its individual capacity but as successor in interest to U.S. Bank National Association as the paying agent (together with its successors and assigns, the </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 and collateral custodian (together with its successors and assigns in such capacity, the “</w:t>
      </w:r>
      <w:r>
        <w:rPr>
          <w:rFonts w:ascii="Times New Roman" w:cs="Times New Roman" w:eastAsia="Times New Roman" w:hAnsi="Times New Roman"/>
          <w:sz w:val="19"/>
          <w:szCs w:val="19"/>
          <w:i w:val="1"/>
          <w:iCs w:val="1"/>
          <w:color w:val="auto"/>
        </w:rPr>
        <w:t>Collateral Custodian</w:t>
      </w:r>
      <w:r>
        <w:rPr>
          <w:rFonts w:ascii="Times New Roman" w:cs="Times New Roman" w:eastAsia="Times New Roman" w:hAnsi="Times New Roman"/>
          <w:sz w:val="19"/>
          <w:szCs w:val="19"/>
          <w:color w:val="auto"/>
        </w:rPr>
        <w: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 xml:space="preserve">W </w:t>
      </w:r>
      <w:r>
        <w:rPr>
          <w:rFonts w:ascii="Times New Roman" w:cs="Times New Roman" w:eastAsia="Times New Roman" w:hAnsi="Times New Roman"/>
          <w:sz w:val="13"/>
          <w:szCs w:val="13"/>
          <w:b w:val="1"/>
          <w:bCs w:val="1"/>
          <w:color w:val="auto"/>
        </w:rPr>
        <w:t>I T N E S S E T H</w:t>
      </w:r>
      <w:r>
        <w:rPr>
          <w:rFonts w:ascii="Times New Roman" w:cs="Times New Roman" w:eastAsia="Times New Roman" w:hAnsi="Times New Roman"/>
          <w:sz w:val="19"/>
          <w:szCs w:val="19"/>
          <w:b w:val="1"/>
          <w:bCs w:val="1"/>
          <w:color w:val="auto"/>
        </w:rPr>
        <w:t xml:space="preserve"> :</w:t>
      </w:r>
    </w:p>
    <w:p>
      <w:pPr>
        <w:spacing w:after="0" w:line="228" w:lineRule="exact"/>
        <w:rPr>
          <w:sz w:val="20"/>
          <w:szCs w:val="20"/>
          <w:color w:val="auto"/>
        </w:rPr>
      </w:pPr>
    </w:p>
    <w:p>
      <w:pPr>
        <w:ind w:right="480" w:firstLine="696"/>
        <w:spacing w:after="0" w:line="268" w:lineRule="auto"/>
        <w:rPr>
          <w:sz w:val="20"/>
          <w:szCs w:val="20"/>
          <w:color w:val="auto"/>
        </w:rPr>
      </w:pPr>
      <w:r>
        <w:rPr>
          <w:rFonts w:ascii="Times New Roman" w:cs="Times New Roman" w:eastAsia="Times New Roman" w:hAnsi="Times New Roman"/>
          <w:sz w:val="19"/>
          <w:szCs w:val="19"/>
          <w:color w:val="auto"/>
        </w:rPr>
        <w:t>Whereas, the Borrower, the Lenders, the Guarantors, the Documentation Agent, the Co-Documentation Agent, the Paying Agent, the Collateral Custodian and the Administrative Agent have previously entered into and are currently party to the Credit Agreement; and</w:t>
      </w:r>
    </w:p>
    <w:p>
      <w:pPr>
        <w:spacing w:after="0" w:line="16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9"/>
          <w:szCs w:val="19"/>
          <w:color w:val="auto"/>
        </w:rPr>
        <w:t>Whereas, the Borrower has requested that the Lenders make certain amendments to the Credit Agreement, and the</w:t>
      </w:r>
    </w:p>
    <w:p>
      <w:pPr>
        <w:spacing w:after="0" w:line="3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9"/>
          <w:szCs w:val="19"/>
          <w:color w:val="auto"/>
        </w:rPr>
        <w:t>Administrative Agent and the Lenders party hereto are willing to do so under the terms and conditions set forth in this Amendment.</w:t>
      </w:r>
    </w:p>
    <w:p>
      <w:pPr>
        <w:spacing w:after="0" w:line="204"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Now, Therefore, for good and valuable consideration, the receipt and sufficiency of which are hereby acknowledged, the parties hereto, intending to be legally bound, agree as follows:</w:t>
      </w:r>
    </w:p>
    <w:p>
      <w:pPr>
        <w:spacing w:after="0" w:line="149" w:lineRule="exact"/>
        <w:rPr>
          <w:sz w:val="20"/>
          <w:szCs w:val="20"/>
          <w:color w:val="auto"/>
        </w:rPr>
      </w:pPr>
    </w:p>
    <w:p>
      <w:pPr>
        <w:ind w:right="28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1. Defined Terms. </w:t>
      </w:r>
      <w:r>
        <w:rPr>
          <w:rFonts w:ascii="Times New Roman" w:cs="Times New Roman" w:eastAsia="Times New Roman" w:hAnsi="Times New Roman"/>
          <w:sz w:val="19"/>
          <w:szCs w:val="19"/>
          <w:color w:val="auto"/>
        </w:rPr>
        <w:t>Unless otherwise amended by the terms of this Amendment, terms used in this Amendment shall have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meanings assigned in the Credit Agreement.</w:t>
      </w:r>
    </w:p>
    <w:p>
      <w:pPr>
        <w:spacing w:after="0" w:line="148" w:lineRule="exact"/>
        <w:rPr>
          <w:sz w:val="20"/>
          <w:szCs w:val="20"/>
          <w:color w:val="auto"/>
        </w:rPr>
      </w:pPr>
    </w:p>
    <w:p>
      <w:pPr>
        <w:jc w:val="both"/>
        <w:ind w:right="38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2. Amendments to Credit Agreement. </w:t>
      </w:r>
      <w:r>
        <w:rPr>
          <w:rFonts w:ascii="Times New Roman" w:cs="Times New Roman" w:eastAsia="Times New Roman" w:hAnsi="Times New Roman"/>
          <w:sz w:val="19"/>
          <w:szCs w:val="19"/>
          <w:color w:val="auto"/>
        </w:rPr>
        <w:t>Subject to the satisfaction of the conditions precedent set forth in Section 3 below,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parties hereto agree that the Credit Agreement shall be amended with text marked in underline (e.g., </w:t>
      </w:r>
      <w:r>
        <w:rPr>
          <w:rFonts w:ascii="Times New Roman" w:cs="Times New Roman" w:eastAsia="Times New Roman" w:hAnsi="Times New Roman"/>
          <w:sz w:val="19"/>
          <w:szCs w:val="19"/>
          <w:color w:val="2F5496"/>
        </w:rPr>
        <w:t>addition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70AD47"/>
        </w:rPr>
        <w:t>addition</w:t>
      </w:r>
      <w:r>
        <w:rPr>
          <w:rFonts w:ascii="Times New Roman" w:cs="Times New Roman" w:eastAsia="Times New Roman" w:hAnsi="Times New Roman"/>
          <w:sz w:val="19"/>
          <w:szCs w:val="19"/>
          <w:color w:val="auto"/>
        </w:rPr>
        <w:t xml:space="preserve">) indicating additions to the Credit Agreement and with text marked in strikethrough (e.g., </w:t>
      </w:r>
      <w:r>
        <w:rPr>
          <w:rFonts w:ascii="Times New Roman" w:cs="Times New Roman" w:eastAsia="Times New Roman" w:hAnsi="Times New Roman"/>
          <w:sz w:val="19"/>
          <w:szCs w:val="19"/>
          <w:color w:val="FF0000"/>
          <w:strike w:val="1"/>
        </w:rPr>
        <w:t>deletion</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70AD47"/>
          <w:strike w:val="1"/>
        </w:rPr>
        <w:t>deletion</w:t>
      </w:r>
      <w:r>
        <w:rPr>
          <w:rFonts w:ascii="Times New Roman" w:cs="Times New Roman" w:eastAsia="Times New Roman" w:hAnsi="Times New Roman"/>
          <w:sz w:val="19"/>
          <w:szCs w:val="19"/>
          <w:color w:val="auto"/>
        </w:rPr>
        <w:t>) indicating deletions to the Credit Agreement as set forth in Exhibit A attached hereto.</w:t>
      </w:r>
    </w:p>
    <w:p>
      <w:pPr>
        <w:spacing w:after="0" w:line="171" w:lineRule="exact"/>
        <w:rPr>
          <w:sz w:val="20"/>
          <w:szCs w:val="20"/>
          <w:color w:val="auto"/>
        </w:rPr>
      </w:pPr>
    </w:p>
    <w:p>
      <w:pPr>
        <w:ind w:right="56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3. Conditions Precedent. </w:t>
      </w:r>
      <w:r>
        <w:rPr>
          <w:rFonts w:ascii="Times New Roman" w:cs="Times New Roman" w:eastAsia="Times New Roman" w:hAnsi="Times New Roman"/>
          <w:sz w:val="19"/>
          <w:szCs w:val="19"/>
          <w:color w:val="auto"/>
        </w:rPr>
        <w:t>This Amendment shall become effective as of the date of the satisfaction of all of the following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746125</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1" w:right="680" w:bottom="1440" w:gutter="0" w:footer="0" w:header="0"/>
        </w:sectPr>
      </w:pPr>
    </w:p>
    <w:bookmarkStart w:id="145" w:name="page146"/>
    <w:bookmarkEnd w:id="145"/>
    <w:p>
      <w:pPr>
        <w:spacing w:after="0" w:line="200" w:lineRule="exact"/>
        <w:rPr>
          <w:sz w:val="20"/>
          <w:szCs w:val="20"/>
          <w:color w:val="auto"/>
        </w:rPr>
      </w:pPr>
    </w:p>
    <w:p>
      <w:pPr>
        <w:spacing w:after="0" w:line="2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3.1. The Administrative Agent, the Borrower, and the Lenders party hereto shall have executed and delivered this Amendment.</w:t>
      </w:r>
    </w:p>
    <w:p>
      <w:pPr>
        <w:spacing w:after="0" w:line="226" w:lineRule="exact"/>
        <w:rPr>
          <w:sz w:val="20"/>
          <w:szCs w:val="20"/>
          <w:color w:val="auto"/>
        </w:rPr>
      </w:pPr>
    </w:p>
    <w:p>
      <w:pPr>
        <w:ind w:left="700" w:right="140" w:firstLine="48"/>
        <w:spacing w:after="0" w:line="286" w:lineRule="auto"/>
        <w:rPr>
          <w:sz w:val="20"/>
          <w:szCs w:val="20"/>
          <w:color w:val="auto"/>
        </w:rPr>
      </w:pPr>
      <w:r>
        <w:rPr>
          <w:rFonts w:ascii="Times New Roman" w:cs="Times New Roman" w:eastAsia="Times New Roman" w:hAnsi="Times New Roman"/>
          <w:sz w:val="19"/>
          <w:szCs w:val="19"/>
          <w:color w:val="auto"/>
        </w:rPr>
        <w:t xml:space="preserve">3.2. The Administrative Agent, the Borrower, and the Lenders shall have executed and delivered that certain Fourth Amended and Restated Fee Letter dated as of the date hereof (the </w:t>
      </w:r>
      <w:r>
        <w:rPr>
          <w:rFonts w:ascii="Times New Roman" w:cs="Times New Roman" w:eastAsia="Times New Roman" w:hAnsi="Times New Roman"/>
          <w:sz w:val="19"/>
          <w:szCs w:val="19"/>
          <w:i w:val="1"/>
          <w:iCs w:val="1"/>
          <w:color w:val="auto"/>
        </w:rPr>
        <w:t>“Fourth Amended and Restated Fee Letter”</w:t>
      </w:r>
      <w:r>
        <w:rPr>
          <w:rFonts w:ascii="Times New Roman" w:cs="Times New Roman" w:eastAsia="Times New Roman" w:hAnsi="Times New Roman"/>
          <w:sz w:val="19"/>
          <w:szCs w:val="19"/>
          <w:color w:val="auto"/>
        </w:rPr>
        <w:t>).</w:t>
      </w:r>
    </w:p>
    <w:p>
      <w:pPr>
        <w:spacing w:after="0" w:line="151" w:lineRule="exact"/>
        <w:rPr>
          <w:sz w:val="20"/>
          <w:szCs w:val="20"/>
          <w:color w:val="auto"/>
        </w:rPr>
      </w:pPr>
    </w:p>
    <w:p>
      <w:pPr>
        <w:ind w:left="700" w:right="140" w:firstLine="48"/>
        <w:spacing w:after="0" w:line="286" w:lineRule="auto"/>
        <w:rPr>
          <w:sz w:val="20"/>
          <w:szCs w:val="20"/>
          <w:color w:val="auto"/>
        </w:rPr>
      </w:pPr>
      <w:r>
        <w:rPr>
          <w:rFonts w:ascii="Times New Roman" w:cs="Times New Roman" w:eastAsia="Times New Roman" w:hAnsi="Times New Roman"/>
          <w:sz w:val="19"/>
          <w:szCs w:val="19"/>
          <w:color w:val="auto"/>
        </w:rPr>
        <w:t>3.3. Any and all fees and expenses due under the Fourth Amended and Restated Fee Letter shall have been paid in accordance therewith.</w:t>
      </w:r>
    </w:p>
    <w:p>
      <w:pPr>
        <w:spacing w:after="0" w:line="151" w:lineRule="exact"/>
        <w:rPr>
          <w:sz w:val="20"/>
          <w:szCs w:val="20"/>
          <w:color w:val="auto"/>
        </w:rPr>
      </w:pPr>
    </w:p>
    <w:p>
      <w:pPr>
        <w:ind w:left="700" w:firstLine="48"/>
        <w:spacing w:after="0" w:line="255" w:lineRule="auto"/>
        <w:rPr>
          <w:sz w:val="20"/>
          <w:szCs w:val="20"/>
          <w:color w:val="auto"/>
        </w:rPr>
      </w:pPr>
      <w:r>
        <w:rPr>
          <w:rFonts w:ascii="Times New Roman" w:cs="Times New Roman" w:eastAsia="Times New Roman" w:hAnsi="Times New Roman"/>
          <w:sz w:val="19"/>
          <w:szCs w:val="19"/>
          <w:color w:val="auto"/>
        </w:rPr>
        <w:t>3.4. The Administrative Agent shall have received a certificate, dated the date hereof, from the Borrower in all respects satisfactory to the Administrative Agent, certifying as to the following: (a) a certified copy of the resolutions authorizing the Borrower’s execution, delivery and performance of this Agreement and the other documents to be delivered by it hereunder; (b) the names and signatures of the officers authorized on its behalf to execute this Amendment and any other documents to be delivered by it hereunder; (c) the Borrower’s articles of incorporation and by -laws (or analogous documents), have not been amended, supplemented or otherwise modified since April 20, 2022 or, if so amended, supplemented or otherwise modified, attaching true, complete and correct copies of each such amendment, supplement or modification; (d) as to the absence of an Event of Default or Unmatured Event of Default under the Credit Agreement; and (e) the Certificate of Good Standing issued by the State Department of Assessments and Taxation of the State of Maryland in respect of the Borrower.</w:t>
      </w:r>
    </w:p>
    <w:p>
      <w:pPr>
        <w:spacing w:after="0" w:line="179" w:lineRule="exact"/>
        <w:rPr>
          <w:sz w:val="20"/>
          <w:szCs w:val="20"/>
          <w:color w:val="auto"/>
        </w:rPr>
      </w:pPr>
    </w:p>
    <w:p>
      <w:pPr>
        <w:jc w:val="both"/>
        <w:ind w:left="700" w:right="200" w:firstLine="48"/>
        <w:spacing w:after="0" w:line="286" w:lineRule="auto"/>
        <w:rPr>
          <w:sz w:val="20"/>
          <w:szCs w:val="20"/>
          <w:color w:val="auto"/>
        </w:rPr>
      </w:pPr>
      <w:r>
        <w:rPr>
          <w:rFonts w:ascii="Times New Roman" w:cs="Times New Roman" w:eastAsia="Times New Roman" w:hAnsi="Times New Roman"/>
          <w:sz w:val="19"/>
          <w:szCs w:val="19"/>
          <w:color w:val="auto"/>
        </w:rPr>
        <w:t>3.5. The Administrative Agent shall have received state and federal tax lien, judgment lien and UCC lien searches against the Borrower from the applicable jurisdiction of organization and from the jurisdiction where its chief executive office is located.</w:t>
      </w:r>
    </w:p>
    <w:p>
      <w:pPr>
        <w:spacing w:after="0" w:line="151" w:lineRule="exact"/>
        <w:rPr>
          <w:sz w:val="20"/>
          <w:szCs w:val="20"/>
          <w:color w:val="auto"/>
        </w:rPr>
      </w:pPr>
    </w:p>
    <w:p>
      <w:pPr>
        <w:ind w:left="700" w:right="480" w:firstLine="48"/>
        <w:spacing w:after="0" w:line="286" w:lineRule="auto"/>
        <w:rPr>
          <w:sz w:val="20"/>
          <w:szCs w:val="20"/>
          <w:color w:val="auto"/>
        </w:rPr>
      </w:pPr>
      <w:r>
        <w:rPr>
          <w:rFonts w:ascii="Times New Roman" w:cs="Times New Roman" w:eastAsia="Times New Roman" w:hAnsi="Times New Roman"/>
          <w:sz w:val="19"/>
          <w:szCs w:val="19"/>
          <w:color w:val="auto"/>
        </w:rPr>
        <w:t>3.6 The Administrative Agent shall have received opinions of legal counsel for the Borrower reasonably acceptable to the Agent relating to enforceability, non-contravention, corporate matters of the Borrower; and the UCC.</w:t>
      </w:r>
    </w:p>
    <w:p>
      <w:pPr>
        <w:spacing w:after="0" w:line="151" w:lineRule="exact"/>
        <w:rPr>
          <w:sz w:val="20"/>
          <w:szCs w:val="20"/>
          <w:color w:val="auto"/>
        </w:rPr>
      </w:pPr>
    </w:p>
    <w:p>
      <w:pPr>
        <w:ind w:left="700" w:right="260" w:firstLine="48"/>
        <w:spacing w:after="0" w:line="286" w:lineRule="auto"/>
        <w:rPr>
          <w:sz w:val="20"/>
          <w:szCs w:val="20"/>
          <w:color w:val="auto"/>
        </w:rPr>
      </w:pPr>
      <w:r>
        <w:rPr>
          <w:rFonts w:ascii="Times New Roman" w:cs="Times New Roman" w:eastAsia="Times New Roman" w:hAnsi="Times New Roman"/>
          <w:sz w:val="19"/>
          <w:szCs w:val="19"/>
          <w:color w:val="auto"/>
        </w:rPr>
        <w:t>3.7 Legal matters incident to the execution and delivery of this Amendment shall be satisfactory to the Administrative Agent and its counsel.</w:t>
      </w:r>
    </w:p>
    <w:p>
      <w:pPr>
        <w:spacing w:after="0" w:line="151" w:lineRule="exact"/>
        <w:rPr>
          <w:sz w:val="20"/>
          <w:szCs w:val="20"/>
          <w:color w:val="auto"/>
        </w:rPr>
      </w:pPr>
    </w:p>
    <w:p>
      <w:pPr>
        <w:ind w:left="700" w:right="520" w:firstLine="48"/>
        <w:spacing w:after="0" w:line="286" w:lineRule="auto"/>
        <w:rPr>
          <w:sz w:val="20"/>
          <w:szCs w:val="20"/>
          <w:color w:val="auto"/>
        </w:rPr>
      </w:pPr>
      <w:r>
        <w:rPr>
          <w:rFonts w:ascii="Times New Roman" w:cs="Times New Roman" w:eastAsia="Times New Roman" w:hAnsi="Times New Roman"/>
          <w:sz w:val="19"/>
          <w:szCs w:val="19"/>
          <w:color w:val="auto"/>
        </w:rPr>
        <w:t>3.8. No Unmatured Event of Default or Event of Default shall have occurred and be continuing (after giving effect to this Amendment).</w:t>
      </w:r>
    </w:p>
    <w:p>
      <w:pPr>
        <w:spacing w:after="0" w:line="149" w:lineRule="exact"/>
        <w:rPr>
          <w:sz w:val="20"/>
          <w:szCs w:val="20"/>
          <w:color w:val="auto"/>
        </w:rPr>
      </w:pPr>
    </w:p>
    <w:p>
      <w:pPr>
        <w:jc w:val="both"/>
        <w:ind w:right="40" w:firstLine="48"/>
        <w:spacing w:after="0" w:line="257" w:lineRule="auto"/>
        <w:rPr>
          <w:sz w:val="20"/>
          <w:szCs w:val="20"/>
          <w:color w:val="auto"/>
        </w:rPr>
      </w:pPr>
      <w:r>
        <w:rPr>
          <w:rFonts w:ascii="Times New Roman" w:cs="Times New Roman" w:eastAsia="Times New Roman" w:hAnsi="Times New Roman"/>
          <w:sz w:val="19"/>
          <w:szCs w:val="19"/>
          <w:i w:val="1"/>
          <w:iCs w:val="1"/>
          <w:color w:val="auto"/>
        </w:rPr>
        <w:t xml:space="preserve">Section 4. Representations of the Borrower. </w:t>
      </w:r>
      <w:r>
        <w:rPr>
          <w:rFonts w:ascii="Times New Roman" w:cs="Times New Roman" w:eastAsia="Times New Roman" w:hAnsi="Times New Roman"/>
          <w:sz w:val="19"/>
          <w:szCs w:val="19"/>
          <w:color w:val="auto"/>
        </w:rPr>
        <w:t>The Borrower hereby represents and warrants to the parties hereto that as of the date hereof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its representations and warranties contained in Article IV of the Credit Agreement and any other Transaction Documents to which it is a party are true and correct in all material respects as of the date hereof and after giving effect to this Amendment (except to the extent that such representations and warranties relate solely to an earlier date, and then are true and correct as of such earlier date).</w:t>
      </w:r>
    </w:p>
    <w:p>
      <w:pP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46" w:name="page147"/>
    <w:bookmarkEnd w:id="146"/>
    <w:p>
      <w:pPr>
        <w:spacing w:after="0" w:line="200" w:lineRule="exact"/>
        <w:rPr>
          <w:sz w:val="20"/>
          <w:szCs w:val="20"/>
          <w:color w:val="auto"/>
        </w:rPr>
      </w:pPr>
    </w:p>
    <w:p>
      <w:pPr>
        <w:spacing w:after="0" w:line="283" w:lineRule="exact"/>
        <w:rPr>
          <w:sz w:val="20"/>
          <w:szCs w:val="20"/>
          <w:color w:val="auto"/>
        </w:rPr>
      </w:pPr>
    </w:p>
    <w:p>
      <w:pPr>
        <w:ind w:right="80" w:firstLine="48"/>
        <w:spacing w:after="0" w:line="234" w:lineRule="exact"/>
        <w:rPr>
          <w:sz w:val="20"/>
          <w:szCs w:val="20"/>
          <w:color w:val="auto"/>
        </w:rPr>
      </w:pPr>
      <w:r>
        <w:rPr>
          <w:rFonts w:ascii="Times New Roman" w:cs="Times New Roman" w:eastAsia="Times New Roman" w:hAnsi="Times New Roman"/>
          <w:sz w:val="19"/>
          <w:szCs w:val="19"/>
          <w:i w:val="1"/>
          <w:iCs w:val="1"/>
          <w:color w:val="auto"/>
        </w:rPr>
        <w:t xml:space="preserve">Section 5. Execution in Counterparts. </w:t>
      </w:r>
      <w:r>
        <w:rPr>
          <w:rFonts w:ascii="Times New Roman" w:cs="Times New Roman" w:eastAsia="Times New Roman" w:hAnsi="Times New Roman"/>
          <w:sz w:val="19"/>
          <w:szCs w:val="19"/>
          <w:color w:val="auto"/>
        </w:rPr>
        <w:t>This Amendment may be executed in any number of counterparts, and by the different parties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different counterpart signature pages, all of which taken together shall constitute one and the same agreement. Any of the parties hereto may execute this Amendment by signing any such counterpart and each of such counterparts shall for all purposes be deemed to be an original. Delivery of a counterpart hereof by facsimile transmission or by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mail transmission of an Adobe Portable Document Format File (also known as an </w:t>
      </w:r>
      <w:r>
        <w:rPr>
          <w:rFonts w:ascii="Times New Roman" w:cs="Times New Roman" w:eastAsia="Times New Roman" w:hAnsi="Times New Roman"/>
          <w:sz w:val="19"/>
          <w:szCs w:val="19"/>
          <w:i w:val="1"/>
          <w:iCs w:val="1"/>
          <w:color w:val="auto"/>
        </w:rPr>
        <w:t>“PDF”</w:t>
      </w:r>
      <w:r>
        <w:rPr>
          <w:rFonts w:ascii="Times New Roman" w:cs="Times New Roman" w:eastAsia="Times New Roman" w:hAnsi="Times New Roman"/>
          <w:sz w:val="19"/>
          <w:szCs w:val="19"/>
          <w:color w:val="auto"/>
        </w:rPr>
        <w:t xml:space="preserve"> file) shall be effective as delivery of a manually executed counterpart hereof.</w:t>
      </w:r>
    </w:p>
    <w:p>
      <w:pPr>
        <w:spacing w:after="0" w:line="191" w:lineRule="exact"/>
        <w:rPr>
          <w:sz w:val="20"/>
          <w:szCs w:val="20"/>
          <w:color w:val="auto"/>
        </w:rPr>
      </w:pPr>
    </w:p>
    <w:p>
      <w:pPr>
        <w:ind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Section 6. Governing Law. </w:t>
      </w:r>
      <w:r>
        <w:rPr>
          <w:rFonts w:ascii="Times New Roman" w:cs="Times New Roman" w:eastAsia="Times New Roman" w:hAnsi="Times New Roman"/>
          <w:sz w:val="19"/>
          <w:szCs w:val="19"/>
          <w:color w:val="auto"/>
        </w:rPr>
        <w:t>This Amendment shall be construed in accordance with the internal laws of the State of New York, without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reference to conflict of law principles, and the obligations, rights and remedies of the parties hereunder shall be determined in accordance with the internal laws of the State of New York.</w:t>
      </w: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[Signature Pages To Follow]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47" w:name="page148"/>
    <w:bookmarkEnd w:id="147"/>
    <w:p>
      <w:pPr>
        <w:spacing w:after="0" w:line="269" w:lineRule="exact"/>
        <w:rPr>
          <w:sz w:val="20"/>
          <w:szCs w:val="20"/>
          <w:color w:val="auto"/>
        </w:rPr>
      </w:pPr>
    </w:p>
    <w:p>
      <w:pPr>
        <w:ind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hereto have caused this Amendment to Credit Agreement to be executed and delivered by their duly authorized officers as of the date hereof.</w:t>
      </w:r>
    </w:p>
    <w:p>
      <w:pPr>
        <w:spacing w:after="0" w:line="2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Borrower:</w:t>
      </w:r>
    </w:p>
    <w:p>
      <w:pPr>
        <w:spacing w:after="0" w:line="2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Runway Growth Finance Corp.</w:t>
      </w:r>
    </w:p>
    <w:p>
      <w:pPr>
        <w:spacing w:after="0" w:line="200" w:lineRule="exact"/>
        <w:rPr>
          <w:sz w:val="20"/>
          <w:szCs w:val="20"/>
          <w:color w:val="auto"/>
        </w:rPr>
      </w:pPr>
    </w:p>
    <w:p>
      <w:pPr>
        <w:spacing w:after="0" w:line="3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 /s/ Thomas B. Raterman</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 Thomas B. Raterman</w:t>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 Chief Financial Officer</w:t>
      </w:r>
    </w:p>
    <w:p>
      <w:pPr>
        <w:spacing w:after="0" w:line="1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685800</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148" w:name="page149"/>
    <w:bookmarkEnd w:id="148"/>
    <w:p>
      <w:pPr>
        <w:spacing w:after="0" w:line="2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KeyBank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Richard Anderson</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Richard Anderson</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KeyBank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Richard Anderson</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Richard Anderson</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49" w:name="page150"/>
    <w:bookmarkEnd w:id="149"/>
    <w:p>
      <w:pPr>
        <w:spacing w:after="0" w:line="2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Administrative Agent:</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Richard Anderson</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Richard Anderson</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675640</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0" w:name="page151"/>
    <w:bookmarkEnd w:id="150"/>
    <w:p>
      <w:pPr>
        <w:spacing w:after="0" w:line="2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CIBC Bank USA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CIBC Bank USA</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Scott Williams</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Scott Williams</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Associate Managing Director</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CIBC BANK USA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CIBC Bank USA</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Scott Williams</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Scott Williams</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Associate Managing Director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1" w:name="page152"/>
    <w:bookmarkEnd w:id="151"/>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MUFG Bank, Ltd.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MUFG Bank, Ltd.</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Ted Polito</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Ted Polito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MUFG Bank, Ltd.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MUFG Bank, Ltd.</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Ted Polito</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Ted Polito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Vice President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2" w:name="page153"/>
    <w:bookmarkEnd w:id="152"/>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Everbank,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Everbank, N.A.</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Christopher Malinowski</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Christopher Malinowski</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Director</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Everbank,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Everbank, N.A.</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Christopher Malinowski</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Christopher Malinowski</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Director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3" w:name="page154"/>
    <w:bookmarkEnd w:id="153"/>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WebBank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WebBank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Jason Lloyd</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Jason Lloyd</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President &amp; CEO</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WebBank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WebBank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Jason Lloyd</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Jason Lloyd</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President &amp; CEO</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4" w:name="page155"/>
    <w:bookmarkEnd w:id="154"/>
    <w:p>
      <w:pPr>
        <w:spacing w:after="0" w:line="200" w:lineRule="exact"/>
        <w:rPr>
          <w:sz w:val="20"/>
          <w:szCs w:val="20"/>
          <w:color w:val="auto"/>
        </w:rPr>
      </w:pPr>
    </w:p>
    <w:p>
      <w:pPr>
        <w:spacing w:after="0" w:line="285"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19"/>
          <w:szCs w:val="19"/>
          <w:color w:val="auto"/>
        </w:rPr>
        <w:t>Managing Agent for the Bank of Hope Lender Group:</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Bank of Hope</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Manjula Jayasinghe</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Manjula Jayasinghe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SVP, Corporate Banking Group</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Bank of Hope Lender Group:</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Bank of Hope</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Manjula Jayasinghe</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Manjula Jayasinghe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SVP, Corporate Banking Group</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5" w:name="page156"/>
    <w:bookmarkEnd w:id="155"/>
    <w:p>
      <w:pPr>
        <w:spacing w:after="0" w:line="200" w:lineRule="exact"/>
        <w:rPr>
          <w:sz w:val="20"/>
          <w:szCs w:val="20"/>
          <w:color w:val="auto"/>
        </w:rPr>
      </w:pPr>
    </w:p>
    <w:p>
      <w:pPr>
        <w:spacing w:after="0" w:line="285" w:lineRule="exact"/>
        <w:rPr>
          <w:sz w:val="20"/>
          <w:szCs w:val="20"/>
          <w:color w:val="auto"/>
        </w:rPr>
      </w:pPr>
    </w:p>
    <w:p>
      <w:pPr>
        <w:jc w:val="right"/>
        <w:ind w:right="660"/>
        <w:spacing w:after="0"/>
        <w:rPr>
          <w:sz w:val="20"/>
          <w:szCs w:val="20"/>
          <w:color w:val="auto"/>
        </w:rPr>
      </w:pPr>
      <w:r>
        <w:rPr>
          <w:rFonts w:ascii="Times New Roman" w:cs="Times New Roman" w:eastAsia="Times New Roman" w:hAnsi="Times New Roman"/>
          <w:sz w:val="19"/>
          <w:szCs w:val="19"/>
          <w:color w:val="auto"/>
        </w:rPr>
        <w:t>Managing Agent for the First Foundation Bank Lender Group:</w:t>
      </w: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First Foundation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Anca Finger</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Anca Finger</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Corporate Banking Portfolio Manager</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First Foundation Bank Lender Group:</w:t>
      </w:r>
    </w:p>
    <w:p>
      <w:pPr>
        <w:spacing w:after="0" w:line="2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9"/>
          <w:szCs w:val="19"/>
          <w:color w:val="auto"/>
        </w:rPr>
        <w:t>First Foundation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Anca Finger</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Anca Finger</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Corporate Banking Portfolio Manager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6" w:name="page157"/>
    <w:bookmarkEnd w:id="156"/>
    <w:p>
      <w:pPr>
        <w:spacing w:after="0" w:line="200" w:lineRule="exact"/>
        <w:rPr>
          <w:sz w:val="20"/>
          <w:szCs w:val="20"/>
          <w:color w:val="auto"/>
        </w:rPr>
      </w:pPr>
    </w:p>
    <w:p>
      <w:pPr>
        <w:spacing w:after="0" w:line="285"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9"/>
          <w:szCs w:val="19"/>
          <w:color w:val="auto"/>
        </w:rPr>
        <w:t>Managing Agent for the East West Bank Lender Group:</w:t>
      </w:r>
    </w:p>
    <w:p>
      <w:pPr>
        <w:spacing w:after="0" w:line="2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East West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Brian Carbone</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Brian Carbone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East West Bank Lender Group:</w:t>
      </w:r>
    </w:p>
    <w:p>
      <w:pPr>
        <w:spacing w:after="0" w:line="2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East West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Brian Carbone</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Brian Carbone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Managing Director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7" w:name="page158"/>
    <w:bookmarkEnd w:id="157"/>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Zions Bancorporation,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Zions Bancorporation, N.A.</w:t>
      </w:r>
    </w:p>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d/b/a California Bank &amp; Trust</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Peter M. Drees</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Peter M. Drees</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Zions Bancorporation,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Zions Bancorporation, N.A.</w:t>
      </w:r>
    </w:p>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auto"/>
        </w:rPr>
        <w:t>d/b/a California Bank &amp; Trust</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Peter M. Drees</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Peter M. Drees</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8" w:name="page159"/>
    <w:bookmarkEnd w:id="158"/>
    <w:p>
      <w:pPr>
        <w:spacing w:after="0" w:line="200" w:lineRule="exact"/>
        <w:rPr>
          <w:sz w:val="20"/>
          <w:szCs w:val="20"/>
          <w:color w:val="auto"/>
        </w:rPr>
      </w:pPr>
    </w:p>
    <w:p>
      <w:pPr>
        <w:spacing w:after="0" w:line="285"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auto"/>
        </w:rPr>
        <w:t>Managing Agent for the Hancock Whitney Bank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Hancock Whitney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Thomas Pericak</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Thomas Pericak</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SVP</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Hancock Whitney Bank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Hancock Whitney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Thomas Pericak</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Thomas Pericak</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SVP</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59" w:name="page160"/>
    <w:bookmarkEnd w:id="159"/>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Managing Agent for the Mitsubishi HC Capital America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Mitsubishi HC Capital America</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James M. Giaimo</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James M. Giaimo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Chief Credit Officer, Commercial Finance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Mitsubishi HC Capital America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Mitsubishi HC Capital America</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James M. Giaimo</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James M. Giaimo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Chief Credit Officer, Commercial Finance</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60"/>
          </w:cols>
          <w:pgMar w:left="1440" w:top="1440" w:right="1400" w:bottom="1440" w:gutter="0" w:footer="0" w:header="0"/>
        </w:sectPr>
      </w:pPr>
    </w:p>
    <w:bookmarkStart w:id="160" w:name="page161"/>
    <w:bookmarkEnd w:id="160"/>
    <w:p>
      <w:pPr>
        <w:spacing w:after="0" w:line="200" w:lineRule="exact"/>
        <w:rPr>
          <w:sz w:val="20"/>
          <w:szCs w:val="20"/>
          <w:color w:val="auto"/>
        </w:rPr>
      </w:pPr>
    </w:p>
    <w:p>
      <w:pPr>
        <w:spacing w:after="0" w:line="285"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9"/>
          <w:szCs w:val="19"/>
          <w:color w:val="auto"/>
        </w:rPr>
        <w:t>Managing Agent for the Customers Bank Lender Group:</w:t>
      </w: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Customers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Anthony Cerminaro</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Anthony Cerminaro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Customers Bank Lender Group:</w:t>
      </w: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auto"/>
        </w:rPr>
        <w:t>Customers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Anthony Cerminaro</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Anthony Cerminaro</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1" w:name="page162"/>
    <w:bookmarkEnd w:id="161"/>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Autobahn Funding Company LLC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Autobahn Funding Company LLC</w:t>
      </w:r>
    </w:p>
    <w:p>
      <w:pPr>
        <w:spacing w:after="0" w:line="226" w:lineRule="exact"/>
        <w:rPr>
          <w:sz w:val="20"/>
          <w:szCs w:val="20"/>
          <w:color w:val="auto"/>
        </w:rPr>
      </w:pPr>
    </w:p>
    <w:p>
      <w:pPr>
        <w:ind w:left="4320" w:hanging="1019"/>
        <w:spacing w:after="0" w:line="286" w:lineRule="auto"/>
        <w:rPr>
          <w:sz w:val="20"/>
          <w:szCs w:val="20"/>
          <w:color w:val="auto"/>
        </w:rPr>
      </w:pPr>
      <w:r>
        <w:rPr>
          <w:rFonts w:ascii="Times New Roman" w:cs="Times New Roman" w:eastAsia="Times New Roman" w:hAnsi="Times New Roman"/>
          <w:sz w:val="19"/>
          <w:szCs w:val="19"/>
          <w:color w:val="auto"/>
        </w:rPr>
        <w:t>By: DZ Bank AG Deutsche Zentral-Genossenschaftsbank, Frankfurt Am Main, New York Branch, as its attorney-in-fact</w:t>
      </w:r>
    </w:p>
    <w:p>
      <w:pPr>
        <w:spacing w:after="0" w:line="38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James A. Miers</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James A. Miers</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Markus Fassbender</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Markus Fassbender</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Autobahn Funding Company LLC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Autobahn Funding Company LLC</w:t>
      </w:r>
    </w:p>
    <w:p>
      <w:pPr>
        <w:spacing w:after="0" w:line="226" w:lineRule="exact"/>
        <w:rPr>
          <w:sz w:val="20"/>
          <w:szCs w:val="20"/>
          <w:color w:val="auto"/>
        </w:rPr>
      </w:pPr>
    </w:p>
    <w:p>
      <w:pPr>
        <w:ind w:left="4320" w:right="20" w:hanging="1031"/>
        <w:spacing w:after="0" w:line="286" w:lineRule="auto"/>
        <w:rPr>
          <w:sz w:val="20"/>
          <w:szCs w:val="20"/>
          <w:color w:val="auto"/>
        </w:rPr>
      </w:pPr>
      <w:r>
        <w:rPr>
          <w:rFonts w:ascii="Times New Roman" w:cs="Times New Roman" w:eastAsia="Times New Roman" w:hAnsi="Times New Roman"/>
          <w:sz w:val="19"/>
          <w:szCs w:val="19"/>
          <w:color w:val="auto"/>
        </w:rPr>
        <w:t>By: DZ Bank AG Deutsche Zentral-Genossenschaftsbank, Frankfurt Am Main, New York Branch, as its attorney-in-fact</w:t>
      </w:r>
    </w:p>
    <w:p>
      <w:pPr>
        <w:spacing w:after="0" w:line="200" w:lineRule="exact"/>
        <w:rPr>
          <w:sz w:val="20"/>
          <w:szCs w:val="20"/>
          <w:color w:val="auto"/>
        </w:rPr>
      </w:pPr>
    </w:p>
    <w:p>
      <w:pPr>
        <w:spacing w:after="0" w:line="24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James A. Miers</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James A. Miers</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Markus Fassbender</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Markus Fassbender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162" w:name="page163"/>
    <w:bookmarkEnd w:id="162"/>
    <w:p>
      <w:pPr>
        <w:spacing w:after="0" w:line="200" w:lineRule="exact"/>
        <w:rPr>
          <w:sz w:val="20"/>
          <w:szCs w:val="20"/>
          <w:color w:val="auto"/>
        </w:rPr>
      </w:pPr>
    </w:p>
    <w:p>
      <w:pPr>
        <w:spacing w:after="0" w:line="285" w:lineRule="exact"/>
        <w:rPr>
          <w:sz w:val="20"/>
          <w:szCs w:val="20"/>
          <w:color w:val="auto"/>
        </w:rPr>
      </w:pPr>
    </w:p>
    <w:p>
      <w:pPr>
        <w:ind w:left="4080" w:hanging="515"/>
        <w:spacing w:after="0" w:line="286" w:lineRule="auto"/>
        <w:rPr>
          <w:sz w:val="20"/>
          <w:szCs w:val="20"/>
          <w:color w:val="auto"/>
        </w:rPr>
      </w:pPr>
      <w:r>
        <w:rPr>
          <w:rFonts w:ascii="Times New Roman" w:cs="Times New Roman" w:eastAsia="Times New Roman" w:hAnsi="Times New Roman"/>
          <w:sz w:val="19"/>
          <w:szCs w:val="19"/>
          <w:color w:val="auto"/>
        </w:rPr>
        <w:t>DZ Bank AG Deutsche Zentral-Genossenschaftsbank, Frankfurt Am Main, New York Branch, as Liquidity Provider</w:t>
      </w:r>
    </w:p>
    <w:p>
      <w:pPr>
        <w:spacing w:after="0" w:line="200" w:lineRule="exact"/>
        <w:rPr>
          <w:sz w:val="20"/>
          <w:szCs w:val="20"/>
          <w:color w:val="auto"/>
        </w:rPr>
      </w:pPr>
    </w:p>
    <w:p>
      <w:pPr>
        <w:spacing w:after="0" w:line="24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James A. Miers</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James A. Miers</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Markus Fassbender</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Markus Fassbender</w:t>
      </w:r>
    </w:p>
    <w:p>
      <w:pPr>
        <w:spacing w:after="0" w:line="16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20"/>
          </w:cols>
          <w:pgMar w:left="1440" w:top="1440" w:right="740" w:bottom="1440" w:gutter="0" w:footer="0" w:header="0"/>
        </w:sectPr>
      </w:pPr>
    </w:p>
    <w:bookmarkStart w:id="163" w:name="page164"/>
    <w:bookmarkEnd w:id="163"/>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Valley National Bank Lender Group:</w:t>
      </w:r>
    </w:p>
    <w:p>
      <w:pPr>
        <w:spacing w:after="0" w:line="2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Valley National 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Phillip McCaulay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Phillip McCaulay</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Valley National Bank Lender Group:</w:t>
      </w:r>
    </w:p>
    <w:p>
      <w:pPr>
        <w:spacing w:after="0" w:line="2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Valley National 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 /s/ Phillip McCaulay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 Phillip McCaulay</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 Senior Vice President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64" w:name="page165"/>
    <w:bookmarkEnd w:id="164"/>
    <w:p>
      <w:pPr>
        <w:spacing w:after="0" w:line="200" w:lineRule="exact"/>
        <w:rPr>
          <w:sz w:val="20"/>
          <w:szCs w:val="20"/>
          <w:color w:val="auto"/>
        </w:rPr>
      </w:pPr>
    </w:p>
    <w:p>
      <w:pPr>
        <w:spacing w:after="0" w:line="35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19"/>
          <w:szCs w:val="19"/>
          <w:b w:val="1"/>
          <w:bCs w:val="1"/>
          <w:color w:val="auto"/>
        </w:rPr>
        <w:t xml:space="preserve"> A</w:t>
      </w:r>
    </w:p>
    <w:p>
      <w:pPr>
        <w:spacing w:after="0" w:line="29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TTACHED</w:t>
      </w:r>
      <w:r>
        <w:rPr>
          <w:rFonts w:ascii="Times New Roman" w:cs="Times New Roman" w:eastAsia="Times New Roman" w:hAnsi="Times New Roman"/>
          <w:sz w:val="18"/>
          <w:szCs w:val="18"/>
          <w:b w:val="1"/>
          <w:bCs w:val="1"/>
          <w:color w:val="auto"/>
        </w:rPr>
        <w:t>)</w:t>
      </w:r>
    </w:p>
    <w:p>
      <w:pPr>
        <w:spacing w:after="0" w:line="40" w:lineRule="exact"/>
        <w:rPr>
          <w:sz w:val="20"/>
          <w:szCs w:val="20"/>
          <w:color w:val="auto"/>
        </w:rPr>
      </w:pPr>
    </w:p>
    <w:p>
      <w:pPr>
        <w:ind w:right="4740"/>
        <w:spacing w:after="0" w:line="267" w:lineRule="auto"/>
        <w:rPr>
          <w:sz w:val="20"/>
          <w:szCs w:val="20"/>
          <w:color w:val="auto"/>
        </w:rPr>
      </w:pPr>
      <w:r>
        <w:rPr>
          <w:rFonts w:ascii="Times New Roman" w:cs="Times New Roman" w:eastAsia="Times New Roman" w:hAnsi="Times New Roman"/>
          <w:sz w:val="14"/>
          <w:szCs w:val="14"/>
          <w:color w:val="auto"/>
        </w:rPr>
        <w:t xml:space="preserve">Ex. A to </w:t>
      </w:r>
      <w:r>
        <w:rPr>
          <w:rFonts w:ascii="Times New Roman" w:cs="Times New Roman" w:eastAsia="Times New Roman" w:hAnsi="Times New Roman"/>
          <w:sz w:val="14"/>
          <w:szCs w:val="14"/>
          <w:color w:val="FF0000"/>
          <w:strike w:val="1"/>
        </w:rPr>
        <w:t>Fifth</w:t>
      </w:r>
      <w:r>
        <w:rPr>
          <w:rFonts w:ascii="Times New Roman" w:cs="Times New Roman" w:eastAsia="Times New Roman" w:hAnsi="Times New Roman"/>
          <w:sz w:val="14"/>
          <w:szCs w:val="14"/>
          <w:color w:val="0000FF"/>
        </w:rPr>
        <w:t>Sixth</w:t>
      </w:r>
      <w:r>
        <w:rPr>
          <w:rFonts w:ascii="Times New Roman" w:cs="Times New Roman" w:eastAsia="Times New Roman" w:hAnsi="Times New Roman"/>
          <w:sz w:val="14"/>
          <w:szCs w:val="14"/>
          <w:color w:val="auto"/>
        </w:rPr>
        <w:t xml:space="preserve"> Amendment (Runway) </w:t>
      </w:r>
      <w:r>
        <w:rPr>
          <w:rFonts w:ascii="Times New Roman" w:cs="Times New Roman" w:eastAsia="Times New Roman" w:hAnsi="Times New Roman"/>
          <w:sz w:val="14"/>
          <w:szCs w:val="14"/>
          <w:color w:val="FF0000"/>
          <w:strike w:val="1"/>
        </w:rPr>
        <w:t>4858-6487-5260</w:t>
      </w:r>
      <w:r>
        <w:rPr>
          <w:rFonts w:ascii="Times New Roman" w:cs="Times New Roman" w:eastAsia="Times New Roman" w:hAnsi="Times New Roman"/>
          <w:sz w:val="14"/>
          <w:szCs w:val="14"/>
          <w:color w:val="0000FF"/>
        </w:rPr>
        <w:t>4926-6486-5559</w:t>
      </w:r>
      <w:r>
        <w:rPr>
          <w:rFonts w:ascii="Times New Roman" w:cs="Times New Roman" w:eastAsia="Times New Roman" w:hAnsi="Times New Roman"/>
          <w:sz w:val="14"/>
          <w:szCs w:val="14"/>
          <w:color w:val="auto"/>
        </w:rPr>
        <w:t xml:space="preserve"> v</w:t>
      </w:r>
      <w:r>
        <w:rPr>
          <w:rFonts w:ascii="Times New Roman" w:cs="Times New Roman" w:eastAsia="Times New Roman" w:hAnsi="Times New Roman"/>
          <w:sz w:val="14"/>
          <w:szCs w:val="14"/>
          <w:color w:val="FF0000"/>
          <w:strike w:val="1"/>
        </w:rPr>
        <w:t>2</w:t>
      </w:r>
      <w:r>
        <w:rPr>
          <w:rFonts w:ascii="Times New Roman" w:cs="Times New Roman" w:eastAsia="Times New Roman" w:hAnsi="Times New Roman"/>
          <w:sz w:val="14"/>
          <w:szCs w:val="14"/>
          <w:color w:val="0000FF"/>
        </w:rPr>
        <w:t>16</w:t>
      </w:r>
      <w:r>
        <w:rPr>
          <w:rFonts w:ascii="Times New Roman" w:cs="Times New Roman" w:eastAsia="Times New Roman" w:hAnsi="Times New Roman"/>
          <w:sz w:val="14"/>
          <w:szCs w:val="14"/>
          <w:color w:val="auto"/>
        </w:rPr>
        <w:t xml:space="preserve">.docx </w:t>
      </w:r>
      <w:r>
        <w:rPr>
          <w:rFonts w:ascii="Times New Roman" w:cs="Times New Roman" w:eastAsia="Times New Roman" w:hAnsi="Times New Roman"/>
          <w:sz w:val="14"/>
          <w:szCs w:val="14"/>
          <w:color w:val="0000FF"/>
        </w:rPr>
        <w:t>4287157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549910</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165" w:name="page166"/>
    <w:bookmarkEnd w:id="165"/>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19"/>
          <w:szCs w:val="19"/>
          <w:b w:val="1"/>
          <w:bCs w:val="1"/>
          <w:color w:val="auto"/>
        </w:rPr>
        <w:t xml:space="preserve"> A</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ONFORMED</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3"/>
          <w:szCs w:val="13"/>
          <w:b w:val="1"/>
          <w:bCs w:val="1"/>
          <w:color w:val="auto"/>
        </w:rPr>
        <w:t>HROUGH</w:t>
      </w:r>
    </w:p>
    <w:p>
      <w:pPr>
        <w:spacing w:after="0" w:line="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FF0000"/>
          <w:strike w:val="1"/>
        </w:rPr>
        <w:t>F</w:t>
      </w:r>
      <w:r>
        <w:rPr>
          <w:rFonts w:ascii="Times New Roman" w:cs="Times New Roman" w:eastAsia="Times New Roman" w:hAnsi="Times New Roman"/>
          <w:sz w:val="13"/>
          <w:szCs w:val="13"/>
          <w:b w:val="1"/>
          <w:bCs w:val="1"/>
          <w:color w:val="FF0000"/>
          <w:strike w:val="1"/>
        </w:rPr>
        <w:t>IFTH</w:t>
      </w:r>
      <w:r>
        <w:rPr>
          <w:rFonts w:ascii="Times New Roman" w:cs="Times New Roman" w:eastAsia="Times New Roman" w:hAnsi="Times New Roman"/>
          <w:sz w:val="19"/>
          <w:szCs w:val="19"/>
          <w:b w:val="1"/>
          <w:bCs w:val="1"/>
          <w:color w:val="0000FF"/>
        </w:rPr>
        <w:t>S</w:t>
      </w:r>
      <w:r>
        <w:rPr>
          <w:rFonts w:ascii="Times New Roman" w:cs="Times New Roman" w:eastAsia="Times New Roman" w:hAnsi="Times New Roman"/>
          <w:sz w:val="13"/>
          <w:szCs w:val="13"/>
          <w:b w:val="1"/>
          <w:bCs w:val="1"/>
          <w:color w:val="0000FF"/>
        </w:rPr>
        <w:t>IXTH</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b w:val="1"/>
          <w:bCs w:val="1"/>
          <w:color w:val="000000"/>
        </w:rPr>
        <w:t>A</w:t>
      </w:r>
      <w:r>
        <w:rPr>
          <w:rFonts w:ascii="Times New Roman" w:cs="Times New Roman" w:eastAsia="Times New Roman" w:hAnsi="Times New Roman"/>
          <w:sz w:val="13"/>
          <w:szCs w:val="13"/>
          <w:b w:val="1"/>
          <w:bCs w:val="1"/>
          <w:color w:val="000000"/>
        </w:rPr>
        <w:t>MENDMENT</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b w:val="1"/>
          <w:bCs w:val="1"/>
          <w:color w:val="000000"/>
        </w:rPr>
        <w:t>D</w:t>
      </w:r>
      <w:r>
        <w:rPr>
          <w:rFonts w:ascii="Times New Roman" w:cs="Times New Roman" w:eastAsia="Times New Roman" w:hAnsi="Times New Roman"/>
          <w:sz w:val="13"/>
          <w:szCs w:val="13"/>
          <w:b w:val="1"/>
          <w:bCs w:val="1"/>
          <w:color w:val="000000"/>
        </w:rPr>
        <w:t>ATED AS OF</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b w:val="1"/>
          <w:bCs w:val="1"/>
          <w:color w:val="FF0000"/>
          <w:strike w:val="1"/>
        </w:rPr>
        <w:t>N</w:t>
      </w:r>
      <w:r>
        <w:rPr>
          <w:rFonts w:ascii="Times New Roman" w:cs="Times New Roman" w:eastAsia="Times New Roman" w:hAnsi="Times New Roman"/>
          <w:sz w:val="13"/>
          <w:szCs w:val="13"/>
          <w:b w:val="1"/>
          <w:bCs w:val="1"/>
          <w:color w:val="FF0000"/>
          <w:strike w:val="1"/>
        </w:rPr>
        <w:t>OVEMBER</w:t>
      </w:r>
      <w:r>
        <w:rPr>
          <w:rFonts w:ascii="Times New Roman" w:cs="Times New Roman" w:eastAsia="Times New Roman" w:hAnsi="Times New Roman"/>
          <w:sz w:val="19"/>
          <w:szCs w:val="19"/>
          <w:b w:val="1"/>
          <w:bCs w:val="1"/>
          <w:color w:val="0000FF"/>
        </w:rPr>
        <w:t>M</w:t>
      </w:r>
      <w:r>
        <w:rPr>
          <w:rFonts w:ascii="Times New Roman" w:cs="Times New Roman" w:eastAsia="Times New Roman" w:hAnsi="Times New Roman"/>
          <w:sz w:val="13"/>
          <w:szCs w:val="13"/>
          <w:b w:val="1"/>
          <w:bCs w:val="1"/>
          <w:color w:val="0000FF"/>
        </w:rPr>
        <w:t>ARCH</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b w:val="1"/>
          <w:bCs w:val="1"/>
          <w:color w:val="FF0000"/>
          <w:strike w:val="1"/>
        </w:rPr>
        <w:t>22</w:t>
      </w:r>
      <w:r>
        <w:rPr>
          <w:rFonts w:ascii="Times New Roman" w:cs="Times New Roman" w:eastAsia="Times New Roman" w:hAnsi="Times New Roman"/>
          <w:sz w:val="19"/>
          <w:szCs w:val="19"/>
          <w:b w:val="1"/>
          <w:bCs w:val="1"/>
          <w:color w:val="0000FF"/>
        </w:rPr>
        <w:t>18</w:t>
      </w:r>
      <w:r>
        <w:rPr>
          <w:rFonts w:ascii="Times New Roman" w:cs="Times New Roman" w:eastAsia="Times New Roman" w:hAnsi="Times New Roman"/>
          <w:sz w:val="19"/>
          <w:szCs w:val="19"/>
          <w:b w:val="1"/>
          <w:bCs w:val="1"/>
          <w:color w:val="000000"/>
        </w:rPr>
        <w:t>,</w:t>
      </w:r>
      <w:r>
        <w:rPr>
          <w:rFonts w:ascii="Times New Roman" w:cs="Times New Roman" w:eastAsia="Times New Roman" w:hAnsi="Times New Roman"/>
          <w:sz w:val="19"/>
          <w:szCs w:val="19"/>
          <w:b w:val="1"/>
          <w:bCs w:val="1"/>
          <w:color w:val="FF0000"/>
        </w:rPr>
        <w:t xml:space="preserve"> </w:t>
      </w:r>
      <w:r>
        <w:rPr>
          <w:rFonts w:ascii="Times New Roman" w:cs="Times New Roman" w:eastAsia="Times New Roman" w:hAnsi="Times New Roman"/>
          <w:sz w:val="19"/>
          <w:szCs w:val="19"/>
          <w:b w:val="1"/>
          <w:bCs w:val="1"/>
          <w:color w:val="FF0000"/>
          <w:strike w:val="1"/>
        </w:rPr>
        <w:t>2024</w:t>
      </w:r>
      <w:r>
        <w:rPr>
          <w:rFonts w:ascii="Times New Roman" w:cs="Times New Roman" w:eastAsia="Times New Roman" w:hAnsi="Times New Roman"/>
          <w:sz w:val="19"/>
          <w:szCs w:val="19"/>
          <w:b w:val="1"/>
          <w:bCs w:val="1"/>
          <w:color w:val="0000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635</wp:posOffset>
            </wp:positionV>
            <wp:extent cx="670750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15875</wp:posOffset>
            </wp:positionV>
            <wp:extent cx="670750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9"/>
          <w:szCs w:val="19"/>
          <w:color w:val="auto"/>
        </w:rPr>
        <w:t>Amended and Restated Credit Agreement</w:t>
      </w:r>
    </w:p>
    <w:p>
      <w:pPr>
        <w:spacing w:after="0" w:line="32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Dated as of April 20, 2022</w:t>
      </w:r>
    </w:p>
    <w:p>
      <w:pPr>
        <w:spacing w:after="0" w:line="32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among</w:t>
      </w:r>
    </w:p>
    <w:p>
      <w:pPr>
        <w:spacing w:after="0" w:line="32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Runway Growth Finance Corp.,</w:t>
      </w:r>
    </w:p>
    <w:p>
      <w:pPr>
        <w:spacing w:after="0" w:line="3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as the Borrower</w:t>
      </w:r>
    </w:p>
    <w:p>
      <w:pPr>
        <w:spacing w:after="0" w:line="30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The Financial Institutions from Time to Time Party Hereto,</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as Lenders</w:t>
      </w:r>
    </w:p>
    <w:p>
      <w:pPr>
        <w:spacing w:after="0" w:line="30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as the Administrative Agent, Syndication Agent and Swingline Lender,</w:t>
      </w:r>
    </w:p>
    <w:p>
      <w:pPr>
        <w:spacing w:after="0" w:line="30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Each Guarantor Party Hereto,</w:t>
      </w:r>
    </w:p>
    <w:p>
      <w:pPr>
        <w:spacing w:after="0" w:line="3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as Guarantors</w:t>
      </w:r>
    </w:p>
    <w:p>
      <w:pPr>
        <w:spacing w:after="0" w:line="30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CIBC Bank USA,</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as Documentation Agent</w:t>
      </w:r>
    </w:p>
    <w:p>
      <w:pPr>
        <w:spacing w:after="0" w:line="300"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color w:val="auto"/>
        </w:rPr>
        <w:t>MUFG Bank, Ltd.</w:t>
      </w:r>
    </w:p>
    <w:p>
      <w:pPr>
        <w:spacing w:after="0" w:line="3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9"/>
          <w:szCs w:val="19"/>
          <w:color w:val="auto"/>
        </w:rPr>
        <w:t>as Co-Documentation Agent</w:t>
      </w:r>
    </w:p>
    <w:p>
      <w:pPr>
        <w:spacing w:after="0" w:line="30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9"/>
          <w:szCs w:val="19"/>
          <w:color w:val="auto"/>
        </w:rPr>
        <w:t>U.S. Bank Trust Company National Association,</w:t>
      </w:r>
    </w:p>
    <w:p>
      <w:pPr>
        <w:spacing w:after="0" w:line="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color w:val="auto"/>
        </w:rPr>
        <w:t>as the Collateral Custodian and as Paying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wp:posOffset>
            </wp:positionH>
            <wp:positionV relativeFrom="paragraph">
              <wp:posOffset>343535</wp:posOffset>
            </wp:positionV>
            <wp:extent cx="670750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358775</wp:posOffset>
            </wp:positionV>
            <wp:extent cx="670750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[Signature Page to Sixth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166" w:name="page167"/>
    <w:bookmarkEnd w:id="166"/>
    <w:p>
      <w:pPr>
        <w:spacing w:after="0" w:line="267" w:lineRule="exact"/>
        <w:rPr>
          <w:sz w:val="20"/>
          <w:szCs w:val="20"/>
          <w:color w:val="auto"/>
        </w:rPr>
      </w:pPr>
    </w:p>
    <w:p>
      <w:pPr>
        <w:jc w:val="right"/>
        <w:ind w:right="3740"/>
        <w:spacing w:after="0"/>
        <w:rPr>
          <w:sz w:val="20"/>
          <w:szCs w:val="20"/>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3"/>
          <w:szCs w:val="13"/>
          <w:b w:val="1"/>
          <w:bCs w:val="1"/>
          <w:color w:val="auto"/>
        </w:rPr>
        <w:t>ABLE OF</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ONTENTS</w:t>
      </w: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Section Heading Page</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finitions 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on 1.1. Certain Defined Terms 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 Other Terms </w:t>
      </w:r>
      <w:r>
        <w:rPr>
          <w:rFonts w:ascii="Times New Roman" w:cs="Times New Roman" w:eastAsia="Times New Roman" w:hAnsi="Times New Roman"/>
          <w:sz w:val="19"/>
          <w:szCs w:val="19"/>
          <w:color w:val="FF0000"/>
          <w:strike w:val="1"/>
        </w:rPr>
        <w:t>51</w:t>
      </w:r>
      <w:r>
        <w:rPr>
          <w:rFonts w:ascii="Times New Roman" w:cs="Times New Roman" w:eastAsia="Times New Roman" w:hAnsi="Times New Roman"/>
          <w:sz w:val="19"/>
          <w:szCs w:val="19"/>
          <w:color w:val="0000FF"/>
        </w:rPr>
        <w:t>56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1.3. Computation of Time Periods </w:t>
      </w:r>
      <w:r>
        <w:rPr>
          <w:rFonts w:ascii="Times New Roman" w:cs="Times New Roman" w:eastAsia="Times New Roman" w:hAnsi="Times New Roman"/>
          <w:sz w:val="19"/>
          <w:szCs w:val="19"/>
          <w:color w:val="FF0000"/>
          <w:strike w:val="1"/>
        </w:rPr>
        <w:t>51</w:t>
      </w:r>
      <w:r>
        <w:rPr>
          <w:rFonts w:ascii="Times New Roman" w:cs="Times New Roman" w:eastAsia="Times New Roman" w:hAnsi="Times New Roman"/>
          <w:sz w:val="19"/>
          <w:szCs w:val="19"/>
          <w:color w:val="0000FF"/>
        </w:rPr>
        <w:t>57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1.4. Interpretation </w:t>
      </w:r>
      <w:r>
        <w:rPr>
          <w:rFonts w:ascii="Times New Roman" w:cs="Times New Roman" w:eastAsia="Times New Roman" w:hAnsi="Times New Roman"/>
          <w:sz w:val="19"/>
          <w:szCs w:val="19"/>
          <w:color w:val="FF0000"/>
          <w:strike w:val="1"/>
        </w:rPr>
        <w:t>51</w:t>
      </w:r>
      <w:r>
        <w:rPr>
          <w:rFonts w:ascii="Times New Roman" w:cs="Times New Roman" w:eastAsia="Times New Roman" w:hAnsi="Times New Roman"/>
          <w:sz w:val="19"/>
          <w:szCs w:val="19"/>
          <w:color w:val="0000FF"/>
        </w:rPr>
        <w:t>57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 Rates </w:t>
      </w:r>
      <w:r>
        <w:rPr>
          <w:rFonts w:ascii="Times New Roman" w:cs="Times New Roman" w:eastAsia="Times New Roman" w:hAnsi="Times New Roman"/>
          <w:sz w:val="19"/>
          <w:szCs w:val="19"/>
          <w:color w:val="FF0000"/>
          <w:strike w:val="1"/>
        </w:rPr>
        <w:t>52</w:t>
      </w:r>
      <w:r>
        <w:rPr>
          <w:rFonts w:ascii="Times New Roman" w:cs="Times New Roman" w:eastAsia="Times New Roman" w:hAnsi="Times New Roman"/>
          <w:sz w:val="19"/>
          <w:szCs w:val="19"/>
          <w:color w:val="0000FF"/>
        </w:rPr>
        <w:t>57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dvances </w:t>
      </w:r>
      <w:r>
        <w:rPr>
          <w:rFonts w:ascii="Times New Roman" w:cs="Times New Roman" w:eastAsia="Times New Roman" w:hAnsi="Times New Roman"/>
          <w:sz w:val="19"/>
          <w:szCs w:val="19"/>
          <w:color w:val="FF0000"/>
          <w:strike w:val="1"/>
        </w:rPr>
        <w:t>52</w:t>
      </w:r>
      <w:r>
        <w:rPr>
          <w:rFonts w:ascii="Times New Roman" w:cs="Times New Roman" w:eastAsia="Times New Roman" w:hAnsi="Times New Roman"/>
          <w:sz w:val="19"/>
          <w:szCs w:val="19"/>
          <w:color w:val="0000FF"/>
        </w:rPr>
        <w:t>58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 Advances </w:t>
      </w:r>
      <w:r>
        <w:rPr>
          <w:rFonts w:ascii="Times New Roman" w:cs="Times New Roman" w:eastAsia="Times New Roman" w:hAnsi="Times New Roman"/>
          <w:sz w:val="19"/>
          <w:szCs w:val="19"/>
          <w:color w:val="FF0000"/>
          <w:strike w:val="1"/>
        </w:rPr>
        <w:t>52</w:t>
      </w:r>
      <w:r>
        <w:rPr>
          <w:rFonts w:ascii="Times New Roman" w:cs="Times New Roman" w:eastAsia="Times New Roman" w:hAnsi="Times New Roman"/>
          <w:sz w:val="19"/>
          <w:szCs w:val="19"/>
          <w:color w:val="0000FF"/>
        </w:rPr>
        <w:t>58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2.2. Procedures for Advances </w:t>
      </w:r>
      <w:r>
        <w:rPr>
          <w:rFonts w:ascii="Times New Roman" w:cs="Times New Roman" w:eastAsia="Times New Roman" w:hAnsi="Times New Roman"/>
          <w:sz w:val="19"/>
          <w:szCs w:val="19"/>
          <w:color w:val="FF0000"/>
          <w:strike w:val="1"/>
        </w:rPr>
        <w:t>53</w:t>
      </w:r>
      <w:r>
        <w:rPr>
          <w:rFonts w:ascii="Times New Roman" w:cs="Times New Roman" w:eastAsia="Times New Roman" w:hAnsi="Times New Roman"/>
          <w:sz w:val="19"/>
          <w:szCs w:val="19"/>
          <w:color w:val="0000FF"/>
        </w:rPr>
        <w:t>59</w:t>
      </w:r>
    </w:p>
    <w:p>
      <w:pPr>
        <w:spacing w:after="0" w:line="10" w:lineRule="exact"/>
        <w:rPr>
          <w:sz w:val="20"/>
          <w:szCs w:val="20"/>
          <w:color w:val="auto"/>
        </w:rPr>
      </w:pPr>
    </w:p>
    <w:p>
      <w:pPr>
        <w:ind w:right="4940"/>
        <w:spacing w:after="0" w:line="250" w:lineRule="auto"/>
        <w:rPr>
          <w:sz w:val="20"/>
          <w:szCs w:val="20"/>
          <w:color w:val="auto"/>
        </w:rPr>
      </w:pPr>
      <w:r>
        <w:rPr>
          <w:rFonts w:ascii="Times New Roman" w:cs="Times New Roman" w:eastAsia="Times New Roman" w:hAnsi="Times New Roman"/>
          <w:sz w:val="19"/>
          <w:szCs w:val="19"/>
          <w:color w:val="auto"/>
        </w:rPr>
        <w:t xml:space="preserve">on 2.3. Optional Changes in Facility Amount; Prepayments </w:t>
      </w:r>
      <w:r>
        <w:rPr>
          <w:rFonts w:ascii="Times New Roman" w:cs="Times New Roman" w:eastAsia="Times New Roman" w:hAnsi="Times New Roman"/>
          <w:sz w:val="19"/>
          <w:szCs w:val="19"/>
          <w:color w:val="FF0000"/>
          <w:strike w:val="1"/>
        </w:rPr>
        <w:t>56</w:t>
      </w:r>
      <w:r>
        <w:rPr>
          <w:rFonts w:ascii="Times New Roman" w:cs="Times New Roman" w:eastAsia="Times New Roman" w:hAnsi="Times New Roman"/>
          <w:sz w:val="19"/>
          <w:szCs w:val="19"/>
          <w:color w:val="0000FF"/>
        </w:rPr>
        <w:t>61</w:t>
      </w:r>
      <w:r>
        <w:rPr>
          <w:rFonts w:ascii="Times New Roman" w:cs="Times New Roman" w:eastAsia="Times New Roman" w:hAnsi="Times New Roman"/>
          <w:sz w:val="19"/>
          <w:szCs w:val="19"/>
          <w:color w:val="auto"/>
        </w:rPr>
        <w:t xml:space="preserve"> on 2.4. Principal Repayments </w:t>
      </w:r>
      <w:r>
        <w:rPr>
          <w:rFonts w:ascii="Times New Roman" w:cs="Times New Roman" w:eastAsia="Times New Roman" w:hAnsi="Times New Roman"/>
          <w:sz w:val="19"/>
          <w:szCs w:val="19"/>
          <w:color w:val="FF0000"/>
          <w:strike w:val="1"/>
        </w:rPr>
        <w:t>57</w:t>
      </w:r>
      <w:r>
        <w:rPr>
          <w:rFonts w:ascii="Times New Roman" w:cs="Times New Roman" w:eastAsia="Times New Roman" w:hAnsi="Times New Roman"/>
          <w:sz w:val="19"/>
          <w:szCs w:val="19"/>
          <w:color w:val="0000FF"/>
        </w:rPr>
        <w:t>63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2.5. Evidence of Indebtedness </w:t>
      </w:r>
      <w:r>
        <w:rPr>
          <w:rFonts w:ascii="Times New Roman" w:cs="Times New Roman" w:eastAsia="Times New Roman" w:hAnsi="Times New Roman"/>
          <w:sz w:val="19"/>
          <w:szCs w:val="19"/>
          <w:color w:val="FF0000"/>
          <w:strike w:val="1"/>
        </w:rPr>
        <w:t>57</w:t>
      </w:r>
      <w:r>
        <w:rPr>
          <w:rFonts w:ascii="Times New Roman" w:cs="Times New Roman" w:eastAsia="Times New Roman" w:hAnsi="Times New Roman"/>
          <w:sz w:val="19"/>
          <w:szCs w:val="19"/>
          <w:color w:val="0000FF"/>
        </w:rPr>
        <w:t>63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2.6. Interest Payments </w:t>
      </w:r>
      <w:r>
        <w:rPr>
          <w:rFonts w:ascii="Times New Roman" w:cs="Times New Roman" w:eastAsia="Times New Roman" w:hAnsi="Times New Roman"/>
          <w:sz w:val="19"/>
          <w:szCs w:val="19"/>
          <w:color w:val="FF0000"/>
          <w:strike w:val="1"/>
        </w:rPr>
        <w:t>57</w:t>
      </w:r>
      <w:r>
        <w:rPr>
          <w:rFonts w:ascii="Times New Roman" w:cs="Times New Roman" w:eastAsia="Times New Roman" w:hAnsi="Times New Roman"/>
          <w:sz w:val="19"/>
          <w:szCs w:val="19"/>
          <w:color w:val="0000FF"/>
        </w:rPr>
        <w:t>63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2.7. Fees </w:t>
      </w:r>
      <w:r>
        <w:rPr>
          <w:rFonts w:ascii="Times New Roman" w:cs="Times New Roman" w:eastAsia="Times New Roman" w:hAnsi="Times New Roman"/>
          <w:sz w:val="19"/>
          <w:szCs w:val="19"/>
          <w:color w:val="FF0000"/>
          <w:strike w:val="1"/>
        </w:rPr>
        <w:t>58</w:t>
      </w:r>
      <w:r>
        <w:rPr>
          <w:rFonts w:ascii="Times New Roman" w:cs="Times New Roman" w:eastAsia="Times New Roman" w:hAnsi="Times New Roman"/>
          <w:sz w:val="19"/>
          <w:szCs w:val="19"/>
          <w:color w:val="0000FF"/>
        </w:rPr>
        <w:t>64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2.8. Settlement Procedures </w:t>
      </w:r>
      <w:r>
        <w:rPr>
          <w:rFonts w:ascii="Times New Roman" w:cs="Times New Roman" w:eastAsia="Times New Roman" w:hAnsi="Times New Roman"/>
          <w:sz w:val="19"/>
          <w:szCs w:val="19"/>
          <w:color w:val="FF0000"/>
          <w:strike w:val="1"/>
        </w:rPr>
        <w:t>59</w:t>
      </w:r>
      <w:r>
        <w:rPr>
          <w:rFonts w:ascii="Times New Roman" w:cs="Times New Roman" w:eastAsia="Times New Roman" w:hAnsi="Times New Roman"/>
          <w:sz w:val="19"/>
          <w:szCs w:val="19"/>
          <w:color w:val="0000FF"/>
        </w:rPr>
        <w:t>64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2.9. Collections and Allocations </w:t>
      </w:r>
      <w:r>
        <w:rPr>
          <w:rFonts w:ascii="Times New Roman" w:cs="Times New Roman" w:eastAsia="Times New Roman" w:hAnsi="Times New Roman"/>
          <w:sz w:val="19"/>
          <w:szCs w:val="19"/>
          <w:color w:val="FF0000"/>
          <w:strike w:val="1"/>
        </w:rPr>
        <w:t>61</w:t>
      </w:r>
      <w:r>
        <w:rPr>
          <w:rFonts w:ascii="Times New Roman" w:cs="Times New Roman" w:eastAsia="Times New Roman" w:hAnsi="Times New Roman"/>
          <w:sz w:val="19"/>
          <w:szCs w:val="19"/>
          <w:color w:val="0000FF"/>
        </w:rPr>
        <w:t>66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2.10. Payments, Computations, Etc </w:t>
      </w:r>
      <w:r>
        <w:rPr>
          <w:rFonts w:ascii="Times New Roman" w:cs="Times New Roman" w:eastAsia="Times New Roman" w:hAnsi="Times New Roman"/>
          <w:sz w:val="19"/>
          <w:szCs w:val="19"/>
          <w:color w:val="FF0000"/>
          <w:strike w:val="1"/>
        </w:rPr>
        <w:t>61</w:t>
      </w:r>
      <w:r>
        <w:rPr>
          <w:rFonts w:ascii="Times New Roman" w:cs="Times New Roman" w:eastAsia="Times New Roman" w:hAnsi="Times New Roman"/>
          <w:sz w:val="19"/>
          <w:szCs w:val="19"/>
          <w:color w:val="0000FF"/>
        </w:rPr>
        <w:t>67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2.11. Inability to Determine Rates </w:t>
      </w:r>
      <w:r>
        <w:rPr>
          <w:rFonts w:ascii="Times New Roman" w:cs="Times New Roman" w:eastAsia="Times New Roman" w:hAnsi="Times New Roman"/>
          <w:sz w:val="19"/>
          <w:szCs w:val="19"/>
          <w:color w:val="FF0000"/>
          <w:strike w:val="1"/>
        </w:rPr>
        <w:t>62</w:t>
      </w:r>
      <w:r>
        <w:rPr>
          <w:rFonts w:ascii="Times New Roman" w:cs="Times New Roman" w:eastAsia="Times New Roman" w:hAnsi="Times New Roman"/>
          <w:sz w:val="19"/>
          <w:szCs w:val="19"/>
          <w:color w:val="0000FF"/>
        </w:rPr>
        <w:t>68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2.12. Increased Costs; Capital Adequacy; Illegality </w:t>
      </w:r>
      <w:r>
        <w:rPr>
          <w:rFonts w:ascii="Times New Roman" w:cs="Times New Roman" w:eastAsia="Times New Roman" w:hAnsi="Times New Roman"/>
          <w:sz w:val="19"/>
          <w:szCs w:val="19"/>
          <w:color w:val="FF0000"/>
          <w:strike w:val="1"/>
        </w:rPr>
        <w:t>64</w:t>
      </w:r>
      <w:r>
        <w:rPr>
          <w:rFonts w:ascii="Times New Roman" w:cs="Times New Roman" w:eastAsia="Times New Roman" w:hAnsi="Times New Roman"/>
          <w:sz w:val="19"/>
          <w:szCs w:val="19"/>
          <w:color w:val="0000FF"/>
        </w:rPr>
        <w:t>69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2.13. Taxes </w:t>
      </w:r>
      <w:r>
        <w:rPr>
          <w:rFonts w:ascii="Times New Roman" w:cs="Times New Roman" w:eastAsia="Times New Roman" w:hAnsi="Times New Roman"/>
          <w:sz w:val="19"/>
          <w:szCs w:val="19"/>
          <w:color w:val="FF0000"/>
          <w:strike w:val="1"/>
        </w:rPr>
        <w:t>66</w:t>
      </w:r>
      <w:r>
        <w:rPr>
          <w:rFonts w:ascii="Times New Roman" w:cs="Times New Roman" w:eastAsia="Times New Roman" w:hAnsi="Times New Roman"/>
          <w:sz w:val="19"/>
          <w:szCs w:val="19"/>
          <w:color w:val="0000FF"/>
        </w:rPr>
        <w:t>72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2.14. Discretionary Sales of Collateral </w:t>
      </w:r>
      <w:r>
        <w:rPr>
          <w:rFonts w:ascii="Times New Roman" w:cs="Times New Roman" w:eastAsia="Times New Roman" w:hAnsi="Times New Roman"/>
          <w:sz w:val="19"/>
          <w:szCs w:val="19"/>
          <w:color w:val="FF0000"/>
          <w:strike w:val="1"/>
        </w:rPr>
        <w:t>70</w:t>
      </w:r>
      <w:r>
        <w:rPr>
          <w:rFonts w:ascii="Times New Roman" w:cs="Times New Roman" w:eastAsia="Times New Roman" w:hAnsi="Times New Roman"/>
          <w:sz w:val="19"/>
          <w:szCs w:val="19"/>
          <w:color w:val="0000FF"/>
        </w:rPr>
        <w:t>76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2.15. Reserved </w:t>
      </w:r>
      <w:r>
        <w:rPr>
          <w:rFonts w:ascii="Times New Roman" w:cs="Times New Roman" w:eastAsia="Times New Roman" w:hAnsi="Times New Roman"/>
          <w:sz w:val="19"/>
          <w:szCs w:val="19"/>
          <w:color w:val="FF0000"/>
          <w:strike w:val="1"/>
        </w:rPr>
        <w:t>72</w:t>
      </w:r>
      <w:r>
        <w:rPr>
          <w:rFonts w:ascii="Times New Roman" w:cs="Times New Roman" w:eastAsia="Times New Roman" w:hAnsi="Times New Roman"/>
          <w:sz w:val="19"/>
          <w:szCs w:val="19"/>
          <w:color w:val="0000FF"/>
        </w:rPr>
        <w:t>77</w:t>
      </w:r>
    </w:p>
    <w:p>
      <w:pPr>
        <w:spacing w:after="0" w:line="10" w:lineRule="exact"/>
        <w:rPr>
          <w:sz w:val="20"/>
          <w:szCs w:val="20"/>
          <w:color w:val="auto"/>
        </w:rPr>
      </w:pPr>
    </w:p>
    <w:p>
      <w:pPr>
        <w:ind w:right="4740"/>
        <w:spacing w:after="0" w:line="250" w:lineRule="auto"/>
        <w:rPr>
          <w:sz w:val="20"/>
          <w:szCs w:val="20"/>
          <w:color w:val="auto"/>
        </w:rPr>
      </w:pPr>
      <w:r>
        <w:rPr>
          <w:rFonts w:ascii="Times New Roman" w:cs="Times New Roman" w:eastAsia="Times New Roman" w:hAnsi="Times New Roman"/>
          <w:sz w:val="19"/>
          <w:szCs w:val="19"/>
          <w:color w:val="auto"/>
        </w:rPr>
        <w:t xml:space="preserve">on 2.16. Defaulting Lenders and Potential Defaulting Lenders </w:t>
      </w:r>
      <w:r>
        <w:rPr>
          <w:rFonts w:ascii="Times New Roman" w:cs="Times New Roman" w:eastAsia="Times New Roman" w:hAnsi="Times New Roman"/>
          <w:sz w:val="19"/>
          <w:szCs w:val="19"/>
          <w:color w:val="FF0000"/>
          <w:strike w:val="1"/>
        </w:rPr>
        <w:t>72</w:t>
      </w:r>
      <w:r>
        <w:rPr>
          <w:rFonts w:ascii="Times New Roman" w:cs="Times New Roman" w:eastAsia="Times New Roman" w:hAnsi="Times New Roman"/>
          <w:sz w:val="19"/>
          <w:szCs w:val="19"/>
          <w:color w:val="0000FF"/>
        </w:rPr>
        <w:t>77</w:t>
      </w:r>
      <w:r>
        <w:rPr>
          <w:rFonts w:ascii="Times New Roman" w:cs="Times New Roman" w:eastAsia="Times New Roman" w:hAnsi="Times New Roman"/>
          <w:sz w:val="19"/>
          <w:szCs w:val="19"/>
          <w:color w:val="auto"/>
        </w:rPr>
        <w:t xml:space="preserve"> on 2.17. Replacement of Defaulting Lenders </w:t>
      </w:r>
      <w:r>
        <w:rPr>
          <w:rFonts w:ascii="Times New Roman" w:cs="Times New Roman" w:eastAsia="Times New Roman" w:hAnsi="Times New Roman"/>
          <w:sz w:val="19"/>
          <w:szCs w:val="19"/>
          <w:color w:val="FF0000"/>
          <w:strike w:val="1"/>
        </w:rPr>
        <w:t>72</w:t>
      </w:r>
      <w:r>
        <w:rPr>
          <w:rFonts w:ascii="Times New Roman" w:cs="Times New Roman" w:eastAsia="Times New Roman" w:hAnsi="Times New Roman"/>
          <w:sz w:val="19"/>
          <w:szCs w:val="19"/>
          <w:color w:val="0000FF"/>
        </w:rPr>
        <w:t>78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2.18. Commercial Paper and Liquidity/Credit Enhancement </w:t>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color w:val="0000FF"/>
        </w:rPr>
        <w:t>78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Conditions of Effectiveness and Advances </w:t>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color w:val="0000FF"/>
        </w:rPr>
        <w:t>79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3.1. [Reserved] </w:t>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color w:val="0000FF"/>
        </w:rPr>
        <w:t>79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3.2. Additional Conditions Precedent to All Advances </w:t>
      </w:r>
      <w:r>
        <w:rPr>
          <w:rFonts w:ascii="Times New Roman" w:cs="Times New Roman" w:eastAsia="Times New Roman" w:hAnsi="Times New Roman"/>
          <w:sz w:val="19"/>
          <w:szCs w:val="19"/>
          <w:color w:val="FF0000"/>
          <w:strike w:val="1"/>
        </w:rPr>
        <w:t>73</w:t>
      </w:r>
      <w:r>
        <w:rPr>
          <w:rFonts w:ascii="Times New Roman" w:cs="Times New Roman" w:eastAsia="Times New Roman" w:hAnsi="Times New Roman"/>
          <w:sz w:val="19"/>
          <w:szCs w:val="19"/>
          <w:color w:val="0000FF"/>
        </w:rPr>
        <w:t>79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3.3. Conditions Precedent for Restatement Effective Date </w:t>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color w:val="0000FF"/>
        </w:rPr>
        <w:t>79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Representations and Warranties </w:t>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color w:val="0000FF"/>
        </w:rPr>
        <w:t>80</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4.1. Representations and Warranties of the Borrower </w:t>
      </w:r>
      <w:r>
        <w:rPr>
          <w:rFonts w:ascii="Times New Roman" w:cs="Times New Roman" w:eastAsia="Times New Roman" w:hAnsi="Times New Roman"/>
          <w:sz w:val="19"/>
          <w:szCs w:val="19"/>
          <w:color w:val="FF0000"/>
          <w:strike w:val="1"/>
        </w:rPr>
        <w:t>74</w:t>
      </w:r>
      <w:r>
        <w:rPr>
          <w:rFonts w:ascii="Times New Roman" w:cs="Times New Roman" w:eastAsia="Times New Roman" w:hAnsi="Times New Roman"/>
          <w:sz w:val="19"/>
          <w:szCs w:val="19"/>
          <w:color w:val="0000FF"/>
        </w:rPr>
        <w:t>80</w:t>
      </w:r>
    </w:p>
    <w:p>
      <w:pPr>
        <w:spacing w:after="0" w:line="3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635635</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1440" w:right="1440" w:bottom="1440" w:gutter="0" w:footer="0" w:header="0"/>
        </w:sectPr>
      </w:pPr>
    </w:p>
    <w:bookmarkStart w:id="167" w:name="page168"/>
    <w:bookmarkEnd w:id="167"/>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 xml:space="preserve">eneral Covenants of the Borrower </w:t>
      </w:r>
      <w:r>
        <w:rPr>
          <w:rFonts w:ascii="Times New Roman" w:cs="Times New Roman" w:eastAsia="Times New Roman" w:hAnsi="Times New Roman"/>
          <w:sz w:val="19"/>
          <w:szCs w:val="19"/>
          <w:color w:val="FF0000"/>
          <w:strike w:val="1"/>
        </w:rPr>
        <w:t>82</w:t>
      </w:r>
      <w:r>
        <w:rPr>
          <w:rFonts w:ascii="Times New Roman" w:cs="Times New Roman" w:eastAsia="Times New Roman" w:hAnsi="Times New Roman"/>
          <w:sz w:val="19"/>
          <w:szCs w:val="19"/>
          <w:color w:val="0000FF"/>
        </w:rPr>
        <w:t>88</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5.1. Covenants of the Borrower </w:t>
      </w:r>
      <w:r>
        <w:rPr>
          <w:rFonts w:ascii="Times New Roman" w:cs="Times New Roman" w:eastAsia="Times New Roman" w:hAnsi="Times New Roman"/>
          <w:sz w:val="19"/>
          <w:szCs w:val="19"/>
          <w:color w:val="FF0000"/>
          <w:strike w:val="1"/>
        </w:rPr>
        <w:t>82</w:t>
      </w:r>
      <w:r>
        <w:rPr>
          <w:rFonts w:ascii="Times New Roman" w:cs="Times New Roman" w:eastAsia="Times New Roman" w:hAnsi="Times New Roman"/>
          <w:sz w:val="19"/>
          <w:szCs w:val="19"/>
          <w:color w:val="0000FF"/>
        </w:rPr>
        <w:t>88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5.2. Key Persons </w:t>
      </w:r>
      <w:r>
        <w:rPr>
          <w:rFonts w:ascii="Times New Roman" w:cs="Times New Roman" w:eastAsia="Times New Roman" w:hAnsi="Times New Roman"/>
          <w:sz w:val="19"/>
          <w:szCs w:val="19"/>
          <w:color w:val="FF0000"/>
          <w:strike w:val="1"/>
        </w:rPr>
        <w:t>92</w:t>
      </w:r>
      <w:r>
        <w:rPr>
          <w:rFonts w:ascii="Times New Roman" w:cs="Times New Roman" w:eastAsia="Times New Roman" w:hAnsi="Times New Roman"/>
          <w:sz w:val="19"/>
          <w:szCs w:val="19"/>
          <w:color w:val="0000FF"/>
        </w:rPr>
        <w:t>98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5.3. Financial Covenants </w:t>
      </w:r>
      <w:r>
        <w:rPr>
          <w:rFonts w:ascii="Times New Roman" w:cs="Times New Roman" w:eastAsia="Times New Roman" w:hAnsi="Times New Roman"/>
          <w:sz w:val="19"/>
          <w:szCs w:val="19"/>
          <w:color w:val="FF0000"/>
          <w:strike w:val="1"/>
        </w:rPr>
        <w:t>93</w:t>
      </w:r>
      <w:r>
        <w:rPr>
          <w:rFonts w:ascii="Times New Roman" w:cs="Times New Roman" w:eastAsia="Times New Roman" w:hAnsi="Times New Roman"/>
          <w:sz w:val="19"/>
          <w:szCs w:val="19"/>
          <w:color w:val="0000FF"/>
        </w:rPr>
        <w:t>99</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Security Interest </w:t>
      </w:r>
      <w:r>
        <w:rPr>
          <w:rFonts w:ascii="Times New Roman" w:cs="Times New Roman" w:eastAsia="Times New Roman" w:hAnsi="Times New Roman"/>
          <w:sz w:val="19"/>
          <w:szCs w:val="19"/>
          <w:color w:val="FF0000"/>
          <w:strike w:val="1"/>
        </w:rPr>
        <w:t>94</w:t>
      </w:r>
      <w:r>
        <w:rPr>
          <w:rFonts w:ascii="Times New Roman" w:cs="Times New Roman" w:eastAsia="Times New Roman" w:hAnsi="Times New Roman"/>
          <w:sz w:val="19"/>
          <w:szCs w:val="19"/>
          <w:color w:val="0000FF"/>
        </w:rPr>
        <w:t>99</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6.1. Security Interest </w:t>
      </w:r>
      <w:r>
        <w:rPr>
          <w:rFonts w:ascii="Times New Roman" w:cs="Times New Roman" w:eastAsia="Times New Roman" w:hAnsi="Times New Roman"/>
          <w:sz w:val="19"/>
          <w:szCs w:val="19"/>
          <w:color w:val="FF0000"/>
          <w:strike w:val="1"/>
        </w:rPr>
        <w:t>94</w:t>
      </w:r>
      <w:r>
        <w:rPr>
          <w:rFonts w:ascii="Times New Roman" w:cs="Times New Roman" w:eastAsia="Times New Roman" w:hAnsi="Times New Roman"/>
          <w:sz w:val="19"/>
          <w:szCs w:val="19"/>
          <w:color w:val="0000FF"/>
        </w:rPr>
        <w:t>99</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6.2. Remedies </w:t>
      </w:r>
      <w:r>
        <w:rPr>
          <w:rFonts w:ascii="Times New Roman" w:cs="Times New Roman" w:eastAsia="Times New Roman" w:hAnsi="Times New Roman"/>
          <w:sz w:val="19"/>
          <w:szCs w:val="19"/>
          <w:color w:val="FF0000"/>
          <w:strike w:val="1"/>
        </w:rPr>
        <w:t>94</w:t>
      </w:r>
      <w:r>
        <w:rPr>
          <w:rFonts w:ascii="Times New Roman" w:cs="Times New Roman" w:eastAsia="Times New Roman" w:hAnsi="Times New Roman"/>
          <w:sz w:val="19"/>
          <w:szCs w:val="19"/>
          <w:color w:val="0000FF"/>
        </w:rPr>
        <w:t>100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6.3. Release of Liens </w:t>
      </w:r>
      <w:r>
        <w:rPr>
          <w:rFonts w:ascii="Times New Roman" w:cs="Times New Roman" w:eastAsia="Times New Roman" w:hAnsi="Times New Roman"/>
          <w:sz w:val="19"/>
          <w:szCs w:val="19"/>
          <w:color w:val="FF0000"/>
          <w:strike w:val="1"/>
        </w:rPr>
        <w:t>95</w:t>
      </w:r>
      <w:r>
        <w:rPr>
          <w:rFonts w:ascii="Times New Roman" w:cs="Times New Roman" w:eastAsia="Times New Roman" w:hAnsi="Times New Roman"/>
          <w:sz w:val="19"/>
          <w:szCs w:val="19"/>
          <w:color w:val="0000FF"/>
        </w:rPr>
        <w:t>101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Administration and Servicing of Loans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color w:val="0000FF"/>
        </w:rPr>
        <w:t>101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 Delegation to the Investment Adviser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color w:val="0000FF"/>
        </w:rPr>
        <w:t>101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7.2. Reserved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color w:val="0000FF"/>
        </w:rPr>
        <w:t>102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7.3. Reserved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color w:val="0000FF"/>
        </w:rPr>
        <w:t>102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7.4. Collection of Payments </w:t>
      </w:r>
      <w:r>
        <w:rPr>
          <w:rFonts w:ascii="Times New Roman" w:cs="Times New Roman" w:eastAsia="Times New Roman" w:hAnsi="Times New Roman"/>
          <w:sz w:val="19"/>
          <w:szCs w:val="19"/>
          <w:color w:val="FF0000"/>
          <w:strike w:val="1"/>
        </w:rPr>
        <w:t>96</w:t>
      </w:r>
      <w:r>
        <w:rPr>
          <w:rFonts w:ascii="Times New Roman" w:cs="Times New Roman" w:eastAsia="Times New Roman" w:hAnsi="Times New Roman"/>
          <w:sz w:val="19"/>
          <w:szCs w:val="19"/>
          <w:color w:val="0000FF"/>
        </w:rPr>
        <w:t>102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7.5. Reserved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0000FF"/>
        </w:rPr>
        <w:t>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7.6. Realization Upon Defaulted Loans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0000FF"/>
        </w:rPr>
        <w:t>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7.7. Reserved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0000FF"/>
        </w:rPr>
        <w:t>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7.8. Reserved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0000FF"/>
        </w:rPr>
        <w:t>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7.9. Reserved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0000FF"/>
        </w:rPr>
        <w:t>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7.10. Payment of Certain Expenses by Borrower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0000FF"/>
        </w:rPr>
        <w:t>103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7.11. Reports </w:t>
      </w:r>
      <w:r>
        <w:rPr>
          <w:rFonts w:ascii="Times New Roman" w:cs="Times New Roman" w:eastAsia="Times New Roman" w:hAnsi="Times New Roman"/>
          <w:sz w:val="19"/>
          <w:szCs w:val="19"/>
          <w:color w:val="FF0000"/>
          <w:strike w:val="1"/>
        </w:rPr>
        <w:t>98</w:t>
      </w:r>
      <w:r>
        <w:rPr>
          <w:rFonts w:ascii="Times New Roman" w:cs="Times New Roman" w:eastAsia="Times New Roman" w:hAnsi="Times New Roman"/>
          <w:sz w:val="19"/>
          <w:szCs w:val="19"/>
          <w:color w:val="0000FF"/>
        </w:rPr>
        <w:t>104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7.12. Reserved </w:t>
      </w:r>
      <w:r>
        <w:rPr>
          <w:rFonts w:ascii="Times New Roman" w:cs="Times New Roman" w:eastAsia="Times New Roman" w:hAnsi="Times New Roman"/>
          <w:sz w:val="19"/>
          <w:szCs w:val="19"/>
          <w:color w:val="FF0000"/>
          <w:strike w:val="1"/>
        </w:rPr>
        <w:t>100</w:t>
      </w:r>
      <w:r>
        <w:rPr>
          <w:rFonts w:ascii="Times New Roman" w:cs="Times New Roman" w:eastAsia="Times New Roman" w:hAnsi="Times New Roman"/>
          <w:sz w:val="19"/>
          <w:szCs w:val="19"/>
          <w:color w:val="0000FF"/>
        </w:rPr>
        <w:t>106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7.13. Reserved </w:t>
      </w:r>
      <w:r>
        <w:rPr>
          <w:rFonts w:ascii="Times New Roman" w:cs="Times New Roman" w:eastAsia="Times New Roman" w:hAnsi="Times New Roman"/>
          <w:sz w:val="19"/>
          <w:szCs w:val="19"/>
          <w:color w:val="FF0000"/>
          <w:strike w:val="1"/>
        </w:rPr>
        <w:t>100</w:t>
      </w:r>
      <w:r>
        <w:rPr>
          <w:rFonts w:ascii="Times New Roman" w:cs="Times New Roman" w:eastAsia="Times New Roman" w:hAnsi="Times New Roman"/>
          <w:sz w:val="19"/>
          <w:szCs w:val="19"/>
          <w:color w:val="0000FF"/>
        </w:rPr>
        <w:t>106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7.14. Reserved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color w:val="0000FF"/>
        </w:rPr>
        <w:t>106</w:t>
      </w:r>
    </w:p>
    <w:p>
      <w:pPr>
        <w:spacing w:after="0" w:line="10" w:lineRule="exact"/>
        <w:rPr>
          <w:sz w:val="20"/>
          <w:szCs w:val="20"/>
          <w:color w:val="auto"/>
        </w:rPr>
      </w:pPr>
    </w:p>
    <w:p>
      <w:pPr>
        <w:ind w:right="3100"/>
        <w:spacing w:after="0" w:line="250" w:lineRule="auto"/>
        <w:rPr>
          <w:sz w:val="20"/>
          <w:szCs w:val="20"/>
          <w:color w:val="auto"/>
        </w:rPr>
      </w:pPr>
      <w:r>
        <w:rPr>
          <w:rFonts w:ascii="Times New Roman" w:cs="Times New Roman" w:eastAsia="Times New Roman" w:hAnsi="Times New Roman"/>
          <w:sz w:val="19"/>
          <w:szCs w:val="19"/>
          <w:color w:val="auto"/>
        </w:rPr>
        <w:t xml:space="preserve">on 7.15. Access to Certain Documentation and Information Regarding the Loans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color w:val="0000FF"/>
        </w:rPr>
        <w:t>106</w:t>
      </w:r>
      <w:r>
        <w:rPr>
          <w:rFonts w:ascii="Times New Roman" w:cs="Times New Roman" w:eastAsia="Times New Roman" w:hAnsi="Times New Roman"/>
          <w:sz w:val="19"/>
          <w:szCs w:val="19"/>
          <w:color w:val="auto"/>
        </w:rPr>
        <w:t xml:space="preserve"> on 7.16. Reserved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color w:val="0000FF"/>
        </w:rPr>
        <w:t>106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7.17. Identification of Records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color w:val="0000FF"/>
        </w:rPr>
        <w:t>107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7.18. Fair Value Determination </w:t>
      </w:r>
      <w:r>
        <w:rPr>
          <w:rFonts w:ascii="Times New Roman" w:cs="Times New Roman" w:eastAsia="Times New Roman" w:hAnsi="Times New Roman"/>
          <w:sz w:val="19"/>
          <w:szCs w:val="19"/>
          <w:color w:val="FF0000"/>
          <w:strike w:val="1"/>
        </w:rPr>
        <w:t>101</w:t>
      </w:r>
      <w:r>
        <w:rPr>
          <w:rFonts w:ascii="Times New Roman" w:cs="Times New Roman" w:eastAsia="Times New Roman" w:hAnsi="Times New Roman"/>
          <w:sz w:val="19"/>
          <w:szCs w:val="19"/>
          <w:color w:val="0000FF"/>
        </w:rPr>
        <w:t>107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 Events of Default </w:t>
      </w:r>
      <w:r>
        <w:rPr>
          <w:rFonts w:ascii="Times New Roman" w:cs="Times New Roman" w:eastAsia="Times New Roman" w:hAnsi="Times New Roman"/>
          <w:sz w:val="19"/>
          <w:szCs w:val="19"/>
          <w:color w:val="FF0000"/>
          <w:strike w:val="1"/>
        </w:rPr>
        <w:t>102</w:t>
      </w:r>
      <w:r>
        <w:rPr>
          <w:rFonts w:ascii="Times New Roman" w:cs="Times New Roman" w:eastAsia="Times New Roman" w:hAnsi="Times New Roman"/>
          <w:sz w:val="19"/>
          <w:szCs w:val="19"/>
          <w:color w:val="0000FF"/>
        </w:rPr>
        <w:t>107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8.1. Events of Default </w:t>
      </w:r>
      <w:r>
        <w:rPr>
          <w:rFonts w:ascii="Times New Roman" w:cs="Times New Roman" w:eastAsia="Times New Roman" w:hAnsi="Times New Roman"/>
          <w:sz w:val="19"/>
          <w:szCs w:val="19"/>
          <w:color w:val="FF0000"/>
          <w:strike w:val="1"/>
        </w:rPr>
        <w:t>102</w:t>
      </w:r>
      <w:r>
        <w:rPr>
          <w:rFonts w:ascii="Times New Roman" w:cs="Times New Roman" w:eastAsia="Times New Roman" w:hAnsi="Times New Roman"/>
          <w:sz w:val="19"/>
          <w:szCs w:val="19"/>
          <w:color w:val="0000FF"/>
        </w:rPr>
        <w:t>107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8.2. Remedies </w:t>
      </w:r>
      <w:r>
        <w:rPr>
          <w:rFonts w:ascii="Times New Roman" w:cs="Times New Roman" w:eastAsia="Times New Roman" w:hAnsi="Times New Roman"/>
          <w:sz w:val="19"/>
          <w:szCs w:val="19"/>
          <w:color w:val="FF0000"/>
          <w:strike w:val="1"/>
        </w:rPr>
        <w:t>105</w:t>
      </w:r>
      <w:r>
        <w:rPr>
          <w:rFonts w:ascii="Times New Roman" w:cs="Times New Roman" w:eastAsia="Times New Roman" w:hAnsi="Times New Roman"/>
          <w:sz w:val="19"/>
          <w:szCs w:val="19"/>
          <w:color w:val="0000FF"/>
        </w:rPr>
        <w:t>110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ndemnification </w:t>
      </w:r>
      <w:r>
        <w:rPr>
          <w:rFonts w:ascii="Times New Roman" w:cs="Times New Roman" w:eastAsia="Times New Roman" w:hAnsi="Times New Roman"/>
          <w:sz w:val="19"/>
          <w:szCs w:val="19"/>
          <w:color w:val="FF0000"/>
          <w:strike w:val="1"/>
        </w:rPr>
        <w:t>107</w:t>
      </w:r>
      <w:r>
        <w:rPr>
          <w:rFonts w:ascii="Times New Roman" w:cs="Times New Roman" w:eastAsia="Times New Roman" w:hAnsi="Times New Roman"/>
          <w:sz w:val="19"/>
          <w:szCs w:val="19"/>
          <w:color w:val="0000FF"/>
        </w:rPr>
        <w:t>113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9.1. Indemnities by the Borrower </w:t>
      </w:r>
      <w:r>
        <w:rPr>
          <w:rFonts w:ascii="Times New Roman" w:cs="Times New Roman" w:eastAsia="Times New Roman" w:hAnsi="Times New Roman"/>
          <w:sz w:val="19"/>
          <w:szCs w:val="19"/>
          <w:color w:val="FF0000"/>
          <w:strike w:val="1"/>
        </w:rPr>
        <w:t>107</w:t>
      </w:r>
      <w:r>
        <w:rPr>
          <w:rFonts w:ascii="Times New Roman" w:cs="Times New Roman" w:eastAsia="Times New Roman" w:hAnsi="Times New Roman"/>
          <w:sz w:val="19"/>
          <w:szCs w:val="19"/>
          <w:color w:val="0000FF"/>
        </w:rPr>
        <w:t>113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he Administrative Agent and the Managing Agents </w:t>
      </w:r>
      <w:r>
        <w:rPr>
          <w:rFonts w:ascii="Times New Roman" w:cs="Times New Roman" w:eastAsia="Times New Roman" w:hAnsi="Times New Roman"/>
          <w:sz w:val="19"/>
          <w:szCs w:val="19"/>
          <w:color w:val="FF0000"/>
          <w:strike w:val="1"/>
        </w:rPr>
        <w:t>110</w:t>
      </w:r>
      <w:r>
        <w:rPr>
          <w:rFonts w:ascii="Times New Roman" w:cs="Times New Roman" w:eastAsia="Times New Roman" w:hAnsi="Times New Roman"/>
          <w:sz w:val="19"/>
          <w:szCs w:val="19"/>
          <w:color w:val="0000FF"/>
        </w:rPr>
        <w:t>116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10.1. Authorization and Action </w:t>
      </w:r>
      <w:r>
        <w:rPr>
          <w:rFonts w:ascii="Times New Roman" w:cs="Times New Roman" w:eastAsia="Times New Roman" w:hAnsi="Times New Roman"/>
          <w:sz w:val="19"/>
          <w:szCs w:val="19"/>
          <w:color w:val="FF0000"/>
          <w:strike w:val="1"/>
        </w:rPr>
        <w:t>110</w:t>
      </w:r>
      <w:r>
        <w:rPr>
          <w:rFonts w:ascii="Times New Roman" w:cs="Times New Roman" w:eastAsia="Times New Roman" w:hAnsi="Times New Roman"/>
          <w:sz w:val="19"/>
          <w:szCs w:val="19"/>
          <w:color w:val="0000FF"/>
        </w:rPr>
        <w:t>116</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10.2. Delegation of Duties </w:t>
      </w:r>
      <w:r>
        <w:rPr>
          <w:rFonts w:ascii="Times New Roman" w:cs="Times New Roman" w:eastAsia="Times New Roman" w:hAnsi="Times New Roman"/>
          <w:sz w:val="19"/>
          <w:szCs w:val="19"/>
          <w:color w:val="FF0000"/>
          <w:strike w:val="1"/>
        </w:rPr>
        <w:t>111</w:t>
      </w:r>
      <w:r>
        <w:rPr>
          <w:rFonts w:ascii="Times New Roman" w:cs="Times New Roman" w:eastAsia="Times New Roman" w:hAnsi="Times New Roman"/>
          <w:sz w:val="19"/>
          <w:szCs w:val="19"/>
          <w:color w:val="0000FF"/>
        </w:rPr>
        <w:t>116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10.3. Exculpatory Provisions </w:t>
      </w:r>
      <w:r>
        <w:rPr>
          <w:rFonts w:ascii="Times New Roman" w:cs="Times New Roman" w:eastAsia="Times New Roman" w:hAnsi="Times New Roman"/>
          <w:sz w:val="19"/>
          <w:szCs w:val="19"/>
          <w:color w:val="FF0000"/>
          <w:strike w:val="1"/>
        </w:rPr>
        <w:t>111</w:t>
      </w:r>
      <w:r>
        <w:rPr>
          <w:rFonts w:ascii="Times New Roman" w:cs="Times New Roman" w:eastAsia="Times New Roman" w:hAnsi="Times New Roman"/>
          <w:sz w:val="19"/>
          <w:szCs w:val="19"/>
          <w:color w:val="0000FF"/>
        </w:rPr>
        <w:t>117</w:t>
      </w:r>
    </w:p>
    <w:p>
      <w:pPr>
        <w:spacing w:after="0" w:line="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635635</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1440" w:right="1440" w:bottom="1440" w:gutter="0" w:footer="0" w:header="0"/>
        </w:sectPr>
      </w:pPr>
    </w:p>
    <w:bookmarkStart w:id="168" w:name="page169"/>
    <w:bookmarkEnd w:id="168"/>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10.4. Reliance </w:t>
      </w:r>
      <w:r>
        <w:rPr>
          <w:rFonts w:ascii="Times New Roman" w:cs="Times New Roman" w:eastAsia="Times New Roman" w:hAnsi="Times New Roman"/>
          <w:sz w:val="19"/>
          <w:szCs w:val="19"/>
          <w:color w:val="FF0000"/>
          <w:strike w:val="1"/>
        </w:rPr>
        <w:t>112</w:t>
      </w:r>
      <w:r>
        <w:rPr>
          <w:rFonts w:ascii="Times New Roman" w:cs="Times New Roman" w:eastAsia="Times New Roman" w:hAnsi="Times New Roman"/>
          <w:sz w:val="19"/>
          <w:szCs w:val="19"/>
          <w:color w:val="0000FF"/>
        </w:rPr>
        <w:t>117</w:t>
      </w:r>
    </w:p>
    <w:p>
      <w:pPr>
        <w:spacing w:after="0" w:line="24" w:lineRule="exact"/>
        <w:rPr>
          <w:sz w:val="20"/>
          <w:szCs w:val="20"/>
          <w:color w:val="auto"/>
        </w:rPr>
      </w:pPr>
    </w:p>
    <w:p>
      <w:pPr>
        <w:ind w:right="2660"/>
        <w:spacing w:after="0" w:line="232" w:lineRule="exact"/>
        <w:rPr>
          <w:sz w:val="20"/>
          <w:szCs w:val="20"/>
          <w:color w:val="auto"/>
        </w:rPr>
      </w:pPr>
      <w:r>
        <w:rPr>
          <w:rFonts w:ascii="Times New Roman" w:cs="Times New Roman" w:eastAsia="Times New Roman" w:hAnsi="Times New Roman"/>
          <w:sz w:val="19"/>
          <w:szCs w:val="19"/>
          <w:color w:val="auto"/>
        </w:rPr>
        <w:t>on 10.5.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Reliance on Administrative Agent, Managing Agents and Other Lenders </w:t>
      </w:r>
      <w:r>
        <w:rPr>
          <w:rFonts w:ascii="Times New Roman" w:cs="Times New Roman" w:eastAsia="Times New Roman" w:hAnsi="Times New Roman"/>
          <w:sz w:val="19"/>
          <w:szCs w:val="19"/>
          <w:color w:val="FF0000"/>
          <w:strike w:val="1"/>
        </w:rPr>
        <w:t>113</w:t>
      </w:r>
      <w:r>
        <w:rPr>
          <w:rFonts w:ascii="Times New Roman" w:cs="Times New Roman" w:eastAsia="Times New Roman" w:hAnsi="Times New Roman"/>
          <w:sz w:val="19"/>
          <w:szCs w:val="19"/>
          <w:color w:val="0000FF"/>
        </w:rPr>
        <w:t>118</w:t>
      </w:r>
      <w:r>
        <w:rPr>
          <w:rFonts w:ascii="Times New Roman" w:cs="Times New Roman" w:eastAsia="Times New Roman" w:hAnsi="Times New Roman"/>
          <w:sz w:val="19"/>
          <w:szCs w:val="19"/>
          <w:color w:val="auto"/>
        </w:rPr>
        <w:t xml:space="preserve"> on 10.6. Reimbursement and Indemnification </w:t>
      </w:r>
      <w:r>
        <w:rPr>
          <w:rFonts w:ascii="Times New Roman" w:cs="Times New Roman" w:eastAsia="Times New Roman" w:hAnsi="Times New Roman"/>
          <w:sz w:val="19"/>
          <w:szCs w:val="19"/>
          <w:color w:val="FF0000"/>
          <w:strike w:val="1"/>
        </w:rPr>
        <w:t>113</w:t>
      </w:r>
      <w:r>
        <w:rPr>
          <w:rFonts w:ascii="Times New Roman" w:cs="Times New Roman" w:eastAsia="Times New Roman" w:hAnsi="Times New Roman"/>
          <w:sz w:val="19"/>
          <w:szCs w:val="19"/>
          <w:color w:val="0000FF"/>
        </w:rPr>
        <w:t>118</w:t>
      </w:r>
    </w:p>
    <w:p>
      <w:pPr>
        <w:spacing w:after="0" w:line="1" w:lineRule="exact"/>
        <w:rPr>
          <w:sz w:val="20"/>
          <w:szCs w:val="20"/>
          <w:color w:val="auto"/>
        </w:rPr>
      </w:pPr>
    </w:p>
    <w:p>
      <w:pPr>
        <w:ind w:right="2940"/>
        <w:spacing w:after="0" w:line="256" w:lineRule="auto"/>
        <w:rPr>
          <w:sz w:val="20"/>
          <w:szCs w:val="20"/>
          <w:color w:val="auto"/>
        </w:rPr>
      </w:pPr>
      <w:r>
        <w:rPr>
          <w:rFonts w:ascii="Times New Roman" w:cs="Times New Roman" w:eastAsia="Times New Roman" w:hAnsi="Times New Roman"/>
          <w:sz w:val="19"/>
          <w:szCs w:val="19"/>
          <w:color w:val="auto"/>
        </w:rPr>
        <w:t xml:space="preserve">on 10.7. Administrative Agent and Managing Agents in their Individual Capacities </w:t>
      </w:r>
      <w:r>
        <w:rPr>
          <w:rFonts w:ascii="Times New Roman" w:cs="Times New Roman" w:eastAsia="Times New Roman" w:hAnsi="Times New Roman"/>
          <w:sz w:val="19"/>
          <w:szCs w:val="19"/>
          <w:color w:val="FF0000"/>
          <w:strike w:val="1"/>
        </w:rPr>
        <w:t>113</w:t>
      </w:r>
      <w:r>
        <w:rPr>
          <w:rFonts w:ascii="Times New Roman" w:cs="Times New Roman" w:eastAsia="Times New Roman" w:hAnsi="Times New Roman"/>
          <w:sz w:val="19"/>
          <w:szCs w:val="19"/>
          <w:color w:val="0000FF"/>
        </w:rPr>
        <w:t>119</w:t>
      </w:r>
      <w:r>
        <w:rPr>
          <w:rFonts w:ascii="Times New Roman" w:cs="Times New Roman" w:eastAsia="Times New Roman" w:hAnsi="Times New Roman"/>
          <w:sz w:val="19"/>
          <w:szCs w:val="19"/>
          <w:color w:val="auto"/>
        </w:rPr>
        <w:t xml:space="preserve"> on 10.8. Successor Administrative Agent or Managing Agent </w:t>
      </w:r>
      <w:r>
        <w:rPr>
          <w:rFonts w:ascii="Times New Roman" w:cs="Times New Roman" w:eastAsia="Times New Roman" w:hAnsi="Times New Roman"/>
          <w:sz w:val="19"/>
          <w:szCs w:val="19"/>
          <w:color w:val="FF0000"/>
          <w:strike w:val="1"/>
        </w:rPr>
        <w:t>113</w:t>
      </w:r>
      <w:r>
        <w:rPr>
          <w:rFonts w:ascii="Times New Roman" w:cs="Times New Roman" w:eastAsia="Times New Roman" w:hAnsi="Times New Roman"/>
          <w:sz w:val="19"/>
          <w:szCs w:val="19"/>
          <w:color w:val="0000FF"/>
        </w:rPr>
        <w:t>119</w:t>
      </w:r>
      <w:r>
        <w:rPr>
          <w:rFonts w:ascii="Times New Roman" w:cs="Times New Roman" w:eastAsia="Times New Roman" w:hAnsi="Times New Roman"/>
          <w:sz w:val="19"/>
          <w:szCs w:val="19"/>
          <w:color w:val="auto"/>
        </w:rPr>
        <w:t xml:space="preserve"> on 10.9. Certain ERISA Matters </w:t>
      </w:r>
      <w:r>
        <w:rPr>
          <w:rFonts w:ascii="Times New Roman" w:cs="Times New Roman" w:eastAsia="Times New Roman" w:hAnsi="Times New Roman"/>
          <w:sz w:val="19"/>
          <w:szCs w:val="19"/>
          <w:color w:val="FF0000"/>
          <w:strike w:val="1"/>
        </w:rPr>
        <w:t>114</w:t>
      </w:r>
      <w:r>
        <w:rPr>
          <w:rFonts w:ascii="Times New Roman" w:cs="Times New Roman" w:eastAsia="Times New Roman" w:hAnsi="Times New Roman"/>
          <w:sz w:val="19"/>
          <w:szCs w:val="19"/>
          <w:color w:val="0000FF"/>
        </w:rPr>
        <w:t>120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Assignments; Participations </w:t>
      </w:r>
      <w:r>
        <w:rPr>
          <w:rFonts w:ascii="Times New Roman" w:cs="Times New Roman" w:eastAsia="Times New Roman" w:hAnsi="Times New Roman"/>
          <w:sz w:val="19"/>
          <w:szCs w:val="19"/>
          <w:color w:val="FF0000"/>
          <w:strike w:val="1"/>
        </w:rPr>
        <w:t>115</w:t>
      </w:r>
      <w:r>
        <w:rPr>
          <w:rFonts w:ascii="Times New Roman" w:cs="Times New Roman" w:eastAsia="Times New Roman" w:hAnsi="Times New Roman"/>
          <w:sz w:val="19"/>
          <w:szCs w:val="19"/>
          <w:color w:val="0000FF"/>
        </w:rPr>
        <w:t>121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11.1. Assignments and Participations </w:t>
      </w:r>
      <w:r>
        <w:rPr>
          <w:rFonts w:ascii="Times New Roman" w:cs="Times New Roman" w:eastAsia="Times New Roman" w:hAnsi="Times New Roman"/>
          <w:sz w:val="19"/>
          <w:szCs w:val="19"/>
          <w:color w:val="FF0000"/>
          <w:strike w:val="1"/>
        </w:rPr>
        <w:t>115</w:t>
      </w:r>
      <w:r>
        <w:rPr>
          <w:rFonts w:ascii="Times New Roman" w:cs="Times New Roman" w:eastAsia="Times New Roman" w:hAnsi="Times New Roman"/>
          <w:sz w:val="19"/>
          <w:szCs w:val="19"/>
          <w:color w:val="0000FF"/>
        </w:rPr>
        <w:t>121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Miscellaneous </w:t>
      </w:r>
      <w:r>
        <w:rPr>
          <w:rFonts w:ascii="Times New Roman" w:cs="Times New Roman" w:eastAsia="Times New Roman" w:hAnsi="Times New Roman"/>
          <w:sz w:val="19"/>
          <w:szCs w:val="19"/>
          <w:color w:val="FF0000"/>
          <w:strike w:val="1"/>
        </w:rPr>
        <w:t>118</w:t>
      </w:r>
      <w:r>
        <w:rPr>
          <w:rFonts w:ascii="Times New Roman" w:cs="Times New Roman" w:eastAsia="Times New Roman" w:hAnsi="Times New Roman"/>
          <w:sz w:val="19"/>
          <w:szCs w:val="19"/>
          <w:color w:val="0000FF"/>
        </w:rPr>
        <w:t>124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12.1 Amendments and Waivers </w:t>
      </w:r>
      <w:r>
        <w:rPr>
          <w:rFonts w:ascii="Times New Roman" w:cs="Times New Roman" w:eastAsia="Times New Roman" w:hAnsi="Times New Roman"/>
          <w:sz w:val="19"/>
          <w:szCs w:val="19"/>
          <w:color w:val="FF0000"/>
          <w:strike w:val="1"/>
        </w:rPr>
        <w:t>118</w:t>
      </w:r>
      <w:r>
        <w:rPr>
          <w:rFonts w:ascii="Times New Roman" w:cs="Times New Roman" w:eastAsia="Times New Roman" w:hAnsi="Times New Roman"/>
          <w:sz w:val="19"/>
          <w:szCs w:val="19"/>
          <w:color w:val="0000FF"/>
        </w:rPr>
        <w:t>124</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12.2. Notices, Etc </w:t>
      </w:r>
      <w:r>
        <w:rPr>
          <w:rFonts w:ascii="Times New Roman" w:cs="Times New Roman" w:eastAsia="Times New Roman" w:hAnsi="Times New Roman"/>
          <w:sz w:val="19"/>
          <w:szCs w:val="19"/>
          <w:color w:val="FF0000"/>
          <w:strike w:val="1"/>
        </w:rPr>
        <w:t>119</w:t>
      </w:r>
      <w:r>
        <w:rPr>
          <w:rFonts w:ascii="Times New Roman" w:cs="Times New Roman" w:eastAsia="Times New Roman" w:hAnsi="Times New Roman"/>
          <w:sz w:val="19"/>
          <w:szCs w:val="19"/>
          <w:color w:val="0000FF"/>
        </w:rPr>
        <w:t>125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12.3. No Waiver, Rights and Remedies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color w:val="0000FF"/>
        </w:rPr>
        <w:t>125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12.4. Binding Effect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color w:val="0000FF"/>
        </w:rPr>
        <w:t>125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12.5. Term of this Agreement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color w:val="0000FF"/>
        </w:rPr>
        <w:t>125</w:t>
      </w:r>
    </w:p>
    <w:p>
      <w:pPr>
        <w:spacing w:after="0" w:line="10" w:lineRule="exact"/>
        <w:rPr>
          <w:sz w:val="20"/>
          <w:szCs w:val="20"/>
          <w:color w:val="auto"/>
        </w:rPr>
      </w:pPr>
    </w:p>
    <w:p>
      <w:pPr>
        <w:ind w:right="3120"/>
        <w:spacing w:after="0" w:line="250" w:lineRule="auto"/>
        <w:rPr>
          <w:sz w:val="20"/>
          <w:szCs w:val="20"/>
          <w:color w:val="auto"/>
        </w:rPr>
      </w:pPr>
      <w:r>
        <w:rPr>
          <w:rFonts w:ascii="Times New Roman" w:cs="Times New Roman" w:eastAsia="Times New Roman" w:hAnsi="Times New Roman"/>
          <w:sz w:val="19"/>
          <w:szCs w:val="19"/>
          <w:color w:val="auto"/>
        </w:rPr>
        <w:t xml:space="preserve">on 12.6. Governing Law; Consent to Jurisdiction; Waiver of Objection to Venue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color w:val="0000FF"/>
        </w:rPr>
        <w:t>126</w:t>
      </w:r>
      <w:r>
        <w:rPr>
          <w:rFonts w:ascii="Times New Roman" w:cs="Times New Roman" w:eastAsia="Times New Roman" w:hAnsi="Times New Roman"/>
          <w:sz w:val="19"/>
          <w:szCs w:val="19"/>
          <w:color w:val="auto"/>
        </w:rPr>
        <w:t xml:space="preserve"> on 12.7. Waiver of Jury Trial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color w:val="0000FF"/>
        </w:rPr>
        <w:t>126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12.8. Costs, Expenses and Taxes </w:t>
      </w:r>
      <w:r>
        <w:rPr>
          <w:rFonts w:ascii="Times New Roman" w:cs="Times New Roman" w:eastAsia="Times New Roman" w:hAnsi="Times New Roman"/>
          <w:sz w:val="19"/>
          <w:szCs w:val="19"/>
          <w:color w:val="FF0000"/>
          <w:strike w:val="1"/>
        </w:rPr>
        <w:t>120</w:t>
      </w:r>
      <w:r>
        <w:rPr>
          <w:rFonts w:ascii="Times New Roman" w:cs="Times New Roman" w:eastAsia="Times New Roman" w:hAnsi="Times New Roman"/>
          <w:sz w:val="19"/>
          <w:szCs w:val="19"/>
          <w:color w:val="0000FF"/>
        </w:rPr>
        <w:t>126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12.9. Reserved </w:t>
      </w:r>
      <w:r>
        <w:rPr>
          <w:rFonts w:ascii="Times New Roman" w:cs="Times New Roman" w:eastAsia="Times New Roman" w:hAnsi="Times New Roman"/>
          <w:sz w:val="19"/>
          <w:szCs w:val="19"/>
          <w:color w:val="FF0000"/>
          <w:strike w:val="1"/>
        </w:rPr>
        <w:t>121</w:t>
      </w:r>
      <w:r>
        <w:rPr>
          <w:rFonts w:ascii="Times New Roman" w:cs="Times New Roman" w:eastAsia="Times New Roman" w:hAnsi="Times New Roman"/>
          <w:sz w:val="19"/>
          <w:szCs w:val="19"/>
          <w:color w:val="0000FF"/>
        </w:rPr>
        <w:t>127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12.10. Recourse Against Certain Parties </w:t>
      </w:r>
      <w:r>
        <w:rPr>
          <w:rFonts w:ascii="Times New Roman" w:cs="Times New Roman" w:eastAsia="Times New Roman" w:hAnsi="Times New Roman"/>
          <w:sz w:val="19"/>
          <w:szCs w:val="19"/>
          <w:color w:val="FF0000"/>
          <w:strike w:val="1"/>
        </w:rPr>
        <w:t>121</w:t>
      </w:r>
      <w:r>
        <w:rPr>
          <w:rFonts w:ascii="Times New Roman" w:cs="Times New Roman" w:eastAsia="Times New Roman" w:hAnsi="Times New Roman"/>
          <w:sz w:val="19"/>
          <w:szCs w:val="19"/>
          <w:color w:val="0000FF"/>
        </w:rPr>
        <w:t>127</w:t>
      </w:r>
    </w:p>
    <w:p>
      <w:pPr>
        <w:spacing w:after="0" w:line="2" w:lineRule="exact"/>
        <w:rPr>
          <w:sz w:val="20"/>
          <w:szCs w:val="20"/>
          <w:color w:val="auto"/>
        </w:rPr>
      </w:pPr>
    </w:p>
    <w:p>
      <w:pPr>
        <w:ind w:right="1640"/>
        <w:spacing w:after="0" w:line="232" w:lineRule="exact"/>
        <w:rPr>
          <w:sz w:val="20"/>
          <w:szCs w:val="20"/>
          <w:color w:val="auto"/>
        </w:rPr>
      </w:pPr>
      <w:r>
        <w:rPr>
          <w:rFonts w:ascii="Times New Roman" w:cs="Times New Roman" w:eastAsia="Times New Roman" w:hAnsi="Times New Roman"/>
          <w:sz w:val="19"/>
          <w:szCs w:val="19"/>
          <w:color w:val="auto"/>
        </w:rPr>
        <w:t>on 12.11. Protection of Security Interest; Appointment of Administrative Agent as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Fact </w:t>
      </w:r>
      <w:r>
        <w:rPr>
          <w:rFonts w:ascii="Times New Roman" w:cs="Times New Roman" w:eastAsia="Times New Roman" w:hAnsi="Times New Roman"/>
          <w:sz w:val="19"/>
          <w:szCs w:val="19"/>
          <w:color w:val="FF0000"/>
          <w:strike w:val="1"/>
        </w:rPr>
        <w:t>121</w:t>
      </w:r>
      <w:r>
        <w:rPr>
          <w:rFonts w:ascii="Times New Roman" w:cs="Times New Roman" w:eastAsia="Times New Roman" w:hAnsi="Times New Roman"/>
          <w:sz w:val="19"/>
          <w:szCs w:val="19"/>
          <w:color w:val="0000FF"/>
        </w:rPr>
        <w:t>127</w:t>
      </w:r>
      <w:r>
        <w:rPr>
          <w:rFonts w:ascii="Times New Roman" w:cs="Times New Roman" w:eastAsia="Times New Roman" w:hAnsi="Times New Roman"/>
          <w:sz w:val="19"/>
          <w:szCs w:val="19"/>
          <w:color w:val="auto"/>
        </w:rPr>
        <w:t xml:space="preserve"> on 12.12. Confidentiality; Conflicts of Interest </w:t>
      </w:r>
      <w:r>
        <w:rPr>
          <w:rFonts w:ascii="Times New Roman" w:cs="Times New Roman" w:eastAsia="Times New Roman" w:hAnsi="Times New Roman"/>
          <w:sz w:val="19"/>
          <w:szCs w:val="19"/>
          <w:color w:val="FF0000"/>
          <w:strike w:val="1"/>
        </w:rPr>
        <w:t>123</w:t>
      </w:r>
      <w:r>
        <w:rPr>
          <w:rFonts w:ascii="Times New Roman" w:cs="Times New Roman" w:eastAsia="Times New Roman" w:hAnsi="Times New Roman"/>
          <w:sz w:val="19"/>
          <w:szCs w:val="19"/>
          <w:color w:val="0000FF"/>
        </w:rPr>
        <w:t>128</w:t>
      </w:r>
    </w:p>
    <w:p>
      <w:pPr>
        <w:spacing w:after="0" w:line="1" w:lineRule="exact"/>
        <w:rPr>
          <w:sz w:val="20"/>
          <w:szCs w:val="20"/>
          <w:color w:val="auto"/>
        </w:rPr>
      </w:pPr>
    </w:p>
    <w:p>
      <w:pPr>
        <w:ind w:right="4540"/>
        <w:spacing w:after="0" w:line="250" w:lineRule="auto"/>
        <w:rPr>
          <w:sz w:val="20"/>
          <w:szCs w:val="20"/>
          <w:color w:val="auto"/>
        </w:rPr>
      </w:pPr>
      <w:r>
        <w:rPr>
          <w:rFonts w:ascii="Times New Roman" w:cs="Times New Roman" w:eastAsia="Times New Roman" w:hAnsi="Times New Roman"/>
          <w:sz w:val="19"/>
          <w:szCs w:val="19"/>
          <w:color w:val="auto"/>
        </w:rPr>
        <w:t xml:space="preserve">on 12.13. Execution in Counterparts; Severability; Integration </w:t>
      </w:r>
      <w:r>
        <w:rPr>
          <w:rFonts w:ascii="Times New Roman" w:cs="Times New Roman" w:eastAsia="Times New Roman" w:hAnsi="Times New Roman"/>
          <w:sz w:val="19"/>
          <w:szCs w:val="19"/>
          <w:color w:val="FF0000"/>
          <w:strike w:val="1"/>
        </w:rPr>
        <w:t>124</w:t>
      </w:r>
      <w:r>
        <w:rPr>
          <w:rFonts w:ascii="Times New Roman" w:cs="Times New Roman" w:eastAsia="Times New Roman" w:hAnsi="Times New Roman"/>
          <w:sz w:val="19"/>
          <w:szCs w:val="19"/>
          <w:color w:val="0000FF"/>
        </w:rPr>
        <w:t>129</w:t>
      </w:r>
      <w:r>
        <w:rPr>
          <w:rFonts w:ascii="Times New Roman" w:cs="Times New Roman" w:eastAsia="Times New Roman" w:hAnsi="Times New Roman"/>
          <w:sz w:val="19"/>
          <w:szCs w:val="19"/>
          <w:color w:val="auto"/>
        </w:rPr>
        <w:t xml:space="preserve"> on 12.14. Patriot Act </w:t>
      </w:r>
      <w:r>
        <w:rPr>
          <w:rFonts w:ascii="Times New Roman" w:cs="Times New Roman" w:eastAsia="Times New Roman" w:hAnsi="Times New Roman"/>
          <w:sz w:val="19"/>
          <w:szCs w:val="19"/>
          <w:color w:val="FF0000"/>
          <w:strike w:val="1"/>
        </w:rPr>
        <w:t>124</w:t>
      </w:r>
      <w:r>
        <w:rPr>
          <w:rFonts w:ascii="Times New Roman" w:cs="Times New Roman" w:eastAsia="Times New Roman" w:hAnsi="Times New Roman"/>
          <w:sz w:val="19"/>
          <w:szCs w:val="19"/>
          <w:color w:val="0000FF"/>
        </w:rPr>
        <w:t>130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12.15 Legal Holidays </w:t>
      </w:r>
      <w:r>
        <w:rPr>
          <w:rFonts w:ascii="Times New Roman" w:cs="Times New Roman" w:eastAsia="Times New Roman" w:hAnsi="Times New Roman"/>
          <w:sz w:val="19"/>
          <w:szCs w:val="19"/>
          <w:color w:val="FF0000"/>
          <w:strike w:val="1"/>
        </w:rPr>
        <w:t>124</w:t>
      </w:r>
      <w:r>
        <w:rPr>
          <w:rFonts w:ascii="Times New Roman" w:cs="Times New Roman" w:eastAsia="Times New Roman" w:hAnsi="Times New Roman"/>
          <w:sz w:val="19"/>
          <w:szCs w:val="19"/>
          <w:color w:val="0000FF"/>
        </w:rPr>
        <w:t>130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12.16 No Fiduciary Duty </w:t>
      </w:r>
      <w:r>
        <w:rPr>
          <w:rFonts w:ascii="Times New Roman" w:cs="Times New Roman" w:eastAsia="Times New Roman" w:hAnsi="Times New Roman"/>
          <w:sz w:val="19"/>
          <w:szCs w:val="19"/>
          <w:color w:val="FF0000"/>
          <w:strike w:val="1"/>
        </w:rPr>
        <w:t>124</w:t>
      </w:r>
      <w:r>
        <w:rPr>
          <w:rFonts w:ascii="Times New Roman" w:cs="Times New Roman" w:eastAsia="Times New Roman" w:hAnsi="Times New Roman"/>
          <w:sz w:val="19"/>
          <w:szCs w:val="19"/>
          <w:color w:val="0000FF"/>
        </w:rPr>
        <w:t>130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12.17 Sharing of Payments by Lenders </w:t>
      </w:r>
      <w:r>
        <w:rPr>
          <w:rFonts w:ascii="Times New Roman" w:cs="Times New Roman" w:eastAsia="Times New Roman" w:hAnsi="Times New Roman"/>
          <w:sz w:val="19"/>
          <w:szCs w:val="19"/>
          <w:color w:val="FF0000"/>
          <w:strike w:val="1"/>
        </w:rPr>
        <w:t>125</w:t>
      </w:r>
      <w:r>
        <w:rPr>
          <w:rFonts w:ascii="Times New Roman" w:cs="Times New Roman" w:eastAsia="Times New Roman" w:hAnsi="Times New Roman"/>
          <w:sz w:val="19"/>
          <w:szCs w:val="19"/>
          <w:color w:val="0000FF"/>
        </w:rPr>
        <w:t>130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00FF"/>
        </w:rPr>
        <w:t>on 12.18 Rating Agency Disclosure 131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000FF"/>
        </w:rPr>
        <w:t>on 12.19 Acknowledgement and Consent to Bail-In of Affected Financial Institutions 131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I Reserved </w:t>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color w:val="0000FF"/>
        </w:rPr>
        <w:t>132</w:t>
      </w:r>
    </w:p>
    <w:p>
      <w:pPr>
        <w:spacing w:after="0" w:line="2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 xml:space="preserve">The Paying Agent </w:t>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color w:val="0000FF"/>
        </w:rPr>
        <w:t>132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14.1. Authorization and Action </w:t>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color w:val="0000FF"/>
        </w:rPr>
        <w:t>132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14.2. Successor Paying Agent </w:t>
      </w:r>
      <w:r>
        <w:rPr>
          <w:rFonts w:ascii="Times New Roman" w:cs="Times New Roman" w:eastAsia="Times New Roman" w:hAnsi="Times New Roman"/>
          <w:sz w:val="19"/>
          <w:szCs w:val="19"/>
          <w:color w:val="FF0000"/>
          <w:strike w:val="1"/>
        </w:rPr>
        <w:t>127</w:t>
      </w:r>
      <w:r>
        <w:rPr>
          <w:rFonts w:ascii="Times New Roman" w:cs="Times New Roman" w:eastAsia="Times New Roman" w:hAnsi="Times New Roman"/>
          <w:sz w:val="19"/>
          <w:szCs w:val="19"/>
          <w:color w:val="0000FF"/>
        </w:rPr>
        <w:t>133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14.3. Fees and Expenses </w:t>
      </w:r>
      <w:r>
        <w:rPr>
          <w:rFonts w:ascii="Times New Roman" w:cs="Times New Roman" w:eastAsia="Times New Roman" w:hAnsi="Times New Roman"/>
          <w:sz w:val="19"/>
          <w:szCs w:val="19"/>
          <w:color w:val="FF0000"/>
          <w:strike w:val="1"/>
        </w:rPr>
        <w:t>128</w:t>
      </w:r>
      <w:r>
        <w:rPr>
          <w:rFonts w:ascii="Times New Roman" w:cs="Times New Roman" w:eastAsia="Times New Roman" w:hAnsi="Times New Roman"/>
          <w:sz w:val="19"/>
          <w:szCs w:val="19"/>
          <w:color w:val="0000FF"/>
        </w:rPr>
        <w:t>133</w:t>
      </w:r>
    </w:p>
    <w:p>
      <w:pPr>
        <w:spacing w:after="0" w:line="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635635</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1440" w:right="1440" w:bottom="1440" w:gutter="0" w:footer="0" w:header="0"/>
        </w:sectPr>
      </w:pPr>
    </w:p>
    <w:bookmarkStart w:id="169" w:name="page170"/>
    <w:bookmarkEnd w:id="169"/>
    <w:p>
      <w:pPr>
        <w:spacing w:after="0" w:line="269" w:lineRule="exact"/>
        <w:rPr>
          <w:sz w:val="20"/>
          <w:szCs w:val="20"/>
          <w:color w:val="auto"/>
        </w:rPr>
      </w:pPr>
    </w:p>
    <w:p>
      <w:pPr>
        <w:ind w:right="4600"/>
        <w:spacing w:after="0" w:line="286" w:lineRule="auto"/>
        <w:rPr>
          <w:sz w:val="20"/>
          <w:szCs w:val="20"/>
          <w:color w:val="auto"/>
        </w:rPr>
      </w:pPr>
      <w:r>
        <w:rPr>
          <w:rFonts w:ascii="Times New Roman" w:cs="Times New Roman" w:eastAsia="Times New Roman" w:hAnsi="Times New Roman"/>
          <w:sz w:val="19"/>
          <w:szCs w:val="19"/>
          <w:color w:val="auto"/>
        </w:rPr>
        <w:t xml:space="preserve">on 14.4. Representations and Warranties of the Paying Agent </w:t>
      </w:r>
      <w:r>
        <w:rPr>
          <w:rFonts w:ascii="Times New Roman" w:cs="Times New Roman" w:eastAsia="Times New Roman" w:hAnsi="Times New Roman"/>
          <w:sz w:val="19"/>
          <w:szCs w:val="19"/>
          <w:color w:val="FF0000"/>
          <w:strike w:val="1"/>
        </w:rPr>
        <w:t>128</w:t>
      </w:r>
      <w:r>
        <w:rPr>
          <w:rFonts w:ascii="Times New Roman" w:cs="Times New Roman" w:eastAsia="Times New Roman" w:hAnsi="Times New Roman"/>
          <w:sz w:val="19"/>
          <w:szCs w:val="19"/>
          <w:color w:val="0000FF"/>
        </w:rPr>
        <w:t>134</w:t>
      </w:r>
      <w:r>
        <w:rPr>
          <w:rFonts w:ascii="Times New Roman" w:cs="Times New Roman" w:eastAsia="Times New Roman" w:hAnsi="Times New Roman"/>
          <w:sz w:val="19"/>
          <w:szCs w:val="19"/>
          <w:color w:val="auto"/>
        </w:rPr>
        <w:t xml:space="preserve"> on 14.5. Indemnity; Liability of the Paying Agent </w:t>
      </w:r>
      <w:r>
        <w:rPr>
          <w:rFonts w:ascii="Times New Roman" w:cs="Times New Roman" w:eastAsia="Times New Roman" w:hAnsi="Times New Roman"/>
          <w:sz w:val="19"/>
          <w:szCs w:val="19"/>
          <w:color w:val="FF0000"/>
          <w:strike w:val="1"/>
        </w:rPr>
        <w:t>129</w:t>
      </w:r>
      <w:r>
        <w:rPr>
          <w:rFonts w:ascii="Times New Roman" w:cs="Times New Roman" w:eastAsia="Times New Roman" w:hAnsi="Times New Roman"/>
          <w:sz w:val="19"/>
          <w:szCs w:val="19"/>
          <w:color w:val="0000FF"/>
        </w:rPr>
        <w:t>134</w:t>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 xml:space="preserve">The Guarantees </w:t>
      </w:r>
      <w:r>
        <w:rPr>
          <w:rFonts w:ascii="Times New Roman" w:cs="Times New Roman" w:eastAsia="Times New Roman" w:hAnsi="Times New Roman"/>
          <w:sz w:val="19"/>
          <w:szCs w:val="19"/>
          <w:color w:val="FF0000"/>
          <w:strike w:val="1"/>
        </w:rPr>
        <w:t>131</w:t>
      </w:r>
      <w:r>
        <w:rPr>
          <w:rFonts w:ascii="Times New Roman" w:cs="Times New Roman" w:eastAsia="Times New Roman" w:hAnsi="Times New Roman"/>
          <w:sz w:val="19"/>
          <w:szCs w:val="19"/>
          <w:color w:val="0000FF"/>
        </w:rPr>
        <w:t>137</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15.1. The Guarantees </w:t>
      </w:r>
      <w:r>
        <w:rPr>
          <w:rFonts w:ascii="Times New Roman" w:cs="Times New Roman" w:eastAsia="Times New Roman" w:hAnsi="Times New Roman"/>
          <w:sz w:val="19"/>
          <w:szCs w:val="19"/>
          <w:color w:val="FF0000"/>
          <w:strike w:val="1"/>
        </w:rPr>
        <w:t>131</w:t>
      </w:r>
      <w:r>
        <w:rPr>
          <w:rFonts w:ascii="Times New Roman" w:cs="Times New Roman" w:eastAsia="Times New Roman" w:hAnsi="Times New Roman"/>
          <w:sz w:val="19"/>
          <w:szCs w:val="19"/>
          <w:color w:val="0000FF"/>
        </w:rPr>
        <w:t>137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15.2. Guarantee Unconditional </w:t>
      </w:r>
      <w:r>
        <w:rPr>
          <w:rFonts w:ascii="Times New Roman" w:cs="Times New Roman" w:eastAsia="Times New Roman" w:hAnsi="Times New Roman"/>
          <w:sz w:val="19"/>
          <w:szCs w:val="19"/>
          <w:color w:val="FF0000"/>
          <w:strike w:val="1"/>
        </w:rPr>
        <w:t>132</w:t>
      </w:r>
      <w:r>
        <w:rPr>
          <w:rFonts w:ascii="Times New Roman" w:cs="Times New Roman" w:eastAsia="Times New Roman" w:hAnsi="Times New Roman"/>
          <w:sz w:val="19"/>
          <w:szCs w:val="19"/>
          <w:color w:val="0000FF"/>
        </w:rPr>
        <w:t>137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15.3. Discharge Only upon Payment in Full; Reinstatement in Certain Circumstances </w:t>
      </w:r>
      <w:r>
        <w:rPr>
          <w:rFonts w:ascii="Times New Roman" w:cs="Times New Roman" w:eastAsia="Times New Roman" w:hAnsi="Times New Roman"/>
          <w:sz w:val="19"/>
          <w:szCs w:val="19"/>
          <w:color w:val="FF0000"/>
          <w:strike w:val="1"/>
        </w:rPr>
        <w:t>132</w:t>
      </w:r>
      <w:r>
        <w:rPr>
          <w:rFonts w:ascii="Times New Roman" w:cs="Times New Roman" w:eastAsia="Times New Roman" w:hAnsi="Times New Roman"/>
          <w:sz w:val="19"/>
          <w:szCs w:val="19"/>
          <w:color w:val="0000FF"/>
        </w:rPr>
        <w:t>138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15.4. Subrogation </w:t>
      </w:r>
      <w:r>
        <w:rPr>
          <w:rFonts w:ascii="Times New Roman" w:cs="Times New Roman" w:eastAsia="Times New Roman" w:hAnsi="Times New Roman"/>
          <w:sz w:val="19"/>
          <w:szCs w:val="19"/>
          <w:color w:val="FF0000"/>
          <w:strike w:val="1"/>
        </w:rPr>
        <w:t>133</w:t>
      </w:r>
      <w:r>
        <w:rPr>
          <w:rFonts w:ascii="Times New Roman" w:cs="Times New Roman" w:eastAsia="Times New Roman" w:hAnsi="Times New Roman"/>
          <w:sz w:val="19"/>
          <w:szCs w:val="19"/>
          <w:color w:val="0000FF"/>
        </w:rPr>
        <w:t>138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15.5. Subordination </w:t>
      </w:r>
      <w:r>
        <w:rPr>
          <w:rFonts w:ascii="Times New Roman" w:cs="Times New Roman" w:eastAsia="Times New Roman" w:hAnsi="Times New Roman"/>
          <w:sz w:val="19"/>
          <w:szCs w:val="19"/>
          <w:color w:val="FF0000"/>
          <w:strike w:val="1"/>
        </w:rPr>
        <w:t>133</w:t>
      </w:r>
      <w:r>
        <w:rPr>
          <w:rFonts w:ascii="Times New Roman" w:cs="Times New Roman" w:eastAsia="Times New Roman" w:hAnsi="Times New Roman"/>
          <w:sz w:val="19"/>
          <w:szCs w:val="19"/>
          <w:color w:val="0000FF"/>
        </w:rPr>
        <w:t>138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15.6. Waivers </w:t>
      </w:r>
      <w:r>
        <w:rPr>
          <w:rFonts w:ascii="Times New Roman" w:cs="Times New Roman" w:eastAsia="Times New Roman" w:hAnsi="Times New Roman"/>
          <w:sz w:val="19"/>
          <w:szCs w:val="19"/>
          <w:color w:val="FF0000"/>
          <w:strike w:val="1"/>
        </w:rPr>
        <w:t>133</w:t>
      </w:r>
      <w:r>
        <w:rPr>
          <w:rFonts w:ascii="Times New Roman" w:cs="Times New Roman" w:eastAsia="Times New Roman" w:hAnsi="Times New Roman"/>
          <w:sz w:val="19"/>
          <w:szCs w:val="19"/>
          <w:color w:val="0000FF"/>
        </w:rPr>
        <w:t>139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15.7. Limit on Recovery </w:t>
      </w:r>
      <w:r>
        <w:rPr>
          <w:rFonts w:ascii="Times New Roman" w:cs="Times New Roman" w:eastAsia="Times New Roman" w:hAnsi="Times New Roman"/>
          <w:sz w:val="19"/>
          <w:szCs w:val="19"/>
          <w:color w:val="FF0000"/>
          <w:strike w:val="1"/>
        </w:rPr>
        <w:t>133</w:t>
      </w:r>
      <w:r>
        <w:rPr>
          <w:rFonts w:ascii="Times New Roman" w:cs="Times New Roman" w:eastAsia="Times New Roman" w:hAnsi="Times New Roman"/>
          <w:sz w:val="19"/>
          <w:szCs w:val="19"/>
          <w:color w:val="0000FF"/>
        </w:rPr>
        <w:t>139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15.8. Stay of Acceleration </w:t>
      </w:r>
      <w:r>
        <w:rPr>
          <w:rFonts w:ascii="Times New Roman" w:cs="Times New Roman" w:eastAsia="Times New Roman" w:hAnsi="Times New Roman"/>
          <w:sz w:val="19"/>
          <w:szCs w:val="19"/>
          <w:color w:val="FF0000"/>
          <w:strike w:val="1"/>
        </w:rPr>
        <w:t>133</w:t>
      </w:r>
      <w:r>
        <w:rPr>
          <w:rFonts w:ascii="Times New Roman" w:cs="Times New Roman" w:eastAsia="Times New Roman" w:hAnsi="Times New Roman"/>
          <w:sz w:val="19"/>
          <w:szCs w:val="19"/>
          <w:color w:val="0000FF"/>
        </w:rPr>
        <w:t>139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15.9. Benefit to Guarantors </w:t>
      </w:r>
      <w:r>
        <w:rPr>
          <w:rFonts w:ascii="Times New Roman" w:cs="Times New Roman" w:eastAsia="Times New Roman" w:hAnsi="Times New Roman"/>
          <w:sz w:val="19"/>
          <w:szCs w:val="19"/>
          <w:color w:val="FF0000"/>
          <w:strike w:val="1"/>
        </w:rPr>
        <w:t>134</w:t>
      </w:r>
      <w:r>
        <w:rPr>
          <w:rFonts w:ascii="Times New Roman" w:cs="Times New Roman" w:eastAsia="Times New Roman" w:hAnsi="Times New Roman"/>
          <w:sz w:val="19"/>
          <w:szCs w:val="19"/>
          <w:color w:val="0000FF"/>
        </w:rPr>
        <w:t>139</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on 15.10. Amendment and Restatement </w:t>
      </w:r>
      <w:r>
        <w:rPr>
          <w:rFonts w:ascii="Times New Roman" w:cs="Times New Roman" w:eastAsia="Times New Roman" w:hAnsi="Times New Roman"/>
          <w:sz w:val="19"/>
          <w:szCs w:val="19"/>
          <w:color w:val="FF0000"/>
          <w:strike w:val="1"/>
        </w:rPr>
        <w:t>134</w:t>
      </w:r>
      <w:r>
        <w:rPr>
          <w:rFonts w:ascii="Times New Roman" w:cs="Times New Roman" w:eastAsia="Times New Roman" w:hAnsi="Times New Roman"/>
          <w:sz w:val="19"/>
          <w:szCs w:val="19"/>
          <w:color w:val="0000FF"/>
        </w:rPr>
        <w:t>139</w:t>
      </w:r>
    </w:p>
    <w:p>
      <w:pPr>
        <w:spacing w:after="0" w:line="2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A — Form of Borrower Notice</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B — Form of Assignment and Acceptance</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C — Form of Joinder Agreement</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D — Form of Monthly Report</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E — Form of Borrower’s Certificate</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F — Reserved</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G — Reserved</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H — Form of Borrowing Base Certificate</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I — Form of Additional Guarantor Supplement</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Exhibit J — Form of Compliance Certificate</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 xml:space="preserve">Schedule I — </w:t>
      </w:r>
      <w:r>
        <w:rPr>
          <w:rFonts w:ascii="Times New Roman" w:cs="Times New Roman" w:eastAsia="Times New Roman" w:hAnsi="Times New Roman"/>
          <w:sz w:val="19"/>
          <w:szCs w:val="19"/>
          <w:color w:val="FF0000"/>
          <w:strike w:val="1"/>
        </w:rPr>
        <w:t>[Reserved]</w:t>
      </w:r>
      <w:r>
        <w:rPr>
          <w:rFonts w:ascii="Times New Roman" w:cs="Times New Roman" w:eastAsia="Times New Roman" w:hAnsi="Times New Roman"/>
          <w:sz w:val="19"/>
          <w:szCs w:val="19"/>
          <w:color w:val="0000FF"/>
        </w:rPr>
        <w:t>Commitments</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I-2 — Schedule of Documents</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II — Loan List</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III — Reserved</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IV — Places of Business; Locations of Records</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V — Proprietary Risk Rating</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VI — Investment Policy</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VII — Forms of Borrower’s Standard Documents</w:t>
      </w:r>
    </w:p>
    <w:p>
      <w:pPr>
        <w:spacing w:after="0" w:line="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Schedule VIII — Collection Account Details</w:t>
      </w:r>
    </w:p>
    <w:p>
      <w:pPr>
        <w:spacing w:after="0" w:line="1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649605</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580" w:top="1440" w:right="1440" w:bottom="1440" w:gutter="0" w:footer="0" w:header="0"/>
        </w:sectPr>
      </w:pPr>
    </w:p>
    <w:bookmarkStart w:id="170" w:name="page171"/>
    <w:bookmarkEnd w:id="170"/>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MENDED AND</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3"/>
          <w:szCs w:val="13"/>
          <w:b w:val="1"/>
          <w:bCs w:val="1"/>
          <w:color w:val="auto"/>
        </w:rPr>
        <w:t>ESTATED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REDIT</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This Amended and Restated Credit Agreement is made as of April 20, 2022, by and among:</w:t>
      </w:r>
    </w:p>
    <w:p>
      <w:pPr>
        <w:spacing w:after="0" w:line="224" w:lineRule="exact"/>
        <w:rPr>
          <w:sz w:val="20"/>
          <w:szCs w:val="20"/>
          <w:color w:val="auto"/>
        </w:rPr>
      </w:pPr>
    </w:p>
    <w:p>
      <w:pPr>
        <w:ind w:left="1020" w:hanging="270"/>
        <w:spacing w:after="0"/>
        <w:tabs>
          <w:tab w:leader="none" w:pos="10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Runway Growth Finance Corp., a Maryland corporation, as borrower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ind w:left="700" w:firstLine="50"/>
        <w:spacing w:after="0" w:line="269" w:lineRule="auto"/>
        <w:tabs>
          <w:tab w:leader="none" w:pos="10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financial institution from time to time party hereto as a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xml:space="preserve"> (whether on the signature pages hereto, in an Assignment and Acceptance or in a Joinder Agreement) and their respective successors and permitted assigns (collectively,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w:t>
      </w:r>
    </w:p>
    <w:p>
      <w:pPr>
        <w:spacing w:after="0" w:line="167"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party hereto;</w:t>
      </w:r>
    </w:p>
    <w:p>
      <w:pPr>
        <w:spacing w:after="0" w:line="225" w:lineRule="exact"/>
        <w:rPr>
          <w:rFonts w:ascii="Times New Roman" w:cs="Times New Roman" w:eastAsia="Times New Roman" w:hAnsi="Times New Roman"/>
          <w:sz w:val="19"/>
          <w:szCs w:val="19"/>
          <w:color w:val="auto"/>
        </w:rPr>
      </w:pPr>
    </w:p>
    <w:p>
      <w:pPr>
        <w:ind w:left="700" w:right="220" w:firstLine="50"/>
        <w:spacing w:after="0" w:line="286" w:lineRule="auto"/>
        <w:tabs>
          <w:tab w:leader="none" w:pos="102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KeyBank National Association, as administrative agent for the Lenders (together with its successors and assigns in such capacity,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and as swingline lender (in such capacity, the “</w:t>
      </w:r>
      <w:r>
        <w:rPr>
          <w:rFonts w:ascii="Times New Roman" w:cs="Times New Roman" w:eastAsia="Times New Roman" w:hAnsi="Times New Roman"/>
          <w:sz w:val="19"/>
          <w:szCs w:val="19"/>
          <w:i w:val="1"/>
          <w:iCs w:val="1"/>
          <w:color w:val="auto"/>
        </w:rPr>
        <w:t>Swingline Lender</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color w:val="auto"/>
        </w:rPr>
      </w:pPr>
    </w:p>
    <w:p>
      <w:pPr>
        <w:ind w:left="700" w:right="80" w:firstLine="50"/>
        <w:spacing w:after="0" w:line="288" w:lineRule="auto"/>
        <w:tabs>
          <w:tab w:leader="none" w:pos="102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CIBC Bank USA, as documentation agent (together with its successors and assigns in such capacity, the </w:t>
      </w:r>
      <w:r>
        <w:rPr>
          <w:rFonts w:ascii="Times New Roman" w:cs="Times New Roman" w:eastAsia="Times New Roman" w:hAnsi="Times New Roman"/>
          <w:sz w:val="19"/>
          <w:szCs w:val="19"/>
          <w:i w:val="1"/>
          <w:iCs w:val="1"/>
          <w:color w:val="auto"/>
        </w:rPr>
        <w:t>“Documentation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Agent”</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color w:val="auto"/>
        </w:rPr>
      </w:pPr>
    </w:p>
    <w:p>
      <w:pPr>
        <w:ind w:left="700" w:right="300" w:firstLine="50"/>
        <w:spacing w:after="0" w:line="286" w:lineRule="auto"/>
        <w:tabs>
          <w:tab w:leader="none" w:pos="102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MUFG Bank, Ltd. (as successor-in-interest to MUFG Union Bank, N.A.), as co-documentation agent (together with its successors and assigns in such capacity, the </w:t>
      </w:r>
      <w:r>
        <w:rPr>
          <w:rFonts w:ascii="Times New Roman" w:cs="Times New Roman" w:eastAsia="Times New Roman" w:hAnsi="Times New Roman"/>
          <w:sz w:val="19"/>
          <w:szCs w:val="19"/>
          <w:i w:val="1"/>
          <w:iCs w:val="1"/>
          <w:color w:val="auto"/>
        </w:rPr>
        <w:t>“Co-Documentation Agent”</w:t>
      </w:r>
      <w:r>
        <w:rPr>
          <w:rFonts w:ascii="Times New Roman" w:cs="Times New Roman" w:eastAsia="Times New Roman" w:hAnsi="Times New Roman"/>
          <w:sz w:val="19"/>
          <w:szCs w:val="19"/>
          <w:color w:val="auto"/>
        </w:rPr>
        <w:t>); and</w:t>
      </w:r>
    </w:p>
    <w:p>
      <w:pPr>
        <w:spacing w:after="0" w:line="151" w:lineRule="exact"/>
        <w:rPr>
          <w:rFonts w:ascii="Times New Roman" w:cs="Times New Roman" w:eastAsia="Times New Roman" w:hAnsi="Times New Roman"/>
          <w:sz w:val="19"/>
          <w:szCs w:val="19"/>
          <w:color w:val="auto"/>
        </w:rPr>
      </w:pPr>
    </w:p>
    <w:p>
      <w:pPr>
        <w:ind w:left="700" w:right="200" w:firstLine="50"/>
        <w:spacing w:after="0" w:line="268" w:lineRule="auto"/>
        <w:tabs>
          <w:tab w:leader="none" w:pos="1024"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U.S. Bank Trust Company, National Association, not in its individual capacity but as successor in interest to U.S. Bank National Association as the paying agent (together with its successors and assigns in such capacity, the “</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 and collateral custodian (together with its successors and assigns in such capacity, the “</w:t>
      </w:r>
      <w:r>
        <w:rPr>
          <w:rFonts w:ascii="Times New Roman" w:cs="Times New Roman" w:eastAsia="Times New Roman" w:hAnsi="Times New Roman"/>
          <w:sz w:val="19"/>
          <w:szCs w:val="19"/>
          <w:i w:val="1"/>
          <w:iCs w:val="1"/>
          <w:color w:val="auto"/>
        </w:rPr>
        <w:t>Collateral Custodian</w:t>
      </w:r>
      <w:r>
        <w:rPr>
          <w:rFonts w:ascii="Times New Roman" w:cs="Times New Roman" w:eastAsia="Times New Roman" w:hAnsi="Times New Roman"/>
          <w:sz w:val="19"/>
          <w:szCs w:val="19"/>
          <w:color w:val="auto"/>
        </w:rPr>
        <w:t>”).</w:t>
      </w:r>
    </w:p>
    <w:p>
      <w:pPr>
        <w:spacing w:after="0" w:line="2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ECITALS</w:t>
      </w:r>
    </w:p>
    <w:p>
      <w:pPr>
        <w:spacing w:after="0" w:line="228" w:lineRule="exact"/>
        <w:rPr>
          <w:sz w:val="20"/>
          <w:szCs w:val="20"/>
          <w:color w:val="auto"/>
        </w:rPr>
      </w:pPr>
    </w:p>
    <w:p>
      <w:pPr>
        <w:ind w:right="360" w:firstLine="696"/>
        <w:spacing w:after="0" w:line="286" w:lineRule="auto"/>
        <w:rPr>
          <w:sz w:val="20"/>
          <w:szCs w:val="20"/>
          <w:color w:val="auto"/>
        </w:rPr>
      </w:pPr>
      <w:r>
        <w:rPr>
          <w:rFonts w:ascii="Times New Roman" w:cs="Times New Roman" w:eastAsia="Times New Roman" w:hAnsi="Times New Roman"/>
          <w:sz w:val="19"/>
          <w:szCs w:val="19"/>
          <w:color w:val="auto"/>
        </w:rPr>
        <w:t>The Borrower desires that the Lenders make advances on a revolving basis to the Borrower on the terms and subject to the conditions set forth in this Agreement; and</w:t>
      </w:r>
    </w:p>
    <w:p>
      <w:pPr>
        <w:spacing w:after="0" w:line="151"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9"/>
          <w:szCs w:val="19"/>
          <w:color w:val="auto"/>
        </w:rPr>
        <w:t xml:space="preserve">The Borrower, the Guarantors, the Lenders, the Documentation Agent, the Co-Documentation Agent, the Collateral Custodian, the Paying Agent and the Administrative Agent are currently party to that certain Credit Agreement dated as of May 31, 2019 (as amended, the </w:t>
      </w:r>
      <w:r>
        <w:rPr>
          <w:rFonts w:ascii="Times New Roman" w:cs="Times New Roman" w:eastAsia="Times New Roman" w:hAnsi="Times New Roman"/>
          <w:sz w:val="19"/>
          <w:szCs w:val="19"/>
          <w:i w:val="1"/>
          <w:iCs w:val="1"/>
          <w:color w:val="auto"/>
        </w:rPr>
        <w:t>“Existing Credit Agreement”</w:t>
      </w:r>
      <w:r>
        <w:rPr>
          <w:rFonts w:ascii="Times New Roman" w:cs="Times New Roman" w:eastAsia="Times New Roman" w:hAnsi="Times New Roman"/>
          <w:sz w:val="19"/>
          <w:szCs w:val="19"/>
          <w:color w:val="auto"/>
        </w:rPr>
        <w:t>). The Borrower hereby requests that certain amendments be made to the Existing Credit Agreement and, for the sake of clarity and convenience, that the Existing Credit Agreement be restated as so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762000</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1440" w:right="780" w:bottom="1440" w:gutter="0" w:footer="0" w:header="0"/>
        </w:sectPr>
      </w:pPr>
    </w:p>
    <w:bookmarkStart w:id="171" w:name="page172"/>
    <w:bookmarkEnd w:id="171"/>
    <w:p>
      <w:pPr>
        <w:spacing w:after="0" w:line="200" w:lineRule="exact"/>
        <w:rPr>
          <w:sz w:val="20"/>
          <w:szCs w:val="20"/>
          <w:color w:val="auto"/>
        </w:rPr>
      </w:pPr>
    </w:p>
    <w:p>
      <w:pPr>
        <w:spacing w:after="0" w:line="285"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auto"/>
        </w:rPr>
        <w:t>The parties hereto acknowledge and agree that U.S. Bank National Association has transferred and assigned substantially all of its corporate trust business, including its roles as Collateral Custodian and Paying Agent under the Transaction Documents, to U.S. Bank Trust Company, National Association. By their signatures below, the parties hereto consent to U.S. Bank National Association’s assignment of its rights, interests and obligations in its role as Collateral Custodian and Paying Agent under this Agreement and the other Transaction Documents to U.S. Bank Trust Company, National Association. In furtherance of the foregoing, all references in this Agreement and the other Transaction Documents to U.S. Bank National Association in its roles as Collateral Custodian and Paying Agent shall be replaced with U.S. Bank Trust Company, National Association. For the avoidance of doubt, U.S. Bank National Association shall continue to serve as Document Custodian pursuant to the Transaction Documents and all references to U.S. Bank National Association in its role as Document Custodian shall continue in full force and effect.</w:t>
      </w:r>
    </w:p>
    <w:p>
      <w:pPr>
        <w:spacing w:after="0" w:line="179" w:lineRule="exact"/>
        <w:rPr>
          <w:sz w:val="20"/>
          <w:szCs w:val="20"/>
          <w:color w:val="auto"/>
        </w:rPr>
      </w:pPr>
    </w:p>
    <w:p>
      <w:pPr>
        <w:ind w:right="640" w:firstLine="696"/>
        <w:spacing w:after="0" w:line="286" w:lineRule="auto"/>
        <w:rPr>
          <w:sz w:val="20"/>
          <w:szCs w:val="20"/>
          <w:color w:val="auto"/>
        </w:rPr>
      </w:pPr>
      <w:r>
        <w:rPr>
          <w:rFonts w:ascii="Times New Roman" w:cs="Times New Roman" w:eastAsia="Times New Roman" w:hAnsi="Times New Roman"/>
          <w:sz w:val="19"/>
          <w:szCs w:val="19"/>
          <w:color w:val="auto"/>
        </w:rPr>
        <w:t>Each Lender is willing to make such advances to the Borrower on the terms and subject to the conditions set forth in this Agreement.</w:t>
      </w:r>
    </w:p>
    <w:p>
      <w:pPr>
        <w:spacing w:after="0" w:line="1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 consideration of the premises and of the mutual covenants herein contained, the parties hereto agree as follows:</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I</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3"/>
          <w:szCs w:val="13"/>
          <w:b w:val="1"/>
          <w:bCs w:val="1"/>
          <w:color w:val="auto"/>
        </w:rPr>
        <w:t>EFINITIONS</w:t>
      </w:r>
    </w:p>
    <w:p>
      <w:pPr>
        <w:spacing w:after="0" w:line="226" w:lineRule="exact"/>
        <w:rPr>
          <w:sz w:val="20"/>
          <w:szCs w:val="20"/>
          <w:color w:val="auto"/>
        </w:rPr>
      </w:pPr>
    </w:p>
    <w:p>
      <w:pPr>
        <w:ind w:right="22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1.1. Certain Defined Terms</w:t>
      </w:r>
      <w:r>
        <w:rPr>
          <w:rFonts w:ascii="Times New Roman" w:cs="Times New Roman" w:eastAsia="Times New Roman" w:hAnsi="Times New Roman"/>
          <w:sz w:val="19"/>
          <w:szCs w:val="19"/>
          <w:color w:val="auto"/>
        </w:rPr>
        <w:t>. (a) Certain capitalized terms used throughout this Agreement are defined above or in this Section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1.1.</w:t>
      </w:r>
    </w:p>
    <w:p>
      <w:pPr>
        <w:spacing w:after="0" w:line="150" w:lineRule="exact"/>
        <w:rPr>
          <w:sz w:val="20"/>
          <w:szCs w:val="20"/>
          <w:color w:val="auto"/>
        </w:rPr>
      </w:pPr>
    </w:p>
    <w:p>
      <w:pPr>
        <w:ind w:right="460" w:firstLine="54"/>
        <w:spacing w:after="0" w:line="286" w:lineRule="auto"/>
        <w:tabs>
          <w:tab w:leader="none" w:pos="32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used in this Agreement and its exhibits, the following terms shall have the following meanings (such meanings to be equally applicable to both the singular and plural forms of the terms defined).</w:t>
      </w:r>
    </w:p>
    <w:p>
      <w:pPr>
        <w:spacing w:after="0" w:line="132" w:lineRule="exact"/>
        <w:rPr>
          <w:sz w:val="20"/>
          <w:szCs w:val="20"/>
          <w:color w:val="auto"/>
        </w:rPr>
      </w:pPr>
    </w:p>
    <w:p>
      <w:pPr>
        <w:ind w:left="700"/>
        <w:spacing w:after="0" w:line="219" w:lineRule="exact"/>
        <w:rPr>
          <w:sz w:val="20"/>
          <w:szCs w:val="20"/>
          <w:color w:val="auto"/>
        </w:rPr>
      </w:pPr>
      <w:r>
        <w:rPr>
          <w:rFonts w:ascii="Times New Roman" w:cs="Times New Roman" w:eastAsia="Times New Roman" w:hAnsi="Times New Roman"/>
          <w:sz w:val="19"/>
          <w:szCs w:val="19"/>
          <w:i w:val="1"/>
          <w:iCs w:val="1"/>
          <w:color w:val="auto"/>
        </w:rPr>
        <w:t>“17g</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5 Representative” </w:t>
      </w:r>
      <w:r>
        <w:rPr>
          <w:rFonts w:ascii="Times New Roman" w:cs="Times New Roman" w:eastAsia="Times New Roman" w:hAnsi="Times New Roman"/>
          <w:sz w:val="19"/>
          <w:szCs w:val="19"/>
          <w:color w:val="auto"/>
        </w:rPr>
        <w:t>means any officer designated as the 17g-5 Representative by a Liquidity Provider.</w:t>
      </w:r>
    </w:p>
    <w:p>
      <w:pPr>
        <w:spacing w:after="0" w:line="2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“1940 Act” </w:t>
      </w:r>
      <w:r>
        <w:rPr>
          <w:rFonts w:ascii="Times New Roman" w:cs="Times New Roman" w:eastAsia="Times New Roman" w:hAnsi="Times New Roman"/>
          <w:sz w:val="19"/>
          <w:szCs w:val="19"/>
          <w:color w:val="auto"/>
        </w:rPr>
        <w:t>means the Investment Company Act of 1940, as amended from time to time.</w:t>
      </w:r>
    </w:p>
    <w:p>
      <w:pPr>
        <w:spacing w:after="0" w:line="226" w:lineRule="exact"/>
        <w:rPr>
          <w:sz w:val="20"/>
          <w:szCs w:val="20"/>
          <w:color w:val="auto"/>
        </w:rPr>
      </w:pPr>
    </w:p>
    <w:p>
      <w:pPr>
        <w:ind w:right="60"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“Account Control Agreement” </w:t>
      </w:r>
      <w:r>
        <w:rPr>
          <w:rFonts w:ascii="Times New Roman" w:cs="Times New Roman" w:eastAsia="Times New Roman" w:hAnsi="Times New Roman"/>
          <w:sz w:val="19"/>
          <w:szCs w:val="19"/>
          <w:color w:val="auto"/>
        </w:rPr>
        <w:t>means each of (i) that certain Account Control Agreement, dated as of May 31, 2019, among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the Administrative Agent and U.S. Bank National Association, as securities intermediary, with respect to the Collection Account as the same may be amended, restated, modified or supplemented from time to time, (ii) that certain Account Control Agreement, among the Borrower, the Administrative Agent and CIBC Bank USA, as account bank, with respect to the CIBC Account as the same may be amended, restated, modified or supplemented from time to time, and (iii) any other account control agreement entered into from time to time, in each case (x) in form and substance satisfactory to the Administrative Agent and (y) providing for “control” by the Administrative Agent of the applicable account within the meaning of the UCC.</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72" w:name="page173"/>
    <w:bookmarkEnd w:id="172"/>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“Additional Amount” </w:t>
      </w:r>
      <w:r>
        <w:rPr>
          <w:rFonts w:ascii="Times New Roman" w:cs="Times New Roman" w:eastAsia="Times New Roman" w:hAnsi="Times New Roman"/>
          <w:sz w:val="19"/>
          <w:szCs w:val="19"/>
          <w:color w:val="auto"/>
        </w:rPr>
        <w:t>is defined in Section 2.13.</w:t>
      </w:r>
    </w:p>
    <w:p>
      <w:pPr>
        <w:spacing w:after="0" w:line="226" w:lineRule="exact"/>
        <w:rPr>
          <w:sz w:val="20"/>
          <w:szCs w:val="20"/>
          <w:color w:val="auto"/>
        </w:rPr>
      </w:pPr>
    </w:p>
    <w:p>
      <w:pPr>
        <w:ind w:right="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“Additional Guarantor Supplement” </w:t>
      </w:r>
      <w:r>
        <w:rPr>
          <w:rFonts w:ascii="Times New Roman" w:cs="Times New Roman" w:eastAsia="Times New Roman" w:hAnsi="Times New Roman"/>
          <w:sz w:val="19"/>
          <w:szCs w:val="19"/>
          <w:color w:val="auto"/>
        </w:rPr>
        <w:t>means a certificate prepared and signed by a Responsible Officer of the Borrower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respect to each Subsidiary of the Borrower (other than (x) </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color w:val="0000FF"/>
        </w:rPr>
        <w:t>Financing</w:t>
      </w:r>
      <w:r>
        <w:rPr>
          <w:rFonts w:ascii="Times New Roman" w:cs="Times New Roman" w:eastAsia="Times New Roman" w:hAnsi="Times New Roman"/>
          <w:sz w:val="19"/>
          <w:szCs w:val="19"/>
          <w:color w:val="auto"/>
        </w:rPr>
        <w:t xml:space="preserve"> Subsidiary </w:t>
      </w:r>
      <w:r>
        <w:rPr>
          <w:rFonts w:ascii="Times New Roman" w:cs="Times New Roman" w:eastAsia="Times New Roman" w:hAnsi="Times New Roman"/>
          <w:sz w:val="19"/>
          <w:szCs w:val="19"/>
          <w:color w:val="FF0000"/>
        </w:rPr>
        <w:t>that is a small business investment company licensed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and regulated by the United States Small Business Administration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and (y) any Subsidiary that signed this Agreement as Guarantor on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Effective Date) in the form of Exhibit I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-376555</wp:posOffset>
            </wp:positionV>
            <wp:extent cx="262191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9">
                      <a:extLst>
                        <a:ext uri="{28A0092B-C50C-407E-A947-70E740481C1C}"/>
                      </a:extLst>
                    </a:blip>
                    <a:srcRect/>
                    <a:stretch>
                      <a:fillRect/>
                    </a:stretch>
                  </pic:blipFill>
                  <pic:spPr bwMode="auto">
                    <a:xfrm>
                      <a:off x="0" y="0"/>
                      <a:ext cx="2621915" cy="7620"/>
                    </a:xfrm>
                    <a:prstGeom prst="rect">
                      <a:avLst/>
                    </a:prstGeom>
                    <a:noFill/>
                  </pic:spPr>
                </pic:pic>
              </a:graphicData>
            </a:graphic>
          </wp:anchor>
        </w:drawing>
      </w:r>
    </w:p>
    <w:p>
      <w:pPr>
        <w:spacing w:after="0" w:line="151"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“Adjusted Term SOFR Rate” </w:t>
      </w:r>
      <w:r>
        <w:rPr>
          <w:rFonts w:ascii="Times New Roman" w:cs="Times New Roman" w:eastAsia="Times New Roman" w:hAnsi="Times New Roman"/>
          <w:sz w:val="19"/>
          <w:szCs w:val="19"/>
          <w:color w:val="auto"/>
        </w:rPr>
        <w:t>means for any Available Tenor and Interest Period with respect to a Term SOFR Loan, the greater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 the Floor and (b) the forward-looking term rate for a period comparable to such Available Tenor based on SOFR that is published by CME Group Benchmark Administration Ltd (</w:t>
      </w:r>
      <w:r>
        <w:rPr>
          <w:rFonts w:ascii="Times New Roman" w:cs="Times New Roman" w:eastAsia="Times New Roman" w:hAnsi="Times New Roman"/>
          <w:sz w:val="19"/>
          <w:szCs w:val="19"/>
          <w:i w:val="1"/>
          <w:iCs w:val="1"/>
          <w:color w:val="auto"/>
        </w:rPr>
        <w:t>“CBA”</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 xml:space="preserve">) and displayed on CME’s Market Data Platform (or other commercially available source providing such quotations as may be selected by the Administrative Agent from time to time), at approximately 11:00 a.m. New York City time, two Business Days (the </w:t>
      </w:r>
      <w:r>
        <w:rPr>
          <w:rFonts w:ascii="Times New Roman" w:cs="Times New Roman" w:eastAsia="Times New Roman" w:hAnsi="Times New Roman"/>
          <w:sz w:val="19"/>
          <w:szCs w:val="19"/>
          <w:i w:val="1"/>
          <w:iCs w:val="1"/>
          <w:color w:val="auto"/>
        </w:rPr>
        <w:t>“Lookback Day”</w:t>
      </w:r>
      <w:r>
        <w:rPr>
          <w:rFonts w:ascii="Times New Roman" w:cs="Times New Roman" w:eastAsia="Times New Roman" w:hAnsi="Times New Roman"/>
          <w:sz w:val="19"/>
          <w:szCs w:val="19"/>
          <w:color w:val="auto"/>
        </w:rPr>
        <w:t xml:space="preserve">) prior to the commencement of such Interest Period (and rounded to the nearest 1/16th of 1%);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by 5:00 pm (New York City time) on any Lookback Day, any Available Tenor of Term SOFR for such day has not been published, then such Available Tenor of Term SOFR for such day will be such Available Tenor of Term SOFR as published in respect of the first preceding SOFR Business Day for which such rate was published; </w:t>
      </w:r>
      <w:r>
        <w:rPr>
          <w:rFonts w:ascii="Times New Roman" w:cs="Times New Roman" w:eastAsia="Times New Roman" w:hAnsi="Times New Roman"/>
          <w:sz w:val="19"/>
          <w:szCs w:val="19"/>
          <w:i w:val="1"/>
          <w:iCs w:val="1"/>
          <w:color w:val="auto"/>
        </w:rPr>
        <w:t xml:space="preserve">provided, further, </w:t>
      </w:r>
      <w:r>
        <w:rPr>
          <w:rFonts w:ascii="Times New Roman" w:cs="Times New Roman" w:eastAsia="Times New Roman" w:hAnsi="Times New Roman"/>
          <w:sz w:val="19"/>
          <w:szCs w:val="19"/>
          <w:color w:val="auto"/>
        </w:rPr>
        <w:t>that any such preceding SOFR Business Day for which such rate was published shall be no more than three (3) SOFR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 Days prior to such Lookback Day.</w:t>
      </w:r>
    </w:p>
    <w:p>
      <w:pPr>
        <w:spacing w:after="0" w:line="184" w:lineRule="exact"/>
        <w:rPr>
          <w:sz w:val="20"/>
          <w:szCs w:val="20"/>
          <w:color w:val="auto"/>
        </w:rPr>
      </w:pPr>
    </w:p>
    <w:p>
      <w:pPr>
        <w:ind w:right="2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“Administration Agreement</w:t>
      </w:r>
      <w:r>
        <w:rPr>
          <w:rFonts w:ascii="Times New Roman" w:cs="Times New Roman" w:eastAsia="Times New Roman" w:hAnsi="Times New Roman"/>
          <w:sz w:val="19"/>
          <w:szCs w:val="19"/>
          <w:color w:val="auto"/>
        </w:rPr>
        <w:t>” means the Administration Agreement dated as of December 15, 2016 between Borrower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Runway Administrator Services LLC, a Delaware limited liability company, as amended, supplemented or otherwise modified from time to time.</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“Administrative Agent” </w:t>
      </w:r>
      <w:r>
        <w:rPr>
          <w:rFonts w:ascii="Times New Roman" w:cs="Times New Roman" w:eastAsia="Times New Roman" w:hAnsi="Times New Roman"/>
          <w:sz w:val="19"/>
          <w:szCs w:val="19"/>
          <w:color w:val="auto"/>
        </w:rPr>
        <w:t>is defined in the preamble hereto.</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“Administrative Agent Fee” </w:t>
      </w:r>
      <w:r>
        <w:rPr>
          <w:rFonts w:ascii="Times New Roman" w:cs="Times New Roman" w:eastAsia="Times New Roman" w:hAnsi="Times New Roman"/>
          <w:sz w:val="19"/>
          <w:szCs w:val="19"/>
          <w:color w:val="auto"/>
        </w:rPr>
        <w:t>has the meaning set forth in the Administrative Agent Fee Letter.</w:t>
      </w:r>
    </w:p>
    <w:p>
      <w:pPr>
        <w:spacing w:after="0" w:line="226" w:lineRule="exact"/>
        <w:rPr>
          <w:sz w:val="20"/>
          <w:szCs w:val="20"/>
          <w:color w:val="auto"/>
        </w:rPr>
      </w:pPr>
    </w:p>
    <w:p>
      <w:pPr>
        <w:ind w:right="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“Administrative Agent Fee Letter” </w:t>
      </w:r>
      <w:r>
        <w:rPr>
          <w:rFonts w:ascii="Times New Roman" w:cs="Times New Roman" w:eastAsia="Times New Roman" w:hAnsi="Times New Roman"/>
          <w:sz w:val="19"/>
          <w:szCs w:val="19"/>
          <w:color w:val="auto"/>
        </w:rPr>
        <w:t>means that certain Fee Letter by and between the Borrower, the Administrative Agent dated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 of </w:t>
      </w:r>
      <w:r>
        <w:rPr>
          <w:rFonts w:ascii="Times New Roman" w:cs="Times New Roman" w:eastAsia="Times New Roman" w:hAnsi="Times New Roman"/>
          <w:sz w:val="19"/>
          <w:szCs w:val="19"/>
          <w:color w:val="FF0000"/>
          <w:strike w:val="1"/>
        </w:rPr>
        <w:t>Restatement</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as the same may be amended, amended, restated or modified from time to time.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“Administrative Expense Cap” </w:t>
      </w:r>
      <w:r>
        <w:rPr>
          <w:rFonts w:ascii="Times New Roman" w:cs="Times New Roman" w:eastAsia="Times New Roman" w:hAnsi="Times New Roman"/>
          <w:sz w:val="19"/>
          <w:szCs w:val="19"/>
          <w:color w:val="auto"/>
        </w:rPr>
        <w:t>means, for any rolling 12-month period, an amount equal to $100,000 per annum.</w:t>
      </w:r>
    </w:p>
    <w:p>
      <w:pPr>
        <w:spacing w:after="0" w:line="226" w:lineRule="exact"/>
        <w:rPr>
          <w:sz w:val="20"/>
          <w:szCs w:val="20"/>
          <w:color w:val="auto"/>
        </w:rPr>
      </w:pPr>
    </w:p>
    <w:p>
      <w:pPr>
        <w:ind w:right="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“Administrative Expenses” </w:t>
      </w:r>
      <w:r>
        <w:rPr>
          <w:rFonts w:ascii="Times New Roman" w:cs="Times New Roman" w:eastAsia="Times New Roman" w:hAnsi="Times New Roman"/>
          <w:sz w:val="19"/>
          <w:szCs w:val="19"/>
          <w:color w:val="auto"/>
        </w:rPr>
        <w:t>means all amounts (including indemnification payments) due or accrued and payable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to the Administrative Agent and the Bank Parties pursuant to any Transaction Document including any Bank Fees and Expenses. For the avoidance of doubt, Administrative Expenses shall not include any amount payable to any Lender or any other Person pursuant to any Transaction Document.</w:t>
      </w:r>
    </w:p>
    <w:p>
      <w:pPr>
        <w:spacing w:after="0" w:line="171" w:lineRule="exact"/>
        <w:rPr>
          <w:sz w:val="20"/>
          <w:szCs w:val="20"/>
          <w:color w:val="auto"/>
        </w:rPr>
      </w:pPr>
    </w:p>
    <w:p>
      <w:pPr>
        <w:ind w:right="3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“Advance” </w:t>
      </w:r>
      <w:r>
        <w:rPr>
          <w:rFonts w:ascii="Times New Roman" w:cs="Times New Roman" w:eastAsia="Times New Roman" w:hAnsi="Times New Roman"/>
          <w:sz w:val="19"/>
          <w:szCs w:val="19"/>
          <w:color w:val="auto"/>
        </w:rPr>
        <w:t>means an advance made by a Lender (including the Swingline Lender) to the Borrower under and in accordance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the terms hereof (including, without duplication, each</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3" w:name="page174"/>
    <w:bookmarkEnd w:id="173"/>
    <w:p>
      <w:pPr>
        <w:spacing w:after="0" w:line="200" w:lineRule="exact"/>
        <w:rPr>
          <w:sz w:val="20"/>
          <w:szCs w:val="20"/>
          <w:color w:val="auto"/>
        </w:rPr>
      </w:pPr>
    </w:p>
    <w:p>
      <w:pPr>
        <w:spacing w:after="0" w:line="2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color w:val="auto"/>
        </w:rPr>
        <w:t>Swingline Advance and each advance made for the purpose of refunding the Swingline Lender for any Swingline Advances pursuant to Section 2.2(g)(i)).</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“Advance Rate” </w:t>
      </w:r>
      <w:r>
        <w:rPr>
          <w:rFonts w:ascii="Times New Roman" w:cs="Times New Roman" w:eastAsia="Times New Roman" w:hAnsi="Times New Roman"/>
          <w:sz w:val="19"/>
          <w:szCs w:val="19"/>
          <w:color w:val="auto"/>
        </w:rPr>
        <w:t>means:</w:t>
      </w:r>
    </w:p>
    <w:p>
      <w:pPr>
        <w:spacing w:after="0" w:line="228" w:lineRule="exact"/>
        <w:rPr>
          <w:sz w:val="20"/>
          <w:szCs w:val="20"/>
          <w:color w:val="auto"/>
        </w:rPr>
      </w:pPr>
    </w:p>
    <w:p>
      <w:pPr>
        <w:jc w:val="both"/>
        <w:ind w:left="700" w:right="120" w:firstLine="50"/>
        <w:spacing w:after="0" w:line="268" w:lineRule="auto"/>
        <w:tabs>
          <w:tab w:leader="none" w:pos="97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that there are fourteen (14) or fewer unaffiliated Obligors with respect to the Eligible Loans </w:t>
      </w:r>
      <w:r>
        <w:rPr>
          <w:rFonts w:ascii="Times New Roman" w:cs="Times New Roman" w:eastAsia="Times New Roman" w:hAnsi="Times New Roman"/>
          <w:sz w:val="19"/>
          <w:szCs w:val="19"/>
          <w:color w:val="0000FF"/>
        </w:rPr>
        <w:t>(excluding Broadly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Syndicated Loans) </w:t>
      </w:r>
      <w:r>
        <w:rPr>
          <w:rFonts w:ascii="Times New Roman" w:cs="Times New Roman" w:eastAsia="Times New Roman" w:hAnsi="Times New Roman"/>
          <w:sz w:val="19"/>
          <w:szCs w:val="19"/>
          <w:color w:val="000000"/>
        </w:rPr>
        <w:t>included in the Collateral, (a) with respect to First Lien Loans, 55%</w:t>
      </w:r>
      <w:r>
        <w:rPr>
          <w:rFonts w:ascii="Times New Roman" w:cs="Times New Roman" w:eastAsia="Times New Roman" w:hAnsi="Times New Roman"/>
          <w:sz w:val="19"/>
          <w:szCs w:val="19"/>
          <w:color w:val="0000FF"/>
        </w:rPr>
        <w:t xml:space="preserve">, (b) with respect to First Lien/Last Out, 45% </w:t>
      </w:r>
      <w:r>
        <w:rPr>
          <w:rFonts w:ascii="Times New Roman" w:cs="Times New Roman" w:eastAsia="Times New Roman" w:hAnsi="Times New Roman"/>
          <w:sz w:val="19"/>
          <w:szCs w:val="19"/>
          <w:color w:val="000000"/>
        </w:rPr>
        <w:t>and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color w:val="0000FF"/>
        </w:rPr>
        <w:t>c</w:t>
      </w:r>
      <w:r>
        <w:rPr>
          <w:rFonts w:ascii="Times New Roman" w:cs="Times New Roman" w:eastAsia="Times New Roman" w:hAnsi="Times New Roman"/>
          <w:sz w:val="19"/>
          <w:szCs w:val="19"/>
          <w:color w:val="000000"/>
        </w:rPr>
        <w:t>) with respect to Second Lien Loans, 30%;</w:t>
      </w:r>
    </w:p>
    <w:p>
      <w:pPr>
        <w:spacing w:after="0" w:line="168" w:lineRule="exact"/>
        <w:rPr>
          <w:rFonts w:ascii="Times New Roman" w:cs="Times New Roman" w:eastAsia="Times New Roman" w:hAnsi="Times New Roman"/>
          <w:sz w:val="19"/>
          <w:szCs w:val="19"/>
          <w:color w:val="auto"/>
        </w:rPr>
      </w:pPr>
    </w:p>
    <w:p>
      <w:pPr>
        <w:ind w:left="700" w:right="40" w:firstLine="50"/>
        <w:spacing w:after="0" w:line="268" w:lineRule="auto"/>
        <w:tabs>
          <w:tab w:leader="none" w:pos="103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that there are fifteen (15) or more unaffiliated Obligors but no more than thirty (30) Obligors with respect to the Eligible Loans </w:t>
      </w:r>
      <w:r>
        <w:rPr>
          <w:rFonts w:ascii="Times New Roman" w:cs="Times New Roman" w:eastAsia="Times New Roman" w:hAnsi="Times New Roman"/>
          <w:sz w:val="19"/>
          <w:szCs w:val="19"/>
          <w:color w:val="0000FF"/>
        </w:rPr>
        <w:t>(excluding Broadly Syndicated Loans)</w:t>
      </w:r>
      <w:r>
        <w:rPr>
          <w:rFonts w:ascii="Times New Roman" w:cs="Times New Roman" w:eastAsia="Times New Roman" w:hAnsi="Times New Roman"/>
          <w:sz w:val="19"/>
          <w:szCs w:val="19"/>
          <w:color w:val="auto"/>
        </w:rPr>
        <w:t xml:space="preserve"> included in the Collateral, (a) with respect to First Lien Loans, 60%</w:t>
      </w:r>
      <w:r>
        <w:rPr>
          <w:rFonts w:ascii="Times New Roman" w:cs="Times New Roman" w:eastAsia="Times New Roman" w:hAnsi="Times New Roman"/>
          <w:sz w:val="19"/>
          <w:szCs w:val="19"/>
          <w:color w:val="0000FF"/>
        </w:rPr>
        <w:t>,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with respect to First Lien/Last Out, 50% </w:t>
      </w:r>
      <w:r>
        <w:rPr>
          <w:rFonts w:ascii="Times New Roman" w:cs="Times New Roman" w:eastAsia="Times New Roman" w:hAnsi="Times New Roman"/>
          <w:sz w:val="19"/>
          <w:szCs w:val="19"/>
          <w:color w:val="000000"/>
        </w:rPr>
        <w:t>and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color w:val="0000FF"/>
        </w:rPr>
        <w:t>c</w:t>
      </w:r>
      <w:r>
        <w:rPr>
          <w:rFonts w:ascii="Times New Roman" w:cs="Times New Roman" w:eastAsia="Times New Roman" w:hAnsi="Times New Roman"/>
          <w:sz w:val="19"/>
          <w:szCs w:val="19"/>
          <w:color w:val="000000"/>
        </w:rPr>
        <w:t>) with respect to Second Lien Loans, 35%; and</w:t>
      </w:r>
    </w:p>
    <w:p>
      <w:pPr>
        <w:spacing w:after="0" w:line="168" w:lineRule="exact"/>
        <w:rPr>
          <w:rFonts w:ascii="Times New Roman" w:cs="Times New Roman" w:eastAsia="Times New Roman" w:hAnsi="Times New Roman"/>
          <w:sz w:val="19"/>
          <w:szCs w:val="19"/>
          <w:color w:val="auto"/>
        </w:rPr>
      </w:pPr>
    </w:p>
    <w:p>
      <w:pPr>
        <w:ind w:left="700" w:right="20" w:firstLine="50"/>
        <w:spacing w:after="0" w:line="256" w:lineRule="auto"/>
        <w:tabs>
          <w:tab w:leader="none" w:pos="108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any time that </w:t>
      </w:r>
      <w:r>
        <w:rPr>
          <w:rFonts w:ascii="Times New Roman" w:cs="Times New Roman" w:eastAsia="Times New Roman" w:hAnsi="Times New Roman"/>
          <w:sz w:val="19"/>
          <w:szCs w:val="19"/>
          <w:color w:val="0000FF"/>
        </w:rPr>
        <w:t>(1)</w:t>
      </w:r>
      <w:r>
        <w:rPr>
          <w:rFonts w:ascii="Times New Roman" w:cs="Times New Roman" w:eastAsia="Times New Roman" w:hAnsi="Times New Roman"/>
          <w:sz w:val="19"/>
          <w:szCs w:val="19"/>
          <w:color w:val="auto"/>
        </w:rPr>
        <w:t xml:space="preserve"> there are more than thirty (30) unaffiliated Obligors with respect to the Eligible Loans </w:t>
      </w:r>
      <w:r>
        <w:rPr>
          <w:rFonts w:ascii="Times New Roman" w:cs="Times New Roman" w:eastAsia="Times New Roman" w:hAnsi="Times New Roman"/>
          <w:sz w:val="19"/>
          <w:szCs w:val="19"/>
          <w:color w:val="0000FF"/>
        </w:rPr>
        <w:t>(excluding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Broadly Syndicated Loans</w:t>
      </w:r>
      <w:r>
        <w:rPr>
          <w:rFonts w:ascii="Times New Roman" w:cs="Times New Roman" w:eastAsia="Times New Roman" w:hAnsi="Times New Roman"/>
          <w:sz w:val="19"/>
          <w:szCs w:val="19"/>
          <w:b w:val="1"/>
          <w:bCs w:val="1"/>
          <w:color w:val="0000FF"/>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included in the Collateral</w:t>
      </w:r>
      <w:r>
        <w:rPr>
          <w:rFonts w:ascii="Times New Roman" w:cs="Times New Roman" w:eastAsia="Times New Roman" w:hAnsi="Times New Roman"/>
          <w:sz w:val="19"/>
          <w:szCs w:val="19"/>
          <w:color w:val="0000FF"/>
        </w:rPr>
        <w:t xml:space="preserve"> and (2) Effective Equity equals or exceeds the sum of the Outstanding Loan Balances of all Eligible Loans owned by the Borrower and included as part of the Collateral (or, in relation to a proposed purchase of a Loan, proposed to be owned and included as part of the Collateral) which consist of obligations of any Obligor which, together with the Affiliates thereof, is an Obligor with the 1st, 2nd, 3rd, 4th or 5th largest percentage of the Aggregate Outstanding Loan Balance</w:t>
      </w:r>
      <w:r>
        <w:rPr>
          <w:rFonts w:ascii="Times New Roman" w:cs="Times New Roman" w:eastAsia="Times New Roman" w:hAnsi="Times New Roman"/>
          <w:sz w:val="19"/>
          <w:szCs w:val="19"/>
          <w:color w:val="000000"/>
        </w:rPr>
        <w:t>, (a) with respect to First Lien Loans, 65%</w:t>
      </w:r>
      <w:r>
        <w:rPr>
          <w:rFonts w:ascii="Times New Roman" w:cs="Times New Roman" w:eastAsia="Times New Roman" w:hAnsi="Times New Roman"/>
          <w:sz w:val="19"/>
          <w:szCs w:val="19"/>
          <w:color w:val="0000FF"/>
        </w:rPr>
        <w:t xml:space="preserve">, (b) with respect to First Lien/Last Out, 55% </w:t>
      </w:r>
      <w:r>
        <w:rPr>
          <w:rFonts w:ascii="Times New Roman" w:cs="Times New Roman" w:eastAsia="Times New Roman" w:hAnsi="Times New Roman"/>
          <w:sz w:val="19"/>
          <w:szCs w:val="19"/>
          <w:color w:val="000000"/>
        </w:rPr>
        <w:t>and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color w:val="0000FF"/>
        </w:rPr>
        <w:t>c</w:t>
      </w:r>
      <w:r>
        <w:rPr>
          <w:rFonts w:ascii="Times New Roman" w:cs="Times New Roman" w:eastAsia="Times New Roman" w:hAnsi="Times New Roman"/>
          <w:sz w:val="19"/>
          <w:szCs w:val="19"/>
          <w:color w:val="000000"/>
        </w:rPr>
        <w:t>) with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respect to Second Lien Loans, 40%.</w:t>
      </w:r>
    </w:p>
    <w:p>
      <w:pPr>
        <w:spacing w:after="0" w:line="179"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“Advances Outstanding” </w:t>
      </w:r>
      <w:r>
        <w:rPr>
          <w:rFonts w:ascii="Times New Roman" w:cs="Times New Roman" w:eastAsia="Times New Roman" w:hAnsi="Times New Roman"/>
          <w:sz w:val="19"/>
          <w:szCs w:val="19"/>
          <w:color w:val="auto"/>
        </w:rPr>
        <w:t>means, on any day, the aggregate principal amount of Advances outstanding on such day, after giving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effect to all repayments of Advances and makings of new Advances on such day.</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“Affected Financial Institution” </w:t>
      </w:r>
      <w:r>
        <w:rPr>
          <w:rFonts w:ascii="Times New Roman" w:cs="Times New Roman" w:eastAsia="Times New Roman" w:hAnsi="Times New Roman"/>
          <w:sz w:val="19"/>
          <w:szCs w:val="19"/>
          <w:color w:val="auto"/>
        </w:rPr>
        <w:t>means (a) any EEA Financial Institution or (b) any UK Financial Institution.</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“Affected Party” </w:t>
      </w:r>
      <w:r>
        <w:rPr>
          <w:rFonts w:ascii="Times New Roman" w:cs="Times New Roman" w:eastAsia="Times New Roman" w:hAnsi="Times New Roman"/>
          <w:sz w:val="19"/>
          <w:szCs w:val="19"/>
          <w:color w:val="auto"/>
        </w:rPr>
        <w:t>is defined in Section 2.12(a).</w:t>
      </w:r>
    </w:p>
    <w:p>
      <w:pPr>
        <w:spacing w:after="0" w:line="226"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“Affiliate” </w:t>
      </w:r>
      <w:r>
        <w:rPr>
          <w:rFonts w:ascii="Times New Roman" w:cs="Times New Roman" w:eastAsia="Times New Roman" w:hAnsi="Times New Roman"/>
          <w:sz w:val="19"/>
          <w:szCs w:val="19"/>
          <w:color w:val="auto"/>
        </w:rPr>
        <w:t>with respect to a Person, means any other Person controlling, controlled by or under common control with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Person;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notwithstanding anything herein to the contrary, the term “Affiliate” of the Borrower </w:t>
      </w:r>
      <w:r>
        <w:rPr>
          <w:rFonts w:ascii="Times New Roman" w:cs="Times New Roman" w:eastAsia="Times New Roman" w:hAnsi="Times New Roman"/>
          <w:sz w:val="19"/>
          <w:szCs w:val="19"/>
          <w:color w:val="0000FF"/>
        </w:rPr>
        <w:t>or Investment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Adviser </w:t>
      </w:r>
      <w:r>
        <w:rPr>
          <w:rFonts w:ascii="Times New Roman" w:cs="Times New Roman" w:eastAsia="Times New Roman" w:hAnsi="Times New Roman"/>
          <w:sz w:val="19"/>
          <w:szCs w:val="19"/>
          <w:color w:val="000000"/>
        </w:rPr>
        <w:t>shall not include any Person that is a Portfolio Investment</w:t>
      </w:r>
      <w:r>
        <w:rPr>
          <w:rFonts w:ascii="Times New Roman" w:cs="Times New Roman" w:eastAsia="Times New Roman" w:hAnsi="Times New Roman"/>
          <w:sz w:val="19"/>
          <w:szCs w:val="19"/>
          <w:color w:val="0000FF"/>
        </w:rPr>
        <w:t xml:space="preserve"> or an Investment held by a Financing Subsidiary</w:t>
      </w:r>
      <w:r>
        <w:rPr>
          <w:rFonts w:ascii="Times New Roman" w:cs="Times New Roman" w:eastAsia="Times New Roman" w:hAnsi="Times New Roman"/>
          <w:sz w:val="19"/>
          <w:szCs w:val="19"/>
          <w:color w:val="000000"/>
        </w:rPr>
        <w:t>. For purposes of this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spacing w:after="0" w:line="175" w:lineRule="exact"/>
        <w:rPr>
          <w:sz w:val="20"/>
          <w:szCs w:val="20"/>
          <w:color w:val="auto"/>
        </w:rPr>
      </w:pPr>
    </w:p>
    <w:p>
      <w:pPr>
        <w:ind w:right="48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“Agent’s Account” </w:t>
      </w:r>
      <w:r>
        <w:rPr>
          <w:rFonts w:ascii="Times New Roman" w:cs="Times New Roman" w:eastAsia="Times New Roman" w:hAnsi="Times New Roman"/>
          <w:sz w:val="19"/>
          <w:szCs w:val="19"/>
          <w:color w:val="auto"/>
        </w:rPr>
        <w:t>means ABA: 021300077, Acct: 329953020917, Account Name: KeyBank NA, REF: Runway Growth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Finance Corp.</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4" w:name="page175"/>
    <w:bookmarkEnd w:id="174"/>
    <w:p>
      <w:pPr>
        <w:spacing w:after="0" w:line="200" w:lineRule="exact"/>
        <w:rPr>
          <w:sz w:val="20"/>
          <w:szCs w:val="20"/>
          <w:color w:val="auto"/>
        </w:rPr>
      </w:pPr>
    </w:p>
    <w:p>
      <w:pPr>
        <w:spacing w:after="0" w:line="283"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“Aggregate Outstanding Loan Balance” </w:t>
      </w:r>
      <w:r>
        <w:rPr>
          <w:rFonts w:ascii="Times New Roman" w:cs="Times New Roman" w:eastAsia="Times New Roman" w:hAnsi="Times New Roman"/>
          <w:sz w:val="19"/>
          <w:szCs w:val="19"/>
          <w:color w:val="auto"/>
        </w:rPr>
        <w:t>means on any day,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the Dollar Equivalent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sum of the Outstanding Loan Balances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all Eligible Loans included as part of the Collateral on such date.</w:t>
      </w:r>
    </w:p>
    <w:p>
      <w:pPr>
        <w:spacing w:after="0" w:line="148" w:lineRule="exact"/>
        <w:rPr>
          <w:sz w:val="20"/>
          <w:szCs w:val="20"/>
          <w:color w:val="auto"/>
        </w:rPr>
      </w:pPr>
    </w:p>
    <w:p>
      <w:pPr>
        <w:ind w:right="4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“Agreement” </w:t>
      </w:r>
      <w:r>
        <w:rPr>
          <w:rFonts w:ascii="Times New Roman" w:cs="Times New Roman" w:eastAsia="Times New Roman" w:hAnsi="Times New Roman"/>
          <w:sz w:val="19"/>
          <w:szCs w:val="19"/>
          <w:color w:val="auto"/>
        </w:rPr>
        <w:t>or</w:t>
      </w:r>
      <w:r>
        <w:rPr>
          <w:rFonts w:ascii="Times New Roman" w:cs="Times New Roman" w:eastAsia="Times New Roman" w:hAnsi="Times New Roman"/>
          <w:sz w:val="19"/>
          <w:szCs w:val="19"/>
          <w:i w:val="1"/>
          <w:iCs w:val="1"/>
          <w:color w:val="auto"/>
        </w:rPr>
        <w:t xml:space="preserve"> “Credit Agreement” </w:t>
      </w:r>
      <w:r>
        <w:rPr>
          <w:rFonts w:ascii="Times New Roman" w:cs="Times New Roman" w:eastAsia="Times New Roman" w:hAnsi="Times New Roman"/>
          <w:sz w:val="19"/>
          <w:szCs w:val="19"/>
          <w:color w:val="auto"/>
        </w:rPr>
        <w:t>means this Amended and Restated Credit Agreement, dated as of April 20, 2022,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hereafter amended, restated, supplemented or otherwise modified from time to time.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“Amortization Period” </w:t>
      </w:r>
      <w:r>
        <w:rPr>
          <w:rFonts w:ascii="Times New Roman" w:cs="Times New Roman" w:eastAsia="Times New Roman" w:hAnsi="Times New Roman"/>
          <w:sz w:val="19"/>
          <w:szCs w:val="19"/>
          <w:color w:val="auto"/>
        </w:rPr>
        <w:t>means the period beginning on the Termination Date and ending on the Maturity Date.</w:t>
      </w:r>
    </w:p>
    <w:p>
      <w:pPr>
        <w:spacing w:after="0" w:line="226" w:lineRule="exact"/>
        <w:rPr>
          <w:sz w:val="20"/>
          <w:szCs w:val="20"/>
          <w:color w:val="auto"/>
        </w:rPr>
      </w:pPr>
    </w:p>
    <w:p>
      <w:pPr>
        <w:ind w:right="100" w:firstLine="696"/>
        <w:spacing w:after="0" w:line="233" w:lineRule="exact"/>
        <w:rPr>
          <w:sz w:val="20"/>
          <w:szCs w:val="20"/>
          <w:color w:val="auto"/>
        </w:rPr>
      </w:pPr>
      <w:r>
        <w:rPr>
          <w:rFonts w:ascii="Times New Roman" w:cs="Times New Roman" w:eastAsia="Times New Roman" w:hAnsi="Times New Roman"/>
          <w:sz w:val="19"/>
          <w:szCs w:val="19"/>
          <w:i w:val="1"/>
          <w:iCs w:val="1"/>
          <w:color w:val="auto"/>
        </w:rPr>
        <w:t xml:space="preserve">“Applicable Law” </w:t>
      </w:r>
      <w:r>
        <w:rPr>
          <w:rFonts w:ascii="Times New Roman" w:cs="Times New Roman" w:eastAsia="Times New Roman" w:hAnsi="Times New Roman"/>
          <w:sz w:val="19"/>
          <w:szCs w:val="19"/>
          <w:color w:val="auto"/>
        </w:rPr>
        <w:t>means, for any Person, all existing and future applicable laws, rules, regulations (including proposed,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temporary and final income tax regulations), statutes, treaties, codes, ordinances, permits, certificates, orders and licenses of and interpretations by any Governmental Authority (including, without limitation, Credit Protection Laws, Regulation W, Regulation U and Regulation B of the Federal Reserve Board, the Foreign Corrupt Practices Act and the USA PATRIOT Act), and applicable judgments, decrees, injunctions, writs, orders or determination of any court, arbitrator or other administrative, judicial, or quasi</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judicial tribunal or agency of competent jurisdiction, in each case which relates to such Person or its business in any material respect.</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“Applicable Margin” </w:t>
      </w:r>
      <w:r>
        <w:rPr>
          <w:rFonts w:ascii="Times New Roman" w:cs="Times New Roman" w:eastAsia="Times New Roman" w:hAnsi="Times New Roman"/>
          <w:sz w:val="19"/>
          <w:szCs w:val="19"/>
          <w:color w:val="auto"/>
        </w:rPr>
        <w:t>is defined in the Lender Fee Letter.</w:t>
      </w:r>
    </w:p>
    <w:p>
      <w:pPr>
        <w:spacing w:after="0" w:line="226" w:lineRule="exact"/>
        <w:rPr>
          <w:sz w:val="20"/>
          <w:szCs w:val="20"/>
          <w:color w:val="auto"/>
        </w:rPr>
      </w:pPr>
    </w:p>
    <w:p>
      <w:pPr>
        <w:jc w:val="both"/>
        <w:ind w:right="4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“Applicable Reduction Premium Percentage” </w:t>
      </w:r>
      <w:r>
        <w:rPr>
          <w:rFonts w:ascii="Times New Roman" w:cs="Times New Roman" w:eastAsia="Times New Roman" w:hAnsi="Times New Roman"/>
          <w:sz w:val="19"/>
          <w:szCs w:val="19"/>
          <w:color w:val="auto"/>
        </w:rPr>
        <w:t>means, as of any date of determination, an amount equal to (i) during the period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from and after the Effective Date to, but not including, the date that is the second anniversary of the Effective Date, one percent (1.00%) and (ii) thereafter, zero percent (0.00%).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color w:val="FF0000"/>
          <w:strike w:val="1"/>
        </w:rPr>
        <w:t>Approval Period” is defined in Section 5.2(c).</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FF0000"/>
          <w:strike w:val="1"/>
        </w:rPr>
        <w:t>“Approved Replacement” is defined in Section 5.2(c).</w:t>
      </w:r>
    </w:p>
    <w:p>
      <w:pPr>
        <w:spacing w:after="0" w:line="226" w:lineRule="exact"/>
        <w:rPr>
          <w:sz w:val="20"/>
          <w:szCs w:val="20"/>
          <w:color w:val="auto"/>
        </w:rPr>
      </w:pPr>
    </w:p>
    <w:p>
      <w:pPr>
        <w:ind w:right="60" w:firstLine="69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Approved Agent” </w:t>
      </w:r>
      <w:r>
        <w:rPr>
          <w:rFonts w:ascii="Times New Roman" w:cs="Times New Roman" w:eastAsia="Times New Roman" w:hAnsi="Times New Roman"/>
          <w:sz w:val="19"/>
          <w:szCs w:val="19"/>
          <w:color w:val="0000FF"/>
        </w:rPr>
        <w:t>means a financial institution (a)(i) incorporated or organized under the laws of the United States (or any state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 xml:space="preserve">thereof but excluding any territory thereof) or any U.S. branch of a financial institution incorporated or organized outside the United States and (ii) with a long-term unsecured rating of at least </w:t>
      </w:r>
      <w:r>
        <w:rPr>
          <w:rFonts w:ascii="Times New Roman" w:cs="Times New Roman" w:eastAsia="Times New Roman" w:hAnsi="Times New Roman"/>
          <w:sz w:val="19"/>
          <w:szCs w:val="19"/>
          <w:i w:val="1"/>
          <w:iCs w:val="1"/>
          <w:color w:val="0000FF"/>
        </w:rPr>
        <w:t>“A3”</w:t>
      </w:r>
      <w:r>
        <w:rPr>
          <w:rFonts w:ascii="Times New Roman" w:cs="Times New Roman" w:eastAsia="Times New Roman" w:hAnsi="Times New Roman"/>
          <w:sz w:val="19"/>
          <w:szCs w:val="19"/>
          <w:color w:val="0000FF"/>
        </w:rPr>
        <w:t xml:space="preserve"> by Moody’s and </w:t>
      </w:r>
      <w:r>
        <w:rPr>
          <w:rFonts w:ascii="Times New Roman" w:cs="Times New Roman" w:eastAsia="Times New Roman" w:hAnsi="Times New Roman"/>
          <w:sz w:val="19"/>
          <w:szCs w:val="19"/>
          <w:i w:val="1"/>
          <w:iCs w:val="1"/>
          <w:color w:val="0000FF"/>
        </w:rPr>
        <w:t>“A-”</w:t>
      </w:r>
      <w:r>
        <w:rPr>
          <w:rFonts w:ascii="Times New Roman" w:cs="Times New Roman" w:eastAsia="Times New Roman" w:hAnsi="Times New Roman"/>
          <w:sz w:val="19"/>
          <w:szCs w:val="19"/>
          <w:color w:val="0000FF"/>
        </w:rPr>
        <w:t xml:space="preserve"> by S&amp;P or (b) acceptable to the Administrative Agent in its reasonable discretion.</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000FF"/>
        </w:rPr>
        <w:t xml:space="preserve">“Approved Foreign Currency” </w:t>
      </w:r>
      <w:r>
        <w:rPr>
          <w:rFonts w:ascii="Times New Roman" w:cs="Times New Roman" w:eastAsia="Times New Roman" w:hAnsi="Times New Roman"/>
          <w:sz w:val="19"/>
          <w:szCs w:val="19"/>
          <w:color w:val="0000FF"/>
        </w:rPr>
        <w:t>means Pounds Sterling, Euros and Cdn $.</w:t>
      </w: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i w:val="1"/>
          <w:iCs w:val="1"/>
          <w:color w:val="0000FF"/>
        </w:rPr>
        <w:t xml:space="preserve">“Approved Replacement” </w:t>
      </w:r>
      <w:r>
        <w:rPr>
          <w:rFonts w:ascii="Times New Roman" w:cs="Times New Roman" w:eastAsia="Times New Roman" w:hAnsi="Times New Roman"/>
          <w:sz w:val="19"/>
          <w:szCs w:val="19"/>
          <w:color w:val="0000FF"/>
        </w:rPr>
        <w:t>is a Proposed Replacement for a Key Person that is approved by the Administrative Agent.</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75" w:name="page176"/>
    <w:bookmarkEnd w:id="175"/>
    <w:p>
      <w:pPr>
        <w:spacing w:after="0" w:line="200" w:lineRule="exact"/>
        <w:rPr>
          <w:sz w:val="20"/>
          <w:szCs w:val="20"/>
          <w:color w:val="auto"/>
        </w:rPr>
      </w:pPr>
    </w:p>
    <w:p>
      <w:pPr>
        <w:spacing w:after="0" w:line="283"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i w:val="1"/>
          <w:iCs w:val="1"/>
          <w:color w:val="0000FF"/>
        </w:rPr>
        <w:t xml:space="preserve">“Asset -Backed Loan (“ABL”)” </w:t>
      </w:r>
      <w:r>
        <w:rPr>
          <w:rFonts w:ascii="Times New Roman" w:cs="Times New Roman" w:eastAsia="Times New Roman" w:hAnsi="Times New Roman"/>
          <w:sz w:val="19"/>
          <w:szCs w:val="19"/>
          <w:color w:val="0000FF"/>
        </w:rPr>
        <w:t>means any Revolving Loan where (i) the underwriting of such Loan was based primarily on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appraised value of the assets securing such Loan, and (ii) advances in respect of such Loan are governed by a borrowing base relating to the assets securing such Loan, provided that if the effective advance rate of any ABL exceeds (on any date of determination) the limit for the applicable collateral source set forth below, then the portion of the Outstanding Loan Balance of such Loan in excess of such limit shall be classified as a Second Lien Loan:</w:t>
      </w:r>
    </w:p>
    <w:p>
      <w:pPr>
        <w:spacing w:after="0" w:line="355" w:lineRule="exact"/>
        <w:rPr>
          <w:sz w:val="20"/>
          <w:szCs w:val="20"/>
          <w:color w:val="auto"/>
        </w:rPr>
      </w:pPr>
    </w:p>
    <w:tbl>
      <w:tblPr>
        <w:tblLayout w:type="fixed"/>
        <w:tblInd w:w="1480" w:type="dxa"/>
        <w:tblCellMar>
          <w:top w:w="0" w:type="dxa"/>
          <w:left w:w="0" w:type="dxa"/>
          <w:bottom w:w="0" w:type="dxa"/>
          <w:right w:w="0" w:type="dxa"/>
        </w:tblCellMar>
      </w:tblPr>
      <w:tr>
        <w:trPr>
          <w:trHeight w:val="251"/>
        </w:trPr>
        <w:tc>
          <w:tcPr>
            <w:tcW w:w="3080" w:type="dxa"/>
            <w:vAlign w:val="bottom"/>
          </w:tcPr>
          <w:p>
            <w:pPr>
              <w:ind w:left="720"/>
              <w:spacing w:after="0"/>
              <w:rPr>
                <w:sz w:val="20"/>
                <w:szCs w:val="20"/>
                <w:color w:val="auto"/>
              </w:rPr>
            </w:pPr>
            <w:r>
              <w:rPr>
                <w:rFonts w:ascii="Times New Roman" w:cs="Times New Roman" w:eastAsia="Times New Roman" w:hAnsi="Times New Roman"/>
                <w:sz w:val="19"/>
                <w:szCs w:val="19"/>
                <w:color w:val="0000FF"/>
              </w:rPr>
              <w:t>ABL (collateral source)</w:t>
            </w:r>
          </w:p>
        </w:tc>
        <w:tc>
          <w:tcPr>
            <w:tcW w:w="346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0000FF"/>
              </w:rPr>
              <w:t>Maximum Advance Rate</w:t>
            </w:r>
          </w:p>
        </w:tc>
      </w:tr>
      <w:tr>
        <w:trPr>
          <w:trHeight w:val="252"/>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0000FF"/>
              </w:rPr>
              <w:t>Cash &amp; cash equivalents</w:t>
            </w:r>
          </w:p>
        </w:tc>
        <w:tc>
          <w:tcPr>
            <w:tcW w:w="3460" w:type="dxa"/>
            <w:vAlign w:val="bottom"/>
          </w:tcPr>
          <w:p>
            <w:pPr>
              <w:jc w:val="right"/>
              <w:ind w:right="1084"/>
              <w:spacing w:after="0"/>
              <w:rPr>
                <w:sz w:val="20"/>
                <w:szCs w:val="20"/>
                <w:color w:val="auto"/>
              </w:rPr>
            </w:pPr>
            <w:r>
              <w:rPr>
                <w:rFonts w:ascii="Times New Roman" w:cs="Times New Roman" w:eastAsia="Times New Roman" w:hAnsi="Times New Roman"/>
                <w:sz w:val="19"/>
                <w:szCs w:val="19"/>
                <w:color w:val="0000FF"/>
              </w:rPr>
              <w:t>100.0%</w:t>
            </w:r>
          </w:p>
        </w:tc>
      </w:tr>
      <w:tr>
        <w:trPr>
          <w:trHeight w:val="252"/>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0000FF"/>
              </w:rPr>
              <w:t>Accounts receivable</w:t>
            </w:r>
          </w:p>
        </w:tc>
        <w:tc>
          <w:tcPr>
            <w:tcW w:w="3460" w:type="dxa"/>
            <w:vAlign w:val="bottom"/>
          </w:tcPr>
          <w:p>
            <w:pPr>
              <w:jc w:val="right"/>
              <w:ind w:right="1124"/>
              <w:spacing w:after="0"/>
              <w:rPr>
                <w:sz w:val="20"/>
                <w:szCs w:val="20"/>
                <w:color w:val="auto"/>
              </w:rPr>
            </w:pPr>
            <w:r>
              <w:rPr>
                <w:rFonts w:ascii="Times New Roman" w:cs="Times New Roman" w:eastAsia="Times New Roman" w:hAnsi="Times New Roman"/>
                <w:sz w:val="19"/>
                <w:szCs w:val="19"/>
                <w:color w:val="0000FF"/>
              </w:rPr>
              <w:t>90.0%</w:t>
            </w:r>
          </w:p>
        </w:tc>
      </w:tr>
      <w:tr>
        <w:trPr>
          <w:trHeight w:val="252"/>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0000FF"/>
              </w:rPr>
              <w:t>Machinery &amp; equipment</w:t>
            </w:r>
          </w:p>
        </w:tc>
        <w:tc>
          <w:tcPr>
            <w:tcW w:w="346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0000FF"/>
              </w:rPr>
              <w:t>85.0% of net orderly liquidation value</w:t>
            </w:r>
          </w:p>
        </w:tc>
      </w:tr>
      <w:tr>
        <w:trPr>
          <w:trHeight w:val="252"/>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0000FF"/>
              </w:rPr>
              <w:t>Real Estate</w:t>
            </w:r>
          </w:p>
        </w:tc>
        <w:tc>
          <w:tcPr>
            <w:tcW w:w="3460" w:type="dxa"/>
            <w:vAlign w:val="bottom"/>
          </w:tcPr>
          <w:p>
            <w:pPr>
              <w:jc w:val="center"/>
              <w:ind w:left="424"/>
              <w:spacing w:after="0"/>
              <w:rPr>
                <w:sz w:val="20"/>
                <w:szCs w:val="20"/>
                <w:color w:val="auto"/>
              </w:rPr>
            </w:pPr>
            <w:r>
              <w:rPr>
                <w:rFonts w:ascii="Times New Roman" w:cs="Times New Roman" w:eastAsia="Times New Roman" w:hAnsi="Times New Roman"/>
                <w:sz w:val="19"/>
                <w:szCs w:val="19"/>
                <w:color w:val="0000FF"/>
              </w:rPr>
              <w:t>65.0% of fair market value</w:t>
            </w:r>
          </w:p>
        </w:tc>
      </w:tr>
    </w:tbl>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“Assignment and Acceptance” </w:t>
      </w:r>
      <w:r>
        <w:rPr>
          <w:rFonts w:ascii="Times New Roman" w:cs="Times New Roman" w:eastAsia="Times New Roman" w:hAnsi="Times New Roman"/>
          <w:sz w:val="19"/>
          <w:szCs w:val="19"/>
          <w:color w:val="auto"/>
        </w:rPr>
        <w:t>is defined in Section 11.1(b).</w:t>
      </w:r>
    </w:p>
    <w:p>
      <w:pPr>
        <w:spacing w:after="0" w:line="226"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“Availability” </w:t>
      </w:r>
      <w:r>
        <w:rPr>
          <w:rFonts w:ascii="Times New Roman" w:cs="Times New Roman" w:eastAsia="Times New Roman" w:hAnsi="Times New Roman"/>
          <w:sz w:val="19"/>
          <w:szCs w:val="19"/>
          <w:color w:val="auto"/>
        </w:rPr>
        <w:t>means, for any day, the amount by which (i) the Maximum Availability as of such day exceeds (ii) the Advances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Outstanding on such day;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following the Termination Date, the Availability shall be zero.</w:t>
      </w:r>
    </w:p>
    <w:p>
      <w:pPr>
        <w:spacing w:after="0" w:line="148"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i w:val="1"/>
          <w:iCs w:val="1"/>
          <w:color w:val="0000FF"/>
        </w:rPr>
        <w:t xml:space="preserve">“Availability Factor” </w:t>
      </w:r>
      <w:r>
        <w:rPr>
          <w:rFonts w:ascii="Times New Roman" w:cs="Times New Roman" w:eastAsia="Times New Roman" w:hAnsi="Times New Roman"/>
          <w:sz w:val="19"/>
          <w:szCs w:val="19"/>
          <w:color w:val="0000FF"/>
        </w:rPr>
        <w:t>means a percentage equal to the lesser of (a) 100% and (b) the sum of (i) a fraction, expressed as a</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percentage, (1) the numerator of which is equal to the sum of (A) the aggregate amount of undrawn or unfunded borrowing base availability under Revolving Loans included as part of the Collateral and (B) the aggregate amount of undrawn availability (x) available to be drawn as of the date of determination as a result of the satisfaction of any condition or milestone, or (y) expected to be available as a result of the expected satisfaction of any condition or milestone within the ninety (90) calendar days following the applicable date of determination, in each case, under Delayed Draw Term Loans included as part of the Collateral, as determined by the Borrower in its reasonable discretion, and (2) the denominator of which is equal to the aggregate amount of unfunded obligations or commitments under Revolving Loans and Delayed-Draw Term Loans owned by the Borrower plus (ii) 10.0%.</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“Available Collections” </w:t>
      </w:r>
      <w:r>
        <w:rPr>
          <w:rFonts w:ascii="Times New Roman" w:cs="Times New Roman" w:eastAsia="Times New Roman" w:hAnsi="Times New Roman"/>
          <w:sz w:val="19"/>
          <w:szCs w:val="19"/>
          <w:color w:val="auto"/>
        </w:rPr>
        <w:t>is defined in Section 2.8(a).</w:t>
      </w:r>
    </w:p>
    <w:p>
      <w:pPr>
        <w:spacing w:after="0" w:line="226"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“Available Tenor” </w:t>
      </w:r>
      <w:r>
        <w:rPr>
          <w:rFonts w:ascii="Times New Roman" w:cs="Times New Roman" w:eastAsia="Times New Roman" w:hAnsi="Times New Roman"/>
          <w:sz w:val="19"/>
          <w:szCs w:val="19"/>
          <w:color w:val="auto"/>
        </w:rPr>
        <w:t>means, as of any date of determination and with respect to the then-current Benchmark, (x) if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2.11(b)(iv).</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6" w:name="page177"/>
    <w:bookmarkEnd w:id="176"/>
    <w:p>
      <w:pPr>
        <w:spacing w:after="0" w:line="200" w:lineRule="exact"/>
        <w:rPr>
          <w:sz w:val="20"/>
          <w:szCs w:val="20"/>
          <w:color w:val="auto"/>
        </w:rPr>
      </w:pPr>
    </w:p>
    <w:p>
      <w:pPr>
        <w:spacing w:after="0" w:line="266" w:lineRule="exact"/>
        <w:rPr>
          <w:sz w:val="20"/>
          <w:szCs w:val="20"/>
          <w:color w:val="auto"/>
        </w:rPr>
      </w:pPr>
    </w:p>
    <w:p>
      <w:pPr>
        <w:ind w:right="400" w:firstLine="696"/>
        <w:spacing w:after="0" w:line="249" w:lineRule="exact"/>
        <w:rPr>
          <w:sz w:val="20"/>
          <w:szCs w:val="20"/>
          <w:color w:val="auto"/>
        </w:rPr>
      </w:pPr>
      <w:r>
        <w:rPr>
          <w:rFonts w:ascii="Times New Roman" w:cs="Times New Roman" w:eastAsia="Times New Roman" w:hAnsi="Times New Roman"/>
          <w:sz w:val="19"/>
          <w:szCs w:val="19"/>
          <w:i w:val="1"/>
          <w:iCs w:val="1"/>
          <w:color w:val="auto"/>
        </w:rPr>
        <w:t xml:space="preserve">“Bail </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In Action” </w:t>
      </w:r>
      <w:r>
        <w:rPr>
          <w:rFonts w:ascii="Times New Roman" w:cs="Times New Roman" w:eastAsia="Times New Roman" w:hAnsi="Times New Roman"/>
          <w:sz w:val="19"/>
          <w:szCs w:val="19"/>
          <w:color w:val="auto"/>
        </w:rPr>
        <w:t>means the exercise of any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by the applicable Resolution Authority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respect of any liability of an Affected Financial Institution.</w:t>
      </w:r>
    </w:p>
    <w:p>
      <w:pPr>
        <w:spacing w:after="0" w:line="175" w:lineRule="exact"/>
        <w:rPr>
          <w:sz w:val="20"/>
          <w:szCs w:val="20"/>
          <w:color w:val="auto"/>
        </w:rPr>
      </w:pPr>
    </w:p>
    <w:p>
      <w:pPr>
        <w:ind w:firstLine="696"/>
        <w:spacing w:after="0" w:line="235" w:lineRule="exact"/>
        <w:rPr>
          <w:sz w:val="20"/>
          <w:szCs w:val="20"/>
          <w:color w:val="auto"/>
        </w:rPr>
      </w:pPr>
      <w:r>
        <w:rPr>
          <w:rFonts w:ascii="Times New Roman" w:cs="Times New Roman" w:eastAsia="Times New Roman" w:hAnsi="Times New Roman"/>
          <w:sz w:val="19"/>
          <w:szCs w:val="19"/>
          <w:i w:val="1"/>
          <w:iCs w:val="1"/>
          <w:color w:val="auto"/>
        </w:rPr>
        <w:t>“Bail</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In Legislation” </w:t>
      </w:r>
      <w:r>
        <w:rPr>
          <w:rFonts w:ascii="Times New Roman" w:cs="Times New Roman" w:eastAsia="Times New Roman" w:hAnsi="Times New Roman"/>
          <w:sz w:val="19"/>
          <w:szCs w:val="19"/>
          <w:color w:val="auto"/>
        </w:rPr>
        <w:t>means (a) with respect to any EEA Member Country implementing Article 55 of Directive 2014/59/EU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European Parliament and of the Council of the European Union, the implementing law, regulation rule or requirement for such EEA Member Country from time to time that is described in the EU Bail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right="1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“Bank” </w:t>
      </w:r>
      <w:r>
        <w:rPr>
          <w:rFonts w:ascii="Times New Roman" w:cs="Times New Roman" w:eastAsia="Times New Roman" w:hAnsi="Times New Roman"/>
          <w:sz w:val="19"/>
          <w:szCs w:val="19"/>
          <w:color w:val="auto"/>
        </w:rPr>
        <w:t>means U.S. Bank Trust Company, National Association, a national banking association, in its individual capacity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 as agent, and any successor thereto.</w:t>
      </w:r>
    </w:p>
    <w:p>
      <w:pPr>
        <w:spacing w:after="0" w:line="148" w:lineRule="exact"/>
        <w:rPr>
          <w:sz w:val="20"/>
          <w:szCs w:val="20"/>
          <w:color w:val="auto"/>
        </w:rPr>
      </w:pPr>
    </w:p>
    <w:p>
      <w:pPr>
        <w:ind w:right="3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“Bank Parties” </w:t>
      </w:r>
      <w:r>
        <w:rPr>
          <w:rFonts w:ascii="Times New Roman" w:cs="Times New Roman" w:eastAsia="Times New Roman" w:hAnsi="Times New Roman"/>
          <w:sz w:val="19"/>
          <w:szCs w:val="19"/>
          <w:color w:val="auto"/>
        </w:rPr>
        <w:t>means the Bank and U.S. Bank National Association, in their respective capacities as Collateral Custodian,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 Custodian and Paying Agent under the Transaction Documents, as applicable.</w:t>
      </w:r>
    </w:p>
    <w:p>
      <w:pPr>
        <w:spacing w:after="0" w:line="148" w:lineRule="exact"/>
        <w:rPr>
          <w:sz w:val="20"/>
          <w:szCs w:val="20"/>
          <w:color w:val="auto"/>
        </w:rPr>
      </w:pPr>
    </w:p>
    <w:p>
      <w:pPr>
        <w:ind w:right="20" w:firstLine="69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“Bank Fees and Expenses” </w:t>
      </w:r>
      <w:r>
        <w:rPr>
          <w:rFonts w:ascii="Times New Roman" w:cs="Times New Roman" w:eastAsia="Times New Roman" w:hAnsi="Times New Roman"/>
          <w:sz w:val="19"/>
          <w:szCs w:val="19"/>
          <w:color w:val="auto"/>
        </w:rPr>
        <w:t>means those fees and expenses including the reasonable and documented out-of-pocket accrued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unpaid fees, expenses (including reasonable attorneys’ fees, costs and expenses) and indemnity amounts payable by the Borrower to the Paying Agent, the Document Custodian and the Collateral Custodian payable pursuant to (i) that certain U.S. Bank National Association Fee Proposal dated as of November 12, 2015, from U.S. Bank National Association and acknowledged by the Borrower and (ii) the Transaction Documents (including Indemnified Amounts under Sections 9.1 and 9.2 under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fees shall not be increased without the consent of the Administrative Agent.</w:t>
      </w:r>
    </w:p>
    <w:p>
      <w:pPr>
        <w:spacing w:after="0" w:line="175" w:lineRule="exact"/>
        <w:rPr>
          <w:sz w:val="20"/>
          <w:szCs w:val="20"/>
          <w:color w:val="auto"/>
        </w:rPr>
      </w:pPr>
    </w:p>
    <w:p>
      <w:pPr>
        <w:ind w:right="3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“Bankruptcy Code” </w:t>
      </w:r>
      <w:r>
        <w:rPr>
          <w:rFonts w:ascii="Times New Roman" w:cs="Times New Roman" w:eastAsia="Times New Roman" w:hAnsi="Times New Roman"/>
          <w:sz w:val="19"/>
          <w:szCs w:val="19"/>
          <w:color w:val="auto"/>
        </w:rPr>
        <w:t>means the United States Bankruptcy Reform Act of 1978 (11 U.S.C. §§ 101,</w:t>
      </w:r>
      <w:r>
        <w:rPr>
          <w:rFonts w:ascii="Times New Roman" w:cs="Times New Roman" w:eastAsia="Times New Roman" w:hAnsi="Times New Roman"/>
          <w:sz w:val="19"/>
          <w:szCs w:val="19"/>
          <w:i w:val="1"/>
          <w:iCs w:val="1"/>
          <w:color w:val="auto"/>
        </w:rPr>
        <w:t xml:space="preserve"> et seq.</w:t>
      </w:r>
      <w:r>
        <w:rPr>
          <w:rFonts w:ascii="Times New Roman" w:cs="Times New Roman" w:eastAsia="Times New Roman" w:hAnsi="Times New Roman"/>
          <w:sz w:val="19"/>
          <w:szCs w:val="19"/>
          <w:color w:val="auto"/>
        </w:rPr>
        <w:t>), as amended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time to time.</w:t>
      </w:r>
    </w:p>
    <w:p>
      <w:pPr>
        <w:spacing w:after="0" w:line="148" w:lineRule="exact"/>
        <w:rPr>
          <w:sz w:val="20"/>
          <w:szCs w:val="20"/>
          <w:color w:val="auto"/>
        </w:rPr>
      </w:pPr>
    </w:p>
    <w:p>
      <w:pPr>
        <w:jc w:val="both"/>
        <w:ind w:right="46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“Base Rate” </w:t>
      </w:r>
      <w:r>
        <w:rPr>
          <w:rFonts w:ascii="Times New Roman" w:cs="Times New Roman" w:eastAsia="Times New Roman" w:hAnsi="Times New Roman"/>
          <w:sz w:val="19"/>
          <w:szCs w:val="19"/>
          <w:color w:val="auto"/>
        </w:rPr>
        <w:t>means, on any date, a fluctuating rate of interest per annum equal to the highest of (a) the Prime Rate, (b)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Federal Funds Rate plus 0.50%, (c) the Adjusted Term SOFR Rate for a one month Interest Period on such day plus 1.00%, and (d) 1.15%.</w:t>
      </w:r>
    </w:p>
    <w:p>
      <w:pPr>
        <w:spacing w:after="0" w:line="166" w:lineRule="exact"/>
        <w:rPr>
          <w:sz w:val="20"/>
          <w:szCs w:val="20"/>
          <w:color w:val="auto"/>
        </w:rPr>
      </w:pPr>
    </w:p>
    <w:p>
      <w:pPr>
        <w:ind w:right="200" w:firstLine="6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BC Partners</w:t>
      </w:r>
      <w:r>
        <w:rPr>
          <w:rFonts w:ascii="Times New Roman" w:cs="Times New Roman" w:eastAsia="Times New Roman" w:hAnsi="Times New Roman"/>
          <w:sz w:val="19"/>
          <w:szCs w:val="19"/>
          <w:color w:val="auto"/>
        </w:rPr>
        <w:t>” means BC Partner Group Holdings, LLC, or one or more investment funds, separate accounts, or other entities owned, controlled, managed and/or advised by BC Partner Group Holdings, LLC or its Affiliates (including but not limited to Mount Logan Capital Inc., BCP Special Opportunities Fund III Origination LP, and RGC Group Holdco LLC).</w:t>
      </w:r>
    </w:p>
    <w:p>
      <w:pPr>
        <w:spacing w:after="0" w:line="166" w:lineRule="exact"/>
        <w:rPr>
          <w:sz w:val="20"/>
          <w:szCs w:val="20"/>
          <w:color w:val="auto"/>
        </w:rPr>
      </w:pPr>
    </w:p>
    <w:p>
      <w:pPr>
        <w:ind w:right="32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“Benchmark” </w:t>
      </w:r>
      <w:r>
        <w:rPr>
          <w:rFonts w:ascii="Times New Roman" w:cs="Times New Roman" w:eastAsia="Times New Roman" w:hAnsi="Times New Roman"/>
          <w:sz w:val="19"/>
          <w:szCs w:val="19"/>
          <w:color w:val="auto"/>
        </w:rPr>
        <w:t>means, initially, Term SOFR;</w:t>
      </w:r>
      <w:r>
        <w:rPr>
          <w:rFonts w:ascii="Times New Roman" w:cs="Times New Roman" w:eastAsia="Times New Roman" w:hAnsi="Times New Roman"/>
          <w:sz w:val="19"/>
          <w:szCs w:val="19"/>
          <w:i w:val="1"/>
          <w:iCs w:val="1"/>
          <w:color w:val="auto"/>
        </w:rPr>
        <w:t xml:space="preserve"> provided </w:t>
      </w:r>
      <w:r>
        <w:rPr>
          <w:rFonts w:ascii="Times New Roman" w:cs="Times New Roman" w:eastAsia="Times New Roman" w:hAnsi="Times New Roman"/>
          <w:sz w:val="19"/>
          <w:szCs w:val="19"/>
          <w:color w:val="auto"/>
        </w:rPr>
        <w:t>that if a Benchmark Transition Event has occurred with respect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then-current Benchmark, then “Benchmark” means the applicable Benchmark Replacement to the extent that such Benchmark Replacement has replaced such prior benchmark rate pursuant to Section 2.11(b).</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7" w:name="page178"/>
    <w:bookmarkEnd w:id="177"/>
    <w:p>
      <w:pPr>
        <w:spacing w:after="0" w:line="200" w:lineRule="exact"/>
        <w:rPr>
          <w:sz w:val="20"/>
          <w:szCs w:val="20"/>
          <w:color w:val="auto"/>
        </w:rPr>
      </w:pPr>
    </w:p>
    <w:p>
      <w:pPr>
        <w:spacing w:after="0" w:line="283"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“Benchmark Replacement” </w:t>
      </w:r>
      <w:r>
        <w:rPr>
          <w:rFonts w:ascii="Times New Roman" w:cs="Times New Roman" w:eastAsia="Times New Roman" w:hAnsi="Times New Roman"/>
          <w:sz w:val="19"/>
          <w:szCs w:val="19"/>
          <w:color w:val="auto"/>
        </w:rPr>
        <w:t>means, with respect to any Benchmark Transition Event for the then-current Benchmark, the sum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(i) the alternate benchmark rate that has been selected by the Administrative Agent and the Borrower as the replacement for such Benchmark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U.S. Dollars at such time and (ii) the related Benchmark Replacement Adjustment, if any;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Benchmark Replacement as so determined would be less than the Floor, such Benchmark Replacement will be deemed to be the Floor for the purposes of this Agreement and the other Transaction Documents.</w:t>
      </w:r>
    </w:p>
    <w:p>
      <w:pPr>
        <w:spacing w:after="0" w:line="160"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“Benchmark Replacement Adjustment” </w:t>
      </w:r>
      <w:r>
        <w:rPr>
          <w:rFonts w:ascii="Times New Roman" w:cs="Times New Roman" w:eastAsia="Times New Roman" w:hAnsi="Times New Roman"/>
          <w:sz w:val="19"/>
          <w:szCs w:val="19"/>
          <w:color w:val="auto"/>
        </w:rPr>
        <w:t>means, with respect to any replacement of any then-current Benchmark with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Unadjusted Benchmark Replacement for any applicable Available Tenor, the spread adjustment, or method for calculating or determining such spread adjustment (which may be a positive or negative value or zero), if any,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 -prevailing market convention for determining a spread adjustment, or method for calculating or determining such spread adjustment, for the replacement of such Benchmark with the applicable Unadjusted Benchmark Replacement for U.S. Dollar denominated syndicated credit facilities.</w:t>
      </w:r>
    </w:p>
    <w:p>
      <w:pPr>
        <w:spacing w:after="0" w:line="160" w:lineRule="exact"/>
        <w:rPr>
          <w:sz w:val="20"/>
          <w:szCs w:val="20"/>
          <w:color w:val="auto"/>
        </w:rPr>
      </w:pPr>
    </w:p>
    <w:p>
      <w:pPr>
        <w:ind w:right="200"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“Benchmark Replacement Conforming Changes” </w:t>
      </w:r>
      <w:r>
        <w:rPr>
          <w:rFonts w:ascii="Times New Roman" w:cs="Times New Roman" w:eastAsia="Times New Roman" w:hAnsi="Times New Roman"/>
          <w:sz w:val="19"/>
          <w:szCs w:val="19"/>
          <w:color w:val="auto"/>
        </w:rPr>
        <w:t>means, with respect to any Benchmark Replacement, any technical,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or operational changes (including changes to the definition of “Base Rate”, the definition of “Business Day,” or “SOFR Business Day”, the definition of “Interest Period” or any similar or analogous definition (or the addition of a concept of “interest period”), the timing and frequency of determining rates and making payments of interest, timing of borrowing requests or prepayment, conversion or continuation notices, length of lookback periods,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Transaction Documents).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“Benchmark Replacement Date” </w:t>
      </w:r>
      <w:r>
        <w:rPr>
          <w:rFonts w:ascii="Times New Roman" w:cs="Times New Roman" w:eastAsia="Times New Roman" w:hAnsi="Times New Roman"/>
          <w:sz w:val="19"/>
          <w:szCs w:val="19"/>
          <w:color w:val="auto"/>
        </w:rPr>
        <w:t>means the earlier to occur of the following events with respect to the then-current Benchmark:</w:t>
      </w:r>
    </w:p>
    <w:p>
      <w:pPr>
        <w:spacing w:after="0" w:line="228" w:lineRule="exact"/>
        <w:rPr>
          <w:sz w:val="20"/>
          <w:szCs w:val="20"/>
          <w:color w:val="auto"/>
        </w:rPr>
      </w:pPr>
    </w:p>
    <w:p>
      <w:pPr>
        <w:ind w:left="700" w:right="220" w:firstLine="50"/>
        <w:spacing w:after="0" w:line="258" w:lineRule="auto"/>
        <w:tabs>
          <w:tab w:leader="none" w:pos="100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clause (a) or (b) of the definition of “Benchmark Transition Event”, the later of (i) the date of the public statement or publication of information referenced therein and (ii) the date on which the administrator of such Benchmark (or the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8" w:name="page179"/>
    <w:bookmarkEnd w:id="178"/>
    <w:p>
      <w:pPr>
        <w:spacing w:after="0" w:line="200" w:lineRule="exact"/>
        <w:rPr>
          <w:sz w:val="20"/>
          <w:szCs w:val="20"/>
          <w:color w:val="auto"/>
        </w:rPr>
      </w:pPr>
    </w:p>
    <w:p>
      <w:pPr>
        <w:spacing w:after="0" w:line="285" w:lineRule="exact"/>
        <w:rPr>
          <w:sz w:val="20"/>
          <w:szCs w:val="20"/>
          <w:color w:val="auto"/>
        </w:rPr>
      </w:pPr>
    </w:p>
    <w:p>
      <w:pPr>
        <w:ind w:left="700" w:right="60"/>
        <w:spacing w:after="0" w:line="286" w:lineRule="auto"/>
        <w:rPr>
          <w:sz w:val="20"/>
          <w:szCs w:val="20"/>
          <w:color w:val="auto"/>
        </w:rPr>
      </w:pPr>
      <w:r>
        <w:rPr>
          <w:rFonts w:ascii="Times New Roman" w:cs="Times New Roman" w:eastAsia="Times New Roman" w:hAnsi="Times New Roman"/>
          <w:sz w:val="19"/>
          <w:szCs w:val="19"/>
          <w:color w:val="auto"/>
        </w:rPr>
        <w:t>published component used in the calculation thereof) permanently or indefinitely ceases to provide all Available Tenors of such Benchmark (or such component thereof); or</w:t>
      </w:r>
    </w:p>
    <w:p>
      <w:pPr>
        <w:spacing w:after="0" w:line="151" w:lineRule="exact"/>
        <w:rPr>
          <w:sz w:val="20"/>
          <w:szCs w:val="20"/>
          <w:color w:val="auto"/>
        </w:rPr>
      </w:pPr>
    </w:p>
    <w:p>
      <w:pPr>
        <w:ind w:left="700" w:right="100" w:firstLine="50"/>
        <w:spacing w:after="0" w:line="259" w:lineRule="auto"/>
        <w:tabs>
          <w:tab w:leader="none" w:pos="102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9"/>
          <w:szCs w:val="19"/>
          <w:color w:val="auto"/>
        </w:rPr>
        <w:t>For the avoidance of doubt, (A) if the event giving rise to the Benchmark Replacement Date for any Benchmark occurs on the same day as, but earlier than, the Reference Time in respect of any determination, the Benchmark Replacement Date will be deemed to have occurred prior to the Reference Time for such Benchmark and for such determination and (B)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right="6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“Benchmark Transition Event” </w:t>
      </w:r>
      <w:r>
        <w:rPr>
          <w:rFonts w:ascii="Times New Roman" w:cs="Times New Roman" w:eastAsia="Times New Roman" w:hAnsi="Times New Roman"/>
          <w:sz w:val="19"/>
          <w:szCs w:val="19"/>
          <w:color w:val="auto"/>
        </w:rPr>
        <w:t>means, with respect to the then-current Benchmark, the occurrence of one or more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following events with respect to such Benchmark:</w:t>
      </w:r>
    </w:p>
    <w:p>
      <w:pPr>
        <w:spacing w:after="0" w:line="150" w:lineRule="exact"/>
        <w:rPr>
          <w:sz w:val="20"/>
          <w:szCs w:val="20"/>
          <w:color w:val="auto"/>
        </w:rPr>
      </w:pPr>
    </w:p>
    <w:p>
      <w:pPr>
        <w:ind w:left="700" w:right="100" w:firstLine="50"/>
        <w:spacing w:after="0" w:line="259" w:lineRule="auto"/>
        <w:tabs>
          <w:tab w:leader="none" w:pos="1009"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77" w:lineRule="exact"/>
        <w:rPr>
          <w:rFonts w:ascii="Times New Roman" w:cs="Times New Roman" w:eastAsia="Times New Roman" w:hAnsi="Times New Roman"/>
          <w:sz w:val="19"/>
          <w:szCs w:val="19"/>
          <w:color w:val="auto"/>
        </w:rPr>
      </w:pPr>
    </w:p>
    <w:p>
      <w:pPr>
        <w:ind w:left="700" w:firstLine="50"/>
        <w:spacing w:after="0" w:line="253" w:lineRule="auto"/>
        <w:tabs>
          <w:tab w:leader="none" w:pos="10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the time of such statement or publication, there is no successor</w:t>
      </w:r>
    </w:p>
    <w:p>
      <w:pPr>
        <w:spacing w:after="0" w:line="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9"/>
          <w:szCs w:val="19"/>
          <w:color w:val="auto"/>
        </w:rPr>
        <w:t>administrator that will continue to provide any Available Tenor of such Benchmark (or such component thereof); or</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79" w:name="page180"/>
    <w:bookmarkEnd w:id="179"/>
    <w:p>
      <w:pPr>
        <w:spacing w:after="0" w:line="200" w:lineRule="exact"/>
        <w:rPr>
          <w:sz w:val="20"/>
          <w:szCs w:val="20"/>
          <w:color w:val="auto"/>
        </w:rPr>
      </w:pPr>
    </w:p>
    <w:p>
      <w:pPr>
        <w:spacing w:after="0" w:line="285" w:lineRule="exact"/>
        <w:rPr>
          <w:sz w:val="20"/>
          <w:szCs w:val="20"/>
          <w:color w:val="auto"/>
        </w:rPr>
      </w:pPr>
    </w:p>
    <w:p>
      <w:pPr>
        <w:ind w:left="700" w:right="180" w:firstLine="50"/>
        <w:spacing w:after="0" w:line="268" w:lineRule="auto"/>
        <w:tabs>
          <w:tab w:leader="none" w:pos="1009"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6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6" w:lineRule="exact"/>
        <w:rPr>
          <w:sz w:val="20"/>
          <w:szCs w:val="20"/>
          <w:color w:val="auto"/>
        </w:rPr>
      </w:pPr>
    </w:p>
    <w:p>
      <w:pPr>
        <w:ind w:right="180"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“Benchmark Transition Start Date” </w:t>
      </w:r>
      <w:r>
        <w:rPr>
          <w:rFonts w:ascii="Times New Roman" w:cs="Times New Roman" w:eastAsia="Times New Roman" w:hAnsi="Times New Roman"/>
          <w:sz w:val="19"/>
          <w:szCs w:val="19"/>
          <w:color w:val="auto"/>
        </w:rPr>
        <w:t>means, with respect to any Benchmark, in the case of a Benchmark Transition Event,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3" w:lineRule="exact"/>
        <w:rPr>
          <w:sz w:val="20"/>
          <w:szCs w:val="20"/>
          <w:color w:val="auto"/>
        </w:rPr>
      </w:pPr>
    </w:p>
    <w:p>
      <w:pPr>
        <w:ind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“Benchmark Unavailability Period” </w:t>
      </w:r>
      <w:r>
        <w:rPr>
          <w:rFonts w:ascii="Times New Roman" w:cs="Times New Roman" w:eastAsia="Times New Roman" w:hAnsi="Times New Roman"/>
          <w:sz w:val="19"/>
          <w:szCs w:val="19"/>
          <w:color w:val="auto"/>
        </w:rPr>
        <w:t>means, with respect to any then- current Benchmark, the period (if any) (i) beginning 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time that a Benchmark Replacement Date with respect to such Benchmark has occurred if, at such time, no Benchmark Replacement has replaced such Benchmark for all purposes hereunder and under any Transaction Document in accordance with Section 2.11 and (ii) ending at the time that a Benchmark Replacement has replaced such Benchmark for all purposes hereunder and under any Transaction Document in accordance with Section 2.11(b).</w:t>
      </w:r>
    </w:p>
    <w:p>
      <w:pPr>
        <w:spacing w:after="0" w:line="173" w:lineRule="exact"/>
        <w:rPr>
          <w:sz w:val="20"/>
          <w:szCs w:val="20"/>
          <w:color w:val="auto"/>
        </w:rPr>
      </w:pPr>
    </w:p>
    <w:p>
      <w:pPr>
        <w:jc w:val="both"/>
        <w:ind w:right="14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“Beneficial Owner” </w:t>
      </w:r>
      <w:r>
        <w:rPr>
          <w:rFonts w:ascii="Times New Roman" w:cs="Times New Roman" w:eastAsia="Times New Roman" w:hAnsi="Times New Roman"/>
          <w:sz w:val="19"/>
          <w:szCs w:val="19"/>
          <w:color w:val="auto"/>
        </w:rPr>
        <w:t>means, with respect to the Borrower, (a) each individual, if any, who, directly or indirectly, owns 25%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more of the equity interests in the Borrower and (b) a single individual with significant responsibility to control, manage, or direct the Borrower.</w:t>
      </w:r>
    </w:p>
    <w:p>
      <w:pPr>
        <w:spacing w:after="0" w:line="166" w:lineRule="exact"/>
        <w:rPr>
          <w:sz w:val="20"/>
          <w:szCs w:val="20"/>
          <w:color w:val="auto"/>
        </w:rPr>
      </w:pPr>
    </w:p>
    <w:p>
      <w:pPr>
        <w:ind w:right="3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“Benefit Plan” </w:t>
      </w:r>
      <w:r>
        <w:rPr>
          <w:rFonts w:ascii="Times New Roman" w:cs="Times New Roman" w:eastAsia="Times New Roman" w:hAnsi="Times New Roman"/>
          <w:sz w:val="19"/>
          <w:szCs w:val="19"/>
          <w:color w:val="auto"/>
        </w:rPr>
        <w:t>means any of (a) an “employee benefit plan” (as defined in ERISA) that is subject to Title I of ERISA, (b)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“Borrower” </w:t>
      </w:r>
      <w:r>
        <w:rPr>
          <w:rFonts w:ascii="Times New Roman" w:cs="Times New Roman" w:eastAsia="Times New Roman" w:hAnsi="Times New Roman"/>
          <w:sz w:val="19"/>
          <w:szCs w:val="19"/>
          <w:color w:val="auto"/>
        </w:rPr>
        <w:t>is defined in the preamble hereto.</w:t>
      </w:r>
    </w:p>
    <w:p>
      <w:pPr>
        <w:spacing w:after="0" w:line="226" w:lineRule="exact"/>
        <w:rPr>
          <w:sz w:val="20"/>
          <w:szCs w:val="20"/>
          <w:color w:val="auto"/>
        </w:rPr>
      </w:pPr>
    </w:p>
    <w:p>
      <w:pPr>
        <w:ind w:right="1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“Borrower Notice” </w:t>
      </w:r>
      <w:r>
        <w:rPr>
          <w:rFonts w:ascii="Times New Roman" w:cs="Times New Roman" w:eastAsia="Times New Roman" w:hAnsi="Times New Roman"/>
          <w:sz w:val="19"/>
          <w:szCs w:val="19"/>
          <w:color w:val="auto"/>
        </w:rPr>
        <w:t>means a written notice (including a duly completed Borrowing Base Certificate, and in the case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Funding Request, a duly completed Borrowing Base Certificate as of such proposed Funding Date and giving pro forma effect to the Advance requested and the use of proceeds thereof) in the form of Exhibit A, to be used for each borrowing or termination or reduction of the Facility Amount or prepayments of Advances.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“Borrower’s Certificate” </w:t>
      </w:r>
      <w:r>
        <w:rPr>
          <w:rFonts w:ascii="Times New Roman" w:cs="Times New Roman" w:eastAsia="Times New Roman" w:hAnsi="Times New Roman"/>
          <w:sz w:val="19"/>
          <w:szCs w:val="19"/>
          <w:color w:val="auto"/>
        </w:rPr>
        <w:t>is defined in Section 7.11(b).</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80" w:name="page181"/>
    <w:bookmarkEnd w:id="180"/>
    <w:p>
      <w:pPr>
        <w:spacing w:after="0" w:line="200" w:lineRule="exact"/>
        <w:rPr>
          <w:sz w:val="20"/>
          <w:szCs w:val="20"/>
          <w:color w:val="auto"/>
        </w:rPr>
      </w:pPr>
    </w:p>
    <w:p>
      <w:pPr>
        <w:spacing w:after="0" w:line="283" w:lineRule="exact"/>
        <w:rPr>
          <w:sz w:val="20"/>
          <w:szCs w:val="20"/>
          <w:color w:val="auto"/>
        </w:rPr>
      </w:pPr>
    </w:p>
    <w:p>
      <w:pPr>
        <w:ind w:right="8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“Borrower’s Standard Documents” </w:t>
      </w:r>
      <w:r>
        <w:rPr>
          <w:rFonts w:ascii="Times New Roman" w:cs="Times New Roman" w:eastAsia="Times New Roman" w:hAnsi="Times New Roman"/>
          <w:sz w:val="19"/>
          <w:szCs w:val="19"/>
          <w:color w:val="auto"/>
        </w:rPr>
        <w:t>means the</w:t>
      </w:r>
      <w:r>
        <w:rPr>
          <w:rFonts w:ascii="Times New Roman" w:cs="Times New Roman" w:eastAsia="Times New Roman" w:hAnsi="Times New Roman"/>
          <w:sz w:val="19"/>
          <w:szCs w:val="19"/>
          <w:i w:val="1"/>
          <w:iCs w:val="1"/>
          <w:color w:val="auto"/>
        </w:rPr>
        <w:t xml:space="preserve"> Borrower’s </w:t>
      </w:r>
      <w:r>
        <w:rPr>
          <w:rFonts w:ascii="Times New Roman" w:cs="Times New Roman" w:eastAsia="Times New Roman" w:hAnsi="Times New Roman"/>
          <w:sz w:val="19"/>
          <w:szCs w:val="19"/>
          <w:color w:val="auto"/>
        </w:rPr>
        <w:t>standard form loan and security agreement and other required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agreements, as attached hereto as Schedule VII, as such Schedule may be updated from time to time with the consent of the Administrative Agent, or as otherwise reviewed and approved (such approval not to be unreasonably withheld) by Administrative Agent from time to time.</w:t>
      </w:r>
    </w:p>
    <w:p>
      <w:pPr>
        <w:spacing w:after="0" w:line="171" w:lineRule="exact"/>
        <w:rPr>
          <w:sz w:val="20"/>
          <w:szCs w:val="20"/>
          <w:color w:val="auto"/>
        </w:rPr>
      </w:pPr>
    </w:p>
    <w:p>
      <w:pPr>
        <w:ind w:right="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“Borrowing Base” </w:t>
      </w:r>
      <w:r>
        <w:rPr>
          <w:rFonts w:ascii="Times New Roman" w:cs="Times New Roman" w:eastAsia="Times New Roman" w:hAnsi="Times New Roman"/>
          <w:sz w:val="19"/>
          <w:szCs w:val="19"/>
          <w:color w:val="auto"/>
        </w:rPr>
        <w:t>means, at any time, (a)(i) the Net Loan Balance,</w:t>
      </w:r>
      <w:r>
        <w:rPr>
          <w:rFonts w:ascii="Times New Roman" w:cs="Times New Roman" w:eastAsia="Times New Roman" w:hAnsi="Times New Roman"/>
          <w:sz w:val="19"/>
          <w:szCs w:val="19"/>
          <w:i w:val="1"/>
          <w:iCs w:val="1"/>
          <w:color w:val="auto"/>
        </w:rPr>
        <w:t xml:space="preserve"> multiplied by </w:t>
      </w:r>
      <w:r>
        <w:rPr>
          <w:rFonts w:ascii="Times New Roman" w:cs="Times New Roman" w:eastAsia="Times New Roman" w:hAnsi="Times New Roman"/>
          <w:sz w:val="19"/>
          <w:szCs w:val="19"/>
          <w:color w:val="auto"/>
        </w:rPr>
        <w:t>(ii) the Weighted Average Advance Rate</w:t>
      </w:r>
      <w:r>
        <w:rPr>
          <w:rFonts w:ascii="Times New Roman" w:cs="Times New Roman" w:eastAsia="Times New Roman" w:hAnsi="Times New Roman"/>
          <w:sz w:val="19"/>
          <w:szCs w:val="19"/>
          <w:i w:val="1"/>
          <w:iCs w:val="1"/>
          <w:color w:val="auto"/>
        </w:rPr>
        <w:t xml:space="preserve"> plus </w:t>
      </w:r>
      <w:r>
        <w:rPr>
          <w:rFonts w:ascii="Times New Roman" w:cs="Times New Roman" w:eastAsia="Times New Roman" w:hAnsi="Times New Roman"/>
          <w:sz w:val="19"/>
          <w:szCs w:val="19"/>
          <w:color w:val="auto"/>
        </w:rPr>
        <w:t>(b) the amount of cash and cash equivalents constituting Principal Collections held in the Collection Account.</w:t>
      </w:r>
    </w:p>
    <w:p>
      <w:pPr>
        <w:spacing w:after="0" w:line="148"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“Borrowing Base Certificate” </w:t>
      </w:r>
      <w:r>
        <w:rPr>
          <w:rFonts w:ascii="Times New Roman" w:cs="Times New Roman" w:eastAsia="Times New Roman" w:hAnsi="Times New Roman"/>
          <w:sz w:val="19"/>
          <w:szCs w:val="19"/>
          <w:color w:val="auto"/>
        </w:rPr>
        <w:t>means a certificate prepared and signed by a Responsible Officer of the Borrower in the form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Exhibit H hereto, including a calculation of the Borrowing Base as of the relevant Funding Date, Reporting Date or such other date as may be specified under Section 7.11(e).</w:t>
      </w:r>
    </w:p>
    <w:p>
      <w:pPr>
        <w:spacing w:after="0" w:line="166" w:lineRule="exact"/>
        <w:rPr>
          <w:sz w:val="20"/>
          <w:szCs w:val="20"/>
          <w:color w:val="auto"/>
        </w:rPr>
      </w:pPr>
    </w:p>
    <w:p>
      <w:pPr>
        <w:ind w:right="3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“Borrowing Base Test” </w:t>
      </w:r>
      <w:r>
        <w:rPr>
          <w:rFonts w:ascii="Times New Roman" w:cs="Times New Roman" w:eastAsia="Times New Roman" w:hAnsi="Times New Roman"/>
          <w:sz w:val="19"/>
          <w:szCs w:val="19"/>
          <w:color w:val="auto"/>
        </w:rPr>
        <w:t>means as of any date, a determination that (a) the Maximum Availability shall be equal to or greater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than (b) the Advances Outstanding.</w:t>
      </w:r>
    </w:p>
    <w:p>
      <w:pPr>
        <w:spacing w:after="0" w:line="148"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i w:val="1"/>
          <w:iCs w:val="1"/>
          <w:color w:val="0000FF"/>
        </w:rPr>
        <w:t xml:space="preserve">“Broadly Syndicated Loan (“BSL”)” </w:t>
      </w:r>
      <w:r>
        <w:rPr>
          <w:rFonts w:ascii="Times New Roman" w:cs="Times New Roman" w:eastAsia="Times New Roman" w:hAnsi="Times New Roman"/>
          <w:sz w:val="19"/>
          <w:szCs w:val="19"/>
          <w:color w:val="0000FF"/>
        </w:rPr>
        <w:t>means any Loan or Participation Interest in a Loan that: (a) is a first lien broadly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 xml:space="preserve">syndicated commercial loan agented by an Approved Agent to an Eligible Obligor, (b) is not (and cannot by its terms become) </w:t>
      </w:r>
      <w:r>
        <w:rPr>
          <w:rFonts w:ascii="Times New Roman" w:cs="Times New Roman" w:eastAsia="Times New Roman" w:hAnsi="Times New Roman"/>
          <w:sz w:val="19"/>
          <w:szCs w:val="19"/>
          <w:color w:val="00C000"/>
        </w:rPr>
        <w:t xml:space="preserve">subordinate in right of payment to any </w:t>
      </w:r>
      <w:r>
        <w:rPr>
          <w:rFonts w:ascii="Times New Roman" w:cs="Times New Roman" w:eastAsia="Times New Roman" w:hAnsi="Times New Roman"/>
          <w:sz w:val="19"/>
          <w:szCs w:val="19"/>
          <w:color w:val="0000FF"/>
        </w:rPr>
        <w:t>obligation of the Obligor in any bankruptcy, reorganization, insolvency, moratorium or liquidation</w:t>
      </w:r>
      <w:r>
        <w:rPr>
          <w:rFonts w:ascii="Times New Roman" w:cs="Times New Roman" w:eastAsia="Times New Roman" w:hAnsi="Times New Roman"/>
          <w:sz w:val="19"/>
          <w:szCs w:val="19"/>
          <w:color w:val="00C000"/>
        </w:rPr>
        <w:t xml:space="preserve"> </w:t>
      </w:r>
      <w:r>
        <w:rPr>
          <w:rFonts w:ascii="Times New Roman" w:cs="Times New Roman" w:eastAsia="Times New Roman" w:hAnsi="Times New Roman"/>
          <w:sz w:val="19"/>
          <w:szCs w:val="19"/>
          <w:color w:val="0000FF"/>
        </w:rPr>
        <w:t xml:space="preserve">proceedings, (c) is secured by a pledge of collateral, which security interest is validly perfected and first priority under Applicable Law (subject to Permitted Obligor Liens), (d) has an initial tranche size of the Dollar Equivalent of $200,000,000 or greater, (e) at origination, had at least two bid prices and (f) at origination, such Loan or the related Obligor had a public rating of at least </w:t>
      </w:r>
      <w:r>
        <w:rPr>
          <w:rFonts w:ascii="Times New Roman" w:cs="Times New Roman" w:eastAsia="Times New Roman" w:hAnsi="Times New Roman"/>
          <w:sz w:val="19"/>
          <w:szCs w:val="19"/>
          <w:i w:val="1"/>
          <w:iCs w:val="1"/>
          <w:color w:val="0000FF"/>
        </w:rPr>
        <w:t>“B”</w:t>
      </w:r>
      <w:r>
        <w:rPr>
          <w:rFonts w:ascii="Times New Roman" w:cs="Times New Roman" w:eastAsia="Times New Roman" w:hAnsi="Times New Roman"/>
          <w:sz w:val="19"/>
          <w:szCs w:val="19"/>
          <w:color w:val="0000FF"/>
        </w:rPr>
        <w:t xml:space="preserve"> (or its equivalent) from Fitch, Moody’s and/or S&amp;P.</w:t>
      </w:r>
    </w:p>
    <w:p>
      <w:pPr>
        <w:spacing w:after="0" w:line="181"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“Business Day” </w:t>
      </w:r>
      <w:r>
        <w:rPr>
          <w:rFonts w:ascii="Times New Roman" w:cs="Times New Roman" w:eastAsia="Times New Roman" w:hAnsi="Times New Roman"/>
          <w:sz w:val="19"/>
          <w:szCs w:val="19"/>
          <w:color w:val="auto"/>
        </w:rPr>
        <w:t>means (i) any day of the year, other than a Saturday or a Sunday, on which banks are not required or authorized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be closed in New York, New York or the cities in which the corporate trust office of the Paying Agent or Collateral Custodian are located (which shall initially be Boston, Massachusetts and Florence, South Carolina), and (ii) with respect to any matters relating to Term SOFR Loans, a SOFR Business Day.</w:t>
      </w:r>
    </w:p>
    <w:p>
      <w:pPr>
        <w:spacing w:after="0" w:line="171" w:lineRule="exact"/>
        <w:rPr>
          <w:sz w:val="20"/>
          <w:szCs w:val="20"/>
          <w:color w:val="auto"/>
        </w:rPr>
      </w:pPr>
    </w:p>
    <w:p>
      <w:pPr>
        <w:ind w:right="8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“Carrying Costs” </w:t>
      </w:r>
      <w:r>
        <w:rPr>
          <w:rFonts w:ascii="Times New Roman" w:cs="Times New Roman" w:eastAsia="Times New Roman" w:hAnsi="Times New Roman"/>
          <w:sz w:val="19"/>
          <w:szCs w:val="19"/>
          <w:color w:val="auto"/>
        </w:rPr>
        <w:t>means, for any Settlement Period, the sum of the aggregate amount of Interest accrued during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Settlement Period with respect to all Advances Outstanding during such Settlement Period.</w:t>
      </w:r>
    </w:p>
    <w:p>
      <w:pPr>
        <w:spacing w:after="0" w:line="148" w:lineRule="exact"/>
        <w:rPr>
          <w:sz w:val="20"/>
          <w:szCs w:val="20"/>
          <w:color w:val="auto"/>
        </w:rPr>
      </w:pPr>
    </w:p>
    <w:p>
      <w:pPr>
        <w:ind w:right="440"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“Cash Flow Loan” </w:t>
      </w:r>
      <w:r>
        <w:rPr>
          <w:rFonts w:ascii="Times New Roman" w:cs="Times New Roman" w:eastAsia="Times New Roman" w:hAnsi="Times New Roman"/>
          <w:sz w:val="19"/>
          <w:szCs w:val="19"/>
          <w:color w:val="0000FF"/>
        </w:rPr>
        <w:t>means a Loan or Participation Interest (for purposes of this definition, a</w:t>
      </w:r>
      <w:r>
        <w:rPr>
          <w:rFonts w:ascii="Times New Roman" w:cs="Times New Roman" w:eastAsia="Times New Roman" w:hAnsi="Times New Roman"/>
          <w:sz w:val="19"/>
          <w:szCs w:val="19"/>
          <w:i w:val="1"/>
          <w:iCs w:val="1"/>
          <w:color w:val="0000FF"/>
        </w:rPr>
        <w:t xml:space="preserve"> “loan”</w:t>
      </w:r>
      <w:r>
        <w:rPr>
          <w:rFonts w:ascii="Times New Roman" w:cs="Times New Roman" w:eastAsia="Times New Roman" w:hAnsi="Times New Roman"/>
          <w:sz w:val="19"/>
          <w:szCs w:val="19"/>
          <w:color w:val="0000FF"/>
        </w:rPr>
        <w:t>) that meets each of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following criteria:</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0000FF"/>
        </w:rPr>
        <w:t>(a) constitutes a First Lien Loan, a First Lien/Last Out Loan, or a Second Lien Loan;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1" w:name="page182"/>
    <w:bookmarkEnd w:id="181"/>
    <w:p>
      <w:pPr>
        <w:spacing w:after="0" w:line="200" w:lineRule="exact"/>
        <w:rPr>
          <w:sz w:val="20"/>
          <w:szCs w:val="20"/>
          <w:color w:val="auto"/>
        </w:rPr>
      </w:pPr>
    </w:p>
    <w:p>
      <w:pPr>
        <w:spacing w:after="0" w:line="285" w:lineRule="exact"/>
        <w:rPr>
          <w:sz w:val="20"/>
          <w:szCs w:val="20"/>
          <w:color w:val="auto"/>
        </w:rPr>
      </w:pPr>
    </w:p>
    <w:p>
      <w:pPr>
        <w:ind w:left="700" w:right="160" w:firstLine="50"/>
        <w:spacing w:after="0" w:line="286" w:lineRule="auto"/>
        <w:tabs>
          <w:tab w:leader="none" w:pos="1020" w:val="left"/>
        </w:tabs>
        <w:numPr>
          <w:ilvl w:val="0"/>
          <w:numId w:val="2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 xml:space="preserve">the Obligor of which has generated a minimum of the Dollar Equivalent of $10,000,000 in TTM Recurring Revenue and a minimum of the Dollar Equivalent of $5,000,000 in TTM EBITDA during the </w:t>
      </w:r>
      <w:r>
        <w:rPr>
          <w:rFonts w:ascii="Times New Roman" w:cs="Times New Roman" w:eastAsia="Times New Roman" w:hAnsi="Times New Roman"/>
          <w:sz w:val="19"/>
          <w:szCs w:val="19"/>
          <w:color w:val="00C000"/>
        </w:rPr>
        <w:t>most recent reporting period</w:t>
      </w:r>
      <w:r>
        <w:rPr>
          <w:rFonts w:ascii="Times New Roman" w:cs="Times New Roman" w:eastAsia="Times New Roman" w:hAnsi="Times New Roman"/>
          <w:sz w:val="19"/>
          <w:szCs w:val="19"/>
          <w:color w:val="0000FF"/>
        </w:rPr>
        <w:t>;</w:t>
      </w:r>
    </w:p>
    <w:p>
      <w:pPr>
        <w:spacing w:after="0" w:line="151" w:lineRule="exact"/>
        <w:rPr>
          <w:rFonts w:ascii="Times New Roman" w:cs="Times New Roman" w:eastAsia="Times New Roman" w:hAnsi="Times New Roman"/>
          <w:sz w:val="19"/>
          <w:szCs w:val="19"/>
          <w:color w:val="0000FF"/>
        </w:rPr>
      </w:pPr>
    </w:p>
    <w:p>
      <w:pPr>
        <w:ind w:left="700" w:right="60" w:firstLine="50"/>
        <w:spacing w:after="0" w:line="286" w:lineRule="auto"/>
        <w:tabs>
          <w:tab w:leader="none" w:pos="1009" w:val="left"/>
        </w:tabs>
        <w:numPr>
          <w:ilvl w:val="0"/>
          <w:numId w:val="2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Obligor of which has (i) a Senior Funded Debt to TTM EBITDA ratio of less than 5.00x and (ii) a Total Funded Debt to TTM EBITDA ratio of less than 7.00x; and</w:t>
      </w:r>
    </w:p>
    <w:p>
      <w:pPr>
        <w:spacing w:after="0" w:line="151" w:lineRule="exact"/>
        <w:rPr>
          <w:rFonts w:ascii="Times New Roman" w:cs="Times New Roman" w:eastAsia="Times New Roman" w:hAnsi="Times New Roman"/>
          <w:sz w:val="19"/>
          <w:szCs w:val="19"/>
          <w:color w:val="0000FF"/>
        </w:rPr>
      </w:pPr>
    </w:p>
    <w:p>
      <w:pPr>
        <w:ind w:left="1020" w:hanging="270"/>
        <w:spacing w:after="0"/>
        <w:tabs>
          <w:tab w:leader="none" w:pos="1020" w:val="left"/>
        </w:tabs>
        <w:numPr>
          <w:ilvl w:val="0"/>
          <w:numId w:val="2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Obligor of which has a ratio of Senior Funded Debt to enterprise value of 60% or less at all times.</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“CBA” </w:t>
      </w:r>
      <w:r>
        <w:rPr>
          <w:rFonts w:ascii="Times New Roman" w:cs="Times New Roman" w:eastAsia="Times New Roman" w:hAnsi="Times New Roman"/>
          <w:sz w:val="19"/>
          <w:szCs w:val="19"/>
          <w:color w:val="auto"/>
        </w:rPr>
        <w:t>has the meaning provided in the definition of “Adjusted Term SOFR Rate.”</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000FF"/>
        </w:rPr>
        <w:t xml:space="preserve">“Cdn $” </w:t>
      </w:r>
      <w:r>
        <w:rPr>
          <w:rFonts w:ascii="Times New Roman" w:cs="Times New Roman" w:eastAsia="Times New Roman" w:hAnsi="Times New Roman"/>
          <w:sz w:val="19"/>
          <w:szCs w:val="19"/>
          <w:color w:val="0000FF"/>
        </w:rPr>
        <w:t>each mean the lawful currency of Canada.</w:t>
      </w:r>
    </w:p>
    <w:p>
      <w:pPr>
        <w:spacing w:after="0" w:line="226" w:lineRule="exact"/>
        <w:rPr>
          <w:sz w:val="20"/>
          <w:szCs w:val="20"/>
          <w:color w:val="auto"/>
        </w:rPr>
      </w:pPr>
    </w:p>
    <w:p>
      <w:pPr>
        <w:ind w:right="4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“Certificate of Beneficial Ownership” </w:t>
      </w:r>
      <w:r>
        <w:rPr>
          <w:rFonts w:ascii="Times New Roman" w:cs="Times New Roman" w:eastAsia="Times New Roman" w:hAnsi="Times New Roman"/>
          <w:sz w:val="19"/>
          <w:szCs w:val="19"/>
          <w:color w:val="auto"/>
        </w:rPr>
        <w:t>means, with respect to the Borrower, a certificate certifying, among other things,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Beneficial Owner of the Borrower, delivered on the Effective Date, as the same may be updated or amended from time to time in accordance with this Agreement.</w:t>
      </w:r>
    </w:p>
    <w:p>
      <w:pPr>
        <w:spacing w:after="0" w:line="166"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“CIBC Account </w:t>
      </w:r>
      <w:r>
        <w:rPr>
          <w:rFonts w:ascii="Times New Roman" w:cs="Times New Roman" w:eastAsia="Times New Roman" w:hAnsi="Times New Roman"/>
          <w:sz w:val="19"/>
          <w:szCs w:val="19"/>
          <w:color w:val="auto"/>
        </w:rPr>
        <w:t>” means that certain deposit account number 0002637324 in the name of the Borrower maintained with an office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branch of CIBC Bank USA which is account which shall at all times after the initial Advance hereunder be subject to an Account Control Agreement in favor of the Administrative Agent.</w:t>
      </w:r>
    </w:p>
    <w:p>
      <w:pPr>
        <w:spacing w:after="0" w:line="166"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i w:val="1"/>
          <w:iCs w:val="1"/>
          <w:color w:val="auto"/>
        </w:rPr>
        <w:t xml:space="preserve">“Change of Control” </w:t>
      </w:r>
      <w:r>
        <w:rPr>
          <w:rFonts w:ascii="Times New Roman" w:cs="Times New Roman" w:eastAsia="Times New Roman" w:hAnsi="Times New Roman"/>
          <w:sz w:val="19"/>
          <w:szCs w:val="19"/>
          <w:color w:val="auto"/>
        </w:rPr>
        <w:t>shall mean (a) the acquisition of ownership, directly or indirectly, beneficially or of record, by any Person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group (within the meaning of the Securities Exchange Act of 1934 and the rules of the SEC thereunder as in effect on the date hereof), other than OCM Growth Holdings, LLC, of shares representing more than 30% of the aggregate ordinary voting power represented by the issued and outstanding capital stock of the Borrower; provided that any such acquisition of ownership shall not constitute a Change of Control to the extent that such Person or group agrees to an irrevocable proxy or other contractual agreement whereby the capital stock of the Borrower held by such Person or group shall be voted in the same proportion that the Borrower’s other stockholders vote their shares; (b) the occupation of a majority of the seats (other than vacant seats) on the board of directors of the Borrower by Persons who were neither (y) nominated by the requisite members of the board of directors of the Borrower nor (z) appointed by a majority of the directors so nominated; (c) prior to the first date that BC Partners owns or controls any Voting Stock of the Investment Adviser, David Spreng, the executive management of the Investment Adviser, and their respective Affiliates, collectively, shall cease to directly or indirectly (including through any estate planning vehicles) own and/or control via proxy or other contractual agreements, in the aggregate at least 50% of the Voting Stock of the Investment Adviser; or (d) from and after the first date that BC Partners owns or controls any Voting Stock of the Investment Adviser, BC Partners shall cease to own (directly or indirectly) and/or control (including via proxy or other contractual agreements), in the aggregate at least 50% of the Voting Stock of the Investment Adviser. For the avoidance of doubt, BC Partners’ acquisition of Voting Stock of the Investment Adviser shall not constitute a Change of Control.</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2" w:name="page183"/>
    <w:bookmarkEnd w:id="182"/>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“Code” </w:t>
      </w:r>
      <w:r>
        <w:rPr>
          <w:rFonts w:ascii="Times New Roman" w:cs="Times New Roman" w:eastAsia="Times New Roman" w:hAnsi="Times New Roman"/>
          <w:sz w:val="19"/>
          <w:szCs w:val="19"/>
          <w:color w:val="auto"/>
        </w:rPr>
        <w:t>means the Internal Revenue Code of 1986, as amended.</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“Co-Documentation Agent” </w:t>
      </w:r>
      <w:r>
        <w:rPr>
          <w:rFonts w:ascii="Times New Roman" w:cs="Times New Roman" w:eastAsia="Times New Roman" w:hAnsi="Times New Roman"/>
          <w:sz w:val="19"/>
          <w:szCs w:val="19"/>
          <w:color w:val="auto"/>
        </w:rPr>
        <w:t>is defined in the preamble hereto.</w:t>
      </w:r>
    </w:p>
    <w:p>
      <w:pPr>
        <w:spacing w:after="0" w:line="226"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“Collateral” </w:t>
      </w:r>
      <w:r>
        <w:rPr>
          <w:rFonts w:ascii="Times New Roman" w:cs="Times New Roman" w:eastAsia="Times New Roman" w:hAnsi="Times New Roman"/>
          <w:sz w:val="19"/>
          <w:szCs w:val="19"/>
          <w:color w:val="auto"/>
        </w:rPr>
        <w:t>means all right, title and interest, whether now owned or hereafter acquired or arising, and wherever located,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Borrower (whether directly or in its capacity as a lender with respect to the Loans or otherwise) and each Guarantor (as applicable) in, to and under any and all of the following:</w:t>
      </w:r>
    </w:p>
    <w:p>
      <w:pPr>
        <w:spacing w:after="0" w:line="168" w:lineRule="exact"/>
        <w:rPr>
          <w:sz w:val="20"/>
          <w:szCs w:val="20"/>
          <w:color w:val="auto"/>
        </w:rPr>
      </w:pPr>
    </w:p>
    <w:p>
      <w:pPr>
        <w:ind w:left="980" w:hanging="230"/>
        <w:spacing w:after="0"/>
        <w:tabs>
          <w:tab w:leader="none" w:pos="9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Loans;</w:t>
      </w:r>
    </w:p>
    <w:p>
      <w:pPr>
        <w:spacing w:after="0" w:line="225" w:lineRule="exact"/>
        <w:rPr>
          <w:rFonts w:ascii="Times New Roman" w:cs="Times New Roman" w:eastAsia="Times New Roman" w:hAnsi="Times New Roman"/>
          <w:sz w:val="19"/>
          <w:szCs w:val="19"/>
          <w:color w:val="auto"/>
        </w:rPr>
      </w:pPr>
    </w:p>
    <w:p>
      <w:pPr>
        <w:ind w:left="1040" w:hanging="290"/>
        <w:spacing w:after="0"/>
        <w:tabs>
          <w:tab w:leader="none" w:pos="104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Related Property securing the Loans including all Proceeds from any sale or other disposition of such Related Property;</w:t>
      </w:r>
    </w:p>
    <w:p>
      <w:pPr>
        <w:spacing w:after="0" w:line="225" w:lineRule="exact"/>
        <w:rPr>
          <w:rFonts w:ascii="Times New Roman" w:cs="Times New Roman" w:eastAsia="Times New Roman" w:hAnsi="Times New Roman"/>
          <w:sz w:val="19"/>
          <w:szCs w:val="19"/>
          <w:color w:val="auto"/>
        </w:rPr>
      </w:pPr>
    </w:p>
    <w:p>
      <w:pPr>
        <w:ind w:left="1080" w:hanging="330"/>
        <w:spacing w:after="0"/>
        <w:tabs>
          <w:tab w:leader="none" w:pos="10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Documents relating to the Loans;</w:t>
      </w:r>
    </w:p>
    <w:p>
      <w:pPr>
        <w:spacing w:after="0" w:line="225" w:lineRule="exact"/>
        <w:rPr>
          <w:rFonts w:ascii="Times New Roman" w:cs="Times New Roman" w:eastAsia="Times New Roman" w:hAnsi="Times New Roman"/>
          <w:sz w:val="19"/>
          <w:szCs w:val="19"/>
          <w:color w:val="auto"/>
        </w:rPr>
      </w:pPr>
    </w:p>
    <w:p>
      <w:pPr>
        <w:ind w:left="700" w:right="320" w:firstLine="50"/>
        <w:spacing w:after="0" w:line="268" w:lineRule="auto"/>
        <w:tabs>
          <w:tab w:leader="none" w:pos="107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Collection Account (including the Interest Collection Subaccount and Principal Collection Subaccount therein), all funds held in each such account, and all certificates and instruments, if any, from time to time representing or evidencing the Collection Account or such funds;</w:t>
      </w:r>
    </w:p>
    <w:p>
      <w:pPr>
        <w:spacing w:after="0" w:line="168" w:lineRule="exact"/>
        <w:rPr>
          <w:rFonts w:ascii="Times New Roman" w:cs="Times New Roman" w:eastAsia="Times New Roman" w:hAnsi="Times New Roman"/>
          <w:sz w:val="19"/>
          <w:szCs w:val="19"/>
          <w:color w:val="auto"/>
        </w:rPr>
      </w:pPr>
    </w:p>
    <w:p>
      <w:pPr>
        <w:ind w:left="700" w:right="140" w:firstLine="50"/>
        <w:spacing w:after="0" w:line="286" w:lineRule="auto"/>
        <w:tabs>
          <w:tab w:leader="none" w:pos="10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Collections and all other payments made or to be made in the future with respect to the Loans, including such payments under any guarantee or similar credit enhancement with respect to such Loans;</w:t>
      </w:r>
    </w:p>
    <w:p>
      <w:pPr>
        <w:spacing w:after="0" w:line="151" w:lineRule="exact"/>
        <w:rPr>
          <w:rFonts w:ascii="Times New Roman" w:cs="Times New Roman" w:eastAsia="Times New Roman" w:hAnsi="Times New Roman"/>
          <w:sz w:val="19"/>
          <w:szCs w:val="19"/>
          <w:color w:val="auto"/>
        </w:rPr>
      </w:pPr>
    </w:p>
    <w:p>
      <w:pPr>
        <w:ind w:left="700" w:right="360" w:firstLine="50"/>
        <w:spacing w:after="0" w:line="268" w:lineRule="auto"/>
        <w:tabs>
          <w:tab w:leader="none" w:pos="1073"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all times from and after the date of the initial Advance hereunder, the CIBC Account, all funds held in each such account, and all certificates and instruments, if any, from time to time representing or evidencing the CIBC Account or such funds;</w:t>
      </w:r>
    </w:p>
    <w:p>
      <w:pPr>
        <w:spacing w:after="0" w:line="168" w:lineRule="exact"/>
        <w:rPr>
          <w:rFonts w:ascii="Times New Roman" w:cs="Times New Roman" w:eastAsia="Times New Roman" w:hAnsi="Times New Roman"/>
          <w:sz w:val="19"/>
          <w:szCs w:val="19"/>
          <w:color w:val="auto"/>
        </w:rPr>
      </w:pPr>
    </w:p>
    <w:p>
      <w:pPr>
        <w:ind w:left="700" w:right="140" w:firstLine="50"/>
        <w:spacing w:after="0" w:line="286" w:lineRule="auto"/>
        <w:tabs>
          <w:tab w:leader="none" w:pos="1127"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Borrower’s rights as a lender with respect to any deposit or banking accounts in which Collections are deposited from time to time;</w:t>
      </w:r>
    </w:p>
    <w:p>
      <w:pPr>
        <w:spacing w:after="0" w:line="151" w:lineRule="exact"/>
        <w:rPr>
          <w:rFonts w:ascii="Times New Roman" w:cs="Times New Roman" w:eastAsia="Times New Roman" w:hAnsi="Times New Roman"/>
          <w:sz w:val="19"/>
          <w:szCs w:val="19"/>
          <w:color w:val="auto"/>
        </w:rPr>
      </w:pPr>
    </w:p>
    <w:p>
      <w:pPr>
        <w:ind w:left="700" w:right="60" w:firstLine="50"/>
        <w:spacing w:after="0" w:line="268" w:lineRule="auto"/>
        <w:tabs>
          <w:tab w:leader="none" w:pos="11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other accounts, general intangibles, instruments, investment property, documents, chattel paper, goods, moneys, letters of credit, letter of credit rights, certificates of deposit, deposit accounts, commercial tort claims, oil, gas and minerals, </w:t>
      </w:r>
      <w:r>
        <w:rPr>
          <w:rFonts w:ascii="Times New Roman" w:cs="Times New Roman" w:eastAsia="Times New Roman" w:hAnsi="Times New Roman"/>
          <w:sz w:val="19"/>
          <w:szCs w:val="19"/>
          <w:color w:val="0000FF"/>
        </w:rPr>
        <w:t>security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entitlements </w:t>
      </w:r>
      <w:r>
        <w:rPr>
          <w:rFonts w:ascii="Times New Roman" w:cs="Times New Roman" w:eastAsia="Times New Roman" w:hAnsi="Times New Roman"/>
          <w:sz w:val="19"/>
          <w:szCs w:val="19"/>
          <w:color w:val="000000"/>
        </w:rPr>
        <w:t>and all other property and interests in property of the Borrower and each Guarantor, whether tangible or intangible;</w:t>
      </w:r>
    </w:p>
    <w:p>
      <w:pPr>
        <w:spacing w:after="0" w:line="168" w:lineRule="exact"/>
        <w:rPr>
          <w:rFonts w:ascii="Times New Roman" w:cs="Times New Roman" w:eastAsia="Times New Roman" w:hAnsi="Times New Roman"/>
          <w:sz w:val="19"/>
          <w:szCs w:val="19"/>
          <w:color w:val="auto"/>
        </w:rPr>
      </w:pPr>
    </w:p>
    <w:p>
      <w:pPr>
        <w:ind w:left="1080" w:hanging="330"/>
        <w:spacing w:after="0"/>
        <w:tabs>
          <w:tab w:leader="none" w:pos="10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Portfolio Investments;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(x</w:t>
      </w:r>
      <w:r>
        <w:rPr>
          <w:rFonts w:ascii="Times New Roman" w:cs="Times New Roman" w:eastAsia="Times New Roman" w:hAnsi="Times New Roman"/>
          <w:sz w:val="19"/>
          <w:szCs w:val="19"/>
          <w:color w:val="0000FF"/>
        </w:rPr>
        <w:t>) any Hedge Transaction and related Hedging Agreement;</w:t>
      </w:r>
    </w:p>
    <w:p>
      <w:pPr>
        <w:spacing w:after="0" w:line="226" w:lineRule="exact"/>
        <w:rPr>
          <w:sz w:val="20"/>
          <w:szCs w:val="20"/>
          <w:color w:val="auto"/>
        </w:rPr>
      </w:pPr>
    </w:p>
    <w:p>
      <w:pPr>
        <w:ind w:left="700" w:right="140" w:firstLine="48"/>
        <w:spacing w:after="0" w:line="262" w:lineRule="auto"/>
        <w:rPr>
          <w:sz w:val="20"/>
          <w:szCs w:val="20"/>
          <w:color w:val="auto"/>
        </w:rPr>
      </w:pPr>
      <w:r>
        <w:rPr>
          <w:rFonts w:ascii="Times New Roman" w:cs="Times New Roman" w:eastAsia="Times New Roman" w:hAnsi="Times New Roman"/>
          <w:sz w:val="19"/>
          <w:szCs w:val="19"/>
          <w:color w:val="0000FF"/>
        </w:rPr>
        <w:t>(xi</w:t>
      </w:r>
      <w:r>
        <w:rPr>
          <w:rFonts w:ascii="Times New Roman" w:cs="Times New Roman" w:eastAsia="Times New Roman" w:hAnsi="Times New Roman"/>
          <w:sz w:val="19"/>
          <w:szCs w:val="19"/>
          <w:color w:val="000000"/>
        </w:rPr>
        <w:t>) the Borrower’s ownership interest in and rights in all assets owned by any Subsidiary and the Borrower’s rights under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agreement with any Subsidiary; and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83" w:name="page184"/>
    <w:bookmarkEnd w:id="1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xi</w:t>
      </w:r>
      <w:r>
        <w:rPr>
          <w:rFonts w:ascii="Times New Roman" w:cs="Times New Roman" w:eastAsia="Times New Roman" w:hAnsi="Times New Roman"/>
          <w:sz w:val="19"/>
          <w:szCs w:val="19"/>
          <w:color w:val="0000FF"/>
        </w:rPr>
        <w:t>xii</w:t>
      </w:r>
      <w:r>
        <w:rPr>
          <w:rFonts w:ascii="Times New Roman" w:cs="Times New Roman" w:eastAsia="Times New Roman" w:hAnsi="Times New Roman"/>
          <w:sz w:val="19"/>
          <w:szCs w:val="19"/>
          <w:color w:val="auto"/>
        </w:rPr>
        <w:t>) all income and Proceeds of the foregoing;</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“Collateral” shall exclude all Excluded Property.</w:t>
      </w:r>
    </w:p>
    <w:p>
      <w:pPr>
        <w:spacing w:after="0" w:line="226"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“Collateral Custodian” </w:t>
      </w:r>
      <w:r>
        <w:rPr>
          <w:rFonts w:ascii="Times New Roman" w:cs="Times New Roman" w:eastAsia="Times New Roman" w:hAnsi="Times New Roman"/>
          <w:sz w:val="19"/>
          <w:szCs w:val="19"/>
          <w:color w:val="auto"/>
        </w:rPr>
        <w:t>means U.S. Bank Trust Company, National Association, a national banking association, in its capacity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as custodian under the Custody Agreement, together with its successors and assigns.</w:t>
      </w:r>
    </w:p>
    <w:p>
      <w:pPr>
        <w:spacing w:after="0" w:line="148" w:lineRule="exact"/>
        <w:rPr>
          <w:sz w:val="20"/>
          <w:szCs w:val="20"/>
          <w:color w:val="auto"/>
        </w:rPr>
      </w:pPr>
    </w:p>
    <w:p>
      <w:pPr>
        <w:ind w:right="160" w:firstLine="69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“Collateral Default Ratio” </w:t>
      </w:r>
      <w:r>
        <w:rPr>
          <w:rFonts w:ascii="Times New Roman" w:cs="Times New Roman" w:eastAsia="Times New Roman" w:hAnsi="Times New Roman"/>
          <w:sz w:val="19"/>
          <w:szCs w:val="19"/>
          <w:color w:val="auto"/>
        </w:rPr>
        <w:t>means, with respect to any Settlement Period, the annualized percentage (rounded up to the next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one-hundredth (1/100th) of one percent (1%)) equivalent of a fraction, calculated as of the end of such Settlement Period on the Reporting Date occurring in the calendar month following the end of such Settlement Period, (i) the numerator of which is equal to the aggregate Outstanding Loan Balance of all Loans that were or became Defaulted Loans during such Settlement Period and (ii) the denominator of which is equal to the Aggregate Outstanding Loan Balance as of the final day of immediately preceding Settlement Period.</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“Collection Account” </w:t>
      </w:r>
      <w:r>
        <w:rPr>
          <w:rFonts w:ascii="Times New Roman" w:cs="Times New Roman" w:eastAsia="Times New Roman" w:hAnsi="Times New Roman"/>
          <w:sz w:val="19"/>
          <w:szCs w:val="19"/>
          <w:color w:val="auto"/>
        </w:rPr>
        <w:t>is defined in Section 7.4(e).</w:t>
      </w:r>
    </w:p>
    <w:p>
      <w:pPr>
        <w:spacing w:after="0" w:line="226" w:lineRule="exact"/>
        <w:rPr>
          <w:sz w:val="20"/>
          <w:szCs w:val="20"/>
          <w:color w:val="auto"/>
        </w:rPr>
      </w:pPr>
    </w:p>
    <w:p>
      <w:pPr>
        <w:ind w:right="26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“Collection Date” </w:t>
      </w:r>
      <w:r>
        <w:rPr>
          <w:rFonts w:ascii="Times New Roman" w:cs="Times New Roman" w:eastAsia="Times New Roman" w:hAnsi="Times New Roman"/>
          <w:sz w:val="19"/>
          <w:szCs w:val="19"/>
          <w:color w:val="auto"/>
        </w:rPr>
        <w:t>means the date following the Termination Date on which all Advances Outstanding have been reduced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zero, the Lenders have received all accrued Interest, fees, and all other amounts owing to them under this Agreement and each of the Bank Parties, the Administrative Agent and the Managing Agents have received all amounts due to them in connection with the Transaction Documents.</w:t>
      </w:r>
    </w:p>
    <w:p>
      <w:pPr>
        <w:spacing w:after="0" w:line="171"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“Collections” </w:t>
      </w:r>
      <w:r>
        <w:rPr>
          <w:rFonts w:ascii="Times New Roman" w:cs="Times New Roman" w:eastAsia="Times New Roman" w:hAnsi="Times New Roman"/>
          <w:sz w:val="19"/>
          <w:szCs w:val="19"/>
          <w:color w:val="auto"/>
        </w:rPr>
        <w:t>means (a) all cash collections and other cash proceeds of a Loan from or on behalf of any Obligor in payment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amounts owed in respect of such Loan, including, without limitation, Interest Collections, Principal Collections, Insurance Proceeds, all related fees, penalties, guarantee payments and all cash Recoveries and (b) interest earnings in the Collection Account and any other transaction accounts.</w:t>
      </w:r>
    </w:p>
    <w:p>
      <w:pPr>
        <w:spacing w:after="0" w:line="171"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“Commitment” </w:t>
      </w:r>
      <w:r>
        <w:rPr>
          <w:rFonts w:ascii="Times New Roman" w:cs="Times New Roman" w:eastAsia="Times New Roman" w:hAnsi="Times New Roman"/>
          <w:sz w:val="19"/>
          <w:szCs w:val="19"/>
          <w:color w:val="212121"/>
        </w:rPr>
        <w:t>means (a) as to each Lender, the obligation of such Lender to make, on and subject to the terms and conditions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212121"/>
        </w:rPr>
        <w:t xml:space="preserve">hereof, Advances to the Borrower pursuant to this Agreement in an aggregate principal amount at any one time outstanding for such Lender up to but not exceeding the amount set forth opposite the name of such Lender on </w:t>
      </w:r>
      <w:r>
        <w:rPr>
          <w:rFonts w:ascii="Times New Roman" w:cs="Times New Roman" w:eastAsia="Times New Roman" w:hAnsi="Times New Roman"/>
          <w:sz w:val="19"/>
          <w:szCs w:val="19"/>
          <w:color w:val="FF0000"/>
          <w:strike w:val="1"/>
        </w:rPr>
        <w:t>its signature page</w:t>
      </w:r>
      <w:r>
        <w:rPr>
          <w:rFonts w:ascii="Times New Roman" w:cs="Times New Roman" w:eastAsia="Times New Roman" w:hAnsi="Times New Roman"/>
          <w:sz w:val="19"/>
          <w:szCs w:val="19"/>
          <w:color w:val="0000FF"/>
        </w:rPr>
        <w:t>Schedule I attached</w:t>
      </w:r>
      <w:r>
        <w:rPr>
          <w:rFonts w:ascii="Times New Roman" w:cs="Times New Roman" w:eastAsia="Times New Roman" w:hAnsi="Times New Roman"/>
          <w:sz w:val="19"/>
          <w:szCs w:val="19"/>
          <w:color w:val="212121"/>
        </w:rPr>
        <w:t xml:space="preserve"> hereto; and (b) with respect to any Person who becomes a Lender pursuant to an Assignment and Acceptance or a Joinder Agreement, the commitment of such Person to fund Advances to the Borrower in an amount not to exceed the amount set forth in such Assignment and Acceptance or Joinder Agreement, as such amount may be modified in accordance with the terms hereof; </w:t>
      </w:r>
      <w:r>
        <w:rPr>
          <w:rFonts w:ascii="Times New Roman" w:cs="Times New Roman" w:eastAsia="Times New Roman" w:hAnsi="Times New Roman"/>
          <w:sz w:val="19"/>
          <w:szCs w:val="19"/>
          <w:i w:val="1"/>
          <w:iCs w:val="1"/>
          <w:color w:val="212121"/>
        </w:rPr>
        <w:t>provided, however</w:t>
      </w:r>
      <w:r>
        <w:rPr>
          <w:rFonts w:ascii="Times New Roman" w:cs="Times New Roman" w:eastAsia="Times New Roman" w:hAnsi="Times New Roman"/>
          <w:sz w:val="19"/>
          <w:szCs w:val="19"/>
          <w:color w:val="212121"/>
        </w:rPr>
        <w:t xml:space="preserve">, that on or after the Termination Date, the Commitment of each Lender shall be equal to the product of (i) a fraction equal to (x) such Lender’s Commitment immediately prior to the Termination Date </w:t>
      </w:r>
      <w:r>
        <w:rPr>
          <w:rFonts w:ascii="Times New Roman" w:cs="Times New Roman" w:eastAsia="Times New Roman" w:hAnsi="Times New Roman"/>
          <w:sz w:val="19"/>
          <w:szCs w:val="19"/>
          <w:i w:val="1"/>
          <w:iCs w:val="1"/>
          <w:color w:val="212121"/>
        </w:rPr>
        <w:t>divided by</w:t>
      </w:r>
      <w:r>
        <w:rPr>
          <w:rFonts w:ascii="Times New Roman" w:cs="Times New Roman" w:eastAsia="Times New Roman" w:hAnsi="Times New Roman"/>
          <w:sz w:val="19"/>
          <w:szCs w:val="19"/>
          <w:color w:val="212121"/>
        </w:rPr>
        <w:t xml:space="preserve"> (y) the Commitments of all Lenders immediately prior to the Termination Date </w:t>
      </w:r>
      <w:r>
        <w:rPr>
          <w:rFonts w:ascii="Times New Roman" w:cs="Times New Roman" w:eastAsia="Times New Roman" w:hAnsi="Times New Roman"/>
          <w:sz w:val="19"/>
          <w:szCs w:val="19"/>
          <w:i w:val="1"/>
          <w:iCs w:val="1"/>
          <w:color w:val="212121"/>
        </w:rPr>
        <w:t>multiplied by</w:t>
      </w:r>
      <w:r>
        <w:rPr>
          <w:rFonts w:ascii="Times New Roman" w:cs="Times New Roman" w:eastAsia="Times New Roman" w:hAnsi="Times New Roman"/>
          <w:sz w:val="19"/>
          <w:szCs w:val="19"/>
          <w:color w:val="212121"/>
        </w:rPr>
        <w:t xml:space="preserve"> (ii) the Advances Outstanding</w:t>
      </w:r>
      <w:r>
        <w:rPr>
          <w:rFonts w:ascii="Times New Roman" w:cs="Times New Roman" w:eastAsia="Times New Roman" w:hAnsi="Times New Roman"/>
          <w:sz w:val="19"/>
          <w:szCs w:val="19"/>
          <w:color w:val="000000"/>
        </w:rPr>
        <w:t>.</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“Commitment Fee” </w:t>
      </w:r>
      <w:r>
        <w:rPr>
          <w:rFonts w:ascii="Times New Roman" w:cs="Times New Roman" w:eastAsia="Times New Roman" w:hAnsi="Times New Roman"/>
          <w:sz w:val="19"/>
          <w:szCs w:val="19"/>
          <w:color w:val="auto"/>
        </w:rPr>
        <w:t>is defined in the Lender Fee Letter.</w:t>
      </w:r>
    </w:p>
    <w:p>
      <w:pPr>
        <w:spacing w:after="0" w:line="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84" w:name="page185"/>
    <w:bookmarkEnd w:id="184"/>
    <w:p>
      <w:pPr>
        <w:spacing w:after="0" w:line="200" w:lineRule="exact"/>
        <w:rPr>
          <w:sz w:val="20"/>
          <w:szCs w:val="20"/>
          <w:color w:val="auto"/>
        </w:rPr>
      </w:pPr>
    </w:p>
    <w:p>
      <w:pPr>
        <w:spacing w:after="0" w:line="283"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“Commitment Termination Date”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April</w:t>
      </w:r>
      <w:r>
        <w:rPr>
          <w:rFonts w:ascii="Times New Roman" w:cs="Times New Roman" w:eastAsia="Times New Roman" w:hAnsi="Times New Roman"/>
          <w:sz w:val="19"/>
          <w:szCs w:val="19"/>
          <w:color w:val="0000FF"/>
        </w:rPr>
        <w:t>March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20</w:t>
      </w:r>
      <w:r>
        <w:rPr>
          <w:rFonts w:ascii="Times New Roman" w:cs="Times New Roman" w:eastAsia="Times New Roman" w:hAnsi="Times New Roman"/>
          <w:sz w:val="19"/>
          <w:szCs w:val="19"/>
          <w:color w:val="0000FF"/>
        </w:rPr>
        <w:t>18</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2025</w:t>
      </w:r>
      <w:r>
        <w:rPr>
          <w:rFonts w:ascii="Times New Roman" w:cs="Times New Roman" w:eastAsia="Times New Roman" w:hAnsi="Times New Roman"/>
          <w:sz w:val="19"/>
          <w:szCs w:val="19"/>
          <w:color w:val="0000FF"/>
        </w:rPr>
        <w:t>2028</w:t>
      </w:r>
      <w:r>
        <w:rPr>
          <w:rFonts w:ascii="Times New Roman" w:cs="Times New Roman" w:eastAsia="Times New Roman" w:hAnsi="Times New Roman"/>
          <w:sz w:val="19"/>
          <w:szCs w:val="19"/>
          <w:color w:val="auto"/>
        </w:rPr>
        <w:t>, or such later date to which the Commitment Termination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 may be extended (if extended) in the sole discretion of the Lenders in accordance with the terms of Section 2.1(b).</w:t>
      </w:r>
    </w:p>
    <w:p>
      <w:pPr>
        <w:spacing w:after="0" w:line="148"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“Contractual Obligation” </w:t>
      </w:r>
      <w:r>
        <w:rPr>
          <w:rFonts w:ascii="Times New Roman" w:cs="Times New Roman" w:eastAsia="Times New Roman" w:hAnsi="Times New Roman"/>
          <w:sz w:val="19"/>
          <w:szCs w:val="19"/>
          <w:color w:val="auto"/>
        </w:rPr>
        <w:t>means, with respect to any Person, any provision of any securities issued by such Person or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indenture, mortgage, deed of trust, contract, undertaking, agreement, instrument or other document to which such Person is a party or by which it or any of its property is bound or is subject.</w:t>
      </w:r>
    </w:p>
    <w:p>
      <w:pPr>
        <w:spacing w:after="0" w:line="166" w:lineRule="exact"/>
        <w:rPr>
          <w:sz w:val="20"/>
          <w:szCs w:val="20"/>
          <w:color w:val="auto"/>
        </w:rPr>
      </w:pPr>
    </w:p>
    <w:p>
      <w:pPr>
        <w:ind w:right="8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“Control” </w:t>
      </w:r>
      <w:r>
        <w:rPr>
          <w:rFonts w:ascii="Times New Roman" w:cs="Times New Roman" w:eastAsia="Times New Roman" w:hAnsi="Times New Roman"/>
          <w:sz w:val="19"/>
          <w:szCs w:val="19"/>
          <w:color w:val="auto"/>
        </w:rPr>
        <w:t>means the direct or indirect possession of the power to direct or cause the direction of the management or policies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 Person, whether through ownership, by contract, arrangement or understanding, or otherwise. </w:t>
      </w:r>
      <w:r>
        <w:rPr>
          <w:rFonts w:ascii="Times New Roman" w:cs="Times New Roman" w:eastAsia="Times New Roman" w:hAnsi="Times New Roman"/>
          <w:sz w:val="19"/>
          <w:szCs w:val="19"/>
          <w:i w:val="1"/>
          <w:iCs w:val="1"/>
          <w:color w:val="auto"/>
        </w:rPr>
        <w:t>“Controlled”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“Controlling”</w:t>
      </w:r>
      <w:r>
        <w:rPr>
          <w:rFonts w:ascii="Times New Roman" w:cs="Times New Roman" w:eastAsia="Times New Roman" w:hAnsi="Times New Roman"/>
          <w:sz w:val="19"/>
          <w:szCs w:val="19"/>
          <w:color w:val="auto"/>
        </w:rPr>
        <w:t xml:space="preserve"> have meanings correlative thereto.</w:t>
      </w:r>
    </w:p>
    <w:p>
      <w:pPr>
        <w:spacing w:after="0" w:line="166" w:lineRule="exact"/>
        <w:rPr>
          <w:sz w:val="20"/>
          <w:szCs w:val="20"/>
          <w:color w:val="auto"/>
        </w:rPr>
      </w:pPr>
    </w:p>
    <w:p>
      <w:pPr>
        <w:ind w:right="8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“Control Position Loan” </w:t>
      </w:r>
      <w:r>
        <w:rPr>
          <w:rFonts w:ascii="Times New Roman" w:cs="Times New Roman" w:eastAsia="Times New Roman" w:hAnsi="Times New Roman"/>
          <w:sz w:val="19"/>
          <w:szCs w:val="19"/>
          <w:color w:val="auto"/>
        </w:rPr>
        <w:t>means any Loan with respect to which the Borrower holds either (i) 100% of the voting interests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regard to such Loan and the related loan documents or (ii) a blocking interest such that decisions with regard to such Loan under the related Loan Documents regarding material consents, amendments, waivers or approvals require the Borrower’s consent.</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000FF"/>
        </w:rPr>
        <w:t>“Controlled Affiliates” means any Affiliate that is controlled by Borrower or Investment Adviser.</w:t>
      </w:r>
    </w:p>
    <w:p>
      <w:pPr>
        <w:spacing w:after="0" w:line="224" w:lineRule="exact"/>
        <w:rPr>
          <w:sz w:val="20"/>
          <w:szCs w:val="20"/>
          <w:color w:val="auto"/>
        </w:rPr>
      </w:pPr>
    </w:p>
    <w:p>
      <w:pPr>
        <w:ind w:right="20" w:firstLine="69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“Credit Protection Laws” </w:t>
      </w:r>
      <w:r>
        <w:rPr>
          <w:rFonts w:ascii="Times New Roman" w:cs="Times New Roman" w:eastAsia="Times New Roman" w:hAnsi="Times New Roman"/>
          <w:sz w:val="19"/>
          <w:szCs w:val="19"/>
          <w:color w:val="auto"/>
        </w:rPr>
        <w:t>means all federal, state and local laws in respect of the business of extending credit to borrowers,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without limitation, the Truth in Lending Act (and Regulation Z promulgated thereunder), Equal Credit Opportunity Act, Fair Credit Reporting Act, Fair Debt Collection Practices Act, Gramm-Leach-Bliley Financial Privacy Act, Real Estate Settlement Procedures Act, Home Mortgage Disclosure Act, Fair Housing Act, anti-discrimination and fair lending laws, laws relating to servicing procedures or maximum charges and rates of interest, privacy laws and other similar laws, each to the extent applicable, and all applicable rules and regulations in respect of any of the foregoing.</w:t>
      </w:r>
    </w:p>
    <w:p>
      <w:pPr>
        <w:spacing w:after="0" w:line="175"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“Custody Agreement” </w:t>
      </w:r>
      <w:r>
        <w:rPr>
          <w:rFonts w:ascii="Times New Roman" w:cs="Times New Roman" w:eastAsia="Times New Roman" w:hAnsi="Times New Roman"/>
          <w:sz w:val="19"/>
          <w:szCs w:val="19"/>
          <w:color w:val="auto"/>
        </w:rPr>
        <w:t>means the Custody Agreement dated as of January 6, 2017 among the Borrower, the Bank, as custodian,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U.S. Bank National Association, as document custodian, as the same may from time to time be amended, restated, supplemented, waived or modified.</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“Default Rate” </w:t>
      </w:r>
      <w:r>
        <w:rPr>
          <w:rFonts w:ascii="Times New Roman" w:cs="Times New Roman" w:eastAsia="Times New Roman" w:hAnsi="Times New Roman"/>
          <w:sz w:val="19"/>
          <w:szCs w:val="19"/>
          <w:color w:val="auto"/>
        </w:rPr>
        <w:t>means a rate per annum equal to the sum of (i) the Interest Rate plus (ii) 2.0%.</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“Defaulted Loan” </w:t>
      </w:r>
      <w:r>
        <w:rPr>
          <w:rFonts w:ascii="Times New Roman" w:cs="Times New Roman" w:eastAsia="Times New Roman" w:hAnsi="Times New Roman"/>
          <w:sz w:val="19"/>
          <w:szCs w:val="19"/>
          <w:color w:val="auto"/>
        </w:rPr>
        <w:t>means a Loan as to which any of the following occurs:</w:t>
      </w:r>
    </w:p>
    <w:p>
      <w:pPr>
        <w:spacing w:after="0" w:line="228" w:lineRule="exact"/>
        <w:rPr>
          <w:sz w:val="20"/>
          <w:szCs w:val="20"/>
          <w:color w:val="auto"/>
        </w:rPr>
      </w:pPr>
    </w:p>
    <w:p>
      <w:pPr>
        <w:ind w:left="700" w:right="340" w:firstLine="50"/>
        <w:spacing w:after="0" w:line="256" w:lineRule="auto"/>
        <w:tabs>
          <w:tab w:leader="none" w:pos="101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0000FF"/>
        </w:rPr>
        <w:t xml:space="preserve">(i) </w:t>
      </w:r>
      <w:r>
        <w:rPr>
          <w:rFonts w:ascii="Times New Roman" w:cs="Times New Roman" w:eastAsia="Times New Roman" w:hAnsi="Times New Roman"/>
          <w:sz w:val="19"/>
          <w:szCs w:val="19"/>
          <w:color w:val="000000"/>
        </w:rPr>
        <w:t>a default as to all or any portion of one or more payments of principal, interest, and/or commitment fees has occurred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with respect to such Loan and such default has not been cured by ninety (90) days past the applicable due date</w:t>
      </w:r>
      <w:r>
        <w:rPr>
          <w:rFonts w:ascii="Times New Roman" w:cs="Times New Roman" w:eastAsia="Times New Roman" w:hAnsi="Times New Roman"/>
          <w:sz w:val="19"/>
          <w:szCs w:val="19"/>
          <w:color w:val="0000FF"/>
        </w:rPr>
        <w:t>, or (ii) with</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respect to any Participation Interest, the applicable administrative agent or the originator fails to advance payments to the Borrower of principal, interest and/or commitment fees that have</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5" w:name="page186"/>
    <w:bookmarkEnd w:id="185"/>
    <w:p>
      <w:pPr>
        <w:spacing w:after="0" w:line="200" w:lineRule="exact"/>
        <w:rPr>
          <w:sz w:val="20"/>
          <w:szCs w:val="20"/>
          <w:color w:val="auto"/>
        </w:rPr>
      </w:pPr>
    </w:p>
    <w:p>
      <w:pPr>
        <w:spacing w:after="0" w:line="2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000FF"/>
        </w:rPr>
        <w:t>been paid by the related Obligor under and in accordance with the terms of the related Loan Documents</w:t>
      </w:r>
      <w:r>
        <w:rPr>
          <w:rFonts w:ascii="Times New Roman" w:cs="Times New Roman" w:eastAsia="Times New Roman" w:hAnsi="Times New Roman"/>
          <w:sz w:val="19"/>
          <w:szCs w:val="19"/>
          <w:color w:val="000000"/>
        </w:rPr>
        <w:t>;</w:t>
      </w:r>
    </w:p>
    <w:p>
      <w:pPr>
        <w:spacing w:after="0" w:line="226" w:lineRule="exact"/>
        <w:rPr>
          <w:sz w:val="20"/>
          <w:szCs w:val="20"/>
          <w:color w:val="auto"/>
        </w:rPr>
      </w:pPr>
    </w:p>
    <w:p>
      <w:pPr>
        <w:jc w:val="both"/>
        <w:ind w:left="700" w:firstLine="50"/>
        <w:spacing w:after="0" w:line="268" w:lineRule="auto"/>
        <w:tabs>
          <w:tab w:leader="none" w:pos="10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default other than a payment default described in clause (a) above and for which the Borrower (or the administrative agent or required lenders pursuant to the related Loan Documents, as applicable) has elected to exercise any of its rights and remedies under such related Loan Documents (including, without limitation, acceleration or foreclosing on collateral);</w:t>
      </w:r>
    </w:p>
    <w:p>
      <w:pPr>
        <w:spacing w:after="0" w:line="168"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related Obligor of such Loan is subject of an Insolvency Event;</w:t>
      </w:r>
    </w:p>
    <w:p>
      <w:pPr>
        <w:spacing w:after="0" w:line="225"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or all of the principal balance due under such Loan is waived or forgiven; or</w:t>
      </w:r>
    </w:p>
    <w:p>
      <w:pPr>
        <w:spacing w:after="0" w:line="225" w:lineRule="exact"/>
        <w:rPr>
          <w:rFonts w:ascii="Times New Roman" w:cs="Times New Roman" w:eastAsia="Times New Roman" w:hAnsi="Times New Roman"/>
          <w:sz w:val="19"/>
          <w:szCs w:val="19"/>
          <w:color w:val="auto"/>
        </w:rPr>
      </w:pPr>
    </w:p>
    <w:p>
      <w:pPr>
        <w:ind w:left="700" w:right="520" w:firstLine="50"/>
        <w:spacing w:after="0" w:line="244" w:lineRule="exact"/>
        <w:tabs>
          <w:tab w:leader="none" w:pos="1009"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reasonably determined in accordance with the Investment Policy that such Loan is not collectible or should be placed on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accrual” status.</w:t>
      </w:r>
    </w:p>
    <w:p>
      <w:pPr>
        <w:spacing w:after="0" w:line="184" w:lineRule="exact"/>
        <w:rPr>
          <w:sz w:val="20"/>
          <w:szCs w:val="20"/>
          <w:color w:val="auto"/>
        </w:rPr>
      </w:pPr>
    </w:p>
    <w:p>
      <w:pPr>
        <w:ind w:firstLine="696"/>
        <w:spacing w:after="0" w:line="25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Defaulting Lender</w:t>
      </w:r>
      <w:r>
        <w:rPr>
          <w:rFonts w:ascii="Times New Roman" w:cs="Times New Roman" w:eastAsia="Times New Roman" w:hAnsi="Times New Roman"/>
          <w:sz w:val="19"/>
          <w:szCs w:val="19"/>
          <w:color w:val="auto"/>
        </w:rPr>
        <w:t>” shall mean, at any time, subject to Section 2.16, (i) any Lender that has failed for two (2) or more Business Days to comply with its obligations under this Agreement to make an Advance (including its participation in a Swingline Advance) or to make any other payment due hereunder (each a “funding obligation”), unless such Lender has notified the Administrative Agent and the Borrower in writing that such failure is the result of such Lender’s determination that one or more conditions precedent to funding has not been satisfied (which conditions precedent, together with any applicable Event of Default or Unmatured Event of Default, will be specifically identified in such writing), (ii) any Lender that has notified the Administrative Agent in writing, or has stated publicly, that it does not intend to comply with any such funding obligation hereunder, unless such writing or public statement states that such position is based on such Lender’s determination that one or more conditions precedent to funding cannot be satisfied (which conditions precedent, together with any applicable Event of Default or Unmatured Event of Default, will be specifically identified in such writing or public statement), (iii) any Lender that has defaulted on its obligation to fund generally under any other loan agreement, credit agreement or other financing agreement, (iv) any Lender that has, for three (3) or more Business Days after written request of the Administrative Agent or the Borrower, failed to confirm in writing to the Administrative Agent and the Borrower that it will comply with its prospective funding obligations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Lender will cease to be a Defaulting Lender pursuant to this clause (iv) upon the Administrative Agent’s and the Borrower’s receipt of such written confirmation), or (v) any Lender (i) with respect to which a Lender Insolvency Event has occurred and is continuing or (ii) that is subject to a Bail-In Action. Any determination by the Administrative Agent that a Lender is a Defaulting Lender will be conclusive and binding, absent manifest error, and such Lender shall be deemed to be a Defaulting Lender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subject to Section 2.16) upon notification of such determination by the Administrative Agent to the Borrower and the Lenders.</w:t>
      </w:r>
    </w:p>
    <w:p>
      <w:pPr>
        <w:spacing w:after="0" w:line="200" w:lineRule="exact"/>
        <w:rPr>
          <w:sz w:val="20"/>
          <w:szCs w:val="20"/>
          <w:color w:val="auto"/>
        </w:rPr>
      </w:pPr>
    </w:p>
    <w:p>
      <w:pPr>
        <w:spacing w:after="0" w:line="221" w:lineRule="exact"/>
        <w:rPr>
          <w:sz w:val="20"/>
          <w:szCs w:val="20"/>
          <w:color w:val="auto"/>
        </w:rPr>
      </w:pPr>
    </w:p>
    <w:p>
      <w:pPr>
        <w:jc w:val="both"/>
        <w:ind w:right="14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“Delayed Draw Term Loan</w:t>
      </w:r>
      <w:r>
        <w:rPr>
          <w:rFonts w:ascii="Times New Roman" w:cs="Times New Roman" w:eastAsia="Times New Roman" w:hAnsi="Times New Roman"/>
          <w:sz w:val="19"/>
          <w:szCs w:val="19"/>
          <w:color w:val="auto"/>
        </w:rPr>
        <w:t>” means a Loan that (a) requires the Borrower to make one or more future advances to the Obligor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the Loan Documents evidencing, guaranteeing, securing, governing or giving rise to such Loan, (b) specifies a maximum amount that can be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6" w:name="page187"/>
    <w:bookmarkEnd w:id="186"/>
    <w:p>
      <w:pPr>
        <w:spacing w:after="0" w:line="200" w:lineRule="exact"/>
        <w:rPr>
          <w:sz w:val="20"/>
          <w:szCs w:val="20"/>
          <w:color w:val="auto"/>
        </w:rPr>
      </w:pPr>
    </w:p>
    <w:p>
      <w:pPr>
        <w:spacing w:after="0" w:line="28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9"/>
          <w:szCs w:val="19"/>
          <w:color w:val="auto"/>
        </w:rPr>
        <w:t>borrowed on one or more fixed borrowing dates, and (c) does not permit the re- borrowing of any amount previously repaid by the Obligor thereunder, provided that any such Loan will be a Delayed Draw Term Loan only to the extent of undrawn commitments and solely until all commitments by the Borrower to make advances on such Loan to the Obligor under the Loan Documents expire or are terminated or are reduced to zero.</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“DIP Loan” </w:t>
      </w:r>
      <w:r>
        <w:rPr>
          <w:rFonts w:ascii="Times New Roman" w:cs="Times New Roman" w:eastAsia="Times New Roman" w:hAnsi="Times New Roman"/>
          <w:sz w:val="19"/>
          <w:szCs w:val="19"/>
          <w:color w:val="auto"/>
        </w:rPr>
        <w:t>means an obligation:</w:t>
      </w:r>
    </w:p>
    <w:p>
      <w:pPr>
        <w:spacing w:after="0" w:line="228" w:lineRule="exact"/>
        <w:rPr>
          <w:sz w:val="20"/>
          <w:szCs w:val="20"/>
          <w:color w:val="auto"/>
        </w:rPr>
      </w:pPr>
    </w:p>
    <w:p>
      <w:pPr>
        <w:ind w:left="1020" w:hanging="270"/>
        <w:spacing w:after="0"/>
        <w:tabs>
          <w:tab w:leader="none" w:pos="10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obtained or incurred after the entry of an order of relief in a case pending under Chapter 11 of the Bankruptcy Code,</w:t>
      </w:r>
    </w:p>
    <w:p>
      <w:pPr>
        <w:spacing w:after="0" w:line="225" w:lineRule="exact"/>
        <w:rPr>
          <w:rFonts w:ascii="Times New Roman" w:cs="Times New Roman" w:eastAsia="Times New Roman" w:hAnsi="Times New Roman"/>
          <w:sz w:val="19"/>
          <w:szCs w:val="19"/>
          <w:color w:val="auto"/>
        </w:rPr>
      </w:pPr>
    </w:p>
    <w:p>
      <w:pPr>
        <w:ind w:left="700" w:right="20" w:firstLine="50"/>
        <w:spacing w:after="0" w:line="286" w:lineRule="auto"/>
        <w:tabs>
          <w:tab w:leader="none" w:pos="10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a debtor in possession as described in Chapter 11 of the Bankruptcy Code or a trustee (if appointment of such trustee has been ordered pursuant to Section 1104 of the Bankruptcy Code),</w:t>
      </w:r>
    </w:p>
    <w:p>
      <w:pPr>
        <w:spacing w:after="0" w:line="151"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which the related Obligor is required to pay interest and/or principal on a current basis, and</w:t>
      </w:r>
    </w:p>
    <w:p>
      <w:pPr>
        <w:spacing w:after="0" w:line="225" w:lineRule="exact"/>
        <w:rPr>
          <w:rFonts w:ascii="Times New Roman" w:cs="Times New Roman" w:eastAsia="Times New Roman" w:hAnsi="Times New Roman"/>
          <w:sz w:val="19"/>
          <w:szCs w:val="19"/>
          <w:color w:val="auto"/>
        </w:rPr>
      </w:pPr>
    </w:p>
    <w:p>
      <w:pPr>
        <w:ind w:left="700" w:firstLine="50"/>
        <w:spacing w:after="0" w:line="259" w:lineRule="auto"/>
        <w:tabs>
          <w:tab w:leader="none" w:pos="102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 estate that is otherwise subject to a lien pursuant to Section 364(d) of the Bankruptcy Code or (C) is secured by a junior lien on the debtor’s encumbered assets (so long as such loan is fully secured based on the most recent current valuation or appraisal report, if any, of the debtor).</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“Discretionary Sale” </w:t>
      </w:r>
      <w:r>
        <w:rPr>
          <w:rFonts w:ascii="Times New Roman" w:cs="Times New Roman" w:eastAsia="Times New Roman" w:hAnsi="Times New Roman"/>
          <w:sz w:val="19"/>
          <w:szCs w:val="19"/>
          <w:color w:val="auto"/>
        </w:rPr>
        <w:t>is defined in Section 2.14.</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“Discretionary Sale Notice” </w:t>
      </w:r>
      <w:r>
        <w:rPr>
          <w:rFonts w:ascii="Times New Roman" w:cs="Times New Roman" w:eastAsia="Times New Roman" w:hAnsi="Times New Roman"/>
          <w:sz w:val="19"/>
          <w:szCs w:val="19"/>
          <w:color w:val="auto"/>
        </w:rPr>
        <w:t>is defined in Section 2.14.</w:t>
      </w:r>
    </w:p>
    <w:p>
      <w:pPr>
        <w:spacing w:after="0" w:line="226" w:lineRule="exact"/>
        <w:rPr>
          <w:sz w:val="20"/>
          <w:szCs w:val="20"/>
          <w:color w:val="auto"/>
        </w:rPr>
      </w:pPr>
    </w:p>
    <w:p>
      <w:pPr>
        <w:ind w:right="3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“Discretionary Sale Settlement Date” </w:t>
      </w:r>
      <w:r>
        <w:rPr>
          <w:rFonts w:ascii="Times New Roman" w:cs="Times New Roman" w:eastAsia="Times New Roman" w:hAnsi="Times New Roman"/>
          <w:sz w:val="19"/>
          <w:szCs w:val="19"/>
          <w:color w:val="auto"/>
        </w:rPr>
        <w:t>means the Business Day specified by the Borrower to the Administrative Agent in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Discretionary Sale Notice as the proposed settlement date of a Discretionary Sale.</w:t>
      </w:r>
    </w:p>
    <w:p>
      <w:pPr>
        <w:spacing w:after="0" w:line="148" w:lineRule="exact"/>
        <w:rPr>
          <w:sz w:val="20"/>
          <w:szCs w:val="20"/>
          <w:color w:val="auto"/>
        </w:rPr>
      </w:pPr>
    </w:p>
    <w:p>
      <w:pPr>
        <w:ind w:right="72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“Discretionary Sale Trade Date” </w:t>
      </w:r>
      <w:r>
        <w:rPr>
          <w:rFonts w:ascii="Times New Roman" w:cs="Times New Roman" w:eastAsia="Times New Roman" w:hAnsi="Times New Roman"/>
          <w:sz w:val="19"/>
          <w:szCs w:val="19"/>
          <w:color w:val="auto"/>
        </w:rPr>
        <w:t>means the Business Day specified by the Borrower to the Administrative Agent in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Discretionary Sale Notice as the proposed trade date of a Discretionary Sale.</w:t>
      </w:r>
    </w:p>
    <w:p>
      <w:pPr>
        <w:spacing w:after="0" w:line="148"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“Disruption Event” </w:t>
      </w:r>
      <w:r>
        <w:rPr>
          <w:rFonts w:ascii="Times New Roman" w:cs="Times New Roman" w:eastAsia="Times New Roman" w:hAnsi="Times New Roman"/>
          <w:sz w:val="19"/>
          <w:szCs w:val="19"/>
          <w:color w:val="auto"/>
        </w:rPr>
        <w:t>means, with respect to any Advance as to which Interest accrues or is to accrue at a rate based upon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Adjusted Term SOFR Rate, any of the following: (a) on any date for determining the interest rate applicable to any Term SOFR Loan for any Interest Period that, by reason of any changes arising after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adequate and fair means do not exist for ascertaining the applicable interest rate on the basis provided for in this Agreement for such Term SOFR Loan; or (b) a determination by a Lender at any time that the making or continuance of any Term SOFR Loan has become unlawful by compliance by such Lender in good faith with any Regulatory Change since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or</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87" w:name="page188"/>
    <w:bookmarkEnd w:id="187"/>
    <w:p>
      <w:pPr>
        <w:spacing w:after="0" w:line="200" w:lineRule="exact"/>
        <w:rPr>
          <w:sz w:val="20"/>
          <w:szCs w:val="20"/>
          <w:color w:val="auto"/>
        </w:rPr>
      </w:pPr>
    </w:p>
    <w:p>
      <w:pPr>
        <w:spacing w:after="0" w:line="2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9"/>
          <w:szCs w:val="19"/>
          <w:color w:val="auto"/>
        </w:rPr>
        <w:t xml:space="preserve">has become impracticable as a result of a contingency occurring after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that materially adversely affects the availability of Term SOFR.</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“Distribution” </w:t>
      </w:r>
      <w:r>
        <w:rPr>
          <w:rFonts w:ascii="Times New Roman" w:cs="Times New Roman" w:eastAsia="Times New Roman" w:hAnsi="Times New Roman"/>
          <w:sz w:val="19"/>
          <w:szCs w:val="19"/>
          <w:color w:val="auto"/>
        </w:rPr>
        <w:t>is defined in Section 5.1(j).</w:t>
      </w:r>
    </w:p>
    <w:p>
      <w:pPr>
        <w:spacing w:after="0" w:line="226" w:lineRule="exact"/>
        <w:rPr>
          <w:sz w:val="20"/>
          <w:szCs w:val="20"/>
          <w:color w:val="auto"/>
        </w:rPr>
      </w:pPr>
    </w:p>
    <w:p>
      <w:pPr>
        <w:ind w:right="520" w:firstLine="6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Document Custodian</w:t>
      </w:r>
      <w:r>
        <w:rPr>
          <w:rFonts w:ascii="Times New Roman" w:cs="Times New Roman" w:eastAsia="Times New Roman" w:hAnsi="Times New Roman"/>
          <w:sz w:val="19"/>
          <w:szCs w:val="19"/>
          <w:color w:val="auto"/>
        </w:rPr>
        <w:t>” means U.S. Bank National Association, in its capacity as Document Custodian under the Custody Agreement, together with its successors and assigns.</w:t>
      </w:r>
    </w:p>
    <w:p>
      <w:pPr>
        <w:spacing w:after="0" w:line="148" w:lineRule="exact"/>
        <w:rPr>
          <w:sz w:val="20"/>
          <w:szCs w:val="20"/>
          <w:color w:val="auto"/>
        </w:rPr>
      </w:pPr>
    </w:p>
    <w:p>
      <w:pPr>
        <w:ind w:right="120" w:firstLine="6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Document Custody Agreement</w:t>
      </w:r>
      <w:r>
        <w:rPr>
          <w:rFonts w:ascii="Times New Roman" w:cs="Times New Roman" w:eastAsia="Times New Roman" w:hAnsi="Times New Roman"/>
          <w:sz w:val="19"/>
          <w:szCs w:val="19"/>
          <w:color w:val="auto"/>
        </w:rPr>
        <w:t>” means the Document Custody Agreement dated as of May 31, 2019 among the Borrower, the Administrative Agent and U.S. Bank National Association, as Document Custodian, as the same may from time to time be amended, restated, supplemented, waived or modified</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“Documentation Agent” </w:t>
      </w:r>
      <w:r>
        <w:rPr>
          <w:rFonts w:ascii="Times New Roman" w:cs="Times New Roman" w:eastAsia="Times New Roman" w:hAnsi="Times New Roman"/>
          <w:sz w:val="19"/>
          <w:szCs w:val="19"/>
          <w:color w:val="auto"/>
        </w:rPr>
        <w:t>is defined in the preamble hereto.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Dollar</w:t>
      </w:r>
      <w:r>
        <w:rPr>
          <w:rFonts w:ascii="Times New Roman" w:cs="Times New Roman" w:eastAsia="Times New Roman" w:hAnsi="Times New Roman"/>
          <w:sz w:val="19"/>
          <w:szCs w:val="19"/>
          <w:i w:val="1"/>
          <w:iCs w:val="1"/>
          <w:color w:val="FF0000"/>
          <w:strike w:val="1"/>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means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0000FF"/>
        </w:rPr>
        <w:t>Equivalent</w:t>
      </w:r>
      <w:r>
        <w:rPr>
          <w:rFonts w:ascii="Times New Roman" w:cs="Times New Roman" w:eastAsia="Times New Roman" w:hAnsi="Times New Roman"/>
          <w:sz w:val="19"/>
          <w:szCs w:val="19"/>
          <w:color w:val="0000FF"/>
        </w:rPr>
        <w:t>” means, on any date of determination, (i) with respect to an Approved Foreign Currency, for 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actual currency exchange, the applicable currency-Dollar spot rate obtained by the Investment Adviser through customary banking channels, or (ii) with respect to an Approved Foreign Currency, for all other purposes, the applicable currency-Dollar spot rate obtained by the Investment Adviser through the Collateral Custodian’s banking facilities for such currency at the opening of business on such day or (iii) with respect to an amount denominated in Dollars, such amount; </w:t>
      </w:r>
      <w:r>
        <w:rPr>
          <w:rFonts w:ascii="Times New Roman" w:cs="Times New Roman" w:eastAsia="Times New Roman" w:hAnsi="Times New Roman"/>
          <w:sz w:val="19"/>
          <w:szCs w:val="19"/>
          <w:i w:val="1"/>
          <w:iCs w:val="1"/>
          <w:color w:val="0000FF"/>
        </w:rPr>
        <w:t>provided</w:t>
      </w:r>
      <w:r>
        <w:rPr>
          <w:rFonts w:ascii="Times New Roman" w:cs="Times New Roman" w:eastAsia="Times New Roman" w:hAnsi="Times New Roman"/>
          <w:sz w:val="19"/>
          <w:szCs w:val="19"/>
          <w:color w:val="0000FF"/>
        </w:rPr>
        <w:t xml:space="preserve"> that, to the extent any Loan is payable in an Approved Foreign Currency and the Borrower has entered into a Hedge Transaction, then the Dollar Equivalent in respect of such Loan for purposes of calculating the Outstanding Loan Balance of such Loan (and the related calculations set forth herein) shall be deemed to be calculated using the applicable currency exchange rate provided under such Hedge Transaction.</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000FF"/>
        </w:rPr>
        <w:t xml:space="preserve">“Dollars” </w:t>
      </w:r>
      <w:r>
        <w:rPr>
          <w:rFonts w:ascii="Times New Roman" w:cs="Times New Roman" w:eastAsia="Times New Roman" w:hAnsi="Times New Roman"/>
          <w:sz w:val="19"/>
          <w:szCs w:val="19"/>
          <w:color w:val="0000FF"/>
        </w:rPr>
        <w:t>and</w:t>
      </w:r>
      <w:r>
        <w:rPr>
          <w:rFonts w:ascii="Times New Roman" w:cs="Times New Roman" w:eastAsia="Times New Roman" w:hAnsi="Times New Roman"/>
          <w:sz w:val="19"/>
          <w:szCs w:val="19"/>
          <w:i w:val="1"/>
          <w:iCs w:val="1"/>
          <w:color w:val="0000FF"/>
        </w:rPr>
        <w:t xml:space="preserve"> “$” </w:t>
      </w:r>
      <w:r>
        <w:rPr>
          <w:rFonts w:ascii="Times New Roman" w:cs="Times New Roman" w:eastAsia="Times New Roman" w:hAnsi="Times New Roman"/>
          <w:sz w:val="19"/>
          <w:szCs w:val="19"/>
          <w:color w:val="0000FF"/>
        </w:rPr>
        <w:t>mean the lawful money of</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00"/>
        </w:rPr>
        <w:t>the United States</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FF0000"/>
          <w:strike w:val="1"/>
        </w:rPr>
        <w:t>dollar</w:t>
      </w:r>
      <w:r>
        <w:rPr>
          <w:rFonts w:ascii="Times New Roman" w:cs="Times New Roman" w:eastAsia="Times New Roman" w:hAnsi="Times New Roman"/>
          <w:sz w:val="19"/>
          <w:szCs w:val="19"/>
          <w:color w:val="0000FF"/>
        </w:rPr>
        <w:t>of America</w:t>
      </w:r>
      <w:r>
        <w:rPr>
          <w:rFonts w:ascii="Times New Roman" w:cs="Times New Roman" w:eastAsia="Times New Roman" w:hAnsi="Times New Roman"/>
          <w:sz w:val="19"/>
          <w:szCs w:val="19"/>
          <w:color w:val="000000"/>
        </w:rPr>
        <w:t>.</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“Early Opt-in Election” </w:t>
      </w:r>
      <w:r>
        <w:rPr>
          <w:rFonts w:ascii="Times New Roman" w:cs="Times New Roman" w:eastAsia="Times New Roman" w:hAnsi="Times New Roman"/>
          <w:sz w:val="19"/>
          <w:szCs w:val="19"/>
          <w:color w:val="auto"/>
        </w:rPr>
        <w:t>means the occurrence of:</w:t>
      </w:r>
    </w:p>
    <w:p>
      <w:pPr>
        <w:spacing w:after="0" w:line="228" w:lineRule="exact"/>
        <w:rPr>
          <w:sz w:val="20"/>
          <w:szCs w:val="20"/>
          <w:color w:val="auto"/>
        </w:rPr>
      </w:pPr>
    </w:p>
    <w:p>
      <w:pPr>
        <w:ind w:left="700" w:right="20" w:firstLine="50"/>
        <w:spacing w:after="0" w:line="268" w:lineRule="auto"/>
        <w:tabs>
          <w:tab w:leader="none" w:pos="106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determination by the Administrative Agent that U.S. Dollar-denominated syndicated credit facilities being executed at such time, or that include language similar to that contained in Section 2.11(b), are being executed or amended, as applicable, to incorporate or adopt a new benchmark interest rate to replace the Adjusted Term SOFR Rate, and</w:t>
      </w:r>
    </w:p>
    <w:p>
      <w:pPr>
        <w:spacing w:after="0" w:line="168" w:lineRule="exact"/>
        <w:rPr>
          <w:rFonts w:ascii="Times New Roman" w:cs="Times New Roman" w:eastAsia="Times New Roman" w:hAnsi="Times New Roman"/>
          <w:sz w:val="19"/>
          <w:szCs w:val="19"/>
          <w:color w:val="auto"/>
        </w:rPr>
      </w:pPr>
    </w:p>
    <w:p>
      <w:pPr>
        <w:ind w:left="700" w:right="380" w:firstLine="50"/>
        <w:spacing w:after="0" w:line="286" w:lineRule="auto"/>
        <w:tabs>
          <w:tab w:leader="none" w:pos="1068"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election by the Administrative Agent to declare that an Early Opt-in Election has occurred and the provision by the Administrative Agent of written notice of such election to the Borrower and the Lenders.</w:t>
      </w:r>
    </w:p>
    <w:p>
      <w:pPr>
        <w:spacing w:after="0" w:line="149" w:lineRule="exact"/>
        <w:rPr>
          <w:sz w:val="20"/>
          <w:szCs w:val="20"/>
          <w:color w:val="auto"/>
        </w:rPr>
      </w:pPr>
    </w:p>
    <w:p>
      <w:pPr>
        <w:ind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“EBITDA” </w:t>
      </w:r>
      <w:r>
        <w:rPr>
          <w:rFonts w:ascii="Times New Roman" w:cs="Times New Roman" w:eastAsia="Times New Roman" w:hAnsi="Times New Roman"/>
          <w:sz w:val="19"/>
          <w:szCs w:val="19"/>
          <w:color w:val="auto"/>
        </w:rPr>
        <w:t>means, the consolidated net investment income (excluding extraordinary gains and extraordinary losses) for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relevant period plus, without duplication, the following to the extent deducted in calculating such consolidated net investment income: (i) consolidated interest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88" w:name="page189"/>
    <w:bookmarkEnd w:id="188"/>
    <w:p>
      <w:pPr>
        <w:spacing w:after="0" w:line="200" w:lineRule="exact"/>
        <w:rPr>
          <w:sz w:val="20"/>
          <w:szCs w:val="20"/>
          <w:color w:val="auto"/>
        </w:rPr>
      </w:pPr>
    </w:p>
    <w:p>
      <w:pPr>
        <w:spacing w:after="0" w:line="2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charges for such period; (ii) the provision for Federal, state, local and foreign income taxes payable for such period; (iii) depreciation and amortization expense for such period; and (iv) such other adjustments that are usual and customary for transactions of this nature.</w:t>
      </w:r>
    </w:p>
    <w:p>
      <w:pPr>
        <w:spacing w:after="0" w:line="149" w:lineRule="exact"/>
        <w:rPr>
          <w:sz w:val="20"/>
          <w:szCs w:val="20"/>
          <w:color w:val="auto"/>
        </w:rPr>
      </w:pPr>
    </w:p>
    <w:p>
      <w:pPr>
        <w:ind w:right="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“EEA Financial Institution” </w:t>
      </w:r>
      <w:r>
        <w:rPr>
          <w:rFonts w:ascii="Times New Roman" w:cs="Times New Roman" w:eastAsia="Times New Roman" w:hAnsi="Times New Roman"/>
          <w:sz w:val="19"/>
          <w:szCs w:val="19"/>
          <w:color w:val="auto"/>
        </w:rPr>
        <w:t>means (a) any credit institution or investment firm established in any EEA Member Country that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“EEA Member Country” </w:t>
      </w:r>
      <w:r>
        <w:rPr>
          <w:rFonts w:ascii="Times New Roman" w:cs="Times New Roman" w:eastAsia="Times New Roman" w:hAnsi="Times New Roman"/>
          <w:sz w:val="19"/>
          <w:szCs w:val="19"/>
          <w:color w:val="auto"/>
        </w:rPr>
        <w:t>means any of the member states of the European Union, Iceland, Liechtenstein, and Norway.</w:t>
      </w:r>
    </w:p>
    <w:p>
      <w:pPr>
        <w:spacing w:after="0" w:line="226"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“EEA Resolution Authority” </w:t>
      </w:r>
      <w:r>
        <w:rPr>
          <w:rFonts w:ascii="Times New Roman" w:cs="Times New Roman" w:eastAsia="Times New Roman" w:hAnsi="Times New Roman"/>
          <w:sz w:val="19"/>
          <w:szCs w:val="19"/>
          <w:color w:val="auto"/>
        </w:rPr>
        <w:t>means any public administrative authority or any Person entrusted with public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authority of any EEA Member Country (including any delegee) having responsibility for the resolution of any EEA Financial Institution.</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“Effective Date” </w:t>
      </w:r>
      <w:r>
        <w:rPr>
          <w:rFonts w:ascii="Times New Roman" w:cs="Times New Roman" w:eastAsia="Times New Roman" w:hAnsi="Times New Roman"/>
          <w:sz w:val="19"/>
          <w:szCs w:val="19"/>
          <w:color w:val="auto"/>
        </w:rPr>
        <w:t>means May 31, 2019.</w:t>
      </w:r>
    </w:p>
    <w:p>
      <w:pPr>
        <w:spacing w:after="0" w:line="226" w:lineRule="exact"/>
        <w:rPr>
          <w:sz w:val="20"/>
          <w:szCs w:val="20"/>
          <w:color w:val="auto"/>
        </w:rPr>
      </w:pPr>
    </w:p>
    <w:p>
      <w:pPr>
        <w:ind w:right="120"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“Effective Equity” </w:t>
      </w:r>
      <w:r>
        <w:rPr>
          <w:rFonts w:ascii="Times New Roman" w:cs="Times New Roman" w:eastAsia="Times New Roman" w:hAnsi="Times New Roman"/>
          <w:sz w:val="19"/>
          <w:szCs w:val="19"/>
          <w:color w:val="0000FF"/>
        </w:rPr>
        <w:t>means, at any time, the difference between (a) the Aggregate Outstanding Loan Balance as of such date and</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(b) the Advances Outstanding as of such date.</w:t>
      </w:r>
    </w:p>
    <w:p>
      <w:pPr>
        <w:spacing w:after="0" w:line="148" w:lineRule="exact"/>
        <w:rPr>
          <w:sz w:val="20"/>
          <w:szCs w:val="20"/>
          <w:color w:val="auto"/>
        </w:rPr>
      </w:pPr>
    </w:p>
    <w:p>
      <w:pPr>
        <w:ind w:firstLine="696"/>
        <w:spacing w:after="0" w:line="231" w:lineRule="exact"/>
        <w:rPr>
          <w:sz w:val="20"/>
          <w:szCs w:val="20"/>
          <w:color w:val="auto"/>
        </w:rPr>
      </w:pPr>
      <w:r>
        <w:rPr>
          <w:rFonts w:ascii="Times New Roman" w:cs="Times New Roman" w:eastAsia="Times New Roman" w:hAnsi="Times New Roman"/>
          <w:sz w:val="19"/>
          <w:szCs w:val="19"/>
          <w:i w:val="1"/>
          <w:iCs w:val="1"/>
          <w:color w:val="auto"/>
        </w:rPr>
        <w:t xml:space="preserve">“Eligible Assignee” </w:t>
      </w:r>
      <w:r>
        <w:rPr>
          <w:rFonts w:ascii="Times New Roman" w:cs="Times New Roman" w:eastAsia="Times New Roman" w:hAnsi="Times New Roman"/>
          <w:sz w:val="19"/>
          <w:szCs w:val="19"/>
          <w:color w:val="auto"/>
        </w:rPr>
        <w:t>means a Person that is either (i) a Lender or an Affiliate of a Lender or (ii) a Person that (x) has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rating of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Moody’s, or whose obligations under this Agreement are guaranteed by a Person whose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rating is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from S&amp;P and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1 from Moody’s and (y) is approved by the Administrative Agent (such approval not to be unreasonably withheld);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any of the foregoing, “Eligible Assignee” shall not include (A) the Borrower or any </w:t>
      </w:r>
      <w:r>
        <w:rPr>
          <w:rFonts w:ascii="Times New Roman" w:cs="Times New Roman" w:eastAsia="Times New Roman" w:hAnsi="Times New Roman"/>
          <w:sz w:val="19"/>
          <w:szCs w:val="19"/>
          <w:color w:val="FF0000"/>
        </w:rPr>
        <w:t>of</w:t>
      </w:r>
      <w:r>
        <w:rPr>
          <w:rFonts w:ascii="Times New Roman" w:cs="Times New Roman" w:eastAsia="Times New Roman" w:hAnsi="Times New Roman"/>
          <w:sz w:val="19"/>
          <w:szCs w:val="19"/>
          <w:color w:val="auto"/>
        </w:rPr>
        <w:t xml:space="preserve"> Affiliates or subsidiaries thereof, (B) any business development company or a wholly owned subsidiary of a business development company, or (C) any Person designated by the Borrower to the Administrative Agent as a “direct competitor” of the Borrower that is specified on a list, which shall not include more than twenty (20) Persons, on file with the Administrative Agent on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which such list may be updated (but in no event will include more than twenty (20) Persons) from time to time when no Event of Default is in existence by the Borrower with the consent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-650240</wp:posOffset>
            </wp:positionV>
            <wp:extent cx="12954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6">
                      <a:extLst>
                        <a:ext uri="{28A0092B-C50C-407E-A947-70E740481C1C}"/>
                      </a:extLst>
                    </a:blip>
                    <a:srcRect/>
                    <a:stretch>
                      <a:fillRect/>
                    </a:stretch>
                  </pic:blipFill>
                  <pic:spPr bwMode="auto">
                    <a:xfrm>
                      <a:off x="0" y="0"/>
                      <a:ext cx="129540" cy="7620"/>
                    </a:xfrm>
                    <a:prstGeom prst="rect">
                      <a:avLst/>
                    </a:prstGeom>
                    <a:noFill/>
                  </pic:spPr>
                </pic:pic>
              </a:graphicData>
            </a:graphic>
          </wp:anchor>
        </w:drawing>
      </w:r>
    </w:p>
    <w:p>
      <w:pPr>
        <w:spacing w:after="0" w:line="176" w:lineRule="exact"/>
        <w:rPr>
          <w:sz w:val="20"/>
          <w:szCs w:val="20"/>
          <w:color w:val="auto"/>
        </w:rPr>
      </w:pPr>
    </w:p>
    <w:p>
      <w:pPr>
        <w:ind w:right="4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“Eligible Loan” </w:t>
      </w:r>
      <w:r>
        <w:rPr>
          <w:rFonts w:ascii="Times New Roman" w:cs="Times New Roman" w:eastAsia="Times New Roman" w:hAnsi="Times New Roman"/>
          <w:sz w:val="19"/>
          <w:szCs w:val="19"/>
          <w:color w:val="auto"/>
        </w:rPr>
        <w:t>means, on any date of determination, each Loan which satisfies each of the following requirements unless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waived by the Required Lenders in their sole discretion:</w:t>
      </w:r>
    </w:p>
    <w:p>
      <w:pPr>
        <w:spacing w:after="0" w:line="150" w:lineRule="exact"/>
        <w:rPr>
          <w:sz w:val="20"/>
          <w:szCs w:val="20"/>
          <w:color w:val="auto"/>
        </w:rPr>
      </w:pPr>
    </w:p>
    <w:p>
      <w:pPr>
        <w:ind w:left="700" w:right="780" w:firstLine="50"/>
        <w:spacing w:after="0" w:line="286" w:lineRule="auto"/>
        <w:tabs>
          <w:tab w:leader="none" w:pos="97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was originated or purchased in the ordinary course of the business of the Borrower and was underwritten, conducted due diligence, approved, documented, managed and otherwise in conformance with the Investment Policy;</w:t>
      </w:r>
    </w:p>
    <w:p>
      <w:pPr>
        <w:spacing w:after="0" w:line="151" w:lineRule="exact"/>
        <w:rPr>
          <w:rFonts w:ascii="Times New Roman" w:cs="Times New Roman" w:eastAsia="Times New Roman" w:hAnsi="Times New Roman"/>
          <w:sz w:val="19"/>
          <w:szCs w:val="19"/>
          <w:color w:val="auto"/>
        </w:rPr>
      </w:pPr>
    </w:p>
    <w:p>
      <w:pPr>
        <w:ind w:left="700" w:right="320" w:firstLine="50"/>
        <w:spacing w:after="0" w:line="262" w:lineRule="auto"/>
        <w:tabs>
          <w:tab w:leader="none" w:pos="103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together with the Loan Documents related thereto, does not contravene in any material respect any Applicable Laws (including, without limitation,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9" w:name="page190"/>
    <w:bookmarkEnd w:id="189"/>
    <w:p>
      <w:pPr>
        <w:spacing w:after="0" w:line="200" w:lineRule="exact"/>
        <w:rPr>
          <w:sz w:val="20"/>
          <w:szCs w:val="20"/>
          <w:color w:val="auto"/>
        </w:rPr>
      </w:pPr>
    </w:p>
    <w:p>
      <w:pPr>
        <w:spacing w:after="0" w:line="28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laws, rules and regulations relating to usury, Credit Protection Laws and privacy laws) and with respect to which no party to the Loan Documents related thereto is in material violation of any such Applicable Laws;</w:t>
      </w:r>
    </w:p>
    <w:p>
      <w:pPr>
        <w:spacing w:after="0" w:line="151" w:lineRule="exact"/>
        <w:rPr>
          <w:sz w:val="20"/>
          <w:szCs w:val="20"/>
          <w:color w:val="auto"/>
        </w:rPr>
      </w:pPr>
    </w:p>
    <w:p>
      <w:pPr>
        <w:ind w:right="480" w:firstLine="50"/>
        <w:spacing w:after="0" w:line="286" w:lineRule="auto"/>
        <w:tabs>
          <w:tab w:leader="none" w:pos="38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proceeds thereof will not be used to finance activities with the marijuana industry, nor any other industry which is illegal under Federal law at the time of acquisition of such Loan;</w:t>
      </w:r>
    </w:p>
    <w:p>
      <w:pPr>
        <w:spacing w:after="0" w:line="151" w:lineRule="exact"/>
        <w:rPr>
          <w:rFonts w:ascii="Times New Roman" w:cs="Times New Roman" w:eastAsia="Times New Roman" w:hAnsi="Times New Roman"/>
          <w:sz w:val="19"/>
          <w:szCs w:val="19"/>
          <w:color w:val="auto"/>
        </w:rPr>
      </w:pPr>
    </w:p>
    <w:p>
      <w:pPr>
        <w:ind w:right="160" w:firstLine="50"/>
        <w:spacing w:after="0" w:line="262" w:lineRule="auto"/>
        <w:tabs>
          <w:tab w:leader="none" w:pos="373"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and any agreement pursuant to which Related Property is pledged to secure such Loan and each related Loan Document is the legal, valid and binding obligation of the related Obligor including any related guarantor and is enforceable in accordance with its terms, except as such enforcement may be limited by Insolvency Laws and except as such enforceability may be limited by general principles of equity (whether considered in a suit at law or in equity);</w:t>
      </w:r>
    </w:p>
    <w:p>
      <w:pPr>
        <w:spacing w:after="0" w:line="174" w:lineRule="exact"/>
        <w:rPr>
          <w:rFonts w:ascii="Times New Roman" w:cs="Times New Roman" w:eastAsia="Times New Roman" w:hAnsi="Times New Roman"/>
          <w:sz w:val="19"/>
          <w:szCs w:val="19"/>
          <w:color w:val="auto"/>
        </w:rPr>
      </w:pPr>
    </w:p>
    <w:p>
      <w:pPr>
        <w:ind w:right="20" w:firstLine="50"/>
        <w:spacing w:after="0" w:line="262" w:lineRule="auto"/>
        <w:tabs>
          <w:tab w:leader="none" w:pos="3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together with the related Loan Documents, is fully assignable by the Borrower and may be collaterally assigned by the Borrower to the Administrative Agent without restriction (or subject only to restrictions which have been complied with); there is only one originally signed note evidencing the Loan and it has been delivered to the Document Custodian or the Loan is a “noteless” loan;</w:t>
      </w:r>
    </w:p>
    <w:p>
      <w:pPr>
        <w:spacing w:after="0" w:line="174" w:lineRule="exact"/>
        <w:rPr>
          <w:rFonts w:ascii="Times New Roman" w:cs="Times New Roman" w:eastAsia="Times New Roman" w:hAnsi="Times New Roman"/>
          <w:sz w:val="19"/>
          <w:szCs w:val="19"/>
          <w:color w:val="auto"/>
        </w:rPr>
      </w:pPr>
    </w:p>
    <w:p>
      <w:pPr>
        <w:ind w:right="120" w:firstLine="50"/>
        <w:spacing w:after="0" w:line="268" w:lineRule="auto"/>
        <w:tabs>
          <w:tab w:leader="none" w:pos="373"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is documented pursuant to the Borrower’s Standard Documents or such other negotiated documents as are substantially in conformance with the substance and content of such Borrower’s Standard Documents and was documented and closed in accordance with the Investment Policy, including the relevant opinions and assignments;</w:t>
      </w:r>
    </w:p>
    <w:p>
      <w:pPr>
        <w:spacing w:after="0" w:line="149" w:lineRule="exact"/>
        <w:rPr>
          <w:rFonts w:ascii="Times New Roman" w:cs="Times New Roman" w:eastAsia="Times New Roman" w:hAnsi="Times New Roman"/>
          <w:sz w:val="19"/>
          <w:szCs w:val="19"/>
          <w:color w:val="auto"/>
        </w:rPr>
      </w:pPr>
    </w:p>
    <w:p>
      <w:pPr>
        <w:ind w:firstLine="50"/>
        <w:spacing w:after="0" w:line="236" w:lineRule="exact"/>
        <w:tabs>
          <w:tab w:leader="none" w:pos="427"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is not subject to any right of rescission,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counterclaim or defense, including the defense of usury, or any assertion thereof by the related Obligor, nor will the operation of any of the terms of such Loan or any related Loan Document, or the exercise of any right thereunder, including, without limitation, remedies after default, render either the Loan or any related Loan Document unenforceable in whole or in part; nor is the Loan subject to any prepayment in an aggregate amount less than the outstanding principal balance of such Loan plus all accrued and unpaid interest;</w:t>
      </w:r>
    </w:p>
    <w:p>
      <w:pPr>
        <w:spacing w:after="0" w:line="196" w:lineRule="exact"/>
        <w:rPr>
          <w:rFonts w:ascii="Times New Roman" w:cs="Times New Roman" w:eastAsia="Times New Roman" w:hAnsi="Times New Roman"/>
          <w:sz w:val="19"/>
          <w:szCs w:val="19"/>
          <w:color w:val="auto"/>
        </w:rPr>
      </w:pPr>
    </w:p>
    <w:p>
      <w:pPr>
        <w:ind w:right="40" w:firstLine="50"/>
        <w:spacing w:after="0" w:line="262" w:lineRule="auto"/>
        <w:tabs>
          <w:tab w:leader="none" w:pos="48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parties to the related Loan Documents and any related mortgage or other document pursuant to which Related Property was pledged in respect of the Loan had legal capacity to borrow the Loan and to execute such Loan Documents and any such mortgage or other document and each related Loan Document and mortgage or other document has been duly and properly executed by such parties;</w:t>
      </w:r>
    </w:p>
    <w:p>
      <w:pPr>
        <w:spacing w:after="0" w:line="174" w:lineRule="exact"/>
        <w:rPr>
          <w:rFonts w:ascii="Times New Roman" w:cs="Times New Roman" w:eastAsia="Times New Roman" w:hAnsi="Times New Roman"/>
          <w:sz w:val="19"/>
          <w:szCs w:val="19"/>
          <w:color w:val="auto"/>
        </w:rPr>
      </w:pPr>
    </w:p>
    <w:p>
      <w:pPr>
        <w:ind w:right="220" w:firstLine="50"/>
        <w:spacing w:after="0" w:line="262" w:lineRule="auto"/>
        <w:tabs>
          <w:tab w:leader="none" w:pos="373"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Required Loan Documents shall be delivered to the Document Custodian and the Administrative Agent no later than five (5) Business Days after the applicable origination or purchase and in conformity with the requirements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Transaction Documents;</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190" w:name="page191"/>
    <w:bookmarkEnd w:id="190"/>
    <w:p>
      <w:pPr>
        <w:spacing w:after="0" w:line="200" w:lineRule="exact"/>
        <w:rPr>
          <w:sz w:val="20"/>
          <w:szCs w:val="20"/>
          <w:color w:val="auto"/>
        </w:rPr>
      </w:pPr>
    </w:p>
    <w:p>
      <w:pPr>
        <w:spacing w:after="0" w:line="285" w:lineRule="exact"/>
        <w:rPr>
          <w:sz w:val="20"/>
          <w:szCs w:val="20"/>
          <w:color w:val="auto"/>
        </w:rPr>
      </w:pPr>
    </w:p>
    <w:p>
      <w:pPr>
        <w:ind w:right="60" w:firstLine="50"/>
        <w:spacing w:after="0" w:line="262" w:lineRule="auto"/>
        <w:tabs>
          <w:tab w:leader="none" w:pos="3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good and indefeasible title to, and is the sole owner of the Loan subject to no Liens, other than Permitted Liens, and has (either directly or through the applicable collateral agent or administrative agent designated in the Loan Documents) a first priority (or in the case of a Second Lien Loan, second priority) perfected security interest in the Related Property of such Loan (subject to customary exclusions and Permitted Obligor Liens);</w:t>
      </w:r>
    </w:p>
    <w:p>
      <w:pPr>
        <w:spacing w:after="0" w:line="174" w:lineRule="exact"/>
        <w:rPr>
          <w:rFonts w:ascii="Times New Roman" w:cs="Times New Roman" w:eastAsia="Times New Roman" w:hAnsi="Times New Roman"/>
          <w:sz w:val="19"/>
          <w:szCs w:val="19"/>
          <w:color w:val="auto"/>
        </w:rPr>
      </w:pPr>
    </w:p>
    <w:p>
      <w:pPr>
        <w:ind w:right="460" w:firstLine="50"/>
        <w:spacing w:after="0" w:line="286" w:lineRule="auto"/>
        <w:tabs>
          <w:tab w:leader="none" w:pos="37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is no obligation on the part of the Borrower or any other party (except for any guarantor of such Loan) to make payments with respect to the Loan in addition to those made by the Obligor;</w:t>
      </w:r>
    </w:p>
    <w:p>
      <w:pPr>
        <w:spacing w:after="0" w:line="151" w:lineRule="exact"/>
        <w:rPr>
          <w:rFonts w:ascii="Times New Roman" w:cs="Times New Roman" w:eastAsia="Times New Roman" w:hAnsi="Times New Roman"/>
          <w:sz w:val="19"/>
          <w:szCs w:val="19"/>
          <w:color w:val="auto"/>
        </w:rPr>
      </w:pPr>
    </w:p>
    <w:p>
      <w:pPr>
        <w:ind w:left="420" w:hanging="370"/>
        <w:spacing w:after="0"/>
        <w:tabs>
          <w:tab w:leader="none" w:pos="4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Obligor with respect to the Loan is an Eligible Obligor;</w:t>
      </w:r>
    </w:p>
    <w:p>
      <w:pPr>
        <w:spacing w:after="0" w:line="225" w:lineRule="exact"/>
        <w:rPr>
          <w:rFonts w:ascii="Times New Roman" w:cs="Times New Roman" w:eastAsia="Times New Roman" w:hAnsi="Times New Roman"/>
          <w:sz w:val="19"/>
          <w:szCs w:val="19"/>
          <w:color w:val="auto"/>
        </w:rPr>
      </w:pPr>
    </w:p>
    <w:p>
      <w:pPr>
        <w:ind w:right="120" w:firstLine="50"/>
        <w:spacing w:after="0" w:line="286" w:lineRule="auto"/>
        <w:tabs>
          <w:tab w:leader="none" w:pos="4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instructed the Obligor or related administrative and paying agents under the Loan Documents to remit all Collections directly to the CIBC Account or the Collection Account;</w:t>
      </w:r>
    </w:p>
    <w:p>
      <w:pPr>
        <w:spacing w:after="0" w:line="151" w:lineRule="exact"/>
        <w:rPr>
          <w:rFonts w:ascii="Times New Roman" w:cs="Times New Roman" w:eastAsia="Times New Roman" w:hAnsi="Times New Roman"/>
          <w:sz w:val="19"/>
          <w:szCs w:val="19"/>
          <w:color w:val="auto"/>
        </w:rPr>
      </w:pPr>
    </w:p>
    <w:p>
      <w:pPr>
        <w:ind w:right="300" w:firstLine="50"/>
        <w:spacing w:after="0" w:line="286" w:lineRule="auto"/>
        <w:tabs>
          <w:tab w:leader="none" w:pos="469"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is </w:t>
      </w:r>
      <w:r>
        <w:rPr>
          <w:rFonts w:ascii="Times New Roman" w:cs="Times New Roman" w:eastAsia="Times New Roman" w:hAnsi="Times New Roman"/>
          <w:sz w:val="19"/>
          <w:szCs w:val="19"/>
          <w:color w:val="0000FF"/>
        </w:rPr>
        <w:t>(a)</w:t>
      </w:r>
      <w:r>
        <w:rPr>
          <w:rFonts w:ascii="Times New Roman" w:cs="Times New Roman" w:eastAsia="Times New Roman" w:hAnsi="Times New Roman"/>
          <w:sz w:val="19"/>
          <w:szCs w:val="19"/>
          <w:color w:val="auto"/>
        </w:rPr>
        <w:t xml:space="preserve"> a First Lien </w:t>
      </w:r>
      <w:r>
        <w:rPr>
          <w:rFonts w:ascii="Times New Roman" w:cs="Times New Roman" w:eastAsia="Times New Roman" w:hAnsi="Times New Roman"/>
          <w:sz w:val="19"/>
          <w:szCs w:val="19"/>
          <w:color w:val="0000FF"/>
        </w:rPr>
        <w:t>Loan, First Lien/Last Out</w:t>
      </w:r>
      <w:r>
        <w:rPr>
          <w:rFonts w:ascii="Times New Roman" w:cs="Times New Roman" w:eastAsia="Times New Roman" w:hAnsi="Times New Roman"/>
          <w:sz w:val="19"/>
          <w:szCs w:val="19"/>
          <w:color w:val="auto"/>
        </w:rPr>
        <w:t xml:space="preserve"> Loan or a Second Lien </w:t>
      </w:r>
      <w:r>
        <w:rPr>
          <w:rFonts w:ascii="Times New Roman" w:cs="Times New Roman" w:eastAsia="Times New Roman" w:hAnsi="Times New Roman"/>
          <w:sz w:val="19"/>
          <w:szCs w:val="19"/>
          <w:color w:val="0000FF"/>
        </w:rPr>
        <w:t>Loan and (b) classified as an ABL, BSL,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Venture Debt Loan, Cash Flow Loan or Recurring Revenue </w:t>
      </w:r>
      <w:r>
        <w:rPr>
          <w:rFonts w:ascii="Times New Roman" w:cs="Times New Roman" w:eastAsia="Times New Roman" w:hAnsi="Times New Roman"/>
          <w:sz w:val="19"/>
          <w:szCs w:val="19"/>
          <w:color w:val="000000"/>
        </w:rPr>
        <w:t>Loan;</w:t>
      </w:r>
    </w:p>
    <w:p>
      <w:pPr>
        <w:spacing w:after="0" w:line="151" w:lineRule="exact"/>
        <w:rPr>
          <w:rFonts w:ascii="Times New Roman" w:cs="Times New Roman" w:eastAsia="Times New Roman" w:hAnsi="Times New Roman"/>
          <w:sz w:val="19"/>
          <w:szCs w:val="19"/>
          <w:color w:val="auto"/>
        </w:rPr>
      </w:pPr>
    </w:p>
    <w:p>
      <w:pPr>
        <w:ind w:left="420" w:hanging="370"/>
        <w:spacing w:after="0"/>
        <w:tabs>
          <w:tab w:leader="none" w:pos="4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is not on non-accrual status or a Defaulted Loan;</w:t>
      </w:r>
    </w:p>
    <w:p>
      <w:pPr>
        <w:spacing w:after="0" w:line="225" w:lineRule="exact"/>
        <w:rPr>
          <w:rFonts w:ascii="Times New Roman" w:cs="Times New Roman" w:eastAsia="Times New Roman" w:hAnsi="Times New Roman"/>
          <w:sz w:val="19"/>
          <w:szCs w:val="19"/>
          <w:color w:val="auto"/>
        </w:rPr>
      </w:pPr>
    </w:p>
    <w:p>
      <w:pPr>
        <w:ind w:right="120" w:firstLine="98"/>
        <w:spacing w:after="0" w:line="268" w:lineRule="auto"/>
        <w:tabs>
          <w:tab w:leader="none" w:pos="517"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w:t>
      </w:r>
      <w:r>
        <w:rPr>
          <w:rFonts w:ascii="Times New Roman" w:cs="Times New Roman" w:eastAsia="Times New Roman" w:hAnsi="Times New Roman"/>
          <w:sz w:val="19"/>
          <w:szCs w:val="19"/>
          <w:color w:val="0000FF"/>
        </w:rPr>
        <w:t>, other than a BSL,</w:t>
      </w:r>
      <w:r>
        <w:rPr>
          <w:rFonts w:ascii="Times New Roman" w:cs="Times New Roman" w:eastAsia="Times New Roman" w:hAnsi="Times New Roman"/>
          <w:sz w:val="19"/>
          <w:szCs w:val="19"/>
          <w:color w:val="auto"/>
        </w:rPr>
        <w:t xml:space="preserve"> contains at least one financial covenant, including but not limited to, liquidity, revenue and other standard financial covenants which may include, without limitation, material adverse change, material adverse effect, investor abandonment, transfer of assets and/or equity distribution restrictions;</w:t>
      </w:r>
    </w:p>
    <w:p>
      <w:pPr>
        <w:spacing w:after="0" w:line="168" w:lineRule="exact"/>
        <w:rPr>
          <w:rFonts w:ascii="Times New Roman" w:cs="Times New Roman" w:eastAsia="Times New Roman" w:hAnsi="Times New Roman"/>
          <w:sz w:val="19"/>
          <w:szCs w:val="19"/>
          <w:color w:val="auto"/>
        </w:rPr>
      </w:pPr>
    </w:p>
    <w:p>
      <w:pPr>
        <w:ind w:left="520" w:hanging="470"/>
        <w:spacing w:after="0"/>
        <w:tabs>
          <w:tab w:leader="none" w:pos="520" w:val="left"/>
        </w:tabs>
        <w:numPr>
          <w:ilvl w:val="1"/>
          <w:numId w:val="29"/>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-625475</wp:posOffset>
            </wp:positionV>
            <wp:extent cx="3048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9">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-335280</wp:posOffset>
            </wp:positionV>
            <wp:extent cx="3048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0">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6" w:lineRule="exact"/>
        <w:rPr>
          <w:sz w:val="20"/>
          <w:szCs w:val="20"/>
          <w:color w:val="auto"/>
        </w:rPr>
      </w:pPr>
    </w:p>
    <w:p>
      <w:pPr>
        <w:ind w:right="40" w:firstLine="50"/>
        <w:spacing w:after="0" w:line="268" w:lineRule="auto"/>
        <w:tabs>
          <w:tab w:leader="none" w:pos="523" w:val="left"/>
        </w:tabs>
        <w:numPr>
          <w:ilvl w:val="0"/>
          <w:numId w:val="30"/>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if the Loan is made to an Obligor which holds any other loans originated by the Borrower or an Affiliate thereof, whether such other loan is funded hereunder or through another lender, such Loan contains standard cross-collateralization and cross-default provisions with respect to such other loan;</w:t>
      </w:r>
    </w:p>
    <w:p>
      <w:pPr>
        <w:spacing w:after="0" w:line="168" w:lineRule="exact"/>
        <w:rPr>
          <w:rFonts w:ascii="Times New Roman" w:cs="Times New Roman" w:eastAsia="Times New Roman" w:hAnsi="Times New Roman"/>
          <w:sz w:val="19"/>
          <w:szCs w:val="19"/>
          <w:color w:val="FF0000"/>
          <w:strike w:val="1"/>
        </w:rPr>
      </w:pPr>
    </w:p>
    <w:p>
      <w:pPr>
        <w:jc w:val="both"/>
        <w:ind w:right="160" w:firstLine="50"/>
        <w:spacing w:after="0" w:line="262" w:lineRule="auto"/>
        <w:tabs>
          <w:tab w:leader="none" w:pos="576"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0000FF"/>
        </w:rPr>
        <w:t xml:space="preserve">(a) </w:t>
      </w:r>
      <w:r>
        <w:rPr>
          <w:rFonts w:ascii="Times New Roman" w:cs="Times New Roman" w:eastAsia="Times New Roman" w:hAnsi="Times New Roman"/>
          <w:sz w:val="19"/>
          <w:szCs w:val="19"/>
          <w:color w:val="000000"/>
        </w:rPr>
        <w:t>the Loan</w:t>
      </w:r>
      <w:r>
        <w:rPr>
          <w:rFonts w:ascii="Times New Roman" w:cs="Times New Roman" w:eastAsia="Times New Roman" w:hAnsi="Times New Roman"/>
          <w:sz w:val="19"/>
          <w:szCs w:val="19"/>
          <w:color w:val="0000FF"/>
        </w:rPr>
        <w:t xml:space="preserve">, other than a BSL, </w:t>
      </w:r>
      <w:r>
        <w:rPr>
          <w:rFonts w:ascii="Times New Roman" w:cs="Times New Roman" w:eastAsia="Times New Roman" w:hAnsi="Times New Roman"/>
          <w:sz w:val="19"/>
          <w:szCs w:val="19"/>
          <w:color w:val="000000"/>
        </w:rPr>
        <w:t>has an original term to maturity of no more than sixty (60) months, provided that with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respect to any Loan that is a Revolving Loan, the related </w:t>
      </w:r>
      <w:r>
        <w:rPr>
          <w:rFonts w:ascii="Times New Roman" w:cs="Times New Roman" w:eastAsia="Times New Roman" w:hAnsi="Times New Roman"/>
          <w:sz w:val="19"/>
          <w:szCs w:val="19"/>
          <w:color w:val="0000FF"/>
        </w:rPr>
        <w:t>original term to</w:t>
      </w:r>
      <w:r>
        <w:rPr>
          <w:rFonts w:ascii="Times New Roman" w:cs="Times New Roman" w:eastAsia="Times New Roman" w:hAnsi="Times New Roman"/>
          <w:sz w:val="19"/>
          <w:szCs w:val="19"/>
          <w:color w:val="000000"/>
        </w:rPr>
        <w:t xml:space="preserve"> maturity </w:t>
      </w:r>
      <w:r>
        <w:rPr>
          <w:rFonts w:ascii="Times New Roman" w:cs="Times New Roman" w:eastAsia="Times New Roman" w:hAnsi="Times New Roman"/>
          <w:sz w:val="19"/>
          <w:szCs w:val="19"/>
          <w:color w:val="FF0000"/>
          <w:strike w:val="1"/>
        </w:rPr>
        <w:t>date is within the earlier of</w:t>
      </w:r>
      <w:r>
        <w:rPr>
          <w:rFonts w:ascii="Times New Roman" w:cs="Times New Roman" w:eastAsia="Times New Roman" w:hAnsi="Times New Roman"/>
          <w:sz w:val="19"/>
          <w:szCs w:val="19"/>
          <w:color w:val="0000FF"/>
        </w:rPr>
        <w:t>shall not exceed</w:t>
      </w:r>
      <w:r>
        <w:rPr>
          <w:rFonts w:ascii="Times New Roman" w:cs="Times New Roman" w:eastAsia="Times New Roman" w:hAnsi="Times New Roman"/>
          <w:sz w:val="19"/>
          <w:szCs w:val="19"/>
          <w:color w:val="000000"/>
        </w:rPr>
        <w:t xml:space="preserve"> thirty-six (36) months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color w:val="0000FF"/>
        </w:rPr>
        <w:t>and (b) in</w:t>
      </w:r>
      <w:r>
        <w:rPr>
          <w:rFonts w:ascii="Times New Roman" w:cs="Times New Roman" w:eastAsia="Times New Roman" w:hAnsi="Times New Roman"/>
          <w:sz w:val="19"/>
          <w:szCs w:val="19"/>
          <w:color w:val="000000"/>
        </w:rPr>
        <w:t xml:space="preserve"> the </w:t>
      </w:r>
      <w:r>
        <w:rPr>
          <w:rFonts w:ascii="Times New Roman" w:cs="Times New Roman" w:eastAsia="Times New Roman" w:hAnsi="Times New Roman"/>
          <w:sz w:val="19"/>
          <w:szCs w:val="19"/>
          <w:color w:val="FF0000"/>
          <w:strike w:val="1"/>
        </w:rPr>
        <w:t>maturity date of any other obligation for borrowed money of such Obligor provided by</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the Borrower or an Affiliate thereof</w:t>
      </w:r>
      <w:r>
        <w:rPr>
          <w:rFonts w:ascii="Times New Roman" w:cs="Times New Roman" w:eastAsia="Times New Roman" w:hAnsi="Times New Roman"/>
          <w:sz w:val="19"/>
          <w:szCs w:val="19"/>
          <w:color w:val="0000FF"/>
        </w:rPr>
        <w:t>case of a Loan that is a BSL, has an original term to maturity of no more than 84 months</w:t>
      </w:r>
      <w:r>
        <w:rPr>
          <w:rFonts w:ascii="Times New Roman" w:cs="Times New Roman" w:eastAsia="Times New Roman" w:hAnsi="Times New Roman"/>
          <w:sz w:val="19"/>
          <w:szCs w:val="19"/>
          <w:color w:val="000000"/>
        </w:rPr>
        <w:t>;</w:t>
      </w:r>
    </w:p>
    <w:p>
      <w:pPr>
        <w:spacing w:after="0" w:line="174" w:lineRule="exact"/>
        <w:rPr>
          <w:rFonts w:ascii="Times New Roman" w:cs="Times New Roman" w:eastAsia="Times New Roman" w:hAnsi="Times New Roman"/>
          <w:sz w:val="19"/>
          <w:szCs w:val="19"/>
          <w:color w:val="auto"/>
        </w:rPr>
      </w:pPr>
    </w:p>
    <w:p>
      <w:pPr>
        <w:ind w:left="480" w:hanging="430"/>
        <w:spacing w:after="0"/>
        <w:tabs>
          <w:tab w:leader="none" w:pos="4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requires (i) interest to be paid thereon in cash on no less frequently than a quarterly basis and (ii) if such Loan is</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9"/>
          <w:szCs w:val="19"/>
          <w:color w:val="auto"/>
        </w:rPr>
        <w:t>a Term Loan the principal amortization schedule requires amortization payments to be made (after any applicable interest only period) no less frequently than quarterly;</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360" w:top="1440" w:right="740" w:bottom="1440" w:gutter="0" w:footer="0" w:header="0"/>
        </w:sectPr>
      </w:pPr>
    </w:p>
    <w:bookmarkStart w:id="191" w:name="page192"/>
    <w:bookmarkEnd w:id="191"/>
    <w:p>
      <w:pPr>
        <w:spacing w:after="0" w:line="200" w:lineRule="exact"/>
        <w:rPr>
          <w:sz w:val="20"/>
          <w:szCs w:val="20"/>
          <w:color w:val="auto"/>
        </w:rPr>
      </w:pPr>
    </w:p>
    <w:p>
      <w:pPr>
        <w:spacing w:after="0" w:line="285" w:lineRule="exact"/>
        <w:rPr>
          <w:sz w:val="20"/>
          <w:szCs w:val="20"/>
          <w:color w:val="auto"/>
        </w:rPr>
      </w:pPr>
    </w:p>
    <w:p>
      <w:pPr>
        <w:ind w:left="-50" w:right="20" w:firstLine="50"/>
        <w:spacing w:after="0" w:line="255" w:lineRule="auto"/>
        <w:tabs>
          <w:tab w:leader="none" w:pos="366"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Loan has remaining scheduled principal payments beginning no later than sixty (60) months after the date such Loan was initially closed and funded unless such Loan is a Revolving Loan,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with respect to any Loan to a Pre-Commercial Obligor with an interest only period greater than 48 months, the related Obligor (i) is a public company with a market capitalization greater than </w:t>
      </w:r>
      <w:r>
        <w:rPr>
          <w:rFonts w:ascii="Times New Roman" w:cs="Times New Roman" w:eastAsia="Times New Roman" w:hAnsi="Times New Roman"/>
          <w:sz w:val="19"/>
          <w:szCs w:val="19"/>
          <w:color w:val="0000FF"/>
        </w:rPr>
        <w:t>the Dollar Equivalent of</w:t>
      </w:r>
      <w:r>
        <w:rPr>
          <w:rFonts w:ascii="Times New Roman" w:cs="Times New Roman" w:eastAsia="Times New Roman" w:hAnsi="Times New Roman"/>
          <w:sz w:val="19"/>
          <w:szCs w:val="19"/>
          <w:color w:val="auto"/>
        </w:rPr>
        <w:t xml:space="preserve"> $50 million and sufficient liquidity to reach commercialization of a product or service in development or clinical trial, as determined by the Investment Adviser or (ii) is a private company with (a) an LTV of less than 15% at the time of origination and (b) sufficient liquidity, as any date of determination, to allow the Obligor of such Loan to service the greater of (1) six (6) months of operations and (2) operations through commercialization of a product or service or completion of the next clinical milestone;</w:t>
      </w:r>
    </w:p>
    <w:p>
      <w:pPr>
        <w:spacing w:after="0" w:line="183" w:lineRule="exact"/>
        <w:rPr>
          <w:rFonts w:ascii="Times New Roman" w:cs="Times New Roman" w:eastAsia="Times New Roman" w:hAnsi="Times New Roman"/>
          <w:sz w:val="19"/>
          <w:szCs w:val="19"/>
          <w:color w:val="auto"/>
        </w:rPr>
      </w:pPr>
    </w:p>
    <w:p>
      <w:pPr>
        <w:ind w:left="430" w:hanging="430"/>
        <w:spacing w:after="0"/>
        <w:tabs>
          <w:tab w:leader="none" w:pos="43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is a Floating Rate Loan;</w:t>
      </w:r>
    </w:p>
    <w:p>
      <w:pPr>
        <w:spacing w:after="0" w:line="225" w:lineRule="exact"/>
        <w:rPr>
          <w:rFonts w:ascii="Times New Roman" w:cs="Times New Roman" w:eastAsia="Times New Roman" w:hAnsi="Times New Roman"/>
          <w:sz w:val="19"/>
          <w:szCs w:val="19"/>
          <w:color w:val="auto"/>
        </w:rPr>
      </w:pPr>
    </w:p>
    <w:p>
      <w:pPr>
        <w:ind w:left="-50" w:firstLine="50"/>
        <w:spacing w:after="0" w:line="259" w:lineRule="auto"/>
        <w:tabs>
          <w:tab w:leader="none" w:pos="47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is denominated and payable only in Dollars </w:t>
      </w:r>
      <w:r>
        <w:rPr>
          <w:rFonts w:ascii="Times New Roman" w:cs="Times New Roman" w:eastAsia="Times New Roman" w:hAnsi="Times New Roman"/>
          <w:sz w:val="19"/>
          <w:szCs w:val="19"/>
          <w:color w:val="FF0000"/>
          <w:strike w:val="1"/>
        </w:rPr>
        <w:t>in the United States</w:t>
      </w:r>
      <w:r>
        <w:rPr>
          <w:rFonts w:ascii="Times New Roman" w:cs="Times New Roman" w:eastAsia="Times New Roman" w:hAnsi="Times New Roman"/>
          <w:sz w:val="19"/>
          <w:szCs w:val="19"/>
          <w:color w:val="0000FF"/>
        </w:rPr>
        <w:t>or an Approved Foreign Currency and, if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denominated in an Approved Foreign Currency, is subject to a Hedge Transaction that is in form and substance acceptable to the Administrative Agent in its reasonable discretion</w:t>
      </w:r>
      <w:r>
        <w:rPr>
          <w:rFonts w:ascii="Times New Roman" w:cs="Times New Roman" w:eastAsia="Times New Roman" w:hAnsi="Times New Roman"/>
          <w:sz w:val="19"/>
          <w:szCs w:val="19"/>
          <w:color w:val="000000"/>
        </w:rPr>
        <w:t>, and</w:t>
      </w:r>
      <w:r>
        <w:rPr>
          <w:rFonts w:ascii="Times New Roman" w:cs="Times New Roman" w:eastAsia="Times New Roman" w:hAnsi="Times New Roman"/>
          <w:sz w:val="19"/>
          <w:szCs w:val="19"/>
          <w:color w:val="0000FF"/>
        </w:rPr>
        <w:t xml:space="preserve"> such Loan </w:t>
      </w:r>
      <w:r>
        <w:rPr>
          <w:rFonts w:ascii="Times New Roman" w:cs="Times New Roman" w:eastAsia="Times New Roman" w:hAnsi="Times New Roman"/>
          <w:sz w:val="19"/>
          <w:szCs w:val="19"/>
          <w:color w:val="000000"/>
        </w:rPr>
        <w:t>is not convertible by the Obligor into debt denominated in 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other currency or into stock, warrants or interests of the Obligor which are treated as equity for United States federal income tax purposes;</w:t>
      </w:r>
    </w:p>
    <w:p>
      <w:pPr>
        <w:spacing w:after="0" w:line="177" w:lineRule="exact"/>
        <w:rPr>
          <w:rFonts w:ascii="Times New Roman" w:cs="Times New Roman" w:eastAsia="Times New Roman" w:hAnsi="Times New Roman"/>
          <w:sz w:val="19"/>
          <w:szCs w:val="19"/>
          <w:color w:val="auto"/>
        </w:rPr>
      </w:pPr>
    </w:p>
    <w:p>
      <w:pPr>
        <w:ind w:left="-50" w:right="40" w:firstLine="50"/>
        <w:spacing w:after="0" w:line="268" w:lineRule="auto"/>
        <w:tabs>
          <w:tab w:leader="none" w:pos="526"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is not (a) primarily secured by real property, (b) a </w:t>
      </w:r>
      <w:r>
        <w:rPr>
          <w:rFonts w:ascii="Times New Roman" w:cs="Times New Roman" w:eastAsia="Times New Roman" w:hAnsi="Times New Roman"/>
          <w:sz w:val="19"/>
          <w:szCs w:val="19"/>
          <w:color w:val="FF0000"/>
          <w:strike w:val="1"/>
        </w:rPr>
        <w:t>Participation Interest</w:t>
      </w:r>
      <w:r>
        <w:rPr>
          <w:rFonts w:ascii="Times New Roman" w:cs="Times New Roman" w:eastAsia="Times New Roman" w:hAnsi="Times New Roman"/>
          <w:sz w:val="19"/>
          <w:szCs w:val="19"/>
          <w:color w:val="0000FF"/>
        </w:rPr>
        <w:t>DIP Loan</w:t>
      </w:r>
      <w:r>
        <w:rPr>
          <w:rFonts w:ascii="Times New Roman" w:cs="Times New Roman" w:eastAsia="Times New Roman" w:hAnsi="Times New Roman"/>
          <w:sz w:val="19"/>
          <w:szCs w:val="19"/>
          <w:color w:val="auto"/>
        </w:rPr>
        <w:t xml:space="preserve">, (c) a </w:t>
      </w:r>
      <w:r>
        <w:rPr>
          <w:rFonts w:ascii="Times New Roman" w:cs="Times New Roman" w:eastAsia="Times New Roman" w:hAnsi="Times New Roman"/>
          <w:sz w:val="19"/>
          <w:szCs w:val="19"/>
          <w:color w:val="FF0000"/>
          <w:strike w:val="1"/>
        </w:rPr>
        <w:t>DIP Loan, (d) a</w:t>
      </w:r>
      <w:r>
        <w:rPr>
          <w:rFonts w:ascii="Times New Roman" w:cs="Times New Roman" w:eastAsia="Times New Roman" w:hAnsi="Times New Roman"/>
          <w:sz w:val="19"/>
          <w:szCs w:val="19"/>
          <w:color w:val="auto"/>
        </w:rPr>
        <w:t xml:space="preserve"> Structured Finance Obligation, (</w:t>
      </w:r>
      <w:r>
        <w:rPr>
          <w:rFonts w:ascii="Times New Roman" w:cs="Times New Roman" w:eastAsia="Times New Roman" w:hAnsi="Times New Roman"/>
          <w:sz w:val="19"/>
          <w:szCs w:val="19"/>
          <w:color w:val="FF0000"/>
          <w:strike w:val="1"/>
        </w:rPr>
        <w:t>e</w:t>
      </w:r>
      <w:r>
        <w:rPr>
          <w:rFonts w:ascii="Times New Roman" w:cs="Times New Roman" w:eastAsia="Times New Roman" w:hAnsi="Times New Roman"/>
          <w:sz w:val="19"/>
          <w:szCs w:val="19"/>
          <w:color w:val="0000FF"/>
        </w:rPr>
        <w:t>d</w:t>
      </w:r>
      <w:r>
        <w:rPr>
          <w:rFonts w:ascii="Times New Roman" w:cs="Times New Roman" w:eastAsia="Times New Roman" w:hAnsi="Times New Roman"/>
          <w:sz w:val="19"/>
          <w:szCs w:val="19"/>
          <w:color w:val="auto"/>
        </w:rPr>
        <w:t>) a derivative instrument, (f) a joint venture that is in the principal business of making debt or equity investments primarily in other unaffiliated entities or (</w:t>
      </w:r>
      <w:r>
        <w:rPr>
          <w:rFonts w:ascii="Times New Roman" w:cs="Times New Roman" w:eastAsia="Times New Roman" w:hAnsi="Times New Roman"/>
          <w:sz w:val="19"/>
          <w:szCs w:val="19"/>
          <w:color w:val="FF0000"/>
          <w:strike w:val="1"/>
        </w:rPr>
        <w:t>g</w:t>
      </w:r>
      <w:r>
        <w:rPr>
          <w:rFonts w:ascii="Times New Roman" w:cs="Times New Roman" w:eastAsia="Times New Roman" w:hAnsi="Times New Roman"/>
          <w:sz w:val="19"/>
          <w:szCs w:val="19"/>
          <w:color w:val="0000FF"/>
        </w:rPr>
        <w:t>e</w:t>
      </w:r>
      <w:r>
        <w:rPr>
          <w:rFonts w:ascii="Times New Roman" w:cs="Times New Roman" w:eastAsia="Times New Roman" w:hAnsi="Times New Roman"/>
          <w:sz w:val="19"/>
          <w:szCs w:val="19"/>
          <w:color w:val="auto"/>
        </w:rPr>
        <w:t>) a consumer obligation.</w:t>
      </w:r>
    </w:p>
    <w:p>
      <w:pPr>
        <w:spacing w:after="0" w:line="168" w:lineRule="exact"/>
        <w:rPr>
          <w:rFonts w:ascii="Times New Roman" w:cs="Times New Roman" w:eastAsia="Times New Roman" w:hAnsi="Times New Roman"/>
          <w:sz w:val="19"/>
          <w:szCs w:val="19"/>
          <w:color w:val="auto"/>
        </w:rPr>
      </w:pPr>
    </w:p>
    <w:p>
      <w:pPr>
        <w:ind w:left="-50" w:right="260" w:firstLine="50"/>
        <w:spacing w:after="0" w:line="268" w:lineRule="auto"/>
        <w:tabs>
          <w:tab w:leader="none" w:pos="51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Loan has been assigned a Proprietary Risk Rating in accordance with the Investment Policy of (i) at the time of origination or acquisition by the Borrower of “1” or “2” and (ii) thereafter, of “1”, “2” or “3” </w:t>
      </w:r>
      <w:r>
        <w:rPr>
          <w:rFonts w:ascii="Times New Roman" w:cs="Times New Roman" w:eastAsia="Times New Roman" w:hAnsi="Times New Roman"/>
          <w:sz w:val="19"/>
          <w:szCs w:val="19"/>
          <w:color w:val="0000FF"/>
        </w:rPr>
        <w:t>(including, for the avoidance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doubt, “3-“, “3” and “3+”)</w:t>
      </w:r>
      <w:r>
        <w:rPr>
          <w:rFonts w:ascii="Times New Roman" w:cs="Times New Roman" w:eastAsia="Times New Roman" w:hAnsi="Times New Roman"/>
          <w:sz w:val="19"/>
          <w:szCs w:val="19"/>
          <w:color w:val="000000"/>
        </w:rPr>
        <w:t>;</w:t>
      </w:r>
    </w:p>
    <w:p>
      <w:pPr>
        <w:spacing w:after="0" w:line="168" w:lineRule="exact"/>
        <w:rPr>
          <w:rFonts w:ascii="Times New Roman" w:cs="Times New Roman" w:eastAsia="Times New Roman" w:hAnsi="Times New Roman"/>
          <w:sz w:val="19"/>
          <w:szCs w:val="19"/>
          <w:color w:val="auto"/>
        </w:rPr>
      </w:pPr>
    </w:p>
    <w:p>
      <w:pPr>
        <w:ind w:left="-50" w:right="180" w:firstLine="50"/>
        <w:spacing w:after="0" w:line="286" w:lineRule="auto"/>
        <w:tabs>
          <w:tab w:leader="none" w:pos="462"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related Loan Documents require the Obligor thereunder to maintain the Related Property in good repair, to maintain adequate insurance with respect thereto and to pay all related maintenance, repair and insurance costs and taxes;</w:t>
      </w:r>
    </w:p>
    <w:p>
      <w:pPr>
        <w:spacing w:after="0" w:line="151" w:lineRule="exact"/>
        <w:rPr>
          <w:rFonts w:ascii="Times New Roman" w:cs="Times New Roman" w:eastAsia="Times New Roman" w:hAnsi="Times New Roman"/>
          <w:sz w:val="19"/>
          <w:szCs w:val="19"/>
          <w:color w:val="auto"/>
        </w:rPr>
      </w:pPr>
    </w:p>
    <w:p>
      <w:pPr>
        <w:jc w:val="both"/>
        <w:ind w:left="-50" w:right="320" w:firstLine="50"/>
        <w:spacing w:after="0" w:line="268" w:lineRule="auto"/>
        <w:tabs>
          <w:tab w:leader="none" w:pos="515"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together with the Loan Documents related thereto, is a “general intangible”, an “instrument”, an “account”, “investment property” or “chattel paper” within the meaning of the UCC of all jurisdictions that govern the perfection of the security interest granted therein;</w:t>
      </w:r>
    </w:p>
    <w:p>
      <w:pPr>
        <w:spacing w:after="0" w:line="168" w:lineRule="exact"/>
        <w:rPr>
          <w:rFonts w:ascii="Times New Roman" w:cs="Times New Roman" w:eastAsia="Times New Roman" w:hAnsi="Times New Roman"/>
          <w:sz w:val="19"/>
          <w:szCs w:val="19"/>
          <w:color w:val="auto"/>
        </w:rPr>
      </w:pPr>
    </w:p>
    <w:p>
      <w:pPr>
        <w:ind w:left="-50" w:right="500" w:firstLine="50"/>
        <w:spacing w:after="0" w:line="262" w:lineRule="auto"/>
        <w:tabs>
          <w:tab w:leader="none" w:pos="568"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does not by its terms permit the payment obligation of the Obligor thereunder to be converted into stock, warrants or interests of the Obligor which are treated as equity for United States federal income tax purposes;</w:t>
      </w:r>
    </w:p>
    <w:p>
      <w:pPr>
        <w:spacing w:after="0" w:line="1" w:lineRule="exact"/>
        <w:rPr>
          <w:sz w:val="20"/>
          <w:szCs w:val="20"/>
          <w:color w:val="auto"/>
        </w:rPr>
      </w:pPr>
    </w:p>
    <w:p>
      <w:pPr>
        <w:ind w:left="43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635635</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30"/>
          </w:cols>
          <w:pgMar w:left="1410" w:top="1440" w:right="660" w:bottom="1440" w:gutter="0" w:footer="0" w:header="0"/>
        </w:sectPr>
      </w:pPr>
    </w:p>
    <w:bookmarkStart w:id="192" w:name="page193"/>
    <w:bookmarkEnd w:id="192"/>
    <w:p>
      <w:pPr>
        <w:spacing w:after="0" w:line="200" w:lineRule="exact"/>
        <w:rPr>
          <w:sz w:val="20"/>
          <w:szCs w:val="20"/>
          <w:color w:val="auto"/>
        </w:rPr>
      </w:pPr>
    </w:p>
    <w:p>
      <w:pPr>
        <w:spacing w:after="0" w:line="285" w:lineRule="exact"/>
        <w:rPr>
          <w:sz w:val="20"/>
          <w:szCs w:val="20"/>
          <w:color w:val="auto"/>
        </w:rPr>
      </w:pPr>
    </w:p>
    <w:p>
      <w:pPr>
        <w:ind w:right="440" w:firstLine="50"/>
        <w:spacing w:after="0" w:line="286" w:lineRule="auto"/>
        <w:tabs>
          <w:tab w:leader="none" w:pos="67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Loan does not provide for payments that are subject to withholding tax, unless the Obligor is required to make “gross-up” payments in an amount covering the full amount of such withholding tax on an after-tax basis;</w:t>
      </w:r>
    </w:p>
    <w:p>
      <w:pPr>
        <w:spacing w:after="0" w:line="151" w:lineRule="exact"/>
        <w:rPr>
          <w:rFonts w:ascii="Times New Roman" w:cs="Times New Roman" w:eastAsia="Times New Roman" w:hAnsi="Times New Roman"/>
          <w:sz w:val="19"/>
          <w:szCs w:val="19"/>
          <w:color w:val="auto"/>
        </w:rPr>
      </w:pPr>
    </w:p>
    <w:p>
      <w:pPr>
        <w:ind w:left="560" w:hanging="510"/>
        <w:spacing w:after="0"/>
        <w:tabs>
          <w:tab w:leader="none" w:pos="56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for the benefit of the Secured Parties, holds a first priority perfected security interest in the</w:t>
      </w:r>
    </w:p>
    <w:p>
      <w:pPr>
        <w:spacing w:after="0" w:line="31"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w:t>
      </w:r>
    </w:p>
    <w:p>
      <w:pPr>
        <w:spacing w:after="0" w:line="203" w:lineRule="exact"/>
        <w:rPr>
          <w:rFonts w:ascii="Times New Roman" w:cs="Times New Roman" w:eastAsia="Times New Roman" w:hAnsi="Times New Roman"/>
          <w:sz w:val="19"/>
          <w:szCs w:val="19"/>
          <w:color w:val="auto"/>
        </w:rPr>
      </w:pPr>
    </w:p>
    <w:p>
      <w:pPr>
        <w:ind w:right="480" w:firstLine="50"/>
        <w:spacing w:after="0" w:line="262" w:lineRule="auto"/>
        <w:tabs>
          <w:tab w:leader="none" w:pos="512"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information with respect to the Loan set forth in the Loan List and in the electronic loan file and Loan Checklist provided to the Administrative Agent at the time of the initial Advance with respect to such Loan, and in each Loan List, electronic loan file and Loan Checklist provided thereafter which includes such Loan, is true, complete and correct in all material respects;</w:t>
      </w:r>
    </w:p>
    <w:p>
      <w:pPr>
        <w:spacing w:after="0" w:line="174" w:lineRule="exact"/>
        <w:rPr>
          <w:rFonts w:ascii="Times New Roman" w:cs="Times New Roman" w:eastAsia="Times New Roman" w:hAnsi="Times New Roman"/>
          <w:sz w:val="19"/>
          <w:szCs w:val="19"/>
          <w:color w:val="auto"/>
        </w:rPr>
      </w:pPr>
    </w:p>
    <w:p>
      <w:pPr>
        <w:ind w:right="60" w:firstLine="50"/>
        <w:spacing w:after="0" w:line="262" w:lineRule="auto"/>
        <w:tabs>
          <w:tab w:leader="none" w:pos="565"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statement, report or other document signed by the Borrower constituting a part of the Loan File with respect to the Loan contains any untrue statement of a material fact by the Borrower or, to the Borrower’s knowledge, by any other party thereto, or omits to state a material fact with respect to the Borrower or, to the Borrower’s knowledge, with respect to any other party thereto, as of the date such facts were stated;</w:t>
      </w:r>
    </w:p>
    <w:p>
      <w:pPr>
        <w:spacing w:after="0" w:line="174" w:lineRule="exact"/>
        <w:rPr>
          <w:rFonts w:ascii="Times New Roman" w:cs="Times New Roman" w:eastAsia="Times New Roman" w:hAnsi="Times New Roman"/>
          <w:sz w:val="19"/>
          <w:szCs w:val="19"/>
          <w:color w:val="auto"/>
        </w:rPr>
      </w:pPr>
    </w:p>
    <w:p>
      <w:pPr>
        <w:ind w:left="620" w:hanging="570"/>
        <w:spacing w:after="0"/>
        <w:tabs>
          <w:tab w:leader="none" w:pos="62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226" w:lineRule="exact"/>
        <w:rPr>
          <w:sz w:val="20"/>
          <w:szCs w:val="20"/>
          <w:color w:val="auto"/>
        </w:rPr>
      </w:pPr>
    </w:p>
    <w:p>
      <w:pPr>
        <w:ind w:right="380" w:firstLine="4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xxxv</w:t>
      </w:r>
      <w:r>
        <w:rPr>
          <w:rFonts w:ascii="Times New Roman" w:cs="Times New Roman" w:eastAsia="Times New Roman" w:hAnsi="Times New Roman"/>
          <w:sz w:val="19"/>
          <w:szCs w:val="19"/>
          <w:color w:val="0000FF"/>
        </w:rPr>
        <w:t>xxxiii</w:t>
      </w:r>
      <w:r>
        <w:rPr>
          <w:rFonts w:ascii="Times New Roman" w:cs="Times New Roman" w:eastAsia="Times New Roman" w:hAnsi="Times New Roman"/>
          <w:sz w:val="19"/>
          <w:szCs w:val="19"/>
          <w:color w:val="auto"/>
        </w:rPr>
        <w:t>) the financing of the Loan by the Lenders does not contravene Regulation U of the Federal Reserve Board, nor require the Lenders to undertake reporting under such regulation which it would not otherwise have cause to make;</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xxxvi</w:t>
      </w:r>
      <w:r>
        <w:rPr>
          <w:rFonts w:ascii="Times New Roman" w:cs="Times New Roman" w:eastAsia="Times New Roman" w:hAnsi="Times New Roman"/>
          <w:sz w:val="19"/>
          <w:szCs w:val="19"/>
          <w:color w:val="0000FF"/>
        </w:rPr>
        <w:t>xxxiv</w:t>
      </w:r>
      <w:r>
        <w:rPr>
          <w:rFonts w:ascii="Times New Roman" w:cs="Times New Roman" w:eastAsia="Times New Roman" w:hAnsi="Times New Roman"/>
          <w:sz w:val="19"/>
          <w:szCs w:val="19"/>
          <w:color w:val="auto"/>
        </w:rPr>
        <w:t>) [reserved];</w:t>
      </w:r>
    </w:p>
    <w:p>
      <w:pPr>
        <w:spacing w:after="0" w:line="226" w:lineRule="exact"/>
        <w:rPr>
          <w:sz w:val="20"/>
          <w:szCs w:val="20"/>
          <w:color w:val="auto"/>
        </w:rPr>
      </w:pPr>
    </w:p>
    <w:p>
      <w:pPr>
        <w:ind w:right="120" w:firstLine="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xxxvii</w:t>
      </w:r>
      <w:r>
        <w:rPr>
          <w:rFonts w:ascii="Times New Roman" w:cs="Times New Roman" w:eastAsia="Times New Roman" w:hAnsi="Times New Roman"/>
          <w:sz w:val="19"/>
          <w:szCs w:val="19"/>
          <w:color w:val="0000FF"/>
        </w:rPr>
        <w:t>xxxv</w:t>
      </w:r>
      <w:r>
        <w:rPr>
          <w:rFonts w:ascii="Times New Roman" w:cs="Times New Roman" w:eastAsia="Times New Roman" w:hAnsi="Times New Roman"/>
          <w:sz w:val="19"/>
          <w:szCs w:val="19"/>
          <w:color w:val="auto"/>
        </w:rPr>
        <w:t xml:space="preserve"> ) the Loan does not contain a confidentiality provision that restricts the ability of the Administrative Agent, on behalf of the Secured Parties, to exercise its rights under the Transaction Documents, including, without limitation, its rights to review the Loan, the related Loan File or the Borrower’s credit approval file in respect of such Loan;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 provision which requires the Administrative Agent or other prospective recipient of confidential information to maintain the confidentiality of such information shall not be deemed to restrict the exercise of such rights;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xxviii</w:t>
      </w:r>
      <w:r>
        <w:rPr>
          <w:rFonts w:ascii="Times New Roman" w:cs="Times New Roman" w:eastAsia="Times New Roman" w:hAnsi="Times New Roman"/>
          <w:sz w:val="19"/>
          <w:szCs w:val="19"/>
          <w:color w:val="0000FF"/>
        </w:rPr>
        <w:t>xxvi</w:t>
      </w:r>
      <w:r>
        <w:rPr>
          <w:rFonts w:ascii="Times New Roman" w:cs="Times New Roman" w:eastAsia="Times New Roman" w:hAnsi="Times New Roman"/>
          <w:sz w:val="19"/>
          <w:szCs w:val="19"/>
          <w:color w:val="auto"/>
        </w:rPr>
        <w:t>) the Loan will not cause the Borrower to be required to be registered as an investment company under the 1940 Act;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xxxix</w:t>
      </w:r>
      <w:r>
        <w:rPr>
          <w:rFonts w:ascii="Times New Roman" w:cs="Times New Roman" w:eastAsia="Times New Roman" w:hAnsi="Times New Roman"/>
          <w:sz w:val="19"/>
          <w:szCs w:val="19"/>
          <w:color w:val="0000FF"/>
        </w:rPr>
        <w:t>xxxvii</w:t>
      </w:r>
      <w:r>
        <w:rPr>
          <w:rFonts w:ascii="Times New Roman" w:cs="Times New Roman" w:eastAsia="Times New Roman" w:hAnsi="Times New Roman"/>
          <w:sz w:val="19"/>
          <w:szCs w:val="19"/>
          <w:color w:val="auto"/>
        </w:rPr>
        <w:t>) [reserved];</w:t>
      </w:r>
    </w:p>
    <w:p>
      <w:pPr>
        <w:spacing w:after="0" w:line="226" w:lineRule="exact"/>
        <w:rPr>
          <w:sz w:val="20"/>
          <w:szCs w:val="20"/>
          <w:color w:val="auto"/>
        </w:rPr>
      </w:pPr>
    </w:p>
    <w:p>
      <w:pPr>
        <w:ind w:right="100" w:firstLine="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xl</w:t>
      </w:r>
      <w:r>
        <w:rPr>
          <w:rFonts w:ascii="Times New Roman" w:cs="Times New Roman" w:eastAsia="Times New Roman" w:hAnsi="Times New Roman"/>
          <w:sz w:val="19"/>
          <w:szCs w:val="19"/>
          <w:color w:val="0000FF"/>
        </w:rPr>
        <w:t>xxxviii</w:t>
      </w:r>
      <w:r>
        <w:rPr>
          <w:rFonts w:ascii="Times New Roman" w:cs="Times New Roman" w:eastAsia="Times New Roman" w:hAnsi="Times New Roman"/>
          <w:sz w:val="19"/>
          <w:szCs w:val="19"/>
          <w:color w:val="auto"/>
        </w:rPr>
        <w:t>) all material consents, licenses, approvals or authorizations of, or registrations or declarations with, any Governmental Authority required to be obtained, effected or given in connection with the making of such Loan have been duly obtained, effected or given and are in full force and effect;</w:t>
      </w:r>
    </w:p>
    <w:p>
      <w:pPr>
        <w:spacing w:after="0" w:line="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193" w:name="page194"/>
    <w:bookmarkEnd w:id="193"/>
    <w:p>
      <w:pPr>
        <w:spacing w:after="0" w:line="200" w:lineRule="exact"/>
        <w:rPr>
          <w:sz w:val="20"/>
          <w:szCs w:val="20"/>
          <w:color w:val="auto"/>
        </w:rPr>
      </w:pPr>
    </w:p>
    <w:p>
      <w:pPr>
        <w:spacing w:after="0" w:line="285" w:lineRule="exact"/>
        <w:rPr>
          <w:sz w:val="20"/>
          <w:szCs w:val="20"/>
          <w:color w:val="auto"/>
        </w:rPr>
      </w:pPr>
    </w:p>
    <w:p>
      <w:pPr>
        <w:ind w:left="700" w:right="180" w:firstLine="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xli</w:t>
      </w:r>
      <w:r>
        <w:rPr>
          <w:rFonts w:ascii="Times New Roman" w:cs="Times New Roman" w:eastAsia="Times New Roman" w:hAnsi="Times New Roman"/>
          <w:sz w:val="19"/>
          <w:szCs w:val="19"/>
          <w:color w:val="0000FF"/>
        </w:rPr>
        <w:t>xxxix</w:t>
      </w:r>
      <w:r>
        <w:rPr>
          <w:rFonts w:ascii="Times New Roman" w:cs="Times New Roman" w:eastAsia="Times New Roman" w:hAnsi="Times New Roman"/>
          <w:sz w:val="19"/>
          <w:szCs w:val="19"/>
          <w:color w:val="auto"/>
        </w:rPr>
        <w:t xml:space="preserve">) does not constitute Margin Stock and no part of the proceeds of such loan or debt security or any other extension of credit made thereunder will be used to purchase or carry any Margin Stock or to extend credit to others for the purpose of purchasing or carrying any Margin Stock; </w:t>
      </w:r>
      <w:r>
        <w:rPr>
          <w:rFonts w:ascii="Times New Roman" w:cs="Times New Roman" w:eastAsia="Times New Roman" w:hAnsi="Times New Roman"/>
          <w:sz w:val="19"/>
          <w:szCs w:val="19"/>
          <w:color w:val="FF0000"/>
          <w:strike w:val="1"/>
        </w:rPr>
        <w:t>and</w:t>
      </w:r>
    </w:p>
    <w:p>
      <w:pPr>
        <w:spacing w:after="0" w:line="168" w:lineRule="exact"/>
        <w:rPr>
          <w:sz w:val="20"/>
          <w:szCs w:val="20"/>
          <w:color w:val="auto"/>
        </w:rPr>
      </w:pPr>
    </w:p>
    <w:p>
      <w:pPr>
        <w:ind w:left="700" w:right="40" w:firstLine="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xlii</w:t>
      </w:r>
      <w:r>
        <w:rPr>
          <w:rFonts w:ascii="Times New Roman" w:cs="Times New Roman" w:eastAsia="Times New Roman" w:hAnsi="Times New Roman"/>
          <w:sz w:val="19"/>
          <w:szCs w:val="19"/>
          <w:color w:val="0000FF"/>
        </w:rPr>
        <w:t>xl</w:t>
      </w:r>
      <w:r>
        <w:rPr>
          <w:rFonts w:ascii="Times New Roman" w:cs="Times New Roman" w:eastAsia="Times New Roman" w:hAnsi="Times New Roman"/>
          <w:sz w:val="19"/>
          <w:szCs w:val="19"/>
          <w:color w:val="auto"/>
        </w:rPr>
        <w:t>) if the Loan is part of a syndicated or other co-lending arrangement with one or more third party lenders, such syndicated or co-lending arrangement is subject to intercreditor or other agreements consistent with the Investment Policy procedures related to any such co-lending arrangements</w:t>
      </w:r>
      <w:r>
        <w:rPr>
          <w:rFonts w:ascii="Times New Roman" w:cs="Times New Roman" w:eastAsia="Times New Roman" w:hAnsi="Times New Roman"/>
          <w:sz w:val="19"/>
          <w:szCs w:val="19"/>
          <w:color w:val="0000FF"/>
        </w:rPr>
        <w:t>;</w:t>
      </w:r>
    </w:p>
    <w:p>
      <w:pPr>
        <w:spacing w:after="0" w:line="168" w:lineRule="exact"/>
        <w:rPr>
          <w:sz w:val="20"/>
          <w:szCs w:val="20"/>
          <w:color w:val="auto"/>
        </w:rPr>
      </w:pPr>
    </w:p>
    <w:p>
      <w:pPr>
        <w:ind w:left="700" w:right="260" w:firstLine="48"/>
        <w:spacing w:after="0" w:line="268" w:lineRule="auto"/>
        <w:rPr>
          <w:sz w:val="20"/>
          <w:szCs w:val="20"/>
          <w:color w:val="auto"/>
        </w:rPr>
      </w:pPr>
      <w:r>
        <w:rPr>
          <w:rFonts w:ascii="Times New Roman" w:cs="Times New Roman" w:eastAsia="Times New Roman" w:hAnsi="Times New Roman"/>
          <w:sz w:val="19"/>
          <w:szCs w:val="19"/>
          <w:color w:val="0000FF"/>
        </w:rPr>
        <w:t>(xli) in the case of a BSL, such Loan has (i) as of any date of determination, a public rating from Fitch, Moody’s or S&amp;P and such rating is not lower than “B-/B3” by any of Fitch, Moody’s or S&amp;P and (ii) at origination, the related Obligor had an enterprise value of the Dollar Equivalent of $500,000,000 or greater;</w:t>
      </w:r>
    </w:p>
    <w:p>
      <w:pPr>
        <w:spacing w:after="0" w:line="168" w:lineRule="exact"/>
        <w:rPr>
          <w:sz w:val="20"/>
          <w:szCs w:val="20"/>
          <w:color w:val="auto"/>
        </w:rPr>
      </w:pPr>
    </w:p>
    <w:p>
      <w:pPr>
        <w:ind w:left="700" w:firstLine="48"/>
        <w:spacing w:after="0" w:line="262" w:lineRule="auto"/>
        <w:rPr>
          <w:sz w:val="20"/>
          <w:szCs w:val="20"/>
          <w:color w:val="auto"/>
        </w:rPr>
      </w:pPr>
      <w:r>
        <w:rPr>
          <w:rFonts w:ascii="Times New Roman" w:cs="Times New Roman" w:eastAsia="Times New Roman" w:hAnsi="Times New Roman"/>
          <w:sz w:val="19"/>
          <w:szCs w:val="19"/>
          <w:color w:val="0000FF"/>
        </w:rPr>
        <w:t>(xlii) in the case of an ABL, such Loan (a) is primarily secured by accounts receivable or machinery and equipment located in the U.S. and payable in US Dollars where the Borrower has a valid and perfected first priority security interest in such collateral,</w:t>
      </w:r>
    </w:p>
    <w:p>
      <w:pPr>
        <w:spacing w:after="0" w:line="1" w:lineRule="exact"/>
        <w:rPr>
          <w:sz w:val="20"/>
          <w:szCs w:val="20"/>
          <w:color w:val="auto"/>
        </w:rPr>
      </w:pPr>
    </w:p>
    <w:p>
      <w:pPr>
        <w:ind w:left="700" w:right="140" w:firstLine="2"/>
        <w:spacing w:after="0" w:line="252" w:lineRule="auto"/>
        <w:tabs>
          <w:tab w:leader="none" w:pos="972" w:val="left"/>
        </w:tabs>
        <w:numPr>
          <w:ilvl w:val="0"/>
          <w:numId w:val="3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does not offer borrowing base credit for unbilled accounts, purchase orders, progress billings, accounts owed by insolvent counterparties or otherwise non-performing, intellectual property, stocks or bonds, (c) is not a single-purpose real estate based loan, construction loan or project finance loan, (d) requires delivery of a calculation of each related borrowing base in reasonable detail not less frequently than monthly, (e) permits the Borrower to perform periodic appraisals of such collateral in accordance with the Borrowers’ Investment Policy, and (f) is not an obligation of an Obligor that is a finance company primarily engaged in providing loans or leases</w:t>
      </w:r>
      <w:r>
        <w:rPr>
          <w:rFonts w:ascii="Times New Roman" w:cs="Times New Roman" w:eastAsia="Times New Roman" w:hAnsi="Times New Roman"/>
          <w:sz w:val="19"/>
          <w:szCs w:val="19"/>
          <w:color w:val="000000"/>
        </w:rPr>
        <w:t>.</w:t>
      </w:r>
    </w:p>
    <w:p>
      <w:pPr>
        <w:spacing w:after="0" w:line="184" w:lineRule="exact"/>
        <w:rPr>
          <w:sz w:val="20"/>
          <w:szCs w:val="20"/>
          <w:color w:val="auto"/>
        </w:rPr>
      </w:pPr>
    </w:p>
    <w:p>
      <w:pPr>
        <w:ind w:right="6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“Eligible Obligor” </w:t>
      </w:r>
      <w:r>
        <w:rPr>
          <w:rFonts w:ascii="Times New Roman" w:cs="Times New Roman" w:eastAsia="Times New Roman" w:hAnsi="Times New Roman"/>
          <w:sz w:val="19"/>
          <w:szCs w:val="19"/>
          <w:color w:val="auto"/>
        </w:rPr>
        <w:t>means, on any day, any Obligor that satisfies each of the following requirements (unless specifically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determined to be an Eligible Obligor by Required Lenders following a review thereof on a case-by-case basis):</w:t>
      </w:r>
    </w:p>
    <w:p>
      <w:pPr>
        <w:spacing w:after="0" w:line="150" w:lineRule="exact"/>
        <w:rPr>
          <w:sz w:val="20"/>
          <w:szCs w:val="20"/>
          <w:color w:val="auto"/>
        </w:rPr>
      </w:pPr>
    </w:p>
    <w:p>
      <w:pPr>
        <w:ind w:left="700" w:right="280" w:firstLine="50"/>
        <w:spacing w:after="0" w:line="259" w:lineRule="auto"/>
        <w:tabs>
          <w:tab w:leader="none" w:pos="97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0000FF"/>
        </w:rPr>
        <w:t xml:space="preserve">(a) </w:t>
      </w:r>
      <w:r>
        <w:rPr>
          <w:rFonts w:ascii="Times New Roman" w:cs="Times New Roman" w:eastAsia="Times New Roman" w:hAnsi="Times New Roman"/>
          <w:sz w:val="19"/>
          <w:szCs w:val="19"/>
          <w:color w:val="000000"/>
        </w:rPr>
        <w:t>the majority of such Obligor’s operations or revenue and any Related Property material to the underwriting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applicable Loan is in the United States or any territory of the United States, Canada,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color w:val="000000"/>
        </w:rPr>
        <w:t xml:space="preserve"> the United Kingdom</w:t>
      </w:r>
      <w:r>
        <w:rPr>
          <w:rFonts w:ascii="Times New Roman" w:cs="Times New Roman" w:eastAsia="Times New Roman" w:hAnsi="Times New Roman"/>
          <w:sz w:val="19"/>
          <w:szCs w:val="19"/>
          <w:color w:val="0000FF"/>
        </w:rPr>
        <w:t>, the European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Union (excluding Estonia, Latvia, Bulgaria, and Malta), or any other jurisdiction agreed to by the Administrative Agent in its Permitted Discretion and (b) is not (1) a Sanctioned Person, (2) operating in a Sanctioned Jurisdiction or (3) owned or controlled by a Sanctioned Person</w:t>
      </w:r>
      <w:r>
        <w:rPr>
          <w:rFonts w:ascii="Times New Roman" w:cs="Times New Roman" w:eastAsia="Times New Roman" w:hAnsi="Times New Roman"/>
          <w:sz w:val="19"/>
          <w:szCs w:val="19"/>
          <w:color w:val="000000"/>
        </w:rPr>
        <w:t>;</w:t>
      </w:r>
    </w:p>
    <w:p>
      <w:pPr>
        <w:spacing w:after="0" w:line="177" w:lineRule="exact"/>
        <w:rPr>
          <w:rFonts w:ascii="Times New Roman" w:cs="Times New Roman" w:eastAsia="Times New Roman" w:hAnsi="Times New Roman"/>
          <w:sz w:val="19"/>
          <w:szCs w:val="19"/>
          <w:color w:val="auto"/>
        </w:rPr>
      </w:pPr>
    </w:p>
    <w:p>
      <w:pPr>
        <w:ind w:left="700" w:right="180" w:firstLine="50"/>
        <w:spacing w:after="0" w:line="286" w:lineRule="auto"/>
        <w:tabs>
          <w:tab w:leader="none" w:pos="1036"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Obligor is not (i) the United States or any department, agency or instrumentality of the United States, (ii) any state of the United States or (iii) any other Governmental Authority;</w:t>
      </w:r>
    </w:p>
    <w:p>
      <w:pPr>
        <w:spacing w:after="0" w:line="151" w:lineRule="exact"/>
        <w:rPr>
          <w:rFonts w:ascii="Times New Roman" w:cs="Times New Roman" w:eastAsia="Times New Roman" w:hAnsi="Times New Roman"/>
          <w:sz w:val="19"/>
          <w:szCs w:val="19"/>
          <w:color w:val="auto"/>
        </w:rPr>
      </w:pPr>
    </w:p>
    <w:p>
      <w:pPr>
        <w:ind w:left="1080" w:hanging="330"/>
        <w:spacing w:after="0"/>
        <w:tabs>
          <w:tab w:leader="none" w:pos="108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the Borrower’s most recent quarterly credit analysis pursuant to the Investment Policy and taking into account the</w:t>
      </w:r>
    </w:p>
    <w:p>
      <w:pPr>
        <w:spacing w:after="0" w:line="32" w:lineRule="exact"/>
        <w:rPr>
          <w:sz w:val="20"/>
          <w:szCs w:val="20"/>
          <w:color w:val="auto"/>
        </w:rPr>
      </w:pPr>
    </w:p>
    <w:p>
      <w:pPr>
        <w:ind w:left="700" w:right="220"/>
        <w:spacing w:after="0" w:line="250" w:lineRule="auto"/>
        <w:rPr>
          <w:sz w:val="20"/>
          <w:szCs w:val="20"/>
          <w:color w:val="auto"/>
        </w:rPr>
      </w:pPr>
      <w:r>
        <w:rPr>
          <w:rFonts w:ascii="Times New Roman" w:cs="Times New Roman" w:eastAsia="Times New Roman" w:hAnsi="Times New Roman"/>
          <w:sz w:val="19"/>
          <w:szCs w:val="19"/>
          <w:color w:val="auto"/>
        </w:rPr>
        <w:t xml:space="preserve">anticipated positive or negative cash flow of such Obligor, such Obligor has </w:t>
      </w:r>
      <w:r>
        <w:rPr>
          <w:rFonts w:ascii="Times New Roman" w:cs="Times New Roman" w:eastAsia="Times New Roman" w:hAnsi="Times New Roman"/>
          <w:sz w:val="19"/>
          <w:szCs w:val="19"/>
          <w:color w:val="FF0000"/>
        </w:rPr>
        <w:t>(a)</w:t>
      </w:r>
      <w:r>
        <w:rPr>
          <w:rFonts w:ascii="Times New Roman" w:cs="Times New Roman" w:eastAsia="Times New Roman" w:hAnsi="Times New Roman"/>
          <w:sz w:val="19"/>
          <w:szCs w:val="19"/>
          <w:color w:val="auto"/>
        </w:rPr>
        <w:t xml:space="preserve"> sufficient unrestricted cash on hand, </w:t>
      </w:r>
      <w:r>
        <w:rPr>
          <w:rFonts w:ascii="Times New Roman" w:cs="Times New Roman" w:eastAsia="Times New Roman" w:hAnsi="Times New Roman"/>
          <w:sz w:val="19"/>
          <w:szCs w:val="19"/>
          <w:color w:val="FF0000"/>
          <w:strike w:val="1"/>
        </w:rPr>
        <w:t>(b)</w:t>
      </w:r>
      <w:r>
        <w:rPr>
          <w:rFonts w:ascii="Times New Roman" w:cs="Times New Roman" w:eastAsia="Times New Roman" w:hAnsi="Times New Roman"/>
          <w:sz w:val="19"/>
          <w:szCs w:val="19"/>
          <w:color w:val="0000FF"/>
        </w:rPr>
        <w:t>equity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capital commitments and </w:t>
      </w:r>
      <w:r>
        <w:rPr>
          <w:rFonts w:ascii="Times New Roman" w:cs="Times New Roman" w:eastAsia="Times New Roman" w:hAnsi="Times New Roman"/>
          <w:sz w:val="19"/>
          <w:szCs w:val="19"/>
          <w:color w:val="000000"/>
        </w:rPr>
        <w:t>committed availability under revolving lines of credit</w:t>
      </w:r>
      <w:r>
        <w:rPr>
          <w:rFonts w:ascii="Times New Roman" w:cs="Times New Roman" w:eastAsia="Times New Roman" w:hAnsi="Times New Roman"/>
          <w:sz w:val="19"/>
          <w:szCs w:val="19"/>
          <w:color w:val="0000FF"/>
        </w:rPr>
        <w:t xml:space="preserve">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-217805</wp:posOffset>
            </wp:positionV>
            <wp:extent cx="16764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4">
                      <a:extLst>
                        <a:ext uri="{28A0092B-C50C-407E-A947-70E740481C1C}"/>
                      </a:extLst>
                    </a:blip>
                    <a:srcRect/>
                    <a:stretch>
                      <a:fillRect/>
                    </a:stretch>
                  </pic:blipFill>
                  <pic:spPr bwMode="auto">
                    <a:xfrm>
                      <a:off x="0" y="0"/>
                      <a:ext cx="167640" cy="7620"/>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94" w:name="page195"/>
    <w:bookmarkEnd w:id="194"/>
    <w:p>
      <w:pPr>
        <w:spacing w:after="0" w:line="200" w:lineRule="exact"/>
        <w:rPr>
          <w:sz w:val="20"/>
          <w:szCs w:val="20"/>
          <w:color w:val="auto"/>
        </w:rPr>
      </w:pPr>
    </w:p>
    <w:p>
      <w:pPr>
        <w:spacing w:after="0" w:line="285" w:lineRule="exact"/>
        <w:rPr>
          <w:sz w:val="20"/>
          <w:szCs w:val="20"/>
          <w:color w:val="auto"/>
        </w:rPr>
      </w:pPr>
    </w:p>
    <w:p>
      <w:pPr>
        <w:ind w:left="700" w:right="40"/>
        <w:spacing w:after="0" w:line="257" w:lineRule="auto"/>
        <w:rPr>
          <w:sz w:val="20"/>
          <w:szCs w:val="20"/>
          <w:color w:val="auto"/>
        </w:rPr>
      </w:pPr>
      <w:r>
        <w:rPr>
          <w:rFonts w:ascii="Times New Roman" w:cs="Times New Roman" w:eastAsia="Times New Roman" w:hAnsi="Times New Roman"/>
          <w:sz w:val="19"/>
          <w:szCs w:val="19"/>
          <w:color w:val="0000FF"/>
        </w:rPr>
        <w:t xml:space="preserve">indebtedness to allow such Obligor to service at least (a) three (3) months of operations if such Obligor is not a Pre-Commercial Obligor, (b) six (6) months of operations if such Obligor is a Pre -Commercial Obligor </w:t>
      </w:r>
      <w:r>
        <w:rPr>
          <w:rFonts w:ascii="Times New Roman" w:cs="Times New Roman" w:eastAsia="Times New Roman" w:hAnsi="Times New Roman"/>
          <w:sz w:val="19"/>
          <w:szCs w:val="19"/>
          <w:color w:val="000000"/>
        </w:rPr>
        <w:t>or (c) solely for Obligors experiencing a</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liquidity event, such as a sale, recapitalization, debt financing or other change in the capital structure, within 90 calendar days from the date classified under this clause (c), documented, financial commitment from an existing shareholder to financially support such Obligor’s liquidity and operations, in form and substance satisfactory to Administrative Agent, in each case, to allow such Obligor to service at least three (3) months of operations;</w:t>
      </w:r>
    </w:p>
    <w:p>
      <w:pPr>
        <w:spacing w:after="0" w:line="181" w:lineRule="exact"/>
        <w:rPr>
          <w:sz w:val="20"/>
          <w:szCs w:val="20"/>
          <w:color w:val="auto"/>
        </w:rPr>
      </w:pPr>
    </w:p>
    <w:p>
      <w:pPr>
        <w:ind w:left="700" w:right="720" w:firstLine="50"/>
        <w:spacing w:after="0" w:line="286" w:lineRule="auto"/>
        <w:tabs>
          <w:tab w:leader="none" w:pos="107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business that such Obligor is engaged in is </w:t>
      </w:r>
      <w:r>
        <w:rPr>
          <w:rFonts w:ascii="Times New Roman" w:cs="Times New Roman" w:eastAsia="Times New Roman" w:hAnsi="Times New Roman"/>
          <w:sz w:val="19"/>
          <w:szCs w:val="19"/>
          <w:color w:val="0000FF"/>
        </w:rPr>
        <w:t>not</w:t>
      </w:r>
      <w:r>
        <w:rPr>
          <w:rFonts w:ascii="Times New Roman" w:cs="Times New Roman" w:eastAsia="Times New Roman" w:hAnsi="Times New Roman"/>
          <w:sz w:val="19"/>
          <w:szCs w:val="19"/>
          <w:color w:val="auto"/>
        </w:rPr>
        <w:t xml:space="preserve"> classified as a </w:t>
      </w:r>
      <w:r>
        <w:rPr>
          <w:rFonts w:ascii="Times New Roman" w:cs="Times New Roman" w:eastAsia="Times New Roman" w:hAnsi="Times New Roman"/>
          <w:sz w:val="19"/>
          <w:szCs w:val="19"/>
          <w:color w:val="FF0000"/>
          <w:strike w:val="1"/>
        </w:rPr>
        <w:t>Target</w:t>
      </w:r>
      <w:r>
        <w:rPr>
          <w:rFonts w:ascii="Times New Roman" w:cs="Times New Roman" w:eastAsia="Times New Roman" w:hAnsi="Times New Roman"/>
          <w:sz w:val="19"/>
          <w:szCs w:val="19"/>
          <w:color w:val="0000FF"/>
        </w:rPr>
        <w:t>Prohibited</w:t>
      </w:r>
      <w:r>
        <w:rPr>
          <w:rFonts w:ascii="Times New Roman" w:cs="Times New Roman" w:eastAsia="Times New Roman" w:hAnsi="Times New Roman"/>
          <w:sz w:val="19"/>
          <w:szCs w:val="19"/>
          <w:color w:val="auto"/>
        </w:rPr>
        <w:t xml:space="preserve"> Industry </w:t>
      </w:r>
      <w:r>
        <w:rPr>
          <w:rFonts w:ascii="Times New Roman" w:cs="Times New Roman" w:eastAsia="Times New Roman" w:hAnsi="Times New Roman"/>
          <w:sz w:val="19"/>
          <w:szCs w:val="19"/>
          <w:color w:val="FF0000"/>
        </w:rPr>
        <w:t>in accordance with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Investment Policy</w:t>
      </w:r>
      <w:r>
        <w:rPr>
          <w:rFonts w:ascii="Times New Roman" w:cs="Times New Roman" w:eastAsia="Times New Roman" w:hAnsi="Times New Roman"/>
          <w:sz w:val="19"/>
          <w:szCs w:val="19"/>
          <w:color w:val="000000"/>
        </w:rPr>
        <w:t>;</w:t>
      </w:r>
    </w:p>
    <w:p>
      <w:pPr>
        <w:spacing w:after="0" w:line="151" w:lineRule="exact"/>
        <w:rPr>
          <w:rFonts w:ascii="Times New Roman" w:cs="Times New Roman" w:eastAsia="Times New Roman" w:hAnsi="Times New Roman"/>
          <w:sz w:val="19"/>
          <w:szCs w:val="19"/>
          <w:color w:val="auto"/>
        </w:rPr>
      </w:pPr>
    </w:p>
    <w:p>
      <w:pPr>
        <w:ind w:left="700" w:right="120" w:firstLine="50"/>
        <w:spacing w:after="0" w:line="268" w:lineRule="auto"/>
        <w:tabs>
          <w:tab w:leader="none" w:pos="102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Obligor is in material compliance with all material terms and conditions of its Loan Documents, is generally able to meet its financial obligations and is actively in its business operations and is not subject of any Insolvency Event or Insolvency Proceedings; </w:t>
      </w:r>
      <w:r>
        <w:rPr>
          <w:rFonts w:ascii="Times New Roman" w:cs="Times New Roman" w:eastAsia="Times New Roman" w:hAnsi="Times New Roman"/>
          <w:sz w:val="19"/>
          <w:szCs w:val="19"/>
          <w:color w:val="0000FF"/>
        </w:rPr>
        <w:t>and</w:t>
      </w:r>
    </w:p>
    <w:p>
      <w:pPr>
        <w:spacing w:after="0" w:line="168" w:lineRule="exact"/>
        <w:rPr>
          <w:rFonts w:ascii="Times New Roman" w:cs="Times New Roman" w:eastAsia="Times New Roman" w:hAnsi="Times New Roman"/>
          <w:sz w:val="19"/>
          <w:szCs w:val="19"/>
          <w:color w:val="auto"/>
        </w:rPr>
      </w:pPr>
    </w:p>
    <w:p>
      <w:pPr>
        <w:ind w:left="700" w:right="360" w:firstLine="50"/>
        <w:spacing w:after="0" w:line="286" w:lineRule="auto"/>
        <w:tabs>
          <w:tab w:leader="none" w:pos="107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Obligor is not an Affiliate of any of </w:t>
      </w:r>
      <w:r>
        <w:rPr>
          <w:rFonts w:ascii="Times New Roman" w:cs="Times New Roman" w:eastAsia="Times New Roman" w:hAnsi="Times New Roman"/>
          <w:sz w:val="19"/>
          <w:szCs w:val="19"/>
          <w:color w:val="FF0000"/>
          <w:strike w:val="1"/>
        </w:rPr>
        <w:t>Oaktree Capital Management, L.P.</w:t>
      </w:r>
      <w:r>
        <w:rPr>
          <w:rFonts w:ascii="Times New Roman" w:cs="Times New Roman" w:eastAsia="Times New Roman" w:hAnsi="Times New Roman"/>
          <w:sz w:val="19"/>
          <w:szCs w:val="19"/>
          <w:color w:val="0000FF"/>
        </w:rPr>
        <w:t>BC Partners</w:t>
      </w:r>
      <w:r>
        <w:rPr>
          <w:rFonts w:ascii="Times New Roman" w:cs="Times New Roman" w:eastAsia="Times New Roman" w:hAnsi="Times New Roman"/>
          <w:sz w:val="19"/>
          <w:szCs w:val="19"/>
          <w:color w:val="auto"/>
        </w:rPr>
        <w:t>, the Borrower, the Investment Adviser or any Affiliate thereof</w:t>
      </w:r>
      <w:r>
        <w:rPr>
          <w:rFonts w:ascii="Times New Roman" w:cs="Times New Roman" w:eastAsia="Times New Roman" w:hAnsi="Times New Roman"/>
          <w:sz w:val="19"/>
          <w:szCs w:val="19"/>
          <w:color w:val="FF0000"/>
          <w:strike w:val="1"/>
        </w:rPr>
        <w:t>;</w:t>
      </w:r>
    </w:p>
    <w:p>
      <w:pPr>
        <w:spacing w:after="0" w:line="151" w:lineRule="exact"/>
        <w:rPr>
          <w:rFonts w:ascii="Times New Roman" w:cs="Times New Roman" w:eastAsia="Times New Roman" w:hAnsi="Times New Roman"/>
          <w:sz w:val="19"/>
          <w:szCs w:val="19"/>
          <w:color w:val="auto"/>
        </w:rPr>
      </w:pPr>
    </w:p>
    <w:p>
      <w:pPr>
        <w:ind w:left="700" w:firstLine="50"/>
        <w:spacing w:after="0" w:line="268" w:lineRule="auto"/>
        <w:tabs>
          <w:tab w:leader="none" w:pos="1127" w:val="left"/>
        </w:tabs>
        <w:numPr>
          <w:ilvl w:val="0"/>
          <w:numId w:val="35"/>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as of the initial Funding Date of any Advance with respect to the Loan of such Obligor, (x) the LTV of such Obligor is less than or equal to 20% or (y) the related Loan has a Proprietary Risk Rating of “2” in accordance with the Investment Policy and the LTV of such Obligor is less than or equal to 30%;</w:t>
      </w:r>
    </w:p>
    <w:p>
      <w:pPr>
        <w:spacing w:after="0" w:line="168" w:lineRule="exact"/>
        <w:rPr>
          <w:rFonts w:ascii="Times New Roman" w:cs="Times New Roman" w:eastAsia="Times New Roman" w:hAnsi="Times New Roman"/>
          <w:sz w:val="19"/>
          <w:szCs w:val="19"/>
          <w:color w:val="FF0000"/>
          <w:strike w:val="1"/>
        </w:rPr>
      </w:pPr>
    </w:p>
    <w:p>
      <w:pPr>
        <w:ind w:left="1180" w:hanging="430"/>
        <w:spacing w:after="0"/>
        <w:tabs>
          <w:tab w:leader="none" w:pos="1180" w:val="left"/>
        </w:tabs>
        <w:numPr>
          <w:ilvl w:val="0"/>
          <w:numId w:val="35"/>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 xml:space="preserve">the LTV of such Obligor (as of its </w:t>
      </w:r>
      <w:r>
        <w:rPr>
          <w:rFonts w:ascii="Times New Roman" w:cs="Times New Roman" w:eastAsia="Times New Roman" w:hAnsi="Times New Roman"/>
          <w:sz w:val="19"/>
          <w:szCs w:val="19"/>
          <w:color w:val="00C000"/>
          <w:strike w:val="1"/>
        </w:rPr>
        <w:t>most recent reporting period</w:t>
      </w:r>
      <w:r>
        <w:rPr>
          <w:rFonts w:ascii="Times New Roman" w:cs="Times New Roman" w:eastAsia="Times New Roman" w:hAnsi="Times New Roman"/>
          <w:sz w:val="19"/>
          <w:szCs w:val="19"/>
          <w:color w:val="FF0000"/>
          <w:strike w:val="1"/>
        </w:rPr>
        <w:t>) is less than 50%;</w:t>
      </w:r>
    </w:p>
    <w:p>
      <w:pPr>
        <w:spacing w:after="0" w:line="225" w:lineRule="exact"/>
        <w:rPr>
          <w:rFonts w:ascii="Times New Roman" w:cs="Times New Roman" w:eastAsia="Times New Roman" w:hAnsi="Times New Roman"/>
          <w:sz w:val="19"/>
          <w:szCs w:val="19"/>
          <w:color w:val="FF0000"/>
          <w:strike w:val="1"/>
        </w:rPr>
      </w:pPr>
    </w:p>
    <w:p>
      <w:pPr>
        <w:ind w:left="700" w:right="160" w:firstLine="50"/>
        <w:spacing w:after="0" w:line="286" w:lineRule="auto"/>
        <w:tabs>
          <w:tab w:leader="none" w:pos="1073" w:val="left"/>
        </w:tabs>
        <w:numPr>
          <w:ilvl w:val="0"/>
          <w:numId w:val="35"/>
        </w:numPr>
        <w:rPr>
          <w:rFonts w:ascii="Times New Roman" w:cs="Times New Roman" w:eastAsia="Times New Roman" w:hAnsi="Times New Roman"/>
          <w:sz w:val="19"/>
          <w:szCs w:val="19"/>
          <w:color w:val="FF0000"/>
        </w:rPr>
      </w:pPr>
      <w:r>
        <w:rPr>
          <w:rFonts w:ascii="Times New Roman" w:cs="Times New Roman" w:eastAsia="Times New Roman" w:hAnsi="Times New Roman"/>
          <w:sz w:val="19"/>
          <w:szCs w:val="19"/>
          <w:color w:val="FF0000"/>
        </w:rPr>
        <w:t xml:space="preserve">such Obligor has generated at least $5,000,000 </w:t>
      </w:r>
      <w:r>
        <w:rPr>
          <w:rFonts w:ascii="Times New Roman" w:cs="Times New Roman" w:eastAsia="Times New Roman" w:hAnsi="Times New Roman"/>
          <w:sz w:val="19"/>
          <w:szCs w:val="19"/>
          <w:color w:val="00C000"/>
        </w:rPr>
        <w:t>in revenue during the most recent trailing</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twelve-month period or is a Pre-Commercial Obligor; and</w:t>
      </w:r>
    </w:p>
    <w:p>
      <w:pPr>
        <w:spacing w:after="0" w:line="151" w:lineRule="exact"/>
        <w:rPr>
          <w:rFonts w:ascii="Times New Roman" w:cs="Times New Roman" w:eastAsia="Times New Roman" w:hAnsi="Times New Roman"/>
          <w:sz w:val="19"/>
          <w:szCs w:val="19"/>
          <w:color w:val="FF0000"/>
        </w:rPr>
      </w:pPr>
    </w:p>
    <w:p>
      <w:pPr>
        <w:ind w:left="1020" w:hanging="270"/>
        <w:spacing w:after="0"/>
        <w:tabs>
          <w:tab w:leader="none" w:pos="1020" w:val="left"/>
        </w:tabs>
        <w:numPr>
          <w:ilvl w:val="0"/>
          <w:numId w:val="35"/>
        </w:numPr>
        <w:rPr>
          <w:rFonts w:ascii="Times New Roman" w:cs="Times New Roman" w:eastAsia="Times New Roman" w:hAnsi="Times New Roman"/>
          <w:sz w:val="19"/>
          <w:szCs w:val="19"/>
          <w:color w:val="FF0000"/>
        </w:rPr>
      </w:pPr>
      <w:r>
        <w:rPr>
          <w:rFonts w:ascii="Times New Roman" w:cs="Times New Roman" w:eastAsia="Times New Roman" w:hAnsi="Times New Roman"/>
          <w:sz w:val="19"/>
          <w:szCs w:val="19"/>
          <w:color w:val="FF0000"/>
        </w:rPr>
        <w:t>such Obligor has paid-in capital of at least $10,000,000.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5125720</wp:posOffset>
            </wp:positionH>
            <wp:positionV relativeFrom="paragraph">
              <wp:posOffset>-2759710</wp:posOffset>
            </wp:positionV>
            <wp:extent cx="112776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6">
                      <a:extLst>
                        <a:ext uri="{28A0092B-C50C-407E-A947-70E740481C1C}"/>
                      </a:extLst>
                    </a:blip>
                    <a:srcRect/>
                    <a:stretch>
                      <a:fillRect/>
                    </a:stretch>
                  </pic:blipFill>
                  <pic:spPr bwMode="auto">
                    <a:xfrm>
                      <a:off x="0" y="0"/>
                      <a:ext cx="1127760" cy="762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-480695</wp:posOffset>
            </wp:positionV>
            <wp:extent cx="459613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7">
                      <a:extLst>
                        <a:ext uri="{28A0092B-C50C-407E-A947-70E740481C1C}"/>
                      </a:extLst>
                    </a:blip>
                    <a:srcRect/>
                    <a:stretch>
                      <a:fillRect/>
                    </a:stretch>
                  </pic:blipFill>
                  <pic:spPr bwMode="auto">
                    <a:xfrm>
                      <a:off x="0" y="0"/>
                      <a:ext cx="4596130" cy="7620"/>
                    </a:xfrm>
                    <a:prstGeom prst="rect">
                      <a:avLst/>
                    </a:prstGeom>
                    <a:noFill/>
                  </pic:spPr>
                </pic:pic>
              </a:graphicData>
            </a:graphic>
          </wp:anchor>
        </w:drawing>
        <w:drawing>
          <wp:anchor simplePos="0" relativeHeight="251657728" behindDoc="1" locked="0" layoutInCell="0" allowOverlap="1">
            <wp:simplePos x="0" y="0"/>
            <wp:positionH relativeFrom="column">
              <wp:posOffset>445770</wp:posOffset>
            </wp:positionH>
            <wp:positionV relativeFrom="paragraph">
              <wp:posOffset>-53340</wp:posOffset>
            </wp:positionV>
            <wp:extent cx="293433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8">
                      <a:extLst>
                        <a:ext uri="{28A0092B-C50C-407E-A947-70E740481C1C}"/>
                      </a:extLst>
                    </a:blip>
                    <a:srcRect/>
                    <a:stretch>
                      <a:fillRect/>
                    </a:stretch>
                  </pic:blipFill>
                  <pic:spPr bwMode="auto">
                    <a:xfrm>
                      <a:off x="0" y="0"/>
                      <a:ext cx="2934335" cy="7620"/>
                    </a:xfrm>
                    <a:prstGeom prst="rect">
                      <a:avLst/>
                    </a:prstGeom>
                    <a:noFill/>
                  </pic:spPr>
                </pic:pic>
              </a:graphicData>
            </a:graphic>
          </wp:anchor>
        </w:drawing>
      </w:r>
    </w:p>
    <w:p>
      <w:pPr>
        <w:spacing w:after="0" w:line="204"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i w:val="1"/>
          <w:iCs w:val="1"/>
          <w:color w:val="FF0000"/>
          <w:strike w:val="1"/>
        </w:rPr>
        <w:t xml:space="preserve">“Energy Company” </w:t>
      </w:r>
      <w:r>
        <w:rPr>
          <w:rFonts w:ascii="Times New Roman" w:cs="Times New Roman" w:eastAsia="Times New Roman" w:hAnsi="Times New Roman"/>
          <w:sz w:val="19"/>
          <w:szCs w:val="19"/>
          <w:color w:val="FF0000"/>
          <w:strike w:val="1"/>
        </w:rPr>
        <w:t>means and includes Obligors that operate a business within the Target Industry set forth in clause (c) of the</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definition thereof as determined in accordance with the Investment Policy.</w:t>
      </w:r>
    </w:p>
    <w:p>
      <w:pPr>
        <w:spacing w:after="0" w:line="148" w:lineRule="exact"/>
        <w:rPr>
          <w:sz w:val="20"/>
          <w:szCs w:val="20"/>
          <w:color w:val="auto"/>
        </w:rPr>
      </w:pPr>
    </w:p>
    <w:p>
      <w:pPr>
        <w:ind w:left="700" w:right="80"/>
        <w:spacing w:after="0" w:line="254" w:lineRule="auto"/>
        <w:rPr>
          <w:sz w:val="20"/>
          <w:szCs w:val="20"/>
          <w:color w:val="auto"/>
        </w:rPr>
      </w:pPr>
      <w:r>
        <w:rPr>
          <w:rFonts w:ascii="Times New Roman" w:cs="Times New Roman" w:eastAsia="Times New Roman" w:hAnsi="Times New Roman"/>
          <w:sz w:val="19"/>
          <w:szCs w:val="19"/>
          <w:i w:val="1"/>
          <w:iCs w:val="1"/>
          <w:color w:val="FF0000"/>
          <w:strike w:val="1"/>
        </w:rPr>
        <w:t xml:space="preserve">“Enterprise Loan” </w:t>
      </w:r>
      <w:r>
        <w:rPr>
          <w:rFonts w:ascii="Times New Roman" w:cs="Times New Roman" w:eastAsia="Times New Roman" w:hAnsi="Times New Roman"/>
          <w:sz w:val="19"/>
          <w:szCs w:val="19"/>
          <w:color w:val="FF0000"/>
          <w:strike w:val="1"/>
        </w:rPr>
        <w:t>means any First Lien Loan that is a Term Loan, of which, all or a portion of such Term Loan has converted</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into an accounts receivable or monthly recurring revenue (“</w:t>
      </w:r>
      <w:r>
        <w:rPr>
          <w:rFonts w:ascii="Times New Roman" w:cs="Times New Roman" w:eastAsia="Times New Roman" w:hAnsi="Times New Roman"/>
          <w:sz w:val="19"/>
          <w:szCs w:val="19"/>
          <w:i w:val="1"/>
          <w:iCs w:val="1"/>
          <w:color w:val="FF0000"/>
          <w:strike w:val="1"/>
        </w:rPr>
        <w:t>MRR</w:t>
      </w:r>
      <w:r>
        <w:rPr>
          <w:rFonts w:ascii="Times New Roman" w:cs="Times New Roman" w:eastAsia="Times New Roman" w:hAnsi="Times New Roman"/>
          <w:sz w:val="19"/>
          <w:szCs w:val="19"/>
          <w:color w:val="FF0000"/>
          <w:strike w:val="1"/>
        </w:rPr>
        <w:t xml:space="preserve">”) formula-driven borrowing base Loan. The terms of such Enterprise Loan specify (i) the maximum aggregate amount that can be borrowed by the related Obligor, (ii) that the maximum advance rate against accounts receivables or multiple of MRR shall not exceed 85% and 6.0x, respectively, (iii) that is not </w:t>
      </w:r>
      <w:r>
        <w:rPr>
          <w:rFonts w:ascii="Times New Roman" w:cs="Times New Roman" w:eastAsia="Times New Roman" w:hAnsi="Times New Roman"/>
          <w:sz w:val="19"/>
          <w:szCs w:val="19"/>
          <w:color w:val="00C000"/>
          <w:strike w:val="1"/>
        </w:rPr>
        <w:t xml:space="preserve">subordinate in right of payment to any </w:t>
      </w:r>
      <w:r>
        <w:rPr>
          <w:rFonts w:ascii="Times New Roman" w:cs="Times New Roman" w:eastAsia="Times New Roman" w:hAnsi="Times New Roman"/>
          <w:sz w:val="19"/>
          <w:szCs w:val="19"/>
          <w:color w:val="FF0000"/>
          <w:strike w:val="1"/>
        </w:rPr>
        <w:t>other obligation for borrowed money of the Obligor, (iv) that the maturity date is within</w:t>
      </w:r>
      <w:r>
        <w:rPr>
          <w:rFonts w:ascii="Times New Roman" w:cs="Times New Roman" w:eastAsia="Times New Roman" w:hAnsi="Times New Roman"/>
          <w:sz w:val="19"/>
          <w:szCs w:val="19"/>
          <w:color w:val="00C000"/>
          <w:strike w:val="1"/>
        </w:rPr>
        <w:t xml:space="preserve"> </w:t>
      </w:r>
      <w:r>
        <w:rPr>
          <w:rFonts w:ascii="Times New Roman" w:cs="Times New Roman" w:eastAsia="Times New Roman" w:hAnsi="Times New Roman"/>
          <w:sz w:val="19"/>
          <w:szCs w:val="19"/>
          <w:color w:val="FF0000"/>
          <w:strike w:val="1"/>
        </w:rPr>
        <w:t>the earlier of thirty-six (36) months or the maturity date of any other obligation for borrowed money of the Obligor provided by the Borrower or any of its Affiliates, (v) that</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5" w:name="page196"/>
    <w:bookmarkEnd w:id="195"/>
    <w:p>
      <w:pPr>
        <w:spacing w:after="0" w:line="200" w:lineRule="exact"/>
        <w:rPr>
          <w:sz w:val="20"/>
          <w:szCs w:val="20"/>
          <w:color w:val="auto"/>
        </w:rPr>
      </w:pPr>
    </w:p>
    <w:p>
      <w:pPr>
        <w:spacing w:after="0" w:line="285" w:lineRule="exact"/>
        <w:rPr>
          <w:sz w:val="20"/>
          <w:szCs w:val="20"/>
          <w:color w:val="auto"/>
        </w:rPr>
      </w:pPr>
    </w:p>
    <w:p>
      <w:pPr>
        <w:ind w:left="700" w:right="160"/>
        <w:spacing w:after="0" w:line="268" w:lineRule="auto"/>
        <w:rPr>
          <w:sz w:val="20"/>
          <w:szCs w:val="20"/>
          <w:color w:val="auto"/>
        </w:rPr>
      </w:pPr>
      <w:r>
        <w:rPr>
          <w:rFonts w:ascii="Times New Roman" w:cs="Times New Roman" w:eastAsia="Times New Roman" w:hAnsi="Times New Roman"/>
          <w:sz w:val="19"/>
          <w:szCs w:val="19"/>
          <w:color w:val="FF0000"/>
          <w:strike w:val="1"/>
        </w:rPr>
        <w:t>any over- advance relative to the current accounts receivable or MRR is converted back into a Term Loan and (vi) that is classified as a “ROSE Loan” on the books of the Borrower in accordance with the Investment Policy. For avoidance of doubt, any Enterprise Loan shall be covered by the terms and conditions of the related Term Loan</w:t>
      </w:r>
      <w:r>
        <w:rPr>
          <w:rFonts w:ascii="Times New Roman" w:cs="Times New Roman" w:eastAsia="Times New Roman" w:hAnsi="Times New Roman"/>
          <w:sz w:val="19"/>
          <w:szCs w:val="19"/>
          <w:color w:val="000000"/>
          <w:strike w:val="1"/>
        </w:rPr>
        <w:t>.</w:t>
      </w:r>
    </w:p>
    <w:p>
      <w:pPr>
        <w:spacing w:after="0" w:line="166" w:lineRule="exact"/>
        <w:rPr>
          <w:sz w:val="20"/>
          <w:szCs w:val="20"/>
          <w:color w:val="auto"/>
        </w:rPr>
      </w:pPr>
    </w:p>
    <w:p>
      <w:pPr>
        <w:ind w:right="160"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“Environmental Laws” </w:t>
      </w:r>
      <w:r>
        <w:rPr>
          <w:rFonts w:ascii="Times New Roman" w:cs="Times New Roman" w:eastAsia="Times New Roman" w:hAnsi="Times New Roman"/>
          <w:sz w:val="19"/>
          <w:szCs w:val="19"/>
          <w:color w:val="auto"/>
        </w:rPr>
        <w:t>means any and all federal, state, local, and foreign statutes, laws, regulations, ordinances, rules,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judgments, orders, decrees, permits, concessions, grants, franchises, licenses, agreements or governmental restrictions, including all common law, relating to pollution or the protection of health, safety or the environment or the release of any materials into the environment, including those related to Hazardous Materials, air emissions, discharges to waste or public systems and health and safety matters.</w:t>
      </w:r>
    </w:p>
    <w:p>
      <w:pPr>
        <w:spacing w:after="0" w:line="173" w:lineRule="exact"/>
        <w:rPr>
          <w:sz w:val="20"/>
          <w:szCs w:val="20"/>
          <w:color w:val="auto"/>
        </w:rPr>
      </w:pPr>
    </w:p>
    <w:p>
      <w:pPr>
        <w:ind w:right="100" w:firstLine="696"/>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Environmental Liability</w:t>
      </w:r>
      <w:r>
        <w:rPr>
          <w:rFonts w:ascii="Times New Roman" w:cs="Times New Roman" w:eastAsia="Times New Roman" w:hAnsi="Times New Roman"/>
          <w:sz w:val="19"/>
          <w:szCs w:val="19"/>
          <w:color w:val="auto"/>
        </w:rPr>
        <w:t>” means any liability or obligation, contingent or otherwise (including any liability for damages, costs of environmental remediation, fines, penalties or indemnities), directly or indirectly, resulting from or based upon (a) violation of any Environmental Law, (b) the generation, use, handling, transportation, storage, treatment, disposal or permitting or arranging for the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75"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“ERISA” </w:t>
      </w:r>
      <w:r>
        <w:rPr>
          <w:rFonts w:ascii="Times New Roman" w:cs="Times New Roman" w:eastAsia="Times New Roman" w:hAnsi="Times New Roman"/>
          <w:sz w:val="19"/>
          <w:szCs w:val="19"/>
          <w:color w:val="auto"/>
        </w:rPr>
        <w:t>means the U.S. Employee Retirement Income Security Act of 1974, as amended from time to time, and the regulations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promulgated and rulings issued thereunder.</w:t>
      </w:r>
    </w:p>
    <w:p>
      <w:pPr>
        <w:spacing w:after="0" w:line="148"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“ERISA Affiliate” </w:t>
      </w:r>
      <w:r>
        <w:rPr>
          <w:rFonts w:ascii="Times New Roman" w:cs="Times New Roman" w:eastAsia="Times New Roman" w:hAnsi="Times New Roman"/>
          <w:sz w:val="19"/>
          <w:szCs w:val="19"/>
          <w:color w:val="auto"/>
        </w:rPr>
        <w:t>means (a) any corporation that is a member of the same controlled group of corporations (within the meaning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Section 414(b) of the Code) as the Borrower; (b) a trade or business (whether or not incorporated) under common control (within the meaning of Section 414(c) of the Code) with the Borrower or (c) a member of the same affiliated service group (within the meaning of Section 414(m) of the Code) as the Borrower, any corporation described in clause (a) above or any trade or business described in clause (b) above.</w:t>
      </w:r>
    </w:p>
    <w:p>
      <w:pPr>
        <w:spacing w:after="0" w:line="173" w:lineRule="exact"/>
        <w:rPr>
          <w:sz w:val="20"/>
          <w:szCs w:val="20"/>
          <w:color w:val="auto"/>
        </w:rPr>
      </w:pPr>
    </w:p>
    <w:p>
      <w:pPr>
        <w:ind w:right="40"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“Euros” or “ € ” </w:t>
      </w:r>
      <w:r>
        <w:rPr>
          <w:rFonts w:ascii="Times New Roman" w:cs="Times New Roman" w:eastAsia="Times New Roman" w:hAnsi="Times New Roman"/>
          <w:sz w:val="19"/>
          <w:szCs w:val="19"/>
          <w:color w:val="0000FF"/>
        </w:rPr>
        <w:t>means the unit of single currency of any member state of the European Community that adopts or has adopted</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the Euro as its lawful currency in accordance with the legislation of the European Union relating to the European Monetary Union.</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“Event of Default” </w:t>
      </w:r>
      <w:r>
        <w:rPr>
          <w:rFonts w:ascii="Times New Roman" w:cs="Times New Roman" w:eastAsia="Times New Roman" w:hAnsi="Times New Roman"/>
          <w:sz w:val="19"/>
          <w:szCs w:val="19"/>
          <w:color w:val="auto"/>
        </w:rPr>
        <w:t>is defined in Section 8.1.</w:t>
      </w:r>
    </w:p>
    <w:p>
      <w:pPr>
        <w:spacing w:after="0" w:line="226" w:lineRule="exact"/>
        <w:rPr>
          <w:sz w:val="20"/>
          <w:szCs w:val="20"/>
          <w:color w:val="auto"/>
        </w:rPr>
      </w:pPr>
    </w:p>
    <w:p>
      <w:pPr>
        <w:ind w:right="5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“Excess Concentration Amount” </w:t>
      </w:r>
      <w:r>
        <w:rPr>
          <w:rFonts w:ascii="Times New Roman" w:cs="Times New Roman" w:eastAsia="Times New Roman" w:hAnsi="Times New Roman"/>
          <w:sz w:val="19"/>
          <w:szCs w:val="19"/>
          <w:color w:val="auto"/>
        </w:rPr>
        <w:t>means, on any date of determination during the Revolving Period, the sum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of the Dollar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 xml:space="preserve">Equivalent </w:t>
      </w:r>
      <w:r>
        <w:rPr>
          <w:rFonts w:ascii="Times New Roman" w:cs="Times New Roman" w:eastAsia="Times New Roman" w:hAnsi="Times New Roman"/>
          <w:sz w:val="19"/>
          <w:szCs w:val="19"/>
          <w:color w:val="000000"/>
        </w:rPr>
        <w:t>of, without duplication,</w:t>
      </w:r>
    </w:p>
    <w:p>
      <w:pPr>
        <w:spacing w:after="0" w:line="162" w:lineRule="exact"/>
        <w:rPr>
          <w:sz w:val="20"/>
          <w:szCs w:val="20"/>
          <w:color w:val="auto"/>
        </w:rPr>
      </w:pPr>
    </w:p>
    <w:p>
      <w:pPr>
        <w:ind w:left="700" w:right="140" w:firstLine="2"/>
        <w:spacing w:after="0" w:line="256" w:lineRule="auto"/>
        <w:tabs>
          <w:tab w:leader="none" w:pos="1048" w:val="left"/>
        </w:tabs>
        <w:numPr>
          <w:ilvl w:val="0"/>
          <w:numId w:val="36"/>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(a)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that are Second Lien Loans </w:t>
      </w:r>
      <w:r>
        <w:rPr>
          <w:rFonts w:ascii="Times New Roman" w:cs="Times New Roman" w:eastAsia="Times New Roman" w:hAnsi="Times New Roman"/>
          <w:sz w:val="19"/>
          <w:szCs w:val="19"/>
          <w:color w:val="0000FF"/>
        </w:rPr>
        <w:t>or First Lien/Last Out Loans</w:t>
      </w:r>
      <w:r>
        <w:rPr>
          <w:rFonts w:ascii="Times New Roman" w:cs="Times New Roman" w:eastAsia="Times New Roman" w:hAnsi="Times New Roman"/>
          <w:sz w:val="19"/>
          <w:szCs w:val="19"/>
          <w:color w:val="000000"/>
        </w:rPr>
        <w:t xml:space="preserve"> exceeds (ii) </w:t>
      </w:r>
      <w:r>
        <w:rPr>
          <w:rFonts w:ascii="Times New Roman" w:cs="Times New Roman" w:eastAsia="Times New Roman" w:hAnsi="Times New Roman"/>
          <w:sz w:val="19"/>
          <w:szCs w:val="19"/>
          <w:color w:val="FF0000"/>
          <w:strike w:val="1"/>
        </w:rPr>
        <w:t>25.0</w:t>
      </w:r>
      <w:r>
        <w:rPr>
          <w:rFonts w:ascii="Times New Roman" w:cs="Times New Roman" w:eastAsia="Times New Roman" w:hAnsi="Times New Roman"/>
          <w:sz w:val="19"/>
          <w:szCs w:val="19"/>
          <w:color w:val="0000FF"/>
        </w:rPr>
        <w:t>30.0</w:t>
      </w:r>
      <w:r>
        <w:rPr>
          <w:rFonts w:ascii="Times New Roman" w:cs="Times New Roman" w:eastAsia="Times New Roman" w:hAnsi="Times New Roman"/>
          <w:sz w:val="19"/>
          <w:szCs w:val="19"/>
          <w:color w:val="000000"/>
        </w:rPr>
        <w:t>% of the Aggregate Outstanding Loan Balance;</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96" w:name="page197"/>
    <w:bookmarkEnd w:id="196"/>
    <w:p>
      <w:pPr>
        <w:spacing w:after="0" w:line="200" w:lineRule="exact"/>
        <w:rPr>
          <w:sz w:val="20"/>
          <w:szCs w:val="20"/>
          <w:color w:val="auto"/>
        </w:rPr>
      </w:pPr>
    </w:p>
    <w:p>
      <w:pPr>
        <w:spacing w:after="0" w:line="297" w:lineRule="exact"/>
        <w:rPr>
          <w:sz w:val="20"/>
          <w:szCs w:val="20"/>
          <w:color w:val="auto"/>
        </w:rPr>
      </w:pPr>
    </w:p>
    <w:p>
      <w:pPr>
        <w:ind w:right="720" w:firstLine="2"/>
        <w:spacing w:after="0" w:line="281" w:lineRule="auto"/>
        <w:tabs>
          <w:tab w:leader="none" w:pos="360" w:val="left"/>
        </w:tabs>
        <w:numPr>
          <w:ilvl w:val="0"/>
          <w:numId w:val="3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(b)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Collateral that are Revolving Loans exceeds (ii) 15.0% of the Aggregate Outstanding Loan Balance;</w:t>
      </w:r>
    </w:p>
    <w:p>
      <w:pPr>
        <w:spacing w:after="0" w:line="167" w:lineRule="exact"/>
        <w:rPr>
          <w:rFonts w:ascii="Cambria" w:cs="Cambria" w:eastAsia="Cambria" w:hAnsi="Cambria"/>
          <w:sz w:val="19"/>
          <w:szCs w:val="19"/>
          <w:b w:val="1"/>
          <w:bCs w:val="1"/>
          <w:color w:val="FF0000"/>
          <w:strike w:val="1"/>
        </w:rPr>
      </w:pPr>
    </w:p>
    <w:p>
      <w:pPr>
        <w:ind w:firstLine="2"/>
        <w:spacing w:after="0" w:line="265" w:lineRule="auto"/>
        <w:tabs>
          <w:tab w:leader="none" w:pos="336" w:val="left"/>
        </w:tabs>
        <w:numPr>
          <w:ilvl w:val="0"/>
          <w:numId w:val="3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(c)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the related Obligors of which are in businesses that are classified in any single </w:t>
      </w:r>
      <w:r>
        <w:rPr>
          <w:rFonts w:ascii="Times New Roman" w:cs="Times New Roman" w:eastAsia="Times New Roman" w:hAnsi="Times New Roman"/>
          <w:sz w:val="19"/>
          <w:szCs w:val="19"/>
          <w:color w:val="FF0000"/>
          <w:strike w:val="1"/>
        </w:rPr>
        <w:t>Target</w:t>
      </w:r>
      <w:r>
        <w:rPr>
          <w:rFonts w:ascii="Times New Roman" w:cs="Times New Roman" w:eastAsia="Times New Roman" w:hAnsi="Times New Roman"/>
          <w:sz w:val="19"/>
          <w:szCs w:val="19"/>
          <w:color w:val="000000"/>
        </w:rPr>
        <w:t xml:space="preserve"> Industry in accordance with the Investment Policy exceeds (ii) </w:t>
      </w:r>
      <w:r>
        <w:rPr>
          <w:rFonts w:ascii="Times New Roman" w:cs="Times New Roman" w:eastAsia="Times New Roman" w:hAnsi="Times New Roman"/>
          <w:sz w:val="19"/>
          <w:szCs w:val="19"/>
          <w:color w:val="00C000"/>
          <w:strike w:val="1"/>
        </w:rPr>
        <w:t>40.0</w:t>
      </w:r>
      <w:r>
        <w:rPr>
          <w:rFonts w:ascii="Times New Roman" w:cs="Times New Roman" w:eastAsia="Times New Roman" w:hAnsi="Times New Roman"/>
          <w:sz w:val="19"/>
          <w:szCs w:val="19"/>
          <w:color w:val="FF0000"/>
          <w:strike w:val="1"/>
        </w:rPr>
        <w:t>% of the Aggregate Outstanding Loan Balance;</w:t>
      </w:r>
    </w:p>
    <w:p>
      <w:pPr>
        <w:spacing w:after="0" w:line="183" w:lineRule="exact"/>
        <w:rPr>
          <w:rFonts w:ascii="Cambria" w:cs="Cambria" w:eastAsia="Cambria" w:hAnsi="Cambria"/>
          <w:sz w:val="19"/>
          <w:szCs w:val="19"/>
          <w:b w:val="1"/>
          <w:bCs w:val="1"/>
          <w:color w:val="FF0000"/>
          <w:strike w:val="1"/>
        </w:rPr>
      </w:pPr>
    </w:p>
    <w:p>
      <w:pPr>
        <w:jc w:val="both"/>
        <w:ind w:right="240" w:firstLine="2"/>
        <w:spacing w:after="0" w:line="260" w:lineRule="auto"/>
        <w:tabs>
          <w:tab w:leader="none" w:pos="312" w:val="left"/>
        </w:tabs>
        <w:numPr>
          <w:ilvl w:val="0"/>
          <w:numId w:val="3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FF0000"/>
          <w:strike w:val="1"/>
        </w:rPr>
        <w:t>the amount by which (i) the aggregate Outstanding Loan Balances of all Eligible Loans included as part of the Collateral the related Obligors of which are classified as Technology Companies in accordance with the Investment Policy exceeds (ii)</w:t>
      </w:r>
    </w:p>
    <w:p>
      <w:pPr>
        <w:spacing w:after="0"/>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FF0000"/>
          <w:strike w:val="1"/>
        </w:rPr>
        <w:t>75.0</w:t>
      </w:r>
      <w:r>
        <w:rPr>
          <w:rFonts w:ascii="Times New Roman" w:cs="Times New Roman" w:eastAsia="Times New Roman" w:hAnsi="Times New Roman"/>
          <w:sz w:val="19"/>
          <w:szCs w:val="19"/>
          <w:color w:val="0000FF"/>
        </w:rPr>
        <w:t>30.0</w:t>
      </w:r>
      <w:r>
        <w:rPr>
          <w:rFonts w:ascii="Times New Roman" w:cs="Times New Roman" w:eastAsia="Times New Roman" w:hAnsi="Times New Roman"/>
          <w:sz w:val="19"/>
          <w:szCs w:val="19"/>
          <w:color w:val="000000"/>
        </w:rPr>
        <w:t>% of the Aggregate Outstanding Loan Balance;</w:t>
      </w:r>
    </w:p>
    <w:p>
      <w:pPr>
        <w:spacing w:after="0" w:line="215" w:lineRule="exact"/>
        <w:rPr>
          <w:rFonts w:ascii="Cambria" w:cs="Cambria" w:eastAsia="Cambria" w:hAnsi="Cambria"/>
          <w:sz w:val="19"/>
          <w:szCs w:val="19"/>
          <w:b w:val="1"/>
          <w:bCs w:val="1"/>
          <w:color w:val="FF0000"/>
          <w:strike w:val="1"/>
        </w:rPr>
      </w:pPr>
    </w:p>
    <w:p>
      <w:pPr>
        <w:ind w:right="80" w:firstLine="2"/>
        <w:spacing w:after="0" w:line="258" w:lineRule="auto"/>
        <w:tabs>
          <w:tab w:leader="none" w:pos="348" w:val="left"/>
        </w:tabs>
        <w:numPr>
          <w:ilvl w:val="0"/>
          <w:numId w:val="3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(d)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the related Obligors of which are </w:t>
      </w:r>
      <w:r>
        <w:rPr>
          <w:rFonts w:ascii="Times New Roman" w:cs="Times New Roman" w:eastAsia="Times New Roman" w:hAnsi="Times New Roman"/>
          <w:sz w:val="19"/>
          <w:szCs w:val="19"/>
          <w:color w:val="0000FF"/>
        </w:rPr>
        <w:t>in businesses that are</w:t>
      </w:r>
      <w:r>
        <w:rPr>
          <w:rFonts w:ascii="Times New Roman" w:cs="Times New Roman" w:eastAsia="Times New Roman" w:hAnsi="Times New Roman"/>
          <w:sz w:val="19"/>
          <w:szCs w:val="19"/>
          <w:color w:val="000000"/>
        </w:rPr>
        <w:t xml:space="preserve"> classified </w:t>
      </w:r>
      <w:r>
        <w:rPr>
          <w:rFonts w:ascii="Times New Roman" w:cs="Times New Roman" w:eastAsia="Times New Roman" w:hAnsi="Times New Roman"/>
          <w:sz w:val="19"/>
          <w:szCs w:val="19"/>
          <w:color w:val="FF0000"/>
          <w:strike w:val="1"/>
        </w:rPr>
        <w:t>as Health Care &amp; Life Sciences Companies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C000"/>
        </w:rPr>
        <w:t>in</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C000"/>
          <w:strike w:val="1"/>
        </w:rPr>
        <w:t>accordance with the Investment Policy exceeds (ii)</w:t>
      </w:r>
      <w:r>
        <w:rPr>
          <w:rFonts w:ascii="Times New Roman" w:cs="Times New Roman" w:eastAsia="Times New Roman" w:hAnsi="Times New Roman"/>
          <w:sz w:val="19"/>
          <w:szCs w:val="19"/>
          <w:color w:val="00C000"/>
        </w:rPr>
        <w:t xml:space="preserve"> </w:t>
      </w:r>
      <w:r>
        <w:rPr>
          <w:rFonts w:ascii="Times New Roman" w:cs="Times New Roman" w:eastAsia="Times New Roman" w:hAnsi="Times New Roman"/>
          <w:sz w:val="19"/>
          <w:szCs w:val="19"/>
          <w:color w:val="FF0000"/>
          <w:strike w:val="1"/>
        </w:rPr>
        <w:t>50.0%</w:t>
      </w:r>
      <w:r>
        <w:rPr>
          <w:rFonts w:ascii="Times New Roman" w:cs="Times New Roman" w:eastAsia="Times New Roman" w:hAnsi="Times New Roman"/>
          <w:sz w:val="19"/>
          <w:szCs w:val="19"/>
          <w:color w:val="0000FF"/>
        </w:rPr>
        <w:t>in any of the three largest Industries (measured as the Industries with</w:t>
      </w:r>
      <w:r>
        <w:rPr>
          <w:rFonts w:ascii="Times New Roman" w:cs="Times New Roman" w:eastAsia="Times New Roman" w:hAnsi="Times New Roman"/>
          <w:sz w:val="19"/>
          <w:szCs w:val="19"/>
          <w:color w:val="00C000"/>
        </w:rPr>
        <w:t xml:space="preserve"> </w:t>
      </w:r>
      <w:r>
        <w:rPr>
          <w:rFonts w:ascii="Times New Roman" w:cs="Times New Roman" w:eastAsia="Times New Roman" w:hAnsi="Times New Roman"/>
          <w:sz w:val="19"/>
          <w:szCs w:val="19"/>
          <w:color w:val="0000FF"/>
        </w:rPr>
        <w:t xml:space="preserve">the first, second and third largest percentage </w:t>
      </w:r>
      <w:r>
        <w:rPr>
          <w:rFonts w:ascii="Times New Roman" w:cs="Times New Roman" w:eastAsia="Times New Roman" w:hAnsi="Times New Roman"/>
          <w:sz w:val="19"/>
          <w:szCs w:val="19"/>
          <w:color w:val="000000"/>
        </w:rPr>
        <w:t>of the Aggregate Outstanding Loan Balance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C000"/>
        </w:rPr>
        <w:t>in accordance with the Investment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C000"/>
        </w:rPr>
        <w:t>Policy exceeds (ii) 65.0</w:t>
      </w:r>
      <w:r>
        <w:rPr>
          <w:rFonts w:ascii="Times New Roman" w:cs="Times New Roman" w:eastAsia="Times New Roman" w:hAnsi="Times New Roman"/>
          <w:sz w:val="19"/>
          <w:szCs w:val="19"/>
          <w:color w:val="0000FF"/>
        </w:rPr>
        <w:t>% of the Aggregate Outstanding Loan Balance;</w:t>
      </w:r>
    </w:p>
    <w:p>
      <w:pPr>
        <w:spacing w:after="0" w:line="177" w:lineRule="exact"/>
        <w:rPr>
          <w:rFonts w:ascii="Cambria" w:cs="Cambria" w:eastAsia="Cambria" w:hAnsi="Cambria"/>
          <w:sz w:val="19"/>
          <w:szCs w:val="19"/>
          <w:b w:val="1"/>
          <w:bCs w:val="1"/>
          <w:color w:val="FF0000"/>
          <w:strike w:val="1"/>
        </w:rPr>
      </w:pPr>
    </w:p>
    <w:p>
      <w:pPr>
        <w:ind w:left="320" w:hanging="270"/>
        <w:spacing w:after="0"/>
        <w:tabs>
          <w:tab w:leader="none" w:pos="320" w:val="left"/>
        </w:tabs>
        <w:numPr>
          <w:ilvl w:val="1"/>
          <w:numId w:val="3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[reserved]</w:t>
      </w:r>
      <w:r>
        <w:rPr>
          <w:rFonts w:ascii="Times New Roman" w:cs="Times New Roman" w:eastAsia="Times New Roman" w:hAnsi="Times New Roman"/>
          <w:sz w:val="19"/>
          <w:szCs w:val="19"/>
          <w:color w:val="000000"/>
        </w:rPr>
        <w:t>;</w:t>
      </w:r>
    </w:p>
    <w:p>
      <w:pPr>
        <w:spacing w:after="0" w:line="237" w:lineRule="exact"/>
        <w:rPr>
          <w:rFonts w:ascii="Times New Roman" w:cs="Times New Roman" w:eastAsia="Times New Roman" w:hAnsi="Times New Roman"/>
          <w:sz w:val="19"/>
          <w:szCs w:val="19"/>
          <w:color w:val="0000FF"/>
        </w:rPr>
      </w:pPr>
    </w:p>
    <w:p>
      <w:pPr>
        <w:ind w:firstLine="2"/>
        <w:spacing w:after="0" w:line="265" w:lineRule="auto"/>
        <w:tabs>
          <w:tab w:leader="none" w:pos="312" w:val="left"/>
        </w:tabs>
        <w:numPr>
          <w:ilvl w:val="0"/>
          <w:numId w:val="3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(f) </w:t>
      </w:r>
      <w:r>
        <w:rPr>
          <w:rFonts w:ascii="Times New Roman" w:cs="Times New Roman" w:eastAsia="Times New Roman" w:hAnsi="Times New Roman"/>
          <w:sz w:val="19"/>
          <w:szCs w:val="19"/>
          <w:color w:val="000000"/>
        </w:rPr>
        <w:t>the amount by which (i) the aggregate Outstanding Loan Balances of all Eligible Loans included as part of the Collateral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the related Obligors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which are classified as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Energy Companies in accordance with the Investment Policy</w:t>
      </w:r>
      <w:r>
        <w:rPr>
          <w:rFonts w:ascii="Times New Roman" w:cs="Times New Roman" w:eastAsia="Times New Roman" w:hAnsi="Times New Roman"/>
          <w:sz w:val="19"/>
          <w:szCs w:val="19"/>
          <w:color w:val="0000FF"/>
        </w:rPr>
        <w:t>a BSL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exceeds (ii)</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10.0% of the Aggregate Outstanding Loan Balance;</w:t>
      </w:r>
    </w:p>
    <w:p>
      <w:pPr>
        <w:spacing w:after="0" w:line="183" w:lineRule="exact"/>
        <w:rPr>
          <w:rFonts w:ascii="Cambria" w:cs="Cambria" w:eastAsia="Cambria" w:hAnsi="Cambria"/>
          <w:sz w:val="19"/>
          <w:szCs w:val="19"/>
          <w:b w:val="1"/>
          <w:bCs w:val="1"/>
          <w:color w:val="FF0000"/>
          <w:strike w:val="1"/>
        </w:rPr>
      </w:pPr>
    </w:p>
    <w:p>
      <w:pPr>
        <w:ind w:right="160" w:firstLine="2"/>
        <w:spacing w:after="0" w:line="265" w:lineRule="auto"/>
        <w:tabs>
          <w:tab w:leader="none" w:pos="348" w:val="left"/>
        </w:tabs>
        <w:numPr>
          <w:ilvl w:val="0"/>
          <w:numId w:val="3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(g)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that are owed by the Obligor that is the Obligor with respect to the largest percentage of the Aggregate Outstanding Loan Balance exceeds (ii) </w:t>
      </w:r>
      <w:r>
        <w:rPr>
          <w:rFonts w:ascii="Times New Roman" w:cs="Times New Roman" w:eastAsia="Times New Roman" w:hAnsi="Times New Roman"/>
          <w:sz w:val="19"/>
          <w:szCs w:val="19"/>
          <w:color w:val="00C000"/>
        </w:rPr>
        <w:t>12.0% of</w:t>
      </w:r>
      <w:r>
        <w:rPr>
          <w:rFonts w:ascii="Times New Roman" w:cs="Times New Roman" w:eastAsia="Times New Roman" w:hAnsi="Times New Roman"/>
          <w:sz w:val="19"/>
          <w:szCs w:val="19"/>
          <w:color w:val="000000"/>
        </w:rPr>
        <w:t xml:space="preserve"> the </w:t>
      </w:r>
      <w:r>
        <w:rPr>
          <w:rFonts w:ascii="Times New Roman" w:cs="Times New Roman" w:eastAsia="Times New Roman" w:hAnsi="Times New Roman"/>
          <w:sz w:val="19"/>
          <w:szCs w:val="19"/>
          <w:color w:val="FF0000"/>
          <w:strike w:val="1"/>
        </w:rPr>
        <w:t>lesser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C000"/>
        </w:rPr>
        <w:t>Aggregate Outstanding Loan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5809615</wp:posOffset>
            </wp:positionH>
            <wp:positionV relativeFrom="paragraph">
              <wp:posOffset>-1962785</wp:posOffset>
            </wp:positionV>
            <wp:extent cx="12192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1">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pacing w:after="0" w:line="164" w:lineRule="exact"/>
        <w:rPr>
          <w:sz w:val="20"/>
          <w:szCs w:val="20"/>
          <w:color w:val="auto"/>
        </w:rPr>
      </w:pPr>
    </w:p>
    <w:p>
      <w:pPr>
        <w:ind w:right="220" w:firstLine="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color w:val="0000FF"/>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$50,000,000 and (B) 15.0% of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C000"/>
          <w:strike w:val="1"/>
        </w:rPr>
        <w:t>Aggregate Outstanding Loan Balance;</w:t>
      </w:r>
      <w:r>
        <w:rPr>
          <w:rFonts w:ascii="Cambria" w:cs="Cambria" w:eastAsia="Cambria" w:hAnsi="Cambria"/>
          <w:sz w:val="19"/>
          <w:szCs w:val="19"/>
          <w:b w:val="1"/>
          <w:bCs w:val="1"/>
          <w:color w:val="FF0000"/>
          <w:strike w:val="1"/>
        </w:rPr>
        <w:t>(h)</w:t>
      </w:r>
      <w:r>
        <w:rPr>
          <w:rFonts w:ascii="Times New Roman" w:cs="Times New Roman" w:eastAsia="Times New Roman" w:hAnsi="Times New Roman"/>
          <w:sz w:val="19"/>
          <w:szCs w:val="19"/>
          <w:color w:val="auto"/>
        </w:rPr>
        <w:t xml:space="preserve"> the amount by which (i) the aggregate Outstanding Loan Balances of all Eligible Loans included as part of the Collateral that are owed by any single Obligor (other than the Obligor described in clause (g) above) exceeds (ii) </w:t>
      </w:r>
      <w:r>
        <w:rPr>
          <w:rFonts w:ascii="Times New Roman" w:cs="Times New Roman" w:eastAsia="Times New Roman" w:hAnsi="Times New Roman"/>
          <w:sz w:val="19"/>
          <w:szCs w:val="19"/>
          <w:color w:val="0000FF"/>
        </w:rPr>
        <w:t>10.0% of</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color w:val="FF0000"/>
          <w:strike w:val="1"/>
        </w:rPr>
        <w:t>lesser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C000"/>
        </w:rPr>
        <w:t>Aggregate Outstanding Loan Balance;</w:t>
      </w:r>
    </w:p>
    <w:p>
      <w:pPr>
        <w:spacing w:after="0" w:line="184"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color w:val="0000FF"/>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$40,000,000 and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C000"/>
          <w:strike w:val="1"/>
        </w:rPr>
        <w:t>12.0%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C000"/>
          <w:strike w:val="1"/>
        </w:rPr>
        <w:t>Aggregate Outstanding Loan Balance;</w:t>
      </w:r>
      <w:r>
        <w:rPr>
          <w:rFonts w:ascii="Cambria" w:cs="Cambria" w:eastAsia="Cambria" w:hAnsi="Cambria"/>
          <w:sz w:val="19"/>
          <w:szCs w:val="19"/>
          <w:b w:val="1"/>
          <w:bCs w:val="1"/>
          <w:color w:val="FF0000"/>
          <w:strike w:val="1"/>
        </w:rPr>
        <w:t>(i)</w:t>
      </w:r>
      <w:r>
        <w:rPr>
          <w:rFonts w:ascii="Times New Roman" w:cs="Times New Roman" w:eastAsia="Times New Roman" w:hAnsi="Times New Roman"/>
          <w:sz w:val="19"/>
          <w:szCs w:val="19"/>
          <w:color w:val="auto"/>
        </w:rPr>
        <w:t xml:space="preserve"> the amount by which (i) the aggregate combined Outstanding Loan Balances of all Eligible Loans included as part of the Collateral that are owed by the Obligors that are the Obligors with respect to the five largest percentages of the Aggregate Outstanding Loan Balance exceeds (ii) </w:t>
      </w:r>
      <w:r>
        <w:rPr>
          <w:rFonts w:ascii="Times New Roman" w:cs="Times New Roman" w:eastAsia="Times New Roman" w:hAnsi="Times New Roman"/>
          <w:sz w:val="19"/>
          <w:szCs w:val="19"/>
          <w:color w:val="FF0000"/>
          <w:strike w:val="1"/>
        </w:rPr>
        <w:t>50.0</w:t>
      </w:r>
      <w:r>
        <w:rPr>
          <w:rFonts w:ascii="Times New Roman" w:cs="Times New Roman" w:eastAsia="Times New Roman" w:hAnsi="Times New Roman"/>
          <w:sz w:val="19"/>
          <w:szCs w:val="19"/>
          <w:color w:val="00C000"/>
        </w:rPr>
        <w:t>40.0</w:t>
      </w:r>
      <w:r>
        <w:rPr>
          <w:rFonts w:ascii="Times New Roman" w:cs="Times New Roman" w:eastAsia="Times New Roman" w:hAnsi="Times New Roman"/>
          <w:sz w:val="19"/>
          <w:szCs w:val="19"/>
          <w:color w:val="auto"/>
        </w:rPr>
        <w:t>% of the Aggregate Outstanding Loan Balance;</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20"/>
          </w:cols>
          <w:pgMar w:left="1360" w:top="1440" w:right="720" w:bottom="1440" w:gutter="0" w:footer="0" w:header="0"/>
        </w:sectPr>
      </w:pPr>
    </w:p>
    <w:bookmarkStart w:id="197" w:name="page198"/>
    <w:bookmarkEnd w:id="197"/>
    <w:p>
      <w:pPr>
        <w:spacing w:after="0" w:line="200" w:lineRule="exact"/>
        <w:rPr>
          <w:sz w:val="20"/>
          <w:szCs w:val="20"/>
          <w:color w:val="auto"/>
        </w:rPr>
      </w:pPr>
    </w:p>
    <w:p>
      <w:pPr>
        <w:spacing w:after="0" w:line="297" w:lineRule="exact"/>
        <w:rPr>
          <w:sz w:val="20"/>
          <w:szCs w:val="20"/>
          <w:color w:val="auto"/>
        </w:rPr>
      </w:pPr>
    </w:p>
    <w:p>
      <w:pPr>
        <w:ind w:left="-2" w:firstLine="2"/>
        <w:spacing w:after="0" w:line="265" w:lineRule="auto"/>
        <w:tabs>
          <w:tab w:leader="none" w:pos="298" w:val="left"/>
        </w:tabs>
        <w:numPr>
          <w:ilvl w:val="0"/>
          <w:numId w:val="38"/>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(j) </w:t>
      </w:r>
      <w:r>
        <w:rPr>
          <w:rFonts w:ascii="Times New Roman" w:cs="Times New Roman" w:eastAsia="Times New Roman" w:hAnsi="Times New Roman"/>
          <w:sz w:val="19"/>
          <w:szCs w:val="19"/>
          <w:color w:val="000000"/>
        </w:rPr>
        <w:t>the amount by which (i) the aggregate Outstanding Loan Balances of all Eligible Loans included as part of the Collateral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the related Obligors of which have corporate headquarters in the state of California exceeds (ii) </w:t>
      </w:r>
      <w:r>
        <w:rPr>
          <w:rFonts w:ascii="Times New Roman" w:cs="Times New Roman" w:eastAsia="Times New Roman" w:hAnsi="Times New Roman"/>
          <w:sz w:val="19"/>
          <w:szCs w:val="19"/>
          <w:color w:val="00C000"/>
          <w:strike w:val="1"/>
        </w:rPr>
        <w:t>65.0</w:t>
      </w:r>
      <w:r>
        <w:rPr>
          <w:rFonts w:ascii="Times New Roman" w:cs="Times New Roman" w:eastAsia="Times New Roman" w:hAnsi="Times New Roman"/>
          <w:sz w:val="19"/>
          <w:szCs w:val="19"/>
          <w:color w:val="0000FF"/>
        </w:rPr>
        <w:t>60.0</w:t>
      </w:r>
      <w:r>
        <w:rPr>
          <w:rFonts w:ascii="Times New Roman" w:cs="Times New Roman" w:eastAsia="Times New Roman" w:hAnsi="Times New Roman"/>
          <w:sz w:val="19"/>
          <w:szCs w:val="19"/>
          <w:color w:val="000000"/>
        </w:rPr>
        <w:t>% of the Aggregate Outstanding Loan Balance;</w:t>
      </w:r>
    </w:p>
    <w:p>
      <w:pPr>
        <w:spacing w:after="0" w:line="183" w:lineRule="exact"/>
        <w:rPr>
          <w:rFonts w:ascii="Cambria" w:cs="Cambria" w:eastAsia="Cambria" w:hAnsi="Cambria"/>
          <w:sz w:val="19"/>
          <w:szCs w:val="19"/>
          <w:b w:val="1"/>
          <w:bCs w:val="1"/>
          <w:color w:val="FF0000"/>
          <w:strike w:val="1"/>
        </w:rPr>
      </w:pPr>
    </w:p>
    <w:p>
      <w:pPr>
        <w:ind w:left="-2" w:right="520" w:firstLine="2"/>
        <w:spacing w:after="0" w:line="265" w:lineRule="auto"/>
        <w:tabs>
          <w:tab w:leader="none" w:pos="358" w:val="left"/>
        </w:tabs>
        <w:numPr>
          <w:ilvl w:val="0"/>
          <w:numId w:val="38"/>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(k)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the related Obligors of which have corporate headquarters in any single state other than California exceeds (ii) </w:t>
      </w:r>
      <w:r>
        <w:rPr>
          <w:rFonts w:ascii="Times New Roman" w:cs="Times New Roman" w:eastAsia="Times New Roman" w:hAnsi="Times New Roman"/>
          <w:sz w:val="19"/>
          <w:szCs w:val="19"/>
          <w:color w:val="FF0000"/>
          <w:strike w:val="1"/>
        </w:rPr>
        <w:t>25.0</w:t>
      </w:r>
      <w:r>
        <w:rPr>
          <w:rFonts w:ascii="Times New Roman" w:cs="Times New Roman" w:eastAsia="Times New Roman" w:hAnsi="Times New Roman"/>
          <w:sz w:val="19"/>
          <w:szCs w:val="19"/>
          <w:color w:val="0000FF"/>
        </w:rPr>
        <w:t>30.0</w:t>
      </w:r>
      <w:r>
        <w:rPr>
          <w:rFonts w:ascii="Times New Roman" w:cs="Times New Roman" w:eastAsia="Times New Roman" w:hAnsi="Times New Roman"/>
          <w:sz w:val="19"/>
          <w:szCs w:val="19"/>
          <w:color w:val="000000"/>
        </w:rPr>
        <w:t>% of the Aggregate Outstanding Loan Balance;</w:t>
      </w:r>
    </w:p>
    <w:p>
      <w:pPr>
        <w:spacing w:after="0" w:line="184" w:lineRule="exact"/>
        <w:rPr>
          <w:sz w:val="20"/>
          <w:szCs w:val="20"/>
          <w:color w:val="auto"/>
        </w:rPr>
      </w:pPr>
    </w:p>
    <w:p>
      <w:pPr>
        <w:ind w:left="1058" w:right="40" w:hanging="842"/>
        <w:spacing w:after="0" w:line="265" w:lineRule="auto"/>
        <w:tabs>
          <w:tab w:leader="none" w:pos="482" w:val="left"/>
        </w:tabs>
        <w:numPr>
          <w:ilvl w:val="1"/>
          <w:numId w:val="39"/>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FF0000"/>
          <w:strike w:val="1"/>
        </w:rPr>
        <w:t>the amount by which (i) the aggregate Outstanding Loan Balances of all Eligible Loans included as part of the Collateral the related Obligors of which are not domiciled in the United States or any territory of the United States exceeds (ii) 15.0% of the Aggregate Outstanding Loan Balance;</w:t>
      </w:r>
    </w:p>
    <w:p>
      <w:pPr>
        <w:spacing w:after="0" w:line="171" w:lineRule="exact"/>
        <w:rPr>
          <w:rFonts w:ascii="Cambria" w:cs="Cambria" w:eastAsia="Cambria" w:hAnsi="Cambria"/>
          <w:sz w:val="19"/>
          <w:szCs w:val="19"/>
          <w:b w:val="1"/>
          <w:bCs w:val="1"/>
          <w:color w:val="FF0000"/>
          <w:strike w:val="1"/>
        </w:rPr>
      </w:pPr>
    </w:p>
    <w:p>
      <w:pPr>
        <w:ind w:left="278" w:hanging="230"/>
        <w:spacing w:after="0"/>
        <w:tabs>
          <w:tab w:leader="none" w:pos="278" w:val="left"/>
        </w:tabs>
        <w:numPr>
          <w:ilvl w:val="0"/>
          <w:numId w:val="40"/>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[reserved];</w:t>
      </w:r>
    </w:p>
    <w:p>
      <w:pPr>
        <w:spacing w:after="0" w:line="238" w:lineRule="exact"/>
        <w:rPr>
          <w:sz w:val="20"/>
          <w:szCs w:val="20"/>
          <w:color w:val="auto"/>
        </w:rPr>
      </w:pPr>
    </w:p>
    <w:p>
      <w:pPr>
        <w:ind w:left="-2" w:right="580" w:firstLine="2"/>
        <w:spacing w:after="0" w:line="281" w:lineRule="auto"/>
        <w:tabs>
          <w:tab w:leader="none" w:pos="418" w:val="left"/>
        </w:tabs>
        <w:numPr>
          <w:ilvl w:val="0"/>
          <w:numId w:val="41"/>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(m)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Collateral that are PIK Loans exceeds (ii) 15.0% of the Aggregate Outstanding Loan Balance;</w:t>
      </w:r>
    </w:p>
    <w:p>
      <w:pPr>
        <w:spacing w:after="0" w:line="167" w:lineRule="exact"/>
        <w:rPr>
          <w:rFonts w:ascii="Cambria" w:cs="Cambria" w:eastAsia="Cambria" w:hAnsi="Cambria"/>
          <w:sz w:val="19"/>
          <w:szCs w:val="19"/>
          <w:b w:val="1"/>
          <w:bCs w:val="1"/>
          <w:color w:val="FF0000"/>
          <w:strike w:val="1"/>
        </w:rPr>
      </w:pPr>
    </w:p>
    <w:p>
      <w:pPr>
        <w:ind w:left="-2" w:firstLine="2"/>
        <w:spacing w:after="0" w:line="265" w:lineRule="auto"/>
        <w:tabs>
          <w:tab w:leader="none" w:pos="358" w:val="left"/>
        </w:tabs>
        <w:numPr>
          <w:ilvl w:val="0"/>
          <w:numId w:val="41"/>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(n) </w:t>
      </w:r>
      <w:r>
        <w:rPr>
          <w:rFonts w:ascii="Times New Roman" w:cs="Times New Roman" w:eastAsia="Times New Roman" w:hAnsi="Times New Roman"/>
          <w:sz w:val="19"/>
          <w:szCs w:val="19"/>
          <w:color w:val="000000"/>
        </w:rPr>
        <w:t>the amount by which (i) the aggregate Outstanding Loan Balances of all</w:t>
      </w:r>
      <w:r>
        <w:rPr>
          <w:rFonts w:ascii="Times New Roman" w:cs="Times New Roman" w:eastAsia="Times New Roman" w:hAnsi="Times New Roman"/>
          <w:sz w:val="19"/>
          <w:szCs w:val="19"/>
          <w:color w:val="0000FF"/>
        </w:rPr>
        <w:t xml:space="preserve"> Cash Flow Loans constituting </w:t>
      </w:r>
      <w:r>
        <w:rPr>
          <w:rFonts w:ascii="Times New Roman" w:cs="Times New Roman" w:eastAsia="Times New Roman" w:hAnsi="Times New Roman"/>
          <w:sz w:val="19"/>
          <w:szCs w:val="19"/>
          <w:color w:val="000000"/>
        </w:rPr>
        <w:t>Eligible Loans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included as part of the Collateral </w:t>
      </w:r>
      <w:r>
        <w:rPr>
          <w:rFonts w:ascii="Times New Roman" w:cs="Times New Roman" w:eastAsia="Times New Roman" w:hAnsi="Times New Roman"/>
          <w:sz w:val="19"/>
          <w:szCs w:val="19"/>
          <w:color w:val="FF0000"/>
          <w:strike w:val="1"/>
        </w:rPr>
        <w:t>that require interest and principal to be paid less frequently than monthly</w:t>
      </w:r>
      <w:r>
        <w:rPr>
          <w:rFonts w:ascii="Times New Roman" w:cs="Times New Roman" w:eastAsia="Times New Roman" w:hAnsi="Times New Roman"/>
          <w:sz w:val="19"/>
          <w:szCs w:val="19"/>
          <w:color w:val="0000FF"/>
        </w:rPr>
        <w:t>the related Obligor of</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 xml:space="preserve">which is not a Sponsor-Backed Company </w:t>
      </w:r>
      <w:r>
        <w:rPr>
          <w:rFonts w:ascii="Times New Roman" w:cs="Times New Roman" w:eastAsia="Times New Roman" w:hAnsi="Times New Roman"/>
          <w:sz w:val="19"/>
          <w:szCs w:val="19"/>
          <w:color w:val="000000"/>
        </w:rPr>
        <w:t>exceeds (ii)</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10.0</w:t>
      </w:r>
      <w:r>
        <w:rPr>
          <w:rFonts w:ascii="Times New Roman" w:cs="Times New Roman" w:eastAsia="Times New Roman" w:hAnsi="Times New Roman"/>
          <w:sz w:val="19"/>
          <w:szCs w:val="19"/>
          <w:color w:val="0000FF"/>
        </w:rPr>
        <w:t>20.0</w:t>
      </w:r>
      <w:r>
        <w:rPr>
          <w:rFonts w:ascii="Times New Roman" w:cs="Times New Roman" w:eastAsia="Times New Roman" w:hAnsi="Times New Roman"/>
          <w:sz w:val="19"/>
          <w:szCs w:val="19"/>
          <w:color w:val="000000"/>
        </w:rPr>
        <w:t>% of the Aggregate Outstanding Loan Balance;</w:t>
      </w:r>
    </w:p>
    <w:p>
      <w:pPr>
        <w:spacing w:after="0" w:line="183" w:lineRule="exact"/>
        <w:rPr>
          <w:rFonts w:ascii="Cambria" w:cs="Cambria" w:eastAsia="Cambria" w:hAnsi="Cambria"/>
          <w:sz w:val="19"/>
          <w:szCs w:val="19"/>
          <w:b w:val="1"/>
          <w:bCs w:val="1"/>
          <w:color w:val="FF0000"/>
          <w:strike w:val="1"/>
        </w:rPr>
      </w:pPr>
    </w:p>
    <w:p>
      <w:pPr>
        <w:jc w:val="both"/>
        <w:ind w:left="-2" w:right="640" w:firstLine="2"/>
        <w:spacing w:after="0" w:line="265" w:lineRule="auto"/>
        <w:tabs>
          <w:tab w:leader="none" w:pos="358" w:val="left"/>
        </w:tabs>
        <w:numPr>
          <w:ilvl w:val="0"/>
          <w:numId w:val="41"/>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(o)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the related Obligor of which </w:t>
      </w:r>
      <w:r>
        <w:rPr>
          <w:rFonts w:ascii="Times New Roman" w:cs="Times New Roman" w:eastAsia="Times New Roman" w:hAnsi="Times New Roman"/>
          <w:sz w:val="19"/>
          <w:szCs w:val="19"/>
          <w:color w:val="FF0000"/>
          <w:strike w:val="1"/>
        </w:rPr>
        <w:t>does</w:t>
      </w:r>
      <w:r>
        <w:rPr>
          <w:rFonts w:ascii="Times New Roman" w:cs="Times New Roman" w:eastAsia="Times New Roman" w:hAnsi="Times New Roman"/>
          <w:sz w:val="19"/>
          <w:szCs w:val="19"/>
          <w:color w:val="0000FF"/>
        </w:rPr>
        <w:t>is</w:t>
      </w:r>
      <w:r>
        <w:rPr>
          <w:rFonts w:ascii="Times New Roman" w:cs="Times New Roman" w:eastAsia="Times New Roman" w:hAnsi="Times New Roman"/>
          <w:sz w:val="19"/>
          <w:szCs w:val="19"/>
          <w:color w:val="000000"/>
        </w:rPr>
        <w:t xml:space="preserve"> not </w:t>
      </w:r>
      <w:r>
        <w:rPr>
          <w:rFonts w:ascii="Times New Roman" w:cs="Times New Roman" w:eastAsia="Times New Roman" w:hAnsi="Times New Roman"/>
          <w:sz w:val="19"/>
          <w:szCs w:val="19"/>
          <w:color w:val="FF0000"/>
          <w:strike w:val="1"/>
        </w:rPr>
        <w:t>have</w:t>
      </w:r>
      <w:r>
        <w:rPr>
          <w:rFonts w:ascii="Times New Roman" w:cs="Times New Roman" w:eastAsia="Times New Roman" w:hAnsi="Times New Roman"/>
          <w:sz w:val="19"/>
          <w:szCs w:val="19"/>
          <w:color w:val="000000"/>
        </w:rPr>
        <w:t xml:space="preserve"> a </w:t>
      </w:r>
      <w:r>
        <w:rPr>
          <w:rFonts w:ascii="Times New Roman" w:cs="Times New Roman" w:eastAsia="Times New Roman" w:hAnsi="Times New Roman"/>
          <w:sz w:val="19"/>
          <w:szCs w:val="19"/>
          <w:color w:val="FF0000"/>
          <w:strike w:val="1"/>
        </w:rPr>
        <w:t>Financial</w:t>
      </w:r>
      <w:r>
        <w:rPr>
          <w:rFonts w:ascii="Times New Roman" w:cs="Times New Roman" w:eastAsia="Times New Roman" w:hAnsi="Times New Roman"/>
          <w:sz w:val="19"/>
          <w:szCs w:val="19"/>
          <w:color w:val="000000"/>
        </w:rPr>
        <w:t xml:space="preserve"> Sponsor</w:t>
      </w:r>
      <w:r>
        <w:rPr>
          <w:rFonts w:ascii="Times New Roman" w:cs="Times New Roman" w:eastAsia="Times New Roman" w:hAnsi="Times New Roman"/>
          <w:sz w:val="19"/>
          <w:szCs w:val="19"/>
          <w:color w:val="0000FF"/>
        </w:rPr>
        <w:t>-Backed Company</w:t>
      </w:r>
      <w:r>
        <w:rPr>
          <w:rFonts w:ascii="Times New Roman" w:cs="Times New Roman" w:eastAsia="Times New Roman" w:hAnsi="Times New Roman"/>
          <w:sz w:val="19"/>
          <w:szCs w:val="19"/>
          <w:color w:val="000000"/>
        </w:rPr>
        <w:t xml:space="preserve"> exceeds (ii) 33.0% of the Aggregate Outstanding Loan Balance;</w:t>
      </w:r>
    </w:p>
    <w:p>
      <w:pPr>
        <w:spacing w:after="0" w:line="183" w:lineRule="exact"/>
        <w:rPr>
          <w:rFonts w:ascii="Cambria" w:cs="Cambria" w:eastAsia="Cambria" w:hAnsi="Cambria"/>
          <w:sz w:val="19"/>
          <w:szCs w:val="19"/>
          <w:b w:val="1"/>
          <w:bCs w:val="1"/>
          <w:color w:val="FF0000"/>
          <w:strike w:val="1"/>
        </w:rPr>
      </w:pPr>
    </w:p>
    <w:p>
      <w:pPr>
        <w:ind w:left="-2" w:right="700" w:firstLine="2"/>
        <w:spacing w:after="0" w:line="281" w:lineRule="auto"/>
        <w:tabs>
          <w:tab w:leader="none" w:pos="358" w:val="left"/>
        </w:tabs>
        <w:numPr>
          <w:ilvl w:val="0"/>
          <w:numId w:val="41"/>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(p)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Collateral that are not Control Position Loans exceeds (ii) 15.0% of the Aggregate Outstanding Loan Balance;</w:t>
      </w:r>
    </w:p>
    <w:p>
      <w:pPr>
        <w:spacing w:after="0" w:line="167" w:lineRule="exact"/>
        <w:rPr>
          <w:rFonts w:ascii="Cambria" w:cs="Cambria" w:eastAsia="Cambria" w:hAnsi="Cambria"/>
          <w:sz w:val="19"/>
          <w:szCs w:val="19"/>
          <w:b w:val="1"/>
          <w:bCs w:val="1"/>
          <w:color w:val="FF0000"/>
          <w:strike w:val="1"/>
        </w:rPr>
      </w:pPr>
    </w:p>
    <w:p>
      <w:pPr>
        <w:ind w:left="-2" w:right="140" w:firstLine="2"/>
        <w:spacing w:after="0" w:line="265" w:lineRule="auto"/>
        <w:tabs>
          <w:tab w:leader="none" w:pos="358" w:val="left"/>
        </w:tabs>
        <w:numPr>
          <w:ilvl w:val="0"/>
          <w:numId w:val="41"/>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(q)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Collateral the related Obligor of which is assigned a Proprietary Risk Rating of “3</w:t>
      </w:r>
      <w:r>
        <w:rPr>
          <w:rFonts w:ascii="Times New Roman" w:cs="Times New Roman" w:eastAsia="Times New Roman" w:hAnsi="Times New Roman"/>
          <w:sz w:val="19"/>
          <w:szCs w:val="19"/>
          <w:color w:val="0000FF"/>
        </w:rPr>
        <w:t>-” or “3</w:t>
      </w:r>
      <w:r>
        <w:rPr>
          <w:rFonts w:ascii="Times New Roman" w:cs="Times New Roman" w:eastAsia="Times New Roman" w:hAnsi="Times New Roman"/>
          <w:sz w:val="19"/>
          <w:szCs w:val="19"/>
          <w:color w:val="000000"/>
        </w:rPr>
        <w:t>” exceeds (ii) 25% of the Aggregate Outstanding Loan Balance;</w:t>
      </w:r>
    </w:p>
    <w:p>
      <w:pPr>
        <w:spacing w:after="0" w:line="183" w:lineRule="exact"/>
        <w:rPr>
          <w:rFonts w:ascii="Cambria" w:cs="Cambria" w:eastAsia="Cambria" w:hAnsi="Cambria"/>
          <w:sz w:val="19"/>
          <w:szCs w:val="19"/>
          <w:b w:val="1"/>
          <w:bCs w:val="1"/>
          <w:color w:val="FF0000"/>
          <w:strike w:val="1"/>
        </w:rPr>
      </w:pPr>
    </w:p>
    <w:p>
      <w:pPr>
        <w:ind w:left="1058" w:right="20" w:hanging="842"/>
        <w:spacing w:after="0" w:line="256" w:lineRule="auto"/>
        <w:tabs>
          <w:tab w:leader="none" w:pos="506" w:val="left"/>
        </w:tabs>
        <w:numPr>
          <w:ilvl w:val="1"/>
          <w:numId w:val="41"/>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FF0000"/>
          <w:strike w:val="1"/>
        </w:rPr>
        <w:t>the amount by which (i) the aggregate Outstanding Loan Balances of all Eligible Loans included as part of the Collateral for which the required documentation has not been delivered to the Document Custodian and the Administrative Agent in conformity with the requirements of the Transaction Documents exceeds (ii) 10% of the Aggregate</w:t>
      </w:r>
    </w:p>
    <w:p>
      <w:pPr>
        <w:spacing w:after="0" w:line="3" w:lineRule="exact"/>
        <w:rPr>
          <w:sz w:val="20"/>
          <w:szCs w:val="20"/>
          <w:color w:val="auto"/>
        </w:rPr>
      </w:pPr>
    </w:p>
    <w:p>
      <w:pPr>
        <w:ind w:left="1058"/>
        <w:spacing w:after="0"/>
        <w:rPr>
          <w:sz w:val="20"/>
          <w:szCs w:val="20"/>
          <w:color w:val="auto"/>
        </w:rPr>
      </w:pPr>
      <w:r>
        <w:rPr>
          <w:rFonts w:ascii="Times New Roman" w:cs="Times New Roman" w:eastAsia="Times New Roman" w:hAnsi="Times New Roman"/>
          <w:sz w:val="19"/>
          <w:szCs w:val="19"/>
          <w:color w:val="FF0000"/>
          <w:strike w:val="1"/>
        </w:rPr>
        <w:t>Outstanding Loan Balance;</w:t>
      </w:r>
    </w:p>
    <w:p>
      <w:pPr>
        <w:spacing w:after="0" w:line="10" w:lineRule="exact"/>
        <w:rPr>
          <w:sz w:val="20"/>
          <w:szCs w:val="20"/>
          <w:color w:val="auto"/>
        </w:rPr>
      </w:pPr>
    </w:p>
    <w:p>
      <w:pPr>
        <w:ind w:left="443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635635</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98"/>
          </w:cols>
          <w:pgMar w:left="1362" w:top="1440" w:right="740" w:bottom="1440" w:gutter="0" w:footer="0" w:header="0"/>
        </w:sectPr>
      </w:pPr>
    </w:p>
    <w:bookmarkStart w:id="198" w:name="page199"/>
    <w:bookmarkEnd w:id="198"/>
    <w:p>
      <w:pPr>
        <w:spacing w:after="0" w:line="200" w:lineRule="exact"/>
        <w:rPr>
          <w:sz w:val="20"/>
          <w:szCs w:val="20"/>
          <w:color w:val="auto"/>
        </w:rPr>
      </w:pPr>
    </w:p>
    <w:p>
      <w:pPr>
        <w:spacing w:after="0" w:line="285" w:lineRule="exact"/>
        <w:rPr>
          <w:sz w:val="20"/>
          <w:szCs w:val="20"/>
          <w:color w:val="auto"/>
        </w:rPr>
      </w:pPr>
    </w:p>
    <w:p>
      <w:pPr>
        <w:ind w:left="298" w:hanging="250"/>
        <w:spacing w:after="0"/>
        <w:tabs>
          <w:tab w:leader="none" w:pos="298" w:val="left"/>
        </w:tabs>
        <w:numPr>
          <w:ilvl w:val="1"/>
          <w:numId w:val="42"/>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[reserved];</w:t>
      </w:r>
    </w:p>
    <w:p>
      <w:pPr>
        <w:spacing w:after="0" w:line="237" w:lineRule="exact"/>
        <w:rPr>
          <w:rFonts w:ascii="Times New Roman" w:cs="Times New Roman" w:eastAsia="Times New Roman" w:hAnsi="Times New Roman"/>
          <w:sz w:val="19"/>
          <w:szCs w:val="19"/>
          <w:color w:val="0000FF"/>
        </w:rPr>
      </w:pPr>
    </w:p>
    <w:p>
      <w:pPr>
        <w:ind w:left="-2" w:firstLine="2"/>
        <w:spacing w:after="0" w:line="281" w:lineRule="auto"/>
        <w:tabs>
          <w:tab w:leader="none" w:pos="334" w:val="left"/>
        </w:tabs>
        <w:numPr>
          <w:ilvl w:val="1"/>
          <w:numId w:val="42"/>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(s) </w:t>
      </w:r>
      <w:r>
        <w:rPr>
          <w:rFonts w:ascii="Times New Roman" w:cs="Times New Roman" w:eastAsia="Times New Roman" w:hAnsi="Times New Roman"/>
          <w:sz w:val="19"/>
          <w:szCs w:val="19"/>
          <w:color w:val="000000"/>
        </w:rPr>
        <w:t>the amount by which (i) the aggregate Outstanding Loan Balances of all Eligible Loans included as part of the Collateral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that have been the subject of a Material Modification exceeds (ii) 10% of the Aggregate Outstanding Loan Balance;</w:t>
      </w:r>
    </w:p>
    <w:p>
      <w:pPr>
        <w:spacing w:after="0" w:line="167" w:lineRule="exact"/>
        <w:rPr>
          <w:rFonts w:ascii="Cambria" w:cs="Cambria" w:eastAsia="Cambria" w:hAnsi="Cambria"/>
          <w:sz w:val="19"/>
          <w:szCs w:val="19"/>
          <w:b w:val="1"/>
          <w:bCs w:val="1"/>
          <w:color w:val="FF0000"/>
          <w:strike w:val="1"/>
        </w:rPr>
      </w:pPr>
    </w:p>
    <w:p>
      <w:pPr>
        <w:ind w:left="-2" w:right="220" w:firstLine="2"/>
        <w:spacing w:after="0" w:line="281" w:lineRule="auto"/>
        <w:tabs>
          <w:tab w:leader="none" w:pos="310" w:val="left"/>
        </w:tabs>
        <w:numPr>
          <w:ilvl w:val="0"/>
          <w:numId w:val="43"/>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(t) </w:t>
      </w:r>
      <w:r>
        <w:rPr>
          <w:rFonts w:ascii="Times New Roman" w:cs="Times New Roman" w:eastAsia="Times New Roman" w:hAnsi="Times New Roman"/>
          <w:sz w:val="19"/>
          <w:szCs w:val="19"/>
          <w:color w:val="000000"/>
        </w:rPr>
        <w:t>to the extent the Weighted Average Remaining Maturity exceeds 42 months, the portion of the Aggregate Outstanding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 Balance attributable to all such Eligible Loans to the extent of such excess;</w:t>
      </w:r>
    </w:p>
    <w:p>
      <w:pPr>
        <w:spacing w:after="0" w:line="167" w:lineRule="exact"/>
        <w:rPr>
          <w:rFonts w:ascii="Cambria" w:cs="Cambria" w:eastAsia="Cambria" w:hAnsi="Cambria"/>
          <w:sz w:val="19"/>
          <w:szCs w:val="19"/>
          <w:b w:val="1"/>
          <w:bCs w:val="1"/>
          <w:color w:val="FF0000"/>
          <w:strike w:val="1"/>
        </w:rPr>
      </w:pPr>
    </w:p>
    <w:p>
      <w:pPr>
        <w:ind w:left="1058" w:right="340" w:hanging="842"/>
        <w:spacing w:after="0" w:line="281" w:lineRule="auto"/>
        <w:tabs>
          <w:tab w:leader="none" w:pos="530" w:val="left"/>
        </w:tabs>
        <w:numPr>
          <w:ilvl w:val="3"/>
          <w:numId w:val="43"/>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FF0000"/>
          <w:strike w:val="1"/>
        </w:rPr>
        <w:t>to the extent the Weighted Average Remaining Interest Only Period exceeds 30 months, the portion of the Aggregate Outstanding Loan Balance attributable to all such Eligible Loans to the extent of such excess;</w:t>
      </w:r>
    </w:p>
    <w:p>
      <w:pPr>
        <w:spacing w:after="0" w:line="155" w:lineRule="exact"/>
        <w:rPr>
          <w:rFonts w:ascii="Cambria" w:cs="Cambria" w:eastAsia="Cambria" w:hAnsi="Cambria"/>
          <w:sz w:val="19"/>
          <w:szCs w:val="19"/>
          <w:b w:val="1"/>
          <w:bCs w:val="1"/>
          <w:color w:val="FF0000"/>
          <w:strike w:val="1"/>
        </w:rPr>
      </w:pPr>
    </w:p>
    <w:p>
      <w:pPr>
        <w:ind w:left="318" w:hanging="270"/>
        <w:spacing w:after="0"/>
        <w:tabs>
          <w:tab w:leader="none" w:pos="318" w:val="left"/>
        </w:tabs>
        <w:numPr>
          <w:ilvl w:val="2"/>
          <w:numId w:val="4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[reserved];</w:t>
      </w:r>
    </w:p>
    <w:p>
      <w:pPr>
        <w:spacing w:after="0" w:line="238" w:lineRule="exact"/>
        <w:rPr>
          <w:sz w:val="20"/>
          <w:szCs w:val="20"/>
          <w:color w:val="auto"/>
        </w:rPr>
      </w:pPr>
    </w:p>
    <w:p>
      <w:pPr>
        <w:ind w:left="-2" w:right="120" w:firstLine="2"/>
        <w:spacing w:after="0" w:line="260" w:lineRule="auto"/>
        <w:tabs>
          <w:tab w:leader="none" w:pos="346" w:val="left"/>
        </w:tabs>
        <w:numPr>
          <w:ilvl w:val="0"/>
          <w:numId w:val="44"/>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(v) </w:t>
      </w:r>
      <w:r>
        <w:rPr>
          <w:rFonts w:ascii="Times New Roman" w:cs="Times New Roman" w:eastAsia="Times New Roman" w:hAnsi="Times New Roman"/>
          <w:sz w:val="19"/>
          <w:szCs w:val="19"/>
          <w:color w:val="000000"/>
        </w:rPr>
        <w:t>to the extent the Weighted Average Spread is less than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7.25</w:t>
      </w:r>
      <w:r>
        <w:rPr>
          <w:rFonts w:ascii="Times New Roman" w:cs="Times New Roman" w:eastAsia="Times New Roman" w:hAnsi="Times New Roman"/>
          <w:sz w:val="19"/>
          <w:szCs w:val="19"/>
          <w:color w:val="0000FF"/>
        </w:rPr>
        <w:t>6.00</w:t>
      </w:r>
      <w:r>
        <w:rPr>
          <w:rFonts w:ascii="Times New Roman" w:cs="Times New Roman" w:eastAsia="Times New Roman" w:hAnsi="Times New Roman"/>
          <w:sz w:val="19"/>
          <w:szCs w:val="19"/>
          <w:color w:val="000000"/>
        </w:rPr>
        <w:t>%, the portion of the Aggregate Outstanding Loan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Balance attributable to all such Eligible Loans to the extent of such shortfall; </w:t>
      </w:r>
      <w:r>
        <w:rPr>
          <w:rFonts w:ascii="Times New Roman" w:cs="Times New Roman" w:eastAsia="Times New Roman" w:hAnsi="Times New Roman"/>
          <w:sz w:val="19"/>
          <w:szCs w:val="19"/>
          <w:color w:val="0000FF"/>
        </w:rPr>
        <w:t>provided that, Broadly Syndicated Loans owned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for less than 120 days by the Borrower shall be excluded from the calculation of the Weighted Average Spread for purposes of this clause (v);</w:t>
      </w:r>
    </w:p>
    <w:p>
      <w:pPr>
        <w:spacing w:after="0" w:line="188" w:lineRule="exact"/>
        <w:rPr>
          <w:rFonts w:ascii="Cambria" w:cs="Cambria" w:eastAsia="Cambria" w:hAnsi="Cambria"/>
          <w:sz w:val="19"/>
          <w:szCs w:val="19"/>
          <w:b w:val="1"/>
          <w:bCs w:val="1"/>
          <w:color w:val="FF0000"/>
          <w:strike w:val="1"/>
        </w:rPr>
      </w:pPr>
    </w:p>
    <w:p>
      <w:pPr>
        <w:ind w:left="-2" w:right="260" w:firstLine="2"/>
        <w:spacing w:after="0" w:line="281" w:lineRule="auto"/>
        <w:tabs>
          <w:tab w:leader="none" w:pos="394" w:val="left"/>
        </w:tabs>
        <w:numPr>
          <w:ilvl w:val="0"/>
          <w:numId w:val="44"/>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(w) </w:t>
      </w:r>
      <w:r>
        <w:rPr>
          <w:rFonts w:ascii="Times New Roman" w:cs="Times New Roman" w:eastAsia="Times New Roman" w:hAnsi="Times New Roman"/>
          <w:sz w:val="19"/>
          <w:szCs w:val="19"/>
          <w:color w:val="000000"/>
        </w:rPr>
        <w:t>to the extent the Weighted Average Proprietary Risk Rating exceeds 2.50, the portion of the Aggregate Outstanding</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Loan Balance attributable to all such Eligible Loans to the extent of such excess;</w:t>
      </w:r>
    </w:p>
    <w:p>
      <w:pPr>
        <w:spacing w:after="0" w:line="167" w:lineRule="exact"/>
        <w:rPr>
          <w:rFonts w:ascii="Cambria" w:cs="Cambria" w:eastAsia="Cambria" w:hAnsi="Cambria"/>
          <w:sz w:val="19"/>
          <w:szCs w:val="19"/>
          <w:b w:val="1"/>
          <w:bCs w:val="1"/>
          <w:color w:val="FF0000"/>
          <w:strike w:val="1"/>
        </w:rPr>
      </w:pPr>
    </w:p>
    <w:p>
      <w:pPr>
        <w:ind w:left="-2" w:right="180" w:firstLine="2"/>
        <w:spacing w:after="0" w:line="281" w:lineRule="auto"/>
        <w:tabs>
          <w:tab w:leader="none" w:pos="346" w:val="left"/>
        </w:tabs>
        <w:numPr>
          <w:ilvl w:val="0"/>
          <w:numId w:val="44"/>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(x) </w:t>
      </w:r>
      <w:r>
        <w:rPr>
          <w:rFonts w:ascii="Times New Roman" w:cs="Times New Roman" w:eastAsia="Times New Roman" w:hAnsi="Times New Roman"/>
          <w:sz w:val="19"/>
          <w:szCs w:val="19"/>
          <w:color w:val="000000"/>
        </w:rPr>
        <w:t>to the extent the Weighted Average LTV exceeds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30.0</w:t>
      </w:r>
      <w:r>
        <w:rPr>
          <w:rFonts w:ascii="Times New Roman" w:cs="Times New Roman" w:eastAsia="Times New Roman" w:hAnsi="Times New Roman"/>
          <w:sz w:val="19"/>
          <w:szCs w:val="19"/>
          <w:color w:val="0000FF"/>
        </w:rPr>
        <w:t>35.0</w:t>
      </w:r>
      <w:r>
        <w:rPr>
          <w:rFonts w:ascii="Times New Roman" w:cs="Times New Roman" w:eastAsia="Times New Roman" w:hAnsi="Times New Roman"/>
          <w:sz w:val="19"/>
          <w:szCs w:val="19"/>
          <w:color w:val="000000"/>
        </w:rPr>
        <w:t>%, the portion of the Aggregate Outstanding Loan Balance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attributable to all such Eligible Loans to the extent of such excess;</w:t>
      </w:r>
    </w:p>
    <w:p>
      <w:pPr>
        <w:spacing w:after="0" w:line="167" w:lineRule="exact"/>
        <w:rPr>
          <w:rFonts w:ascii="Cambria" w:cs="Cambria" w:eastAsia="Cambria" w:hAnsi="Cambria"/>
          <w:sz w:val="19"/>
          <w:szCs w:val="19"/>
          <w:b w:val="1"/>
          <w:bCs w:val="1"/>
          <w:color w:val="FF0000"/>
          <w:strike w:val="1"/>
        </w:rPr>
      </w:pPr>
    </w:p>
    <w:p>
      <w:pPr>
        <w:ind w:left="1058" w:right="80" w:hanging="842"/>
        <w:spacing w:after="0" w:line="281" w:lineRule="auto"/>
        <w:tabs>
          <w:tab w:leader="none" w:pos="518" w:val="left"/>
        </w:tabs>
        <w:numPr>
          <w:ilvl w:val="2"/>
          <w:numId w:val="44"/>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FF0000"/>
          <w:strike w:val="1"/>
        </w:rPr>
        <w:t>the amount by which (i) the aggregate Outstanding Loan Balances of all Eligible Loans included as part of the Collateral that are Enterprise Loans exceeds (ii) 20.0% of the Aggregate Outstanding Loan Balance;</w:t>
      </w:r>
    </w:p>
    <w:p>
      <w:pPr>
        <w:spacing w:after="0" w:line="155" w:lineRule="exact"/>
        <w:rPr>
          <w:rFonts w:ascii="Cambria" w:cs="Cambria" w:eastAsia="Cambria" w:hAnsi="Cambria"/>
          <w:sz w:val="19"/>
          <w:szCs w:val="19"/>
          <w:b w:val="1"/>
          <w:bCs w:val="1"/>
          <w:color w:val="FF0000"/>
          <w:strike w:val="1"/>
        </w:rPr>
      </w:pPr>
    </w:p>
    <w:p>
      <w:pPr>
        <w:ind w:left="318" w:hanging="270"/>
        <w:spacing w:after="0"/>
        <w:tabs>
          <w:tab w:leader="none" w:pos="318" w:val="left"/>
        </w:tabs>
        <w:numPr>
          <w:ilvl w:val="1"/>
          <w:numId w:val="4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[reserved];</w:t>
      </w:r>
    </w:p>
    <w:p>
      <w:pPr>
        <w:spacing w:after="0" w:line="238" w:lineRule="exact"/>
        <w:rPr>
          <w:sz w:val="20"/>
          <w:szCs w:val="20"/>
          <w:color w:val="auto"/>
        </w:rPr>
      </w:pPr>
    </w:p>
    <w:p>
      <w:pPr>
        <w:ind w:left="-2" w:right="20" w:firstLine="2"/>
        <w:spacing w:after="0" w:line="273" w:lineRule="auto"/>
        <w:tabs>
          <w:tab w:leader="none" w:pos="334" w:val="left"/>
        </w:tabs>
        <w:numPr>
          <w:ilvl w:val="0"/>
          <w:numId w:val="45"/>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(z)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the related Obligor of which is a Pre-Commercial Obligor exceeds (ii) </w:t>
      </w:r>
      <w:r>
        <w:rPr>
          <w:rFonts w:ascii="Times New Roman" w:cs="Times New Roman" w:eastAsia="Times New Roman" w:hAnsi="Times New Roman"/>
          <w:sz w:val="19"/>
          <w:szCs w:val="19"/>
          <w:color w:val="FF0000"/>
          <w:strike w:val="1"/>
        </w:rPr>
        <w:t>20.0</w:t>
      </w:r>
      <w:r>
        <w:rPr>
          <w:rFonts w:ascii="Times New Roman" w:cs="Times New Roman" w:eastAsia="Times New Roman" w:hAnsi="Times New Roman"/>
          <w:sz w:val="19"/>
          <w:szCs w:val="19"/>
          <w:color w:val="0000FF"/>
        </w:rPr>
        <w:t>15.0</w:t>
      </w:r>
      <w:r>
        <w:rPr>
          <w:rFonts w:ascii="Times New Roman" w:cs="Times New Roman" w:eastAsia="Times New Roman" w:hAnsi="Times New Roman"/>
          <w:sz w:val="19"/>
          <w:szCs w:val="19"/>
          <w:color w:val="000000"/>
        </w:rPr>
        <w:t>% of the Aggregate Outstanding Loan Balance;</w:t>
      </w:r>
    </w:p>
    <w:p>
      <w:pPr>
        <w:spacing w:after="0" w:line="200" w:lineRule="exact"/>
        <w:rPr>
          <w:sz w:val="20"/>
          <w:szCs w:val="20"/>
          <w:color w:val="auto"/>
        </w:rPr>
      </w:pPr>
    </w:p>
    <w:p>
      <w:pPr>
        <w:spacing w:after="0" w:line="210" w:lineRule="exact"/>
        <w:rPr>
          <w:sz w:val="20"/>
          <w:szCs w:val="20"/>
          <w:color w:val="auto"/>
        </w:rPr>
      </w:pPr>
    </w:p>
    <w:p>
      <w:pPr>
        <w:ind w:left="-2" w:firstLine="2"/>
        <w:spacing w:after="0" w:line="256" w:lineRule="auto"/>
        <w:tabs>
          <w:tab w:leader="none" w:pos="454" w:val="left"/>
        </w:tabs>
        <w:numPr>
          <w:ilvl w:val="0"/>
          <w:numId w:val="46"/>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(aa)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Collateral that are Term Loans and that do not fully amortize over their respective terms to a balance on the maturity date of less than 33.0% of the initial Loan Balance exceeds (ii) 25.0% of the Aggregate Outstanding Loan Balance; </w:t>
      </w:r>
      <w:r>
        <w:rPr>
          <w:rFonts w:ascii="Times New Roman" w:cs="Times New Roman" w:eastAsia="Times New Roman" w:hAnsi="Times New Roman"/>
          <w:sz w:val="19"/>
          <w:szCs w:val="19"/>
          <w:color w:val="FF0000"/>
          <w:strike w:val="1"/>
        </w:rPr>
        <w:t>and</w:t>
      </w:r>
    </w:p>
    <w:p>
      <w:pPr>
        <w:spacing w:after="0" w:line="3" w:lineRule="exact"/>
        <w:rPr>
          <w:sz w:val="20"/>
          <w:szCs w:val="20"/>
          <w:color w:val="auto"/>
        </w:rPr>
      </w:pPr>
    </w:p>
    <w:p>
      <w:pPr>
        <w:ind w:left="443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635635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58"/>
          </w:cols>
          <w:pgMar w:left="1362" w:top="1440" w:right="680" w:bottom="1440" w:gutter="0" w:footer="0" w:header="0"/>
        </w:sectPr>
      </w:pPr>
    </w:p>
    <w:bookmarkStart w:id="199" w:name="page200"/>
    <w:bookmarkEnd w:id="199"/>
    <w:p>
      <w:pPr>
        <w:spacing w:after="0" w:line="200" w:lineRule="exact"/>
        <w:rPr>
          <w:sz w:val="20"/>
          <w:szCs w:val="20"/>
          <w:color w:val="auto"/>
        </w:rPr>
      </w:pPr>
    </w:p>
    <w:p>
      <w:pPr>
        <w:spacing w:after="0" w:line="297" w:lineRule="exact"/>
        <w:rPr>
          <w:sz w:val="20"/>
          <w:szCs w:val="20"/>
          <w:color w:val="auto"/>
        </w:rPr>
      </w:pPr>
    </w:p>
    <w:p>
      <w:pPr>
        <w:ind w:left="-2" w:right="280" w:firstLine="2"/>
        <w:spacing w:after="0" w:line="260" w:lineRule="auto"/>
        <w:tabs>
          <w:tab w:leader="none" w:pos="466" w:val="left"/>
        </w:tabs>
        <w:numPr>
          <w:ilvl w:val="0"/>
          <w:numId w:val="4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(bb) </w:t>
      </w:r>
      <w:r>
        <w:rPr>
          <w:rFonts w:ascii="Times New Roman" w:cs="Times New Roman" w:eastAsia="Times New Roman" w:hAnsi="Times New Roman"/>
          <w:sz w:val="19"/>
          <w:szCs w:val="19"/>
          <w:color w:val="000000"/>
        </w:rPr>
        <w:t>the amount by which (i) the aggregate Outstanding Loan Balances of all Eligible Loans that are Term Loans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included as part of the Collateral that has </w:t>
      </w:r>
      <w:r>
        <w:rPr>
          <w:rFonts w:ascii="Times New Roman" w:cs="Times New Roman" w:eastAsia="Times New Roman" w:hAnsi="Times New Roman"/>
          <w:sz w:val="19"/>
          <w:szCs w:val="19"/>
          <w:color w:val="FF0000"/>
          <w:strike w:val="1"/>
        </w:rPr>
        <w:t>an</w:t>
      </w:r>
      <w:r>
        <w:rPr>
          <w:rFonts w:ascii="Times New Roman" w:cs="Times New Roman" w:eastAsia="Times New Roman" w:hAnsi="Times New Roman"/>
          <w:sz w:val="19"/>
          <w:szCs w:val="19"/>
          <w:color w:val="0000FF"/>
        </w:rPr>
        <w:t>a remaining</w:t>
      </w:r>
      <w:r>
        <w:rPr>
          <w:rFonts w:ascii="Times New Roman" w:cs="Times New Roman" w:eastAsia="Times New Roman" w:hAnsi="Times New Roman"/>
          <w:sz w:val="19"/>
          <w:szCs w:val="19"/>
          <w:color w:val="000000"/>
        </w:rPr>
        <w:t xml:space="preserve"> interest only period </w:t>
      </w:r>
      <w:r>
        <w:rPr>
          <w:rFonts w:ascii="Times New Roman" w:cs="Times New Roman" w:eastAsia="Times New Roman" w:hAnsi="Times New Roman"/>
          <w:sz w:val="19"/>
          <w:szCs w:val="19"/>
          <w:color w:val="FF0000"/>
        </w:rPr>
        <w:t>(or will have an interest only period after giving</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effect to any modification of such Loan)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of greater than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48</w:t>
      </w:r>
      <w:r>
        <w:rPr>
          <w:rFonts w:ascii="Times New Roman" w:cs="Times New Roman" w:eastAsia="Times New Roman" w:hAnsi="Times New Roman"/>
          <w:sz w:val="19"/>
          <w:szCs w:val="19"/>
          <w:color w:val="0000FF"/>
        </w:rPr>
        <w:t>36</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months exceeds (ii) 20.0% of the Aggregate Outstanding Loan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Balance;</w:t>
      </w:r>
    </w:p>
    <w:p>
      <w:pPr>
        <w:spacing w:after="0" w:line="188" w:lineRule="exact"/>
        <w:rPr>
          <w:rFonts w:ascii="Cambria" w:cs="Cambria" w:eastAsia="Cambria" w:hAnsi="Cambria"/>
          <w:sz w:val="19"/>
          <w:szCs w:val="19"/>
          <w:b w:val="1"/>
          <w:bCs w:val="1"/>
          <w:color w:val="FF0000"/>
          <w:strike w:val="1"/>
        </w:rPr>
      </w:pPr>
    </w:p>
    <w:p>
      <w:pPr>
        <w:ind w:left="-2" w:right="260" w:firstLine="2"/>
        <w:spacing w:after="0" w:line="256" w:lineRule="auto"/>
        <w:tabs>
          <w:tab w:leader="none" w:pos="430" w:val="left"/>
        </w:tabs>
        <w:numPr>
          <w:ilvl w:val="0"/>
          <w:numId w:val="4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(cc) </w:t>
      </w:r>
      <w:r>
        <w:rPr>
          <w:rFonts w:ascii="Times New Roman" w:cs="Times New Roman" w:eastAsia="Times New Roman" w:hAnsi="Times New Roman"/>
          <w:sz w:val="19"/>
          <w:szCs w:val="19"/>
          <w:color w:val="000000"/>
        </w:rPr>
        <w:t>the amount by which (i) the aggregate Outstanding Loan Balances of all Eligible Loans</w:t>
      </w:r>
      <w:r>
        <w:rPr>
          <w:rFonts w:ascii="Times New Roman" w:cs="Times New Roman" w:eastAsia="Times New Roman" w:hAnsi="Times New Roman"/>
          <w:sz w:val="19"/>
          <w:szCs w:val="19"/>
          <w:color w:val="0000FF"/>
        </w:rPr>
        <w:t xml:space="preserve"> (excluding Broadly Syndicated Loans) </w:t>
      </w:r>
      <w:r>
        <w:rPr>
          <w:rFonts w:ascii="Times New Roman" w:cs="Times New Roman" w:eastAsia="Times New Roman" w:hAnsi="Times New Roman"/>
          <w:sz w:val="19"/>
          <w:szCs w:val="19"/>
          <w:color w:val="000000"/>
        </w:rPr>
        <w:t>included as part of the Collateral the Loan Documents for which do not contain a least one financial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covenant, including, but not limited to, liquidity, revenue and other standard financial covenants (provided, that, for the avoidance of doubt, material adverse change, material adverse effect, investor abandonment, transfer of assets and/or equity distribution restrictions shall not be considered financial covenants for purposes of this clause (cc)) exceeds (ii) 20.0% of the Aggregate Outstanding Loan Balance; </w:t>
      </w:r>
      <w:r>
        <w:rPr>
          <w:rFonts w:ascii="Times New Roman" w:cs="Times New Roman" w:eastAsia="Times New Roman" w:hAnsi="Times New Roman"/>
          <w:sz w:val="19"/>
          <w:szCs w:val="19"/>
          <w:color w:val="FF0000"/>
          <w:strike w:val="1"/>
        </w:rPr>
        <w:t>and</w:t>
      </w:r>
    </w:p>
    <w:p>
      <w:pPr>
        <w:spacing w:after="0" w:line="193" w:lineRule="exact"/>
        <w:rPr>
          <w:rFonts w:ascii="Cambria" w:cs="Cambria" w:eastAsia="Cambria" w:hAnsi="Cambria"/>
          <w:sz w:val="19"/>
          <w:szCs w:val="19"/>
          <w:b w:val="1"/>
          <w:bCs w:val="1"/>
          <w:color w:val="FF0000"/>
          <w:strike w:val="1"/>
        </w:rPr>
      </w:pPr>
    </w:p>
    <w:p>
      <w:pPr>
        <w:jc w:val="both"/>
        <w:ind w:left="-2" w:right="520" w:firstLine="2"/>
        <w:spacing w:after="0" w:line="265" w:lineRule="auto"/>
        <w:tabs>
          <w:tab w:leader="none" w:pos="478" w:val="left"/>
        </w:tabs>
        <w:numPr>
          <w:ilvl w:val="0"/>
          <w:numId w:val="47"/>
        </w:numPr>
        <w:rPr>
          <w:rFonts w:ascii="Cambria" w:cs="Cambria" w:eastAsia="Cambria" w:hAnsi="Cambria"/>
          <w:sz w:val="19"/>
          <w:szCs w:val="19"/>
          <w:b w:val="1"/>
          <w:bCs w:val="1"/>
          <w:color w:val="FF0000"/>
          <w:strike w:val="1"/>
        </w:rPr>
      </w:pPr>
      <w:r>
        <w:rPr>
          <w:rFonts w:ascii="Times New Roman" w:cs="Times New Roman" w:eastAsia="Times New Roman" w:hAnsi="Times New Roman"/>
          <w:sz w:val="19"/>
          <w:szCs w:val="19"/>
          <w:color w:val="0000FF"/>
        </w:rPr>
        <w:t xml:space="preserve">(dd) </w:t>
      </w:r>
      <w:r>
        <w:rPr>
          <w:rFonts w:ascii="Times New Roman" w:cs="Times New Roman" w:eastAsia="Times New Roman" w:hAnsi="Times New Roman"/>
          <w:sz w:val="19"/>
          <w:szCs w:val="19"/>
          <w:color w:val="000000"/>
        </w:rPr>
        <w:t>the amount by which (i) the aggregate Outstanding Loan Balances of all Eligible Loans included as part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Collateral the related Obligor of which qualifies as an Eligible Obligor by satisfying clause (iii)(c) of the Eligible Obligor definition exceeds (ii) 10.0% of the Aggregate Outstanding Loan Balance</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FF"/>
        </w:rPr>
        <w:t>;</w:t>
      </w:r>
    </w:p>
    <w:p>
      <w:pPr>
        <w:spacing w:after="0" w:line="171" w:lineRule="exact"/>
        <w:rPr>
          <w:rFonts w:ascii="Cambria" w:cs="Cambria" w:eastAsia="Cambria" w:hAnsi="Cambria"/>
          <w:sz w:val="19"/>
          <w:szCs w:val="19"/>
          <w:b w:val="1"/>
          <w:bCs w:val="1"/>
          <w:color w:val="FF0000"/>
          <w:strike w:val="1"/>
        </w:rPr>
      </w:pPr>
    </w:p>
    <w:p>
      <w:pPr>
        <w:ind w:left="-2" w:right="180" w:firstLine="50"/>
        <w:spacing w:after="0" w:line="286" w:lineRule="auto"/>
        <w:tabs>
          <w:tab w:leader="none" w:pos="392" w:val="left"/>
        </w:tabs>
        <w:numPr>
          <w:ilvl w:val="1"/>
          <w:numId w:val="4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amount by which (i) the aggregate Outstanding Loan Balances of all Eligible Loans included as part of the Collateral that are Recurring Revenue Loans exceeds (ii) 15.0% of the Aggregate Outstanding Loan Balance;</w:t>
      </w:r>
    </w:p>
    <w:p>
      <w:pPr>
        <w:spacing w:after="0" w:line="151" w:lineRule="exact"/>
        <w:rPr>
          <w:rFonts w:ascii="Times New Roman" w:cs="Times New Roman" w:eastAsia="Times New Roman" w:hAnsi="Times New Roman"/>
          <w:sz w:val="19"/>
          <w:szCs w:val="19"/>
          <w:color w:val="0000FF"/>
        </w:rPr>
      </w:pPr>
    </w:p>
    <w:p>
      <w:pPr>
        <w:ind w:left="-2" w:right="220" w:firstLine="50"/>
        <w:spacing w:after="0" w:line="286" w:lineRule="auto"/>
        <w:tabs>
          <w:tab w:leader="none" w:pos="350" w:val="left"/>
        </w:tabs>
        <w:numPr>
          <w:ilvl w:val="1"/>
          <w:numId w:val="4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amount by which (i) the aggregate Outstanding Loan Balances of all Eligible Loans included as part of the Collateral that are Participation Interests (including BSLs) exceeds (ii) 20.0% of the Aggregate Outstanding Loan Balance;</w:t>
      </w:r>
    </w:p>
    <w:p>
      <w:pPr>
        <w:spacing w:after="0" w:line="151" w:lineRule="exact"/>
        <w:rPr>
          <w:rFonts w:ascii="Times New Roman" w:cs="Times New Roman" w:eastAsia="Times New Roman" w:hAnsi="Times New Roman"/>
          <w:sz w:val="19"/>
          <w:szCs w:val="19"/>
          <w:color w:val="0000FF"/>
        </w:rPr>
      </w:pPr>
    </w:p>
    <w:p>
      <w:pPr>
        <w:jc w:val="both"/>
        <w:ind w:left="-2" w:right="160" w:firstLine="50"/>
        <w:spacing w:after="0" w:line="286" w:lineRule="auto"/>
        <w:tabs>
          <w:tab w:leader="none" w:pos="414" w:val="left"/>
        </w:tabs>
        <w:numPr>
          <w:ilvl w:val="1"/>
          <w:numId w:val="4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amount by which (i) the aggregate Outstanding Loan Balances of all Eligible Loans included as part of the Collateral that are Second Lien Loans with an LTV of greater than 20% exceeds (ii) 10.0% of the Aggregate Outstanding Loan Balance;</w:t>
      </w:r>
    </w:p>
    <w:p>
      <w:pPr>
        <w:spacing w:after="0" w:line="151" w:lineRule="exact"/>
        <w:rPr>
          <w:rFonts w:ascii="Times New Roman" w:cs="Times New Roman" w:eastAsia="Times New Roman" w:hAnsi="Times New Roman"/>
          <w:sz w:val="19"/>
          <w:szCs w:val="19"/>
          <w:color w:val="0000FF"/>
        </w:rPr>
      </w:pPr>
    </w:p>
    <w:p>
      <w:pPr>
        <w:ind w:left="-2" w:right="60" w:firstLine="50"/>
        <w:spacing w:after="0" w:line="268" w:lineRule="auto"/>
        <w:tabs>
          <w:tab w:leader="none" w:pos="414" w:val="left"/>
        </w:tabs>
        <w:numPr>
          <w:ilvl w:val="1"/>
          <w:numId w:val="4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to the extent the Weighted Average Senior Funded Debt to TTM EBITDA Ratio exceeds 4.5x, the portion of the Aggregate Outstanding Loan Balance attributable to all such Cash Flow Loans constituting Eligible Loans to the extent of such excess;</w:t>
      </w:r>
    </w:p>
    <w:p>
      <w:pPr>
        <w:spacing w:after="0" w:line="168" w:lineRule="exact"/>
        <w:rPr>
          <w:rFonts w:ascii="Times New Roman" w:cs="Times New Roman" w:eastAsia="Times New Roman" w:hAnsi="Times New Roman"/>
          <w:sz w:val="19"/>
          <w:szCs w:val="19"/>
          <w:color w:val="0000FF"/>
        </w:rPr>
      </w:pPr>
    </w:p>
    <w:p>
      <w:pPr>
        <w:ind w:left="-2" w:firstLine="50"/>
        <w:spacing w:after="0" w:line="268" w:lineRule="auto"/>
        <w:tabs>
          <w:tab w:leader="none" w:pos="328" w:val="left"/>
        </w:tabs>
        <w:numPr>
          <w:ilvl w:val="1"/>
          <w:numId w:val="4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to the extent the Weighted Average Senior Funded Debt to TTM Recurring Revenue Ratio exceeds 2.0x, the portion of the Aggregate Outstanding Loan Balance attributable to all such Recurring Revenue Loans constituting Eligible Loans to the extent of such excess;</w:t>
      </w:r>
    </w:p>
    <w:p>
      <w:pPr>
        <w:spacing w:after="0" w:line="168" w:lineRule="exact"/>
        <w:rPr>
          <w:rFonts w:ascii="Times New Roman" w:cs="Times New Roman" w:eastAsia="Times New Roman" w:hAnsi="Times New Roman"/>
          <w:sz w:val="19"/>
          <w:szCs w:val="19"/>
          <w:color w:val="0000FF"/>
        </w:rPr>
      </w:pPr>
    </w:p>
    <w:p>
      <w:pPr>
        <w:ind w:left="-2" w:right="240" w:firstLine="50"/>
        <w:spacing w:after="0" w:line="262" w:lineRule="auto"/>
        <w:tabs>
          <w:tab w:leader="none" w:pos="328" w:val="left"/>
        </w:tabs>
        <w:numPr>
          <w:ilvl w:val="1"/>
          <w:numId w:val="47"/>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amount by which (i) the aggregate Outstanding Loan Balances of all Eligible Loans included as part of the Collateral that are denominated in an Approved Foreign Currency exceeds (ii) 10% of the Aggregate Outstanding Loan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-4806315</wp:posOffset>
            </wp:positionV>
            <wp:extent cx="237045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5">
                      <a:extLst>
                        <a:ext uri="{28A0092B-C50C-407E-A947-70E740481C1C}"/>
                      </a:extLst>
                    </a:blip>
                    <a:srcRect/>
                    <a:stretch>
                      <a:fillRect/>
                    </a:stretch>
                  </pic:blipFill>
                  <pic:spPr bwMode="auto">
                    <a:xfrm>
                      <a:off x="0" y="0"/>
                      <a:ext cx="2370455" cy="7620"/>
                    </a:xfrm>
                    <a:prstGeom prst="rect">
                      <a:avLst/>
                    </a:prstGeom>
                    <a:noFill/>
                  </pic:spPr>
                </pic:pic>
              </a:graphicData>
            </a:graphic>
          </wp:anchor>
        </w:drawing>
      </w:r>
    </w:p>
    <w:p>
      <w:pPr>
        <w:ind w:left="443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635635</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38"/>
          </w:cols>
          <w:pgMar w:left="1362" w:top="1440" w:right="700" w:bottom="1440" w:gutter="0" w:footer="0" w:header="0"/>
        </w:sectPr>
      </w:pPr>
    </w:p>
    <w:bookmarkStart w:id="200" w:name="page201"/>
    <w:bookmarkEnd w:id="200"/>
    <w:p>
      <w:pPr>
        <w:spacing w:after="0" w:line="200" w:lineRule="exact"/>
        <w:rPr>
          <w:sz w:val="20"/>
          <w:szCs w:val="20"/>
          <w:color w:val="auto"/>
        </w:rPr>
      </w:pPr>
    </w:p>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the determination of the Loans, or portions thereof, that constitute Excess Concentration Amounts will be determined in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way that produces the highest Borrowing Base at the time of determination, it being understood that a Loan (or portion thereof) that falls into more than one such category of Loans will be deemed, solely for purposes of such determinations, to fall only into the category that produces the highest such Borrowing Base at such time (without duplication).</w:t>
      </w:r>
    </w:p>
    <w:p>
      <w:pPr>
        <w:spacing w:after="0" w:line="171"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“Excluded Property” </w:t>
      </w:r>
      <w:r>
        <w:rPr>
          <w:rFonts w:ascii="Times New Roman" w:cs="Times New Roman" w:eastAsia="Times New Roman" w:hAnsi="Times New Roman"/>
          <w:sz w:val="19"/>
          <w:szCs w:val="19"/>
          <w:color w:val="auto"/>
        </w:rPr>
        <w:t>means (i) any equity interests in, and any assets held by,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small business investment company licensed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and regulated by the United States Small Business Administration</w:t>
      </w:r>
      <w:r>
        <w:rPr>
          <w:rFonts w:ascii="Times New Roman" w:cs="Times New Roman" w:eastAsia="Times New Roman" w:hAnsi="Times New Roman"/>
          <w:sz w:val="19"/>
          <w:szCs w:val="19"/>
          <w:color w:val="0000FF"/>
        </w:rPr>
        <w:t>Financing Subsidiary</w:t>
      </w:r>
      <w:r>
        <w:rPr>
          <w:rFonts w:ascii="Times New Roman" w:cs="Times New Roman" w:eastAsia="Times New Roman" w:hAnsi="Times New Roman"/>
          <w:sz w:val="19"/>
          <w:szCs w:val="19"/>
          <w:color w:val="000000"/>
        </w:rPr>
        <w:t>, (ii) any United States Treasury securities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pledged under any reverse repurchase agreement to which the Borrower is a party on or after the Effective Date, (iii) any contracts, property rights, equity interests, obligations, instruments, or agreements to which the Borrower is a party (or to any of its rights or interests thereunder) if the grant of a security interest in such contracts, property rights, equity interests, obligations, instruments, or agreements would constitute or result in either (A) the abandonment, invalidation or unenforceability of any right, title or interest of the Borrower therein or (B) a breach or termination pursuant to the terms of, or a default under, any such contract, property rights, equity interests, obligation, instrument or agreement (other than to the extent that any such terms would be rendered ineffective by Section 9-406, 9 -407, 9-408 or 9-409 of the Uniform Commercial Code as in effect in the relevant jurisdiction</w:t>
      </w:r>
      <w:r>
        <w:rPr>
          <w:rFonts w:ascii="Times New Roman" w:cs="Times New Roman" w:eastAsia="Times New Roman" w:hAnsi="Times New Roman"/>
          <w:sz w:val="19"/>
          <w:szCs w:val="19"/>
          <w:color w:val="FF0000"/>
          <w:strike w:val="1"/>
        </w:rPr>
        <w:t>) (any such contracts, property rights,</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 xml:space="preserve">equity interests, obligations, instruments, or agreements (or to rights or interests thereunder) under clause (iv)(A) or (B), a </w:t>
      </w:r>
      <w:r>
        <w:rPr>
          <w:rFonts w:ascii="Times New Roman" w:cs="Times New Roman" w:eastAsia="Times New Roman" w:hAnsi="Times New Roman"/>
          <w:sz w:val="19"/>
          <w:szCs w:val="19"/>
          <w:i w:val="1"/>
          <w:iCs w:val="1"/>
          <w:color w:val="FF0000"/>
          <w:strike w:val="1"/>
        </w:rPr>
        <w:t>“Restrictive</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i w:val="1"/>
          <w:iCs w:val="1"/>
          <w:color w:val="FF0000"/>
          <w:strike w:val="1"/>
        </w:rPr>
        <w:t>Agreement”</w:t>
      </w:r>
      <w:r>
        <w:rPr>
          <w:rFonts w:ascii="Times New Roman" w:cs="Times New Roman" w:eastAsia="Times New Roman" w:hAnsi="Times New Roman"/>
          <w:sz w:val="19"/>
          <w:szCs w:val="19"/>
          <w:color w:val="000000"/>
          <w:strike w:val="1"/>
        </w:rPr>
        <w:t>), and (iv) any equity interests in, and any assets held by,</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FF"/>
          <w:strike w:val="1"/>
        </w:rPr>
        <w:t>a</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000000"/>
          <w:strike w:val="1"/>
        </w:rPr>
        <w:t>Joint Venture.</w:t>
      </w:r>
    </w:p>
    <w:p>
      <w:pPr>
        <w:spacing w:after="0" w:line="181" w:lineRule="exact"/>
        <w:rPr>
          <w:sz w:val="20"/>
          <w:szCs w:val="20"/>
          <w:color w:val="auto"/>
        </w:rPr>
      </w:pPr>
    </w:p>
    <w:p>
      <w:pPr>
        <w:ind w:right="160" w:firstLine="696"/>
        <w:spacing w:after="0" w:line="255"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Excluded Swap Obligation</w:t>
      </w:r>
      <w:r>
        <w:rPr>
          <w:rFonts w:ascii="Times New Roman" w:cs="Times New Roman" w:eastAsia="Times New Roman" w:hAnsi="Times New Roman"/>
          <w:sz w:val="19"/>
          <w:szCs w:val="19"/>
          <w:color w:val="0000FF"/>
        </w:rPr>
        <w:t>” means, with respect to any Guarantor, any Hedging Liability if, and to the extent that, all or a portion of the guaranty of such Guarantor of, or the grant by such Guarantor of a security interest to secure, such Hedging Liability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guaranty of such Guarantor or the grant of such security interest becomes effective with respect to such related Hedging Liability. If a Hedging Liability arises under a master agreement governing more than one swap, such exclusion shall apply only to the portion of such Hedging Liability that is attributable to swaps for which such guaranty or security interest is or becomes illegal.</w:t>
      </w:r>
    </w:p>
    <w:p>
      <w:pPr>
        <w:spacing w:after="0" w:line="184"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“Existing Indebtedness” </w:t>
      </w:r>
      <w:r>
        <w:rPr>
          <w:rFonts w:ascii="Times New Roman" w:cs="Times New Roman" w:eastAsia="Times New Roman" w:hAnsi="Times New Roman"/>
          <w:sz w:val="19"/>
          <w:szCs w:val="19"/>
          <w:color w:val="auto"/>
        </w:rPr>
        <w:t>means the obligations of the Borrower pursuant to (i) those certain 4.25% Series 2021A Senior Notes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due December 10, 2026, </w:t>
      </w:r>
      <w:r>
        <w:rPr>
          <w:rFonts w:ascii="Times New Roman" w:cs="Times New Roman" w:eastAsia="Times New Roman" w:hAnsi="Times New Roman"/>
          <w:sz w:val="19"/>
          <w:szCs w:val="19"/>
          <w:color w:val="FF0000"/>
          <w:strike w:val="1"/>
        </w:rPr>
        <w:t>issued pursuant to that</w:t>
      </w:r>
      <w:r>
        <w:rPr>
          <w:rFonts w:ascii="Times New Roman" w:cs="Times New Roman" w:eastAsia="Times New Roman" w:hAnsi="Times New Roman"/>
          <w:sz w:val="19"/>
          <w:szCs w:val="19"/>
          <w:color w:val="0000FF"/>
        </w:rPr>
        <w:t>(ii) those</w:t>
      </w:r>
      <w:r>
        <w:rPr>
          <w:rFonts w:ascii="Times New Roman" w:cs="Times New Roman" w:eastAsia="Times New Roman" w:hAnsi="Times New Roman"/>
          <w:sz w:val="19"/>
          <w:szCs w:val="19"/>
          <w:color w:val="auto"/>
        </w:rPr>
        <w:t xml:space="preserve"> certain </w:t>
      </w:r>
      <w:r>
        <w:rPr>
          <w:rFonts w:ascii="Times New Roman" w:cs="Times New Roman" w:eastAsia="Times New Roman" w:hAnsi="Times New Roman"/>
          <w:sz w:val="19"/>
          <w:szCs w:val="19"/>
          <w:color w:val="FF0000"/>
          <w:strike w:val="1"/>
        </w:rPr>
        <w:t>Master Note Purchase Agreement dated</w:t>
      </w:r>
      <w:r>
        <w:rPr>
          <w:rFonts w:ascii="Times New Roman" w:cs="Times New Roman" w:eastAsia="Times New Roman" w:hAnsi="Times New Roman"/>
          <w:sz w:val="19"/>
          <w:szCs w:val="19"/>
          <w:color w:val="0000FF"/>
        </w:rPr>
        <w:t>8.54% Series 2023A Senior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Notes due April 13, 2026, (iii) those certain 7.00% Series 2022A Senior Notes due August 31, 2027, (iv) those certain 7.50% interest-bearing unsecured Notes due July 28, 2027, (v) those certain 8.00% interest-bearing unsecured Notes due </w:t>
      </w:r>
      <w:r>
        <w:rPr>
          <w:rFonts w:ascii="Times New Roman" w:cs="Times New Roman" w:eastAsia="Times New Roman" w:hAnsi="Times New Roman"/>
          <w:sz w:val="19"/>
          <w:szCs w:val="19"/>
          <w:color w:val="000000"/>
        </w:rPr>
        <w:t>December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10</w:t>
      </w:r>
      <w:r>
        <w:rPr>
          <w:rFonts w:ascii="Times New Roman" w:cs="Times New Roman" w:eastAsia="Times New Roman" w:hAnsi="Times New Roman"/>
          <w:sz w:val="19"/>
          <w:szCs w:val="19"/>
          <w:color w:val="0000FF"/>
        </w:rPr>
        <w:t>7</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2021, between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the Borrower and the purchasers party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1" w:name="page202"/>
    <w:bookmarkEnd w:id="201"/>
    <w:p>
      <w:pPr>
        <w:spacing w:after="0" w:line="200" w:lineRule="exact"/>
        <w:rPr>
          <w:sz w:val="20"/>
          <w:szCs w:val="20"/>
          <w:color w:val="auto"/>
        </w:rPr>
      </w:pPr>
    </w:p>
    <w:p>
      <w:pPr>
        <w:spacing w:after="0" w:line="2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9"/>
          <w:szCs w:val="19"/>
          <w:color w:val="FF0000"/>
          <w:strike w:val="1"/>
        </w:rPr>
        <w:t>thereto</w:t>
      </w:r>
      <w:r>
        <w:rPr>
          <w:rFonts w:ascii="Times New Roman" w:cs="Times New Roman" w:eastAsia="Times New Roman" w:hAnsi="Times New Roman"/>
          <w:sz w:val="19"/>
          <w:szCs w:val="19"/>
          <w:color w:val="0000FF"/>
        </w:rPr>
        <w:t>2027</w:t>
      </w:r>
      <w:r>
        <w:rPr>
          <w:rFonts w:ascii="Times New Roman" w:cs="Times New Roman" w:eastAsia="Times New Roman" w:hAnsi="Times New Roman"/>
          <w:sz w:val="19"/>
          <w:szCs w:val="19"/>
          <w:color w:val="000000"/>
        </w:rPr>
        <w:t>, and (</w:t>
      </w:r>
      <w:r>
        <w:rPr>
          <w:rFonts w:ascii="Times New Roman" w:cs="Times New Roman" w:eastAsia="Times New Roman" w:hAnsi="Times New Roman"/>
          <w:sz w:val="19"/>
          <w:szCs w:val="19"/>
          <w:color w:val="FF0000"/>
          <w:strike w:val="1"/>
        </w:rPr>
        <w:t>ii</w:t>
      </w:r>
      <w:r>
        <w:rPr>
          <w:rFonts w:ascii="Times New Roman" w:cs="Times New Roman" w:eastAsia="Times New Roman" w:hAnsi="Times New Roman"/>
          <w:sz w:val="19"/>
          <w:szCs w:val="19"/>
          <w:color w:val="0000FF"/>
        </w:rPr>
        <w:t>vi</w:t>
      </w:r>
      <w:r>
        <w:rPr>
          <w:rFonts w:ascii="Times New Roman" w:cs="Times New Roman" w:eastAsia="Times New Roman" w:hAnsi="Times New Roman"/>
          <w:sz w:val="19"/>
          <w:szCs w:val="19"/>
          <w:color w:val="000000"/>
        </w:rPr>
        <w:t>) any reverse repurchase agreement relating to United States Treasury securities of which the Borrower is a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thereto on or after the Effective Date.</w:t>
      </w:r>
    </w:p>
    <w:p>
      <w:pPr>
        <w:spacing w:after="0" w:line="132" w:lineRule="exact"/>
        <w:rPr>
          <w:sz w:val="20"/>
          <w:szCs w:val="20"/>
          <w:color w:val="auto"/>
        </w:rPr>
      </w:pPr>
    </w:p>
    <w:p>
      <w:pPr>
        <w:ind w:right="180" w:firstLine="696"/>
        <w:spacing w:after="0" w:line="249" w:lineRule="exact"/>
        <w:rPr>
          <w:sz w:val="20"/>
          <w:szCs w:val="20"/>
          <w:color w:val="auto"/>
        </w:rPr>
      </w:pPr>
      <w:r>
        <w:rPr>
          <w:rFonts w:ascii="Times New Roman" w:cs="Times New Roman" w:eastAsia="Times New Roman" w:hAnsi="Times New Roman"/>
          <w:sz w:val="19"/>
          <w:szCs w:val="19"/>
          <w:i w:val="1"/>
          <w:iCs w:val="1"/>
          <w:color w:val="auto"/>
        </w:rPr>
        <w:t>“EU Bail</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In Legislation Schedule” </w:t>
      </w:r>
      <w:r>
        <w:rPr>
          <w:rFonts w:ascii="Times New Roman" w:cs="Times New Roman" w:eastAsia="Times New Roman" w:hAnsi="Times New Roman"/>
          <w:sz w:val="19"/>
          <w:szCs w:val="19"/>
          <w:color w:val="auto"/>
        </w:rPr>
        <w:t>means the EU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Schedule published by the Loan Market Association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successor person), as in effect from time to time.</w:t>
      </w:r>
    </w:p>
    <w:p>
      <w:pPr>
        <w:spacing w:after="0" w:line="192" w:lineRule="exact"/>
        <w:rPr>
          <w:sz w:val="20"/>
          <w:szCs w:val="20"/>
          <w:color w:val="auto"/>
        </w:rPr>
      </w:pPr>
    </w:p>
    <w:p>
      <w:pPr>
        <w:jc w:val="both"/>
        <w:ind w:right="2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“Facility Amount” </w:t>
      </w:r>
      <w:r>
        <w:rPr>
          <w:rFonts w:ascii="Times New Roman" w:cs="Times New Roman" w:eastAsia="Times New Roman" w:hAnsi="Times New Roman"/>
          <w:sz w:val="19"/>
          <w:szCs w:val="19"/>
          <w:color w:val="auto"/>
        </w:rPr>
        <w:t>means, at any time and as reduced or increased from time to time, pursuant to the terms of this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aggregate dollar amount of Commitments of all the Lenders. As of the </w:t>
      </w:r>
      <w:r>
        <w:rPr>
          <w:rFonts w:ascii="Times New Roman" w:cs="Times New Roman" w:eastAsia="Times New Roman" w:hAnsi="Times New Roman"/>
          <w:sz w:val="19"/>
          <w:szCs w:val="19"/>
          <w:color w:val="FF0000"/>
          <w:strike w:val="1"/>
        </w:rPr>
        <w:t>Restatement</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the Facility Amount is $</w:t>
      </w:r>
      <w:r>
        <w:rPr>
          <w:rFonts w:ascii="Times New Roman" w:cs="Times New Roman" w:eastAsia="Times New Roman" w:hAnsi="Times New Roman"/>
          <w:sz w:val="19"/>
          <w:szCs w:val="19"/>
          <w:color w:val="FF0000"/>
          <w:strike w:val="1"/>
        </w:rPr>
        <w:t>225,000,000</w:t>
      </w:r>
      <w:r>
        <w:rPr>
          <w:rFonts w:ascii="Times New Roman" w:cs="Times New Roman" w:eastAsia="Times New Roman" w:hAnsi="Times New Roman"/>
          <w:sz w:val="19"/>
          <w:szCs w:val="19"/>
          <w:color w:val="0000FF"/>
        </w:rPr>
        <w:t>550,000,000</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-234950</wp:posOffset>
            </wp:positionV>
            <wp:extent cx="3048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8">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46" w:lineRule="exact"/>
        <w:rPr>
          <w:sz w:val="20"/>
          <w:szCs w:val="20"/>
          <w:color w:val="auto"/>
        </w:rPr>
      </w:pPr>
    </w:p>
    <w:p>
      <w:pPr>
        <w:ind w:right="16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“Fair Value” </w:t>
      </w:r>
      <w:r>
        <w:rPr>
          <w:rFonts w:ascii="Times New Roman" w:cs="Times New Roman" w:eastAsia="Times New Roman" w:hAnsi="Times New Roman"/>
          <w:sz w:val="19"/>
          <w:szCs w:val="19"/>
          <w:color w:val="auto"/>
        </w:rPr>
        <w:t>means, with respect to any Loan, on any date of determination,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the Dollar Equivalent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fair market value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Loan as required by, and determined in accordance with, the 1940 Act, as amended, and any orders by the SEC issued to the Borrower, as such fair market value is updated in accordance with Section 7.18.</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“FASB” </w:t>
      </w:r>
      <w:r>
        <w:rPr>
          <w:rFonts w:ascii="Times New Roman" w:cs="Times New Roman" w:eastAsia="Times New Roman" w:hAnsi="Times New Roman"/>
          <w:sz w:val="19"/>
          <w:szCs w:val="19"/>
          <w:color w:val="auto"/>
        </w:rPr>
        <w:t>is defined in Section 2.12(a).</w:t>
      </w:r>
    </w:p>
    <w:p>
      <w:pPr>
        <w:spacing w:after="0" w:line="226" w:lineRule="exact"/>
        <w:rPr>
          <w:sz w:val="20"/>
          <w:szCs w:val="20"/>
          <w:color w:val="auto"/>
        </w:rPr>
      </w:pPr>
    </w:p>
    <w:p>
      <w:pPr>
        <w:ind w:right="200"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“FATCA” </w:t>
      </w:r>
      <w:r>
        <w:rPr>
          <w:rFonts w:ascii="Times New Roman" w:cs="Times New Roman" w:eastAsia="Times New Roman" w:hAnsi="Times New Roman"/>
          <w:sz w:val="19"/>
          <w:szCs w:val="19"/>
          <w:color w:val="auto"/>
        </w:rPr>
        <w:t>means Sections 1471 through 1474 of the Code, as of the date of this Agreement (or any amended or successor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3" w:lineRule="exact"/>
        <w:rPr>
          <w:sz w:val="20"/>
          <w:szCs w:val="20"/>
          <w:color w:val="auto"/>
        </w:rPr>
      </w:pPr>
    </w:p>
    <w:p>
      <w:pPr>
        <w:jc w:val="both"/>
        <w:ind w:right="100"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“Federal Funds Rate” </w:t>
      </w:r>
      <w:r>
        <w:rPr>
          <w:rFonts w:ascii="Times New Roman" w:cs="Times New Roman" w:eastAsia="Times New Roman" w:hAnsi="Times New Roman"/>
          <w:sz w:val="19"/>
          <w:szCs w:val="19"/>
          <w:color w:val="auto"/>
        </w:rPr>
        <w:t>means, for any period, a fluctuating interest rate per annum equal for each day during such period equal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(a) the weighted average of the federal funds rates as quoted by KeyBank and confirmed in Federal Reserve Board Statistical Release H. 15 (519) or any successor or substitute publication selected by KeyBank (or, if such day is not a business day, for the next preceding business day); or (b) if, for any reason, such rate is not available on any day, the rate determined, in the sole opinion of KeyBank, to be the rate at which federal funds are being offered for sale in the national federal funds market at 9:00 a.m. (New York City time).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“Federal Reserve Board” </w:t>
      </w:r>
      <w:r>
        <w:rPr>
          <w:rFonts w:ascii="Times New Roman" w:cs="Times New Roman" w:eastAsia="Times New Roman" w:hAnsi="Times New Roman"/>
          <w:sz w:val="19"/>
          <w:szCs w:val="19"/>
          <w:color w:val="auto"/>
        </w:rPr>
        <w:t>means the Board of Governors of the Federal Reserve System.</w:t>
      </w:r>
    </w:p>
    <w:p>
      <w:pPr>
        <w:spacing w:after="0" w:line="226"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“Fee Letter” </w:t>
      </w:r>
      <w:r>
        <w:rPr>
          <w:rFonts w:ascii="Times New Roman" w:cs="Times New Roman" w:eastAsia="Times New Roman" w:hAnsi="Times New Roman"/>
          <w:sz w:val="19"/>
          <w:szCs w:val="19"/>
          <w:color w:val="auto"/>
        </w:rPr>
        <w:t>means the Lender Fee Letter, the Administrative Agent Fee Letter and any other letter agreement in respect of fees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among the Borrower and the Administrative Agent or any Managing Agent, in each case, as the same may be amended or modified and in effect from time to time.</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000FF"/>
        </w:rPr>
        <w:t xml:space="preserve">“Financing Subsidiary” </w:t>
      </w:r>
      <w:r>
        <w:rPr>
          <w:rFonts w:ascii="Times New Roman" w:cs="Times New Roman" w:eastAsia="Times New Roman" w:hAnsi="Times New Roman"/>
          <w:sz w:val="19"/>
          <w:szCs w:val="19"/>
          <w:color w:val="0000FF"/>
        </w:rPr>
        <w:t>means an SPE Subsidiary or an SBIC Subsidiary.</w:t>
      </w:r>
    </w:p>
    <w:p>
      <w:pPr>
        <w:spacing w:after="0" w:line="226"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“Final Order” </w:t>
      </w:r>
      <w:r>
        <w:rPr>
          <w:rFonts w:ascii="Times New Roman" w:cs="Times New Roman" w:eastAsia="Times New Roman" w:hAnsi="Times New Roman"/>
          <w:sz w:val="19"/>
          <w:szCs w:val="19"/>
          <w:color w:val="auto"/>
        </w:rPr>
        <w:t>means an order, judgment, decree or ruling the operation or effect of which has not been stayed, reversed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amended and as to which order, judgment, decree or ruling (or any revision, modification or amendment thereof) the time to appeal or to seek review or rehearing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2" w:name="page203"/>
    <w:bookmarkEnd w:id="202"/>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has expired and as to which no appeal or petition for review or rehearing was filed or, if filed, remains pending.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color w:val="FF0000"/>
          <w:strike w:val="1"/>
        </w:rPr>
        <w:t>Financial Sponsor</w:t>
      </w:r>
      <w:r>
        <w:rPr>
          <w:rFonts w:ascii="Times New Roman" w:cs="Times New Roman" w:eastAsia="Times New Roman" w:hAnsi="Times New Roman"/>
          <w:sz w:val="19"/>
          <w:szCs w:val="19"/>
          <w:color w:val="FF0000"/>
          <w:strike w:val="1"/>
        </w:rPr>
        <w:t>” means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C000"/>
          <w:strike w:val="1"/>
        </w:rPr>
        <w:t>venture capital firm, private equity group or other institutional investor.</w:t>
      </w:r>
      <w:r>
        <w:rPr>
          <w:rFonts w:ascii="Times New Roman" w:cs="Times New Roman" w:eastAsia="Times New Roman" w:hAnsi="Times New Roman"/>
          <w:sz w:val="19"/>
          <w:szCs w:val="19"/>
          <w:i w:val="1"/>
          <w:iCs w:val="1"/>
          <w:color w:val="0000FF"/>
        </w:rPr>
        <w:t>First Lien/Last Out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i w:val="1"/>
          <w:iCs w:val="1"/>
          <w:color w:val="0000FF"/>
        </w:rPr>
        <w:t xml:space="preserve">Loan” </w:t>
      </w:r>
      <w:r>
        <w:rPr>
          <w:rFonts w:ascii="Times New Roman" w:cs="Times New Roman" w:eastAsia="Times New Roman" w:hAnsi="Times New Roman"/>
          <w:sz w:val="19"/>
          <w:szCs w:val="19"/>
          <w:color w:val="0000FF"/>
        </w:rPr>
        <w:t>means a Loan that meets each of the following criteria as of any date of determination (unless approved by the Administrative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Agent in its sole discretion): (a) constitutes a First Lien Loan (except that such Loan shall not be required to satisfy clauses (a)(ii) or (b)</w:t>
      </w:r>
    </w:p>
    <w:p>
      <w:pPr>
        <w:spacing w:after="0" w:line="1" w:lineRule="exact"/>
        <w:rPr>
          <w:sz w:val="20"/>
          <w:szCs w:val="20"/>
          <w:color w:val="auto"/>
        </w:rPr>
      </w:pPr>
    </w:p>
    <w:p>
      <w:pPr>
        <w:ind w:firstLine="6"/>
        <w:spacing w:after="0" w:line="252" w:lineRule="auto"/>
        <w:tabs>
          <w:tab w:leader="none" w:pos="282" w:val="left"/>
        </w:tabs>
        <w:numPr>
          <w:ilvl w:val="0"/>
          <w:numId w:val="48"/>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of the definition of “First Lien Loan”), (b) consists of a term loan, (c) includes a first out facility under a single credit agreement having a ratio of funded debt under the first out facility to TTM EBITDA on any date of determination of less than or equal to 2.0x or the ratio of funded debt under the first out facility to TTM Recurring Revenue of less than or equal to 1.0x, as applicable, (d) is secured on a pari passu basis with the first out facility by a perfected, first priority security interest in substantially all of the assets of the related Obligor (subject to Purchase Money Liens and customary Liens for taxes or regulatory charges not then due and payable and other Permitted Obligor Liens under the related Loan Documents), (e) in the case of an event of default under the applicable related Loan Document, will be paid after one or more tranches of the related first out facility issued by the same Obligor have been paid in full in accordance with a specified waterfall of payment.</w:t>
      </w:r>
    </w:p>
    <w:p>
      <w:pPr>
        <w:spacing w:after="0" w:line="181"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“First Lien Loan” </w:t>
      </w:r>
      <w:r>
        <w:rPr>
          <w:rFonts w:ascii="Times New Roman" w:cs="Times New Roman" w:eastAsia="Times New Roman" w:hAnsi="Times New Roman"/>
          <w:sz w:val="19"/>
          <w:szCs w:val="19"/>
          <w:color w:val="auto"/>
        </w:rPr>
        <w:t>means any Loan (a) (i) that is secured by a valid and perfected first priority security interest or Lien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substantially all of the Obligor’s assets constituting Related Property (including to the extent that the related Obligor’s Related Property includes intellectual property, a negative pledge with respect to the Obligor’s intellectual property prohibiting the Obligor from pledging or otherwise encumbering its intellectual property securing the obligations of the Obligor) for the Loan as determined in accordance with the Borrower’s Investment Policies and (ii) that provides that the payment obligation of the Obligor on such Loan is either senior to, or pari passu with, and is not (and cannot by its terms become) subordinate in right of payment to, all other Indebtedness of such Obligor, including in any proceeding related to an Insolvency Event (other than a formula-based revolving credit facility secured by a valid-first priority security interest in accounts receivable or inventory), or (b) (i) is issued pursuant to a receivables-based or formula-based revolving credit facility secured by a valid-first priority security interest in accounts receivable or inventory and (ii) that provides that the payment obligation of the Obligor on such Loan is senior to and is not (and cannot by its terms become) subordinate in right of payment to, all other Indebtedness of such Obligor, including in any proceeding related to an Insolvency Event.</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“Floating Rate Loan” </w:t>
      </w:r>
      <w:r>
        <w:rPr>
          <w:rFonts w:ascii="Times New Roman" w:cs="Times New Roman" w:eastAsia="Times New Roman" w:hAnsi="Times New Roman"/>
          <w:sz w:val="19"/>
          <w:szCs w:val="19"/>
          <w:color w:val="auto"/>
        </w:rPr>
        <w:t>means a Loan that bears interest at a floating rate that is reset on a monthly or quarterly basis.</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“Floor” </w:t>
      </w:r>
      <w:r>
        <w:rPr>
          <w:rFonts w:ascii="Times New Roman" w:cs="Times New Roman" w:eastAsia="Times New Roman" w:hAnsi="Times New Roman"/>
          <w:sz w:val="19"/>
          <w:szCs w:val="19"/>
          <w:color w:val="auto"/>
        </w:rPr>
        <w:t>means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0.15</w:t>
      </w:r>
      <w:r>
        <w:rPr>
          <w:rFonts w:ascii="Times New Roman" w:cs="Times New Roman" w:eastAsia="Times New Roman" w:hAnsi="Times New Roman"/>
          <w:sz w:val="19"/>
          <w:szCs w:val="19"/>
          <w:color w:val="0000FF"/>
        </w:rPr>
        <w:t>0.50</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“Fourth Amendment Effective Date” </w:t>
      </w:r>
      <w:r>
        <w:rPr>
          <w:rFonts w:ascii="Times New Roman" w:cs="Times New Roman" w:eastAsia="Times New Roman" w:hAnsi="Times New Roman"/>
          <w:sz w:val="19"/>
          <w:szCs w:val="19"/>
          <w:color w:val="auto"/>
        </w:rPr>
        <w:t>means December 4, 2023.</w:t>
      </w:r>
    </w:p>
    <w:p>
      <w:pPr>
        <w:spacing w:after="0" w:line="226" w:lineRule="exact"/>
        <w:rPr>
          <w:sz w:val="20"/>
          <w:szCs w:val="20"/>
          <w:color w:val="auto"/>
        </w:rPr>
      </w:pPr>
    </w:p>
    <w:p>
      <w:pPr>
        <w:ind w:right="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“Fronting Exposure” </w:t>
      </w:r>
      <w:r>
        <w:rPr>
          <w:rFonts w:ascii="Times New Roman" w:cs="Times New Roman" w:eastAsia="Times New Roman" w:hAnsi="Times New Roman"/>
          <w:sz w:val="19"/>
          <w:szCs w:val="19"/>
          <w:color w:val="auto"/>
        </w:rPr>
        <w:t>means, at any time there is a Defaulting Lender, such Defaulting Lender’s pro rata share of the amount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Swingline Advances other than Swingline Advances as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3" w:name="page204"/>
    <w:bookmarkEnd w:id="203"/>
    <w:p>
      <w:pPr>
        <w:spacing w:after="0" w:line="200" w:lineRule="exact"/>
        <w:rPr>
          <w:sz w:val="20"/>
          <w:szCs w:val="20"/>
          <w:color w:val="auto"/>
        </w:rPr>
      </w:pPr>
    </w:p>
    <w:p>
      <w:pPr>
        <w:spacing w:after="0" w:line="285" w:lineRule="exact"/>
        <w:rPr>
          <w:sz w:val="20"/>
          <w:szCs w:val="20"/>
          <w:color w:val="auto"/>
        </w:rPr>
      </w:pPr>
    </w:p>
    <w:p>
      <w:pPr>
        <w:jc w:val="both"/>
        <w:ind w:right="160"/>
        <w:spacing w:after="0" w:line="286" w:lineRule="auto"/>
        <w:rPr>
          <w:sz w:val="20"/>
          <w:szCs w:val="20"/>
          <w:color w:val="auto"/>
        </w:rPr>
      </w:pPr>
      <w:r>
        <w:rPr>
          <w:rFonts w:ascii="Times New Roman" w:cs="Times New Roman" w:eastAsia="Times New Roman" w:hAnsi="Times New Roman"/>
          <w:sz w:val="19"/>
          <w:szCs w:val="19"/>
          <w:color w:val="auto"/>
        </w:rPr>
        <w:t>to which such Defaulting Lender’s participation obligation has been reallocated to other Lenders, repaid by the Borrowers or for which cash collateral or other credit support acceptable to the Swingline Lender shall have been provided in accordance with the terms hereof.</w:t>
      </w:r>
    </w:p>
    <w:p>
      <w:pPr>
        <w:spacing w:after="0" w:line="149" w:lineRule="exact"/>
        <w:rPr>
          <w:sz w:val="20"/>
          <w:szCs w:val="20"/>
          <w:color w:val="auto"/>
        </w:rPr>
      </w:pPr>
    </w:p>
    <w:p>
      <w:pPr>
        <w:ind w:right="3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“Funding Date” </w:t>
      </w:r>
      <w:r>
        <w:rPr>
          <w:rFonts w:ascii="Times New Roman" w:cs="Times New Roman" w:eastAsia="Times New Roman" w:hAnsi="Times New Roman"/>
          <w:sz w:val="19"/>
          <w:szCs w:val="19"/>
          <w:color w:val="auto"/>
        </w:rPr>
        <w:t>means any day on which an Advance is made in accordance with and subject to the terms and conditions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this Agreement.</w:t>
      </w:r>
    </w:p>
    <w:p>
      <w:pPr>
        <w:spacing w:after="0" w:line="148" w:lineRule="exact"/>
        <w:rPr>
          <w:sz w:val="20"/>
          <w:szCs w:val="20"/>
          <w:color w:val="auto"/>
        </w:rPr>
      </w:pPr>
    </w:p>
    <w:p>
      <w:pPr>
        <w:ind w:right="12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“Funding Request” </w:t>
      </w:r>
      <w:r>
        <w:rPr>
          <w:rFonts w:ascii="Times New Roman" w:cs="Times New Roman" w:eastAsia="Times New Roman" w:hAnsi="Times New Roman"/>
          <w:sz w:val="19"/>
          <w:szCs w:val="19"/>
          <w:color w:val="auto"/>
        </w:rPr>
        <w:t>means a Borrower Notice (including a duly completed Borrowing Base Certificate as of such proposed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Funding Date and giving pro forma effect to the Advance requested and the use of proceeds thereof) requesting an Advance, in the form of Exhibit A hereto and including each item required by Section 2.2.</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“GAAP” </w:t>
      </w:r>
      <w:r>
        <w:rPr>
          <w:rFonts w:ascii="Times New Roman" w:cs="Times New Roman" w:eastAsia="Times New Roman" w:hAnsi="Times New Roman"/>
          <w:sz w:val="19"/>
          <w:szCs w:val="19"/>
          <w:color w:val="auto"/>
        </w:rPr>
        <w:t>means generally accepted accounting principles as in effect from time to time in the United States.</w:t>
      </w:r>
    </w:p>
    <w:p>
      <w:pPr>
        <w:spacing w:after="0" w:line="226" w:lineRule="exact"/>
        <w:rPr>
          <w:sz w:val="20"/>
          <w:szCs w:val="20"/>
          <w:color w:val="auto"/>
        </w:rPr>
      </w:pPr>
    </w:p>
    <w:p>
      <w:pPr>
        <w:ind w:right="2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“Governmental Authority” </w:t>
      </w:r>
      <w:r>
        <w:rPr>
          <w:rFonts w:ascii="Times New Roman" w:cs="Times New Roman" w:eastAsia="Times New Roman" w:hAnsi="Times New Roman"/>
          <w:sz w:val="19"/>
          <w:szCs w:val="19"/>
          <w:color w:val="auto"/>
        </w:rPr>
        <w:t>means, with respect to any Person, any nation or government, any state or other political subdivision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thereof, any central bank (or similar monetary or regulatory authority) thereof, any entity exercising executive, legislative, judicial, regulatory or administrative functions of or pertaining to government and any court or arbitrator having jurisdiction over such Person.</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“Group Advance Limit” </w:t>
      </w:r>
      <w:r>
        <w:rPr>
          <w:rFonts w:ascii="Times New Roman" w:cs="Times New Roman" w:eastAsia="Times New Roman" w:hAnsi="Times New Roman"/>
          <w:sz w:val="19"/>
          <w:szCs w:val="19"/>
          <w:color w:val="auto"/>
        </w:rPr>
        <w:t>means, for each Lender Group, the sum of the Commitments of the Lenders in such Lender Group.</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“Guarantors” </w:t>
      </w:r>
      <w:r>
        <w:rPr>
          <w:rFonts w:ascii="Times New Roman" w:cs="Times New Roman" w:eastAsia="Times New Roman" w:hAnsi="Times New Roman"/>
          <w:sz w:val="19"/>
          <w:szCs w:val="19"/>
          <w:color w:val="auto"/>
        </w:rPr>
        <w:t>is defined in Section 5.1(rr).</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“Guaranty” </w:t>
      </w:r>
      <w:r>
        <w:rPr>
          <w:rFonts w:ascii="Times New Roman" w:cs="Times New Roman" w:eastAsia="Times New Roman" w:hAnsi="Times New Roman"/>
          <w:sz w:val="19"/>
          <w:szCs w:val="19"/>
          <w:color w:val="auto"/>
        </w:rPr>
        <w:t>is defined in Section 5.1(rr).</w:t>
      </w:r>
    </w:p>
    <w:p>
      <w:pPr>
        <w:spacing w:after="0" w:line="226"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“Hazardous Materials” </w:t>
      </w:r>
      <w:r>
        <w:rPr>
          <w:rFonts w:ascii="Times New Roman" w:cs="Times New Roman" w:eastAsia="Times New Roman" w:hAnsi="Times New Roman"/>
          <w:sz w:val="19"/>
          <w:szCs w:val="19"/>
          <w:color w:val="auto"/>
        </w:rPr>
        <w:t>means all explosive or radioactive substances or wastes and all hazardous or toxic substances, wastes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pollutants, including petroleum or petroleum distillates, asbestos or asbestos-containing materials, polychlorinated biphenyls, radon gas, infectious or medical wastes, and other substances or wastes of any nature regulated under or with respect to which liability or standards of conduct are imposed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i w:val="1"/>
          <w:iCs w:val="1"/>
          <w:color w:val="FF0000"/>
          <w:strike w:val="1"/>
        </w:rPr>
        <w:t>Health Care &amp; Life Sciences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means and includes Obligors that operate a business within any Target Industry set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forth in clause (a) of the definition thereof as determined in accordance with the Investment Policy</w:t>
      </w:r>
      <w:r>
        <w:rPr>
          <w:rFonts w:ascii="Times New Roman" w:cs="Times New Roman" w:eastAsia="Times New Roman" w:hAnsi="Times New Roman"/>
          <w:sz w:val="19"/>
          <w:szCs w:val="19"/>
          <w:i w:val="1"/>
          <w:iCs w:val="1"/>
          <w:color w:val="0000FF"/>
        </w:rPr>
        <w:t>Hedge Breakage Costs”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means, for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any Hedge Transaction, any amount payable by the Borrower for the early termination of such Hedge Transaction or any portion thereof.</w:t>
      </w:r>
    </w:p>
    <w:p>
      <w:pPr>
        <w:spacing w:after="0" w:line="166" w:lineRule="exact"/>
        <w:rPr>
          <w:sz w:val="20"/>
          <w:szCs w:val="20"/>
          <w:color w:val="auto"/>
        </w:rPr>
      </w:pPr>
    </w:p>
    <w:p>
      <w:pPr>
        <w:ind w:right="60" w:firstLine="696"/>
        <w:spacing w:after="0" w:line="259" w:lineRule="auto"/>
        <w:rPr>
          <w:sz w:val="20"/>
          <w:szCs w:val="20"/>
          <w:color w:val="auto"/>
        </w:rPr>
      </w:pPr>
      <w:r>
        <w:rPr>
          <w:rFonts w:ascii="Times New Roman" w:cs="Times New Roman" w:eastAsia="Times New Roman" w:hAnsi="Times New Roman"/>
          <w:sz w:val="19"/>
          <w:szCs w:val="19"/>
          <w:i w:val="1"/>
          <w:iCs w:val="1"/>
          <w:color w:val="0000FF"/>
        </w:rPr>
        <w:t xml:space="preserve">“Hedge Counterparty” </w:t>
      </w:r>
      <w:r>
        <w:rPr>
          <w:rFonts w:ascii="Times New Roman" w:cs="Times New Roman" w:eastAsia="Times New Roman" w:hAnsi="Times New Roman"/>
          <w:sz w:val="19"/>
          <w:szCs w:val="19"/>
          <w:color w:val="0000FF"/>
        </w:rPr>
        <w:t>means any Lender, an Affiliate of any Lender if such Affiliate executes a counterpart of this Agreement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agreeing to be bound by the terms of the Agreement applicable to a Secured Party, or any other hedge counterparty selected by the Borrower and approved by the Administrative Agent.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4" w:name="page205"/>
    <w:bookmarkEnd w:id="204"/>
    <w:p>
      <w:pPr>
        <w:spacing w:after="0" w:line="200" w:lineRule="exact"/>
        <w:rPr>
          <w:sz w:val="20"/>
          <w:szCs w:val="20"/>
          <w:color w:val="auto"/>
        </w:rPr>
      </w:pPr>
    </w:p>
    <w:p>
      <w:pPr>
        <w:spacing w:after="0" w:line="283" w:lineRule="exact"/>
        <w:rPr>
          <w:sz w:val="20"/>
          <w:szCs w:val="20"/>
          <w:color w:val="auto"/>
        </w:rPr>
      </w:pPr>
    </w:p>
    <w:p>
      <w:pPr>
        <w:ind w:right="40"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“Hedge Transaction” </w:t>
      </w:r>
      <w:r>
        <w:rPr>
          <w:rFonts w:ascii="Times New Roman" w:cs="Times New Roman" w:eastAsia="Times New Roman" w:hAnsi="Times New Roman"/>
          <w:sz w:val="19"/>
          <w:szCs w:val="19"/>
          <w:color w:val="0000FF"/>
        </w:rPr>
        <w:t>means each interest rate cap or swap transaction or foreign currency rate cap or swap transaction between</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the Borrower and a Hedge Counterparty in each case that is governed by a Hedging Agreement.</w:t>
      </w:r>
    </w:p>
    <w:p>
      <w:pPr>
        <w:spacing w:after="0" w:line="148" w:lineRule="exact"/>
        <w:rPr>
          <w:sz w:val="20"/>
          <w:szCs w:val="20"/>
          <w:color w:val="auto"/>
        </w:rPr>
      </w:pPr>
    </w:p>
    <w:p>
      <w:pPr>
        <w:ind w:right="240" w:firstLine="69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“Hedging Agreement” </w:t>
      </w:r>
      <w:r>
        <w:rPr>
          <w:rFonts w:ascii="Times New Roman" w:cs="Times New Roman" w:eastAsia="Times New Roman" w:hAnsi="Times New Roman"/>
          <w:sz w:val="19"/>
          <w:szCs w:val="19"/>
          <w:color w:val="0000FF"/>
        </w:rPr>
        <w:t>means each agreement between the Borrower and a Hedge Counterparty that governs one or more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Hedge Transactions, which agreement shall consist of a “Master Agreement” in a form published by the International Swaps and Derivatives Association, Inc., together with a “Schedule” thereto and each “Confirmation” thereunder confirming the specific terms of each such Hedge Transaction.</w:t>
      </w:r>
    </w:p>
    <w:p>
      <w:pPr>
        <w:spacing w:after="0" w:line="171" w:lineRule="exact"/>
        <w:rPr>
          <w:sz w:val="20"/>
          <w:szCs w:val="20"/>
          <w:color w:val="auto"/>
        </w:rPr>
      </w:pPr>
    </w:p>
    <w:p>
      <w:pPr>
        <w:ind w:right="500" w:firstLine="69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“Hedging Liability” </w:t>
      </w:r>
      <w:r>
        <w:rPr>
          <w:rFonts w:ascii="Times New Roman" w:cs="Times New Roman" w:eastAsia="Times New Roman" w:hAnsi="Times New Roman"/>
          <w:sz w:val="19"/>
          <w:szCs w:val="19"/>
          <w:color w:val="0000FF"/>
        </w:rPr>
        <w:t>means the liability of any Loan Party to a Hedge Counterparty in respect of any Hedging Agreement,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whether absolute or contingent and howsoever and whensoever created, arising, evidenced or acquired (including all renewals, extensions and modifications thereof and substitutions therefor)</w:t>
      </w:r>
      <w:r>
        <w:rPr>
          <w:rFonts w:ascii="Times New Roman" w:cs="Times New Roman" w:eastAsia="Times New Roman" w:hAnsi="Times New Roman"/>
          <w:sz w:val="19"/>
          <w:szCs w:val="19"/>
          <w:color w:val="000000"/>
        </w:rPr>
        <w:t>.</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“Increased Costs” </w:t>
      </w:r>
      <w:r>
        <w:rPr>
          <w:rFonts w:ascii="Times New Roman" w:cs="Times New Roman" w:eastAsia="Times New Roman" w:hAnsi="Times New Roman"/>
          <w:sz w:val="19"/>
          <w:szCs w:val="19"/>
          <w:color w:val="auto"/>
        </w:rPr>
        <w:t>means any amounts required to be paid by the Borrower to an Affected Party pursuant to Section 2.12.</w:t>
      </w:r>
    </w:p>
    <w:p>
      <w:pPr>
        <w:spacing w:after="0" w:line="226"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“Indebtedness” </w:t>
      </w:r>
      <w:r>
        <w:rPr>
          <w:rFonts w:ascii="Times New Roman" w:cs="Times New Roman" w:eastAsia="Times New Roman" w:hAnsi="Times New Roman"/>
          <w:sz w:val="19"/>
          <w:szCs w:val="19"/>
          <w:color w:val="auto"/>
        </w:rPr>
        <w:t>means, with respect to any Person as of any date, (i) indebtedness of such Person for borrowed money, (ii)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obligations of such Person evidenced by bonds, debentures, notes or other similar instruments related to transactions that are classified as financings under GAAP, (iii) obligations of such Person to pay the deferred purchase price of property or services (other than trade payables incurred in the ordinary course of business and repayable in accordance with customary trade practices), (iv) obligations of such Person as lessee under leases which shall have been or should be, in accordance with GAAP, recorded as capital leases, (v) obligations secured by a Lien upon property or assets owned (under GAAP) by such Person, even though such Person has not assumed or become liable for the payment of such obligations and (vi) obligations of such Person under direct or indirect guaranties in respect of, and obligations (contingent or otherwise) to purchase or otherwise acquire, or otherwise to assure a creditor, against loss in respect of, indebtedness or obligations of others of the kinds referred to in clauses (i) through (v) above.</w:t>
      </w:r>
    </w:p>
    <w:p>
      <w:pPr>
        <w:spacing w:after="0" w:line="1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“Indemnified Amounts” </w:t>
      </w:r>
      <w:r>
        <w:rPr>
          <w:rFonts w:ascii="Times New Roman" w:cs="Times New Roman" w:eastAsia="Times New Roman" w:hAnsi="Times New Roman"/>
          <w:sz w:val="19"/>
          <w:szCs w:val="19"/>
          <w:color w:val="auto"/>
        </w:rPr>
        <w:t>is defined in Section 9.1.</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“Indemnified Party” </w:t>
      </w:r>
      <w:r>
        <w:rPr>
          <w:rFonts w:ascii="Times New Roman" w:cs="Times New Roman" w:eastAsia="Times New Roman" w:hAnsi="Times New Roman"/>
          <w:sz w:val="19"/>
          <w:szCs w:val="19"/>
          <w:color w:val="auto"/>
        </w:rPr>
        <w:t>is defined in Section 9.1.</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Indemnified Taxes</w:t>
      </w:r>
      <w:r>
        <w:rPr>
          <w:rFonts w:ascii="Times New Roman" w:cs="Times New Roman" w:eastAsia="Times New Roman" w:hAnsi="Times New Roman"/>
          <w:sz w:val="19"/>
          <w:szCs w:val="19"/>
          <w:color w:val="auto"/>
        </w:rPr>
        <w:t>” is defined in Section 2.13.</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“Indorsement” </w:t>
      </w:r>
      <w:r>
        <w:rPr>
          <w:rFonts w:ascii="Times New Roman" w:cs="Times New Roman" w:eastAsia="Times New Roman" w:hAnsi="Times New Roman"/>
          <w:sz w:val="19"/>
          <w:szCs w:val="19"/>
          <w:color w:val="auto"/>
        </w:rPr>
        <w:t>has the meaning specified in Section 8-102(a)(11) of the UCC.</w:t>
      </w:r>
    </w:p>
    <w:p>
      <w:pPr>
        <w:spacing w:after="0" w:line="226"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“Industry” </w:t>
      </w:r>
      <w:r>
        <w:rPr>
          <w:rFonts w:ascii="Times New Roman" w:cs="Times New Roman" w:eastAsia="Times New Roman" w:hAnsi="Times New Roman"/>
          <w:sz w:val="19"/>
          <w:szCs w:val="19"/>
          <w:color w:val="auto"/>
        </w:rPr>
        <w:t>means the industry of an Obligor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determined by reference to the industry classifications set forth in the definition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of Target Industry. The classification under which an Eligible Loan is categorized shall be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determined on the date of origination in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reasonable discretion of the Borrower </w:t>
      </w:r>
      <w:r>
        <w:rPr>
          <w:rFonts w:ascii="Times New Roman" w:cs="Times New Roman" w:eastAsia="Times New Roman" w:hAnsi="Times New Roman"/>
          <w:sz w:val="19"/>
          <w:szCs w:val="19"/>
          <w:color w:val="0000FF"/>
        </w:rPr>
        <w:t>by reference to the 4-digit Global Industry Classification Standard (</w:t>
      </w:r>
      <w:r>
        <w:rPr>
          <w:rFonts w:ascii="Times New Roman" w:cs="Times New Roman" w:eastAsia="Times New Roman" w:hAnsi="Times New Roman"/>
          <w:sz w:val="19"/>
          <w:szCs w:val="19"/>
          <w:i w:val="1"/>
          <w:iCs w:val="1"/>
          <w:color w:val="0000FF"/>
        </w:rPr>
        <w:t>“GICS”</w:t>
      </w:r>
      <w:r>
        <w:rPr>
          <w:rFonts w:ascii="Times New Roman" w:cs="Times New Roman" w:eastAsia="Times New Roman" w:hAnsi="Times New Roman"/>
          <w:sz w:val="19"/>
          <w:szCs w:val="19"/>
          <w:color w:val="0000FF"/>
        </w:rPr>
        <w:t>) code assigned to such</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Obligor, provided that Software &amp; Services (Industry Group No. 4510) shall be classified as either Application Software (Industry No. 45103010) or Systems Software (Industry No. 45103020)</w:t>
      </w:r>
      <w:r>
        <w:rPr>
          <w:rFonts w:ascii="Times New Roman" w:cs="Times New Roman" w:eastAsia="Times New Roman" w:hAnsi="Times New Roman"/>
          <w:sz w:val="19"/>
          <w:szCs w:val="19"/>
          <w:color w:val="000000"/>
        </w:rPr>
        <w: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5" w:name="page206"/>
    <w:bookmarkEnd w:id="205"/>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“Ineligible Loan” </w:t>
      </w:r>
      <w:r>
        <w:rPr>
          <w:rFonts w:ascii="Times New Roman" w:cs="Times New Roman" w:eastAsia="Times New Roman" w:hAnsi="Times New Roman"/>
          <w:sz w:val="19"/>
          <w:szCs w:val="19"/>
          <w:color w:val="auto"/>
        </w:rPr>
        <w:t>means, at any time, a Loan or any portion thereof that fails to satisfy any criteria of the definition of “Eligible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Loan”.</w:t>
      </w:r>
    </w:p>
    <w:p>
      <w:pPr>
        <w:spacing w:after="0" w:line="202" w:lineRule="exact"/>
        <w:rPr>
          <w:sz w:val="20"/>
          <w:szCs w:val="20"/>
          <w:color w:val="auto"/>
        </w:rPr>
      </w:pPr>
    </w:p>
    <w:p>
      <w:pPr>
        <w:ind w:firstLine="696"/>
        <w:spacing w:after="0" w:line="231" w:lineRule="exact"/>
        <w:rPr>
          <w:sz w:val="20"/>
          <w:szCs w:val="20"/>
          <w:color w:val="auto"/>
        </w:rPr>
      </w:pPr>
      <w:r>
        <w:rPr>
          <w:rFonts w:ascii="Times New Roman" w:cs="Times New Roman" w:eastAsia="Times New Roman" w:hAnsi="Times New Roman"/>
          <w:sz w:val="19"/>
          <w:szCs w:val="19"/>
          <w:i w:val="1"/>
          <w:iCs w:val="1"/>
          <w:color w:val="auto"/>
        </w:rPr>
        <w:t xml:space="preserve">“Insolvency Event” </w:t>
      </w:r>
      <w:r>
        <w:rPr>
          <w:rFonts w:ascii="Times New Roman" w:cs="Times New Roman" w:eastAsia="Times New Roman" w:hAnsi="Times New Roman"/>
          <w:sz w:val="19"/>
          <w:szCs w:val="19"/>
          <w:color w:val="auto"/>
        </w:rPr>
        <w:t>means, with respect to a specified Person, (a) the filing of a decree or order for relief by a court having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up or liquidation of such Person’s affairs, and such decree or order shall remain unstayed and in effect for a period of 60 consecutive days; or (b) the commencement by such Person of a voluntary case under any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inability by such Person, admitted in writing or otherwise, generally to pay its debts as such debts become due, or the taking of action by such Person in furtherance of any of the foregoing.</w:t>
      </w:r>
    </w:p>
    <w:p>
      <w:pPr>
        <w:spacing w:after="0" w:line="191" w:lineRule="exact"/>
        <w:rPr>
          <w:sz w:val="20"/>
          <w:szCs w:val="20"/>
          <w:color w:val="auto"/>
        </w:rPr>
      </w:pPr>
    </w:p>
    <w:p>
      <w:pPr>
        <w:jc w:val="both"/>
        <w:ind w:right="8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“Insolvency Laws” </w:t>
      </w:r>
      <w:r>
        <w:rPr>
          <w:rFonts w:ascii="Times New Roman" w:cs="Times New Roman" w:eastAsia="Times New Roman" w:hAnsi="Times New Roman"/>
          <w:sz w:val="19"/>
          <w:szCs w:val="19"/>
          <w:color w:val="auto"/>
        </w:rPr>
        <w:t>means the Bankruptcy Code and all other applicable liquidation, conservatorship, bankruptcy, moratorium,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rearrangement, receivership, insolvency, reorganization, suspension of payments, or similar debtor relief laws from time to time in effect affecting the rights of creditors generally.</w:t>
      </w:r>
    </w:p>
    <w:p>
      <w:pPr>
        <w:spacing w:after="0" w:line="166" w:lineRule="exact"/>
        <w:rPr>
          <w:sz w:val="20"/>
          <w:szCs w:val="20"/>
          <w:color w:val="auto"/>
        </w:rPr>
      </w:pPr>
    </w:p>
    <w:p>
      <w:pPr>
        <w:ind w:right="5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“Insolvency Proceeding” </w:t>
      </w:r>
      <w:r>
        <w:rPr>
          <w:rFonts w:ascii="Times New Roman" w:cs="Times New Roman" w:eastAsia="Times New Roman" w:hAnsi="Times New Roman"/>
          <w:sz w:val="19"/>
          <w:szCs w:val="19"/>
          <w:color w:val="auto"/>
        </w:rPr>
        <w:t>means any case, action or proceeding before any court or Governmental Authority relating to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Insolvency Event.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“Instrument” </w:t>
      </w:r>
      <w:r>
        <w:rPr>
          <w:rFonts w:ascii="Times New Roman" w:cs="Times New Roman" w:eastAsia="Times New Roman" w:hAnsi="Times New Roman"/>
          <w:sz w:val="19"/>
          <w:szCs w:val="19"/>
          <w:color w:val="auto"/>
        </w:rPr>
        <w:t>has the meaning specified in Section 9-102(a)(47) of the UCC.</w:t>
      </w:r>
    </w:p>
    <w:p>
      <w:pPr>
        <w:spacing w:after="0" w:line="226" w:lineRule="exact"/>
        <w:rPr>
          <w:sz w:val="20"/>
          <w:szCs w:val="20"/>
          <w:color w:val="auto"/>
        </w:rPr>
      </w:pPr>
    </w:p>
    <w:p>
      <w:pPr>
        <w:ind w:right="2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“Insurance Policy” </w:t>
      </w:r>
      <w:r>
        <w:rPr>
          <w:rFonts w:ascii="Times New Roman" w:cs="Times New Roman" w:eastAsia="Times New Roman" w:hAnsi="Times New Roman"/>
          <w:sz w:val="19"/>
          <w:szCs w:val="19"/>
          <w:color w:val="auto"/>
        </w:rPr>
        <w:t>means, with respect to any Loan included in the Collateral, an insurance policy covering physical damage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loss to any assets or Related Property of the Obligor securing such Loan.</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“Insurance Proceeds” </w:t>
      </w:r>
      <w:r>
        <w:rPr>
          <w:rFonts w:ascii="Times New Roman" w:cs="Times New Roman" w:eastAsia="Times New Roman" w:hAnsi="Times New Roman"/>
          <w:sz w:val="19"/>
          <w:szCs w:val="19"/>
          <w:color w:val="auto"/>
        </w:rPr>
        <w:t>means any amounts payable or any payments made to the Borrower under any Insurance Policy.</w:t>
      </w:r>
    </w:p>
    <w:p>
      <w:pPr>
        <w:spacing w:after="0" w:line="226" w:lineRule="exact"/>
        <w:rPr>
          <w:sz w:val="20"/>
          <w:szCs w:val="20"/>
          <w:color w:val="auto"/>
        </w:rPr>
      </w:pPr>
    </w:p>
    <w:p>
      <w:pPr>
        <w:ind w:right="4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“Interest” </w:t>
      </w:r>
      <w:r>
        <w:rPr>
          <w:rFonts w:ascii="Times New Roman" w:cs="Times New Roman" w:eastAsia="Times New Roman" w:hAnsi="Times New Roman"/>
          <w:sz w:val="19"/>
          <w:szCs w:val="19"/>
          <w:color w:val="auto"/>
        </w:rPr>
        <w:t>means, for each day during each Interest Period and each Advance outstanding during each day of such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Period, the product of:</w:t>
      </w:r>
    </w:p>
    <w:p>
      <w:pPr>
        <w:spacing w:after="0" w:line="17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IR x P</w:t>
      </w:r>
    </w:p>
    <w:p>
      <w:pPr>
        <w:spacing w:after="0" w:line="3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9"/>
          <w:szCs w:val="19"/>
          <w:color w:val="auto"/>
        </w:rPr>
        <w:t>360</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where</w:t>
      </w:r>
    </w:p>
    <w:p>
      <w:pPr>
        <w:spacing w:after="0" w:line="2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IR = the Interest Rate applicable to such Advance for such day, resetting as and when specified herein;</w:t>
      </w: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06" w:name="page207"/>
    <w:bookmarkEnd w:id="206"/>
    <w:p>
      <w:pPr>
        <w:spacing w:after="0" w:line="26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9"/>
          <w:szCs w:val="19"/>
          <w:color w:val="auto"/>
        </w:rPr>
        <w:t>P = the principal amount of such Advance on such day;</w:t>
      </w:r>
    </w:p>
    <w:p>
      <w:pPr>
        <w:spacing w:after="0" w:line="224" w:lineRule="exact"/>
        <w:rPr>
          <w:sz w:val="20"/>
          <w:szCs w:val="20"/>
          <w:color w:val="auto"/>
        </w:rPr>
      </w:pPr>
    </w:p>
    <w:p>
      <w:pPr>
        <w:ind w:right="28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no provision of this Agreement shall require or permit the collection of Interest in excess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Maximum Lawful Rate and (ii) Interest shall not be considered paid by any distribution if at any time such distribution is rescinded or must otherwise be returned for any reason.</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“Interest Collection Subaccount” </w:t>
      </w:r>
      <w:r>
        <w:rPr>
          <w:rFonts w:ascii="Times New Roman" w:cs="Times New Roman" w:eastAsia="Times New Roman" w:hAnsi="Times New Roman"/>
          <w:sz w:val="19"/>
          <w:szCs w:val="19"/>
          <w:color w:val="auto"/>
        </w:rPr>
        <w:t>is defined in Section 7.4(e).</w:t>
      </w:r>
    </w:p>
    <w:p>
      <w:pPr>
        <w:spacing w:after="0" w:line="226" w:lineRule="exact"/>
        <w:rPr>
          <w:sz w:val="20"/>
          <w:szCs w:val="20"/>
          <w:color w:val="auto"/>
        </w:rPr>
      </w:pPr>
    </w:p>
    <w:p>
      <w:pPr>
        <w:ind w:right="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“Interest Collections” </w:t>
      </w:r>
      <w:r>
        <w:rPr>
          <w:rFonts w:ascii="Times New Roman" w:cs="Times New Roman" w:eastAsia="Times New Roman" w:hAnsi="Times New Roman"/>
          <w:sz w:val="19"/>
          <w:szCs w:val="19"/>
          <w:color w:val="auto"/>
        </w:rPr>
        <w:t>means any and all Collections representing (a) payments of interest, end-of-term payments, late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charges and any other fees and charges related to any Loan; and (b) recoveries of charged off interest on any Loan.</w:t>
      </w:r>
    </w:p>
    <w:p>
      <w:pPr>
        <w:spacing w:after="0" w:line="148" w:lineRule="exact"/>
        <w:rPr>
          <w:sz w:val="20"/>
          <w:szCs w:val="20"/>
          <w:color w:val="auto"/>
        </w:rPr>
      </w:pPr>
    </w:p>
    <w:p>
      <w:pPr>
        <w:ind w:right="40" w:firstLine="696"/>
        <w:spacing w:after="0" w:line="288" w:lineRule="auto"/>
        <w:rPr>
          <w:sz w:val="20"/>
          <w:szCs w:val="20"/>
          <w:color w:val="auto"/>
        </w:rPr>
      </w:pPr>
      <w:r>
        <w:rPr>
          <w:rFonts w:ascii="Times New Roman" w:cs="Times New Roman" w:eastAsia="Times New Roman" w:hAnsi="Times New Roman"/>
          <w:sz w:val="19"/>
          <w:szCs w:val="19"/>
          <w:i w:val="1"/>
          <w:iCs w:val="1"/>
          <w:color w:val="FF0000"/>
          <w:strike w:val="1"/>
        </w:rPr>
        <w:t xml:space="preserve">“Interest Coverage Ratio” </w:t>
      </w:r>
      <w:r>
        <w:rPr>
          <w:rFonts w:ascii="Times New Roman" w:cs="Times New Roman" w:eastAsia="Times New Roman" w:hAnsi="Times New Roman"/>
          <w:sz w:val="19"/>
          <w:szCs w:val="19"/>
          <w:color w:val="FF0000"/>
          <w:strike w:val="1"/>
        </w:rPr>
        <w:t>means, on any date of determination calculated with respect to any Settlement Period, the ratio of (a)</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the Borrower’s EBITDA for the related Settlement Period to (b) the sum for such Settlement Period of Carrying Costs.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“Interest Period” </w:t>
      </w:r>
      <w:r>
        <w:rPr>
          <w:rFonts w:ascii="Times New Roman" w:cs="Times New Roman" w:eastAsia="Times New Roman" w:hAnsi="Times New Roman"/>
          <w:sz w:val="19"/>
          <w:szCs w:val="19"/>
          <w:color w:val="auto"/>
        </w:rPr>
        <w:t>means, with respect to each Term SOFR Loan, each Settlement Period.</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“Interest Rate” </w:t>
      </w:r>
      <w:r>
        <w:rPr>
          <w:rFonts w:ascii="Times New Roman" w:cs="Times New Roman" w:eastAsia="Times New Roman" w:hAnsi="Times New Roman"/>
          <w:sz w:val="19"/>
          <w:szCs w:val="19"/>
          <w:color w:val="auto"/>
        </w:rPr>
        <w:t>means for any Interest Period and any Advance:</w:t>
      </w:r>
    </w:p>
    <w:p>
      <w:pPr>
        <w:spacing w:after="0" w:line="228" w:lineRule="exact"/>
        <w:rPr>
          <w:sz w:val="20"/>
          <w:szCs w:val="20"/>
          <w:color w:val="auto"/>
        </w:rPr>
      </w:pPr>
    </w:p>
    <w:p>
      <w:pPr>
        <w:ind w:left="700" w:right="360" w:firstLine="50"/>
        <w:spacing w:after="0" w:line="268" w:lineRule="auto"/>
        <w:tabs>
          <w:tab w:leader="none" w:pos="1009"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rate per annum equal to the Adjusted Term SOFR Rate plus the Applicable Margin; provided, however, so long as the Adjusted Term SOFR Rate is the Benchmark, the Interest Rate shall be the Base Rate plus the Applicable Margin if a Disruption Event occurs; or</w:t>
      </w:r>
    </w:p>
    <w:p>
      <w:pPr>
        <w:spacing w:after="0" w:line="168" w:lineRule="exact"/>
        <w:rPr>
          <w:rFonts w:ascii="Times New Roman" w:cs="Times New Roman" w:eastAsia="Times New Roman" w:hAnsi="Times New Roman"/>
          <w:sz w:val="19"/>
          <w:szCs w:val="19"/>
          <w:color w:val="auto"/>
        </w:rPr>
      </w:pPr>
    </w:p>
    <w:p>
      <w:pPr>
        <w:ind w:left="700" w:right="120" w:firstLine="50"/>
        <w:spacing w:after="0" w:line="286" w:lineRule="auto"/>
        <w:tabs>
          <w:tab w:leader="none" w:pos="102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clause (a) to the contrary, following the occurrence and during the continuation of an Event of Default, the Interest Rate for all Advances shall be a rate equal to the Default Rate.</w:t>
      </w:r>
    </w:p>
    <w:p>
      <w:pPr>
        <w:spacing w:after="0" w:line="149" w:lineRule="exact"/>
        <w:rPr>
          <w:sz w:val="20"/>
          <w:szCs w:val="20"/>
          <w:color w:val="auto"/>
        </w:rPr>
      </w:pPr>
    </w:p>
    <w:p>
      <w:pPr>
        <w:ind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“Interest Spread Test” </w:t>
      </w:r>
      <w:r>
        <w:rPr>
          <w:rFonts w:ascii="Times New Roman" w:cs="Times New Roman" w:eastAsia="Times New Roman" w:hAnsi="Times New Roman"/>
          <w:sz w:val="19"/>
          <w:szCs w:val="19"/>
          <w:color w:val="0000FF"/>
        </w:rPr>
        <w:t>means a test, with respect to any Settlement Period, calculated as of the end of such Settlement Period on</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the Reporting Date for such Settlement Period, which shall be satisfied if (i) ((A-B)/C), multiplied by (ii) four, exceeds 4% where:</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0000FF"/>
        </w:rPr>
        <w:t>A = the amount of Interest Collections on the Aggregate Outstanding Loan Balance during such Settlement Period;</w:t>
      </w:r>
    </w:p>
    <w:p>
      <w:pPr>
        <w:spacing w:after="0" w:line="32" w:lineRule="exact"/>
        <w:rPr>
          <w:sz w:val="20"/>
          <w:szCs w:val="20"/>
          <w:color w:val="auto"/>
        </w:rPr>
      </w:pPr>
    </w:p>
    <w:p>
      <w:pPr>
        <w:ind w:left="540" w:right="620"/>
        <w:spacing w:after="0" w:line="262" w:lineRule="auto"/>
        <w:rPr>
          <w:sz w:val="20"/>
          <w:szCs w:val="20"/>
          <w:color w:val="auto"/>
        </w:rPr>
      </w:pPr>
      <w:r>
        <w:rPr>
          <w:rFonts w:ascii="Times New Roman" w:cs="Times New Roman" w:eastAsia="Times New Roman" w:hAnsi="Times New Roman"/>
          <w:sz w:val="19"/>
          <w:szCs w:val="19"/>
          <w:color w:val="0000FF"/>
        </w:rPr>
        <w:t>B = the sum for such Settlement Period of (i) Carrying Costs, (ii) the Administrative Agent Fee and (iii) the Bank Fee; and C = the Aggregate Outstanding Loan Balance as of the last day of the immediately preceding Settlement Period.</w:t>
      </w:r>
    </w:p>
    <w:p>
      <w:pPr>
        <w:spacing w:after="0" w:line="171" w:lineRule="exact"/>
        <w:rPr>
          <w:sz w:val="20"/>
          <w:szCs w:val="20"/>
          <w:color w:val="auto"/>
        </w:rPr>
      </w:pPr>
    </w:p>
    <w:p>
      <w:pPr>
        <w:ind w:right="28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“Interim Order” </w:t>
      </w:r>
      <w:r>
        <w:rPr>
          <w:rFonts w:ascii="Times New Roman" w:cs="Times New Roman" w:eastAsia="Times New Roman" w:hAnsi="Times New Roman"/>
          <w:sz w:val="19"/>
          <w:szCs w:val="19"/>
          <w:color w:val="auto"/>
        </w:rPr>
        <w:t>means an order, judgment, decree or ruling entered after notice and a hearing conducted in accordance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Bankruptcy Rule 4001(c) granting interim authorization, the operation or effect of which has not been stayed, reversed or amended.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7" w:name="page208"/>
    <w:bookmarkEnd w:id="207"/>
    <w:p>
      <w:pPr>
        <w:spacing w:after="0" w:line="200" w:lineRule="exact"/>
        <w:rPr>
          <w:sz w:val="20"/>
          <w:szCs w:val="20"/>
          <w:color w:val="auto"/>
        </w:rPr>
      </w:pPr>
    </w:p>
    <w:p>
      <w:pPr>
        <w:spacing w:after="0" w:line="283" w:lineRule="exact"/>
        <w:rPr>
          <w:sz w:val="20"/>
          <w:szCs w:val="20"/>
          <w:color w:val="auto"/>
        </w:rPr>
      </w:pPr>
    </w:p>
    <w:p>
      <w:pPr>
        <w:ind w:right="3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“Investment” </w:t>
      </w:r>
      <w:r>
        <w:rPr>
          <w:rFonts w:ascii="Times New Roman" w:cs="Times New Roman" w:eastAsia="Times New Roman" w:hAnsi="Times New Roman"/>
          <w:sz w:val="19"/>
          <w:szCs w:val="19"/>
          <w:color w:val="auto"/>
        </w:rPr>
        <w:t>means, for any Person: (a) equity interests, bonds, notes, debentures or other securities of any other Person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convertible securities) or any agreement to acquire any equity interests, bonds, notes, debentures or other securities of any other Person; or (b) deposits, advances, loans or other extensions of credit made to any other Person (including purchases of property from another Person subject to an understanding or agreement, contingent or otherwise, to resell such property to such Person).</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“Investment Adviser” </w:t>
      </w:r>
      <w:r>
        <w:rPr>
          <w:rFonts w:ascii="Times New Roman" w:cs="Times New Roman" w:eastAsia="Times New Roman" w:hAnsi="Times New Roman"/>
          <w:sz w:val="19"/>
          <w:szCs w:val="19"/>
          <w:color w:val="auto"/>
        </w:rPr>
        <w:t>means RGC, as investment adviser under the Investment Advisory Agreement.</w:t>
      </w:r>
    </w:p>
    <w:p>
      <w:pPr>
        <w:spacing w:after="0" w:line="226" w:lineRule="exact"/>
        <w:rPr>
          <w:sz w:val="20"/>
          <w:szCs w:val="20"/>
          <w:color w:val="auto"/>
        </w:rPr>
      </w:pPr>
    </w:p>
    <w:p>
      <w:pPr>
        <w:ind w:right="12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“Investment Advisory Agreement” </w:t>
      </w:r>
      <w:r>
        <w:rPr>
          <w:rFonts w:ascii="Times New Roman" w:cs="Times New Roman" w:eastAsia="Times New Roman" w:hAnsi="Times New Roman"/>
          <w:sz w:val="19"/>
          <w:szCs w:val="19"/>
          <w:color w:val="auto"/>
        </w:rPr>
        <w:t>means that certain Amended and Restated Investment Advisory Agreement dated as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September 12, 2017 by and between the Investment Adviser and the Borrower as the same may from time to time be amended, restated, supplemented, waived or otherwise modified.</w:t>
      </w:r>
    </w:p>
    <w:p>
      <w:pPr>
        <w:spacing w:after="0" w:line="166"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“Investment Policy” </w:t>
      </w:r>
      <w:r>
        <w:rPr>
          <w:rFonts w:ascii="Times New Roman" w:cs="Times New Roman" w:eastAsia="Times New Roman" w:hAnsi="Times New Roman"/>
          <w:sz w:val="19"/>
          <w:szCs w:val="19"/>
          <w:color w:val="auto"/>
        </w:rPr>
        <w:t>means the written policies, procedures and guidelines of the Borrower utilized in the origination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portfolio management) of Loans, specifically including, but not limited to, underwriting, valuation and documentation guidelines, portfolio management and financial policies, procedures and guidelines over collateral and financial analysis, business and asset valuation (including appraisal), audit and appraisal policies, collection activities, renewal, extension, modification, recognition, non-accrual and charge -off policies, and the use of the Borrower’s Standard Documents with respect to the origination, funding and servicing of the Loans, such policies, procedures and guidelines as delivered to, and approved by, the Administrative Agent and the Required Lenders prior to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and attached hereto as Schedule VI, as the same may be amended or modified from time to time in accordance with Sections 5.1(q) and 7.9(g).</w:t>
      </w:r>
    </w:p>
    <w:p>
      <w:pPr>
        <w:spacing w:after="0" w:line="184"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“Issuer” </w:t>
      </w:r>
      <w:r>
        <w:rPr>
          <w:rFonts w:ascii="Times New Roman" w:cs="Times New Roman" w:eastAsia="Times New Roman" w:hAnsi="Times New Roman"/>
          <w:sz w:val="19"/>
          <w:szCs w:val="19"/>
          <w:color w:val="auto"/>
        </w:rPr>
        <w:t>means, a Lender that is administered by a Liquidity Provider whose principal business consists of issuing commercial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paper or other securities to (i) fund or maintain loans secured by receivables, accounts, instruments, chattel paper, general intangibles and other similar assets or (ii) fund its acquisition and maintenance of receivables, accounts, instruments, chattel paper, general intangibles and other similar assets.</w:t>
      </w:r>
    </w:p>
    <w:p>
      <w:pPr>
        <w:spacing w:after="0" w:line="171" w:lineRule="exact"/>
        <w:rPr>
          <w:sz w:val="20"/>
          <w:szCs w:val="20"/>
          <w:color w:val="auto"/>
        </w:rPr>
      </w:pPr>
    </w:p>
    <w:p>
      <w:pPr>
        <w:ind w:right="2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“Joinder Agreement” </w:t>
      </w:r>
      <w:r>
        <w:rPr>
          <w:rFonts w:ascii="Times New Roman" w:cs="Times New Roman" w:eastAsia="Times New Roman" w:hAnsi="Times New Roman"/>
          <w:sz w:val="19"/>
          <w:szCs w:val="19"/>
          <w:color w:val="auto"/>
        </w:rPr>
        <w:t>means a joinder agreement substantially in the form set forth in Exhibit C hereto pursuant to which a new</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 Group becomes party to this Agreement.</w:t>
      </w:r>
    </w:p>
    <w:p>
      <w:pPr>
        <w:spacing w:after="0" w:line="148"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Joint Venture</w:t>
      </w:r>
      <w:r>
        <w:rPr>
          <w:rFonts w:ascii="Times New Roman" w:cs="Times New Roman" w:eastAsia="Times New Roman" w:hAnsi="Times New Roman"/>
          <w:sz w:val="19"/>
          <w:szCs w:val="19"/>
          <w:color w:val="auto"/>
        </w:rPr>
        <w:t xml:space="preserve">” means </w:t>
      </w:r>
      <w:r>
        <w:rPr>
          <w:rFonts w:ascii="Times New Roman" w:cs="Times New Roman" w:eastAsia="Times New Roman" w:hAnsi="Times New Roman"/>
          <w:sz w:val="19"/>
          <w:szCs w:val="19"/>
          <w:color w:val="FF0000"/>
          <w:strike w:val="1"/>
        </w:rPr>
        <w:t>that certain joint venture</w:t>
      </w:r>
      <w:r>
        <w:rPr>
          <w:rFonts w:ascii="Times New Roman" w:cs="Times New Roman" w:eastAsia="Times New Roman" w:hAnsi="Times New Roman"/>
          <w:sz w:val="19"/>
          <w:szCs w:val="19"/>
          <w:color w:val="0000FF"/>
        </w:rPr>
        <w:t>(i) Runway -Cadma I LLC</w:t>
      </w:r>
      <w:r>
        <w:rPr>
          <w:rFonts w:ascii="Times New Roman" w:cs="Times New Roman" w:eastAsia="Times New Roman" w:hAnsi="Times New Roman"/>
          <w:sz w:val="19"/>
          <w:szCs w:val="19"/>
          <w:color w:val="auto"/>
        </w:rPr>
        <w:t xml:space="preserve"> (together with any subsidiaries of such joint venture) </w:t>
      </w:r>
      <w:r>
        <w:rPr>
          <w:rFonts w:ascii="Times New Roman" w:cs="Times New Roman" w:eastAsia="Times New Roman" w:hAnsi="Times New Roman"/>
          <w:sz w:val="19"/>
          <w:szCs w:val="19"/>
          <w:color w:val="FF0000"/>
          <w:strike w:val="1"/>
        </w:rPr>
        <w:t>between the Borrower and a third party to be disclosed in writing by the Borrower to the Administrative Agent (including providing any documentation reasonably requested by the Administrative Agent) and approved by the Administrative Agent prior to making its</w:t>
      </w:r>
      <w:r>
        <w:rPr>
          <w:rFonts w:ascii="Times New Roman" w:cs="Times New Roman" w:eastAsia="Times New Roman" w:hAnsi="Times New Roman"/>
          <w:sz w:val="19"/>
          <w:szCs w:val="19"/>
          <w:color w:val="0000FF"/>
          <w:strike w:val="1"/>
        </w:rPr>
        <w:t>, and (ii)</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00FF"/>
          <w:strike w:val="1"/>
        </w:rPr>
        <w:t xml:space="preserve">any Investment by the Borrower or its Subsidiaries in a joint venture or other investment vehicle in the form of a capital investment, loan or other commitment in or to such joint venture or other investment vehicle pursuant to which the Borrower or such Subsidiary may be required to provide contributions, investments, or financing to such joint venture or other </w:t>
      </w:r>
      <w:r>
        <w:rPr>
          <w:rFonts w:ascii="Times New Roman" w:cs="Times New Roman" w:eastAsia="Times New Roman" w:hAnsi="Times New Roman"/>
          <w:sz w:val="19"/>
          <w:szCs w:val="19"/>
          <w:color w:val="000000"/>
          <w:strike w:val="1"/>
        </w:rPr>
        <w:t>investment</w:t>
      </w:r>
      <w:r>
        <w:rPr>
          <w:rFonts w:ascii="Times New Roman" w:cs="Times New Roman" w:eastAsia="Times New Roman" w:hAnsi="Times New Roman"/>
          <w:sz w:val="19"/>
          <w:szCs w:val="19"/>
          <w:color w:val="0000FF"/>
          <w:strike w:val="1"/>
        </w:rPr>
        <w:t xml:space="preserve"> vehicle, </w:t>
      </w:r>
      <w:r>
        <w:rPr>
          <w:rFonts w:ascii="Times New Roman" w:cs="Times New Roman" w:eastAsia="Times New Roman" w:hAnsi="Times New Roman"/>
          <w:sz w:val="19"/>
          <w:szCs w:val="19"/>
          <w:color w:val="000000"/>
          <w:strike w:val="1"/>
        </w:rPr>
        <w:t>and in which the Borrower</w:t>
      </w:r>
      <w:r>
        <w:rPr>
          <w:rFonts w:ascii="Times New Roman" w:cs="Times New Roman" w:eastAsia="Times New Roman" w:hAnsi="Times New Roman"/>
          <w:sz w:val="19"/>
          <w:szCs w:val="19"/>
          <w:color w:val="0000FF"/>
          <w:strike w:val="1"/>
        </w:rPr>
        <w:t xml:space="preserve"> </w:t>
      </w:r>
      <w:r>
        <w:rPr>
          <w:rFonts w:ascii="Times New Roman" w:cs="Times New Roman" w:eastAsia="Times New Roman" w:hAnsi="Times New Roman"/>
          <w:sz w:val="19"/>
          <w:szCs w:val="19"/>
          <w:color w:val="000000"/>
          <w:strike w:val="1"/>
        </w:rPr>
        <w:t>has an ownership interest of 50% or less of the Voting Stock.</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8" w:name="page209"/>
    <w:bookmarkEnd w:id="208"/>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“Key Person” is defined in Section 5.2(a).</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“Key Person Event” is defined in Section 5.2(</w:t>
      </w:r>
      <w:r>
        <w:rPr>
          <w:rFonts w:ascii="Times New Roman" w:cs="Times New Roman" w:eastAsia="Times New Roman" w:hAnsi="Times New Roman"/>
          <w:sz w:val="19"/>
          <w:szCs w:val="19"/>
          <w:color w:val="FF0000"/>
          <w:strike w:val="1"/>
        </w:rPr>
        <w:t>a</w:t>
      </w:r>
      <w:r>
        <w:rPr>
          <w:rFonts w:ascii="Times New Roman" w:cs="Times New Roman" w:eastAsia="Times New Roman" w:hAnsi="Times New Roman"/>
          <w:sz w:val="19"/>
          <w:szCs w:val="19"/>
          <w:i w:val="1"/>
          <w:iCs w:val="1"/>
          <w:color w:val="0000FF"/>
        </w:rPr>
        <w:t>c</w:t>
      </w:r>
      <w:r>
        <w:rPr>
          <w:rFonts w:ascii="Times New Roman" w:cs="Times New Roman" w:eastAsia="Times New Roman" w:hAnsi="Times New Roman"/>
          <w:sz w:val="19"/>
          <w:szCs w:val="19"/>
          <w:i w:val="1"/>
          <w:iCs w:val="1"/>
          <w:color w:val="auto"/>
        </w:rPr>
        <w:t>).</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“Key Person Trigger” is defined in Section 5.2(a).</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FF0000"/>
          <w:strike w:val="1"/>
        </w:rPr>
        <w:t xml:space="preserve">“Key Person Trigger Cure” </w:t>
      </w:r>
      <w:r>
        <w:rPr>
          <w:rFonts w:ascii="Times New Roman" w:cs="Times New Roman" w:eastAsia="Times New Roman" w:hAnsi="Times New Roman"/>
          <w:sz w:val="19"/>
          <w:szCs w:val="19"/>
          <w:color w:val="FF0000"/>
          <w:strike w:val="1"/>
        </w:rPr>
        <w:t>is defined in Section 5.2(a).</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“KeyBank” </w:t>
      </w:r>
      <w:r>
        <w:rPr>
          <w:rFonts w:ascii="Times New Roman" w:cs="Times New Roman" w:eastAsia="Times New Roman" w:hAnsi="Times New Roman"/>
          <w:sz w:val="19"/>
          <w:szCs w:val="19"/>
          <w:color w:val="auto"/>
        </w:rPr>
        <w:t>means KeyBank National Association, and its successors or assigns.</w:t>
      </w:r>
    </w:p>
    <w:p>
      <w:pPr>
        <w:spacing w:after="0" w:line="226" w:lineRule="exact"/>
        <w:rPr>
          <w:sz w:val="20"/>
          <w:szCs w:val="20"/>
          <w:color w:val="auto"/>
        </w:rPr>
      </w:pPr>
    </w:p>
    <w:p>
      <w:pPr>
        <w:ind w:right="240" w:firstLine="6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Lender Fee Letter</w:t>
      </w:r>
      <w:r>
        <w:rPr>
          <w:rFonts w:ascii="Times New Roman" w:cs="Times New Roman" w:eastAsia="Times New Roman" w:hAnsi="Times New Roman"/>
          <w:sz w:val="19"/>
          <w:szCs w:val="19"/>
          <w:color w:val="auto"/>
        </w:rPr>
        <w:t>” means that certain Lender Fee Letter dated as of May 31, 2019, among the Borrower, the Administrative Agent and the Lenders, as the same may be amended, restated or modified from time to time.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“Lender Group” </w:t>
      </w:r>
      <w:r>
        <w:rPr>
          <w:rFonts w:ascii="Times New Roman" w:cs="Times New Roman" w:eastAsia="Times New Roman" w:hAnsi="Times New Roman"/>
          <w:sz w:val="19"/>
          <w:szCs w:val="19"/>
          <w:color w:val="auto"/>
        </w:rPr>
        <w:t>means any group consisting of a Lender or Lenders and a related Managing Agent.</w:t>
      </w:r>
    </w:p>
    <w:p>
      <w:pPr>
        <w:spacing w:after="0" w:line="226"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Lender Insolvency Event</w:t>
      </w:r>
      <w:r>
        <w:rPr>
          <w:rFonts w:ascii="Times New Roman" w:cs="Times New Roman" w:eastAsia="Times New Roman" w:hAnsi="Times New Roman"/>
          <w:sz w:val="19"/>
          <w:szCs w:val="19"/>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(ii) a Lender or its Parent Company is the subject of a bankruptcy, insolvency, reorganization, liquidation or similar proceeding, or a receiver, trustee, conservator, custodian or similar Person charged with reorganization or liquidation of its business or assets, including the Federal Deposit Insurance Corporation or any other state or federal regulatory authority acting in such capacity, has been appointed for such Lender or its Parent Company, or such Lender or its Parent Company has taken any action in furtherance of or indicating its consent to or acquiescence in any such proceeding or appointment, or (iii) a Lender or its Parent Company has been adjudicated as, or determined by any Governmental Authority having regulatory authority over such Person or its assets to be, insolvent;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for the avoidance of doubt, a Lender Insolvency Event shall not be deemed to have occurred solely by virtue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ownership or acquisition of any equity interest in or control of a Lender or a Parent Company thereof by a Governmental Authority or an instrumentality thereof so long as such ownership or acquisition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87" w:lineRule="exact"/>
        <w:rPr>
          <w:sz w:val="20"/>
          <w:szCs w:val="20"/>
          <w:color w:val="auto"/>
        </w:rPr>
      </w:pPr>
    </w:p>
    <w:p>
      <w:pPr>
        <w:ind w:right="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“Lenders” </w:t>
      </w:r>
      <w:r>
        <w:rPr>
          <w:rFonts w:ascii="Times New Roman" w:cs="Times New Roman" w:eastAsia="Times New Roman" w:hAnsi="Times New Roman"/>
          <w:sz w:val="19"/>
          <w:szCs w:val="19"/>
          <w:color w:val="auto"/>
        </w:rPr>
        <w:t>is defined in the preamble hereto. For the avoidance of doubt, the Swingline Lender shall constitute a “Lender”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respect to the repayment of Swingline Advances for all purposes hereunder</w:t>
      </w:r>
    </w:p>
    <w:p>
      <w:pPr>
        <w:spacing w:after="0" w:line="148" w:lineRule="exact"/>
        <w:rPr>
          <w:sz w:val="20"/>
          <w:szCs w:val="20"/>
          <w:color w:val="auto"/>
        </w:rPr>
      </w:pPr>
    </w:p>
    <w:p>
      <w:pPr>
        <w:ind w:right="7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“License Agreement” </w:t>
      </w:r>
      <w:r>
        <w:rPr>
          <w:rFonts w:ascii="Times New Roman" w:cs="Times New Roman" w:eastAsia="Times New Roman" w:hAnsi="Times New Roman"/>
          <w:sz w:val="19"/>
          <w:szCs w:val="19"/>
          <w:color w:val="auto"/>
        </w:rPr>
        <w:t>means the Trademark License Agreement dated as of November 8, 2017, between Borrower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Investment Adviser, as amended, supplemented or otherwise modified from time to time</w:t>
      </w:r>
      <w:r>
        <w:rPr>
          <w:rFonts w:ascii="Times New Roman" w:cs="Times New Roman" w:eastAsia="Times New Roman" w:hAnsi="Times New Roman"/>
          <w:sz w:val="19"/>
          <w:szCs w:val="19"/>
          <w:i w:val="1"/>
          <w:iCs w:val="1"/>
          <w:color w:val="auto"/>
        </w:rPr>
        <w: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09" w:name="page210"/>
    <w:bookmarkEnd w:id="209"/>
    <w:p>
      <w:pPr>
        <w:spacing w:after="0" w:line="200" w:lineRule="exact"/>
        <w:rPr>
          <w:sz w:val="20"/>
          <w:szCs w:val="20"/>
          <w:color w:val="auto"/>
        </w:rPr>
      </w:pPr>
    </w:p>
    <w:p>
      <w:pPr>
        <w:spacing w:after="0" w:line="283" w:lineRule="exact"/>
        <w:rPr>
          <w:sz w:val="20"/>
          <w:szCs w:val="20"/>
          <w:color w:val="auto"/>
        </w:rPr>
      </w:pPr>
    </w:p>
    <w:p>
      <w:pPr>
        <w:ind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“Lien” </w:t>
      </w:r>
      <w:r>
        <w:rPr>
          <w:rFonts w:ascii="Times New Roman" w:cs="Times New Roman" w:eastAsia="Times New Roman" w:hAnsi="Times New Roman"/>
          <w:sz w:val="19"/>
          <w:szCs w:val="19"/>
          <w:color w:val="auto"/>
        </w:rPr>
        <w:t>means, with respect to any asset or property, (a) any mortgage, lien, pledge, hypothecation, charge, security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(statutory or other) or encumbrance of any kind or nature whatsoever in respect of such asset or property, or (b) the interest of a vendor or lessor under any conditional sale agreement, financing loan or other title retention agreement relating to such asset or property (including any financing lease having substantially the same economic effect as any of the foregoing, and the filing authorized by a Person of any financing statement under the UCC or comparable law of any jurisdiction).</w:t>
      </w:r>
    </w:p>
    <w:p>
      <w:pPr>
        <w:spacing w:after="0" w:line="156" w:lineRule="exact"/>
        <w:rPr>
          <w:sz w:val="20"/>
          <w:szCs w:val="20"/>
          <w:color w:val="auto"/>
        </w:rPr>
      </w:pPr>
    </w:p>
    <w:p>
      <w:pPr>
        <w:ind w:right="20" w:firstLine="696"/>
        <w:spacing w:after="0" w:line="242" w:lineRule="exact"/>
        <w:rPr>
          <w:sz w:val="20"/>
          <w:szCs w:val="20"/>
          <w:color w:val="auto"/>
        </w:rPr>
      </w:pPr>
      <w:r>
        <w:rPr>
          <w:rFonts w:ascii="Times New Roman" w:cs="Times New Roman" w:eastAsia="Times New Roman" w:hAnsi="Times New Roman"/>
          <w:sz w:val="19"/>
          <w:szCs w:val="19"/>
          <w:i w:val="1"/>
          <w:iCs w:val="1"/>
          <w:color w:val="auto"/>
        </w:rPr>
        <w:t xml:space="preserve">“Liquidation Expenses” </w:t>
      </w:r>
      <w:r>
        <w:rPr>
          <w:rFonts w:ascii="Times New Roman" w:cs="Times New Roman" w:eastAsia="Times New Roman" w:hAnsi="Times New Roman"/>
          <w:sz w:val="19"/>
          <w:szCs w:val="19"/>
          <w:color w:val="auto"/>
        </w:rPr>
        <w:t>means, with respect to any Defaulted Loan, the aggregate amount of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reasonably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incurred by the Borrower in connection with the repossession, refurbishing and disposition of any related assets securing such Loan including the attempted collection of any amount owing pursuant to such Loan.</w:t>
      </w:r>
    </w:p>
    <w:p>
      <w:pPr>
        <w:spacing w:after="0" w:line="194" w:lineRule="exact"/>
        <w:rPr>
          <w:sz w:val="20"/>
          <w:szCs w:val="20"/>
          <w:color w:val="auto"/>
        </w:rPr>
      </w:pPr>
    </w:p>
    <w:p>
      <w:pPr>
        <w:ind w:right="2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“Liquidity Facility” </w:t>
      </w:r>
      <w:r>
        <w:rPr>
          <w:rFonts w:ascii="Times New Roman" w:cs="Times New Roman" w:eastAsia="Times New Roman" w:hAnsi="Times New Roman"/>
          <w:sz w:val="19"/>
          <w:szCs w:val="19"/>
          <w:color w:val="auto"/>
        </w:rPr>
        <w:t>means, with respect to an Issuer, one or more liquidity purchase agreements or similar agreements among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such Issuer, one or more Liquidity Providers and a liquidity agent, as applicable, and/or a letter of credit or similar instrument or agreement by the Liquidity Providers in favor of such Issuer, together with any related agreements.</w:t>
      </w:r>
    </w:p>
    <w:p>
      <w:pPr>
        <w:spacing w:after="0" w:line="166" w:lineRule="exact"/>
        <w:rPr>
          <w:sz w:val="20"/>
          <w:szCs w:val="20"/>
          <w:color w:val="auto"/>
        </w:rPr>
      </w:pPr>
    </w:p>
    <w:p>
      <w:pPr>
        <w:ind w:right="400" w:firstLine="696"/>
        <w:spacing w:after="0" w:line="26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Liquidity Provider</w:t>
      </w:r>
      <w:r>
        <w:rPr>
          <w:rFonts w:ascii="Times New Roman" w:cs="Times New Roman" w:eastAsia="Times New Roman" w:hAnsi="Times New Roman"/>
          <w:sz w:val="19"/>
          <w:szCs w:val="19"/>
          <w:color w:val="auto"/>
        </w:rPr>
        <w:t>” means, as to any Issuer, the financial institution(s) identified as such with respect to such Issuer on the signature pages hereof or in the applicable Assignment and Acceptance or Joinder Agreement from time to time that are liquidity providers pursuant to a Liquidity Facility; provided, that each such liquidity provider shall qualify as an Eligible Assignee.</w:t>
      </w:r>
    </w:p>
    <w:p>
      <w:pPr>
        <w:spacing w:after="0" w:line="166" w:lineRule="exact"/>
        <w:rPr>
          <w:sz w:val="20"/>
          <w:szCs w:val="20"/>
          <w:color w:val="auto"/>
        </w:rPr>
      </w:pPr>
    </w:p>
    <w:p>
      <w:pPr>
        <w:ind w:right="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“Loan” </w:t>
      </w:r>
      <w:r>
        <w:rPr>
          <w:rFonts w:ascii="Times New Roman" w:cs="Times New Roman" w:eastAsia="Times New Roman" w:hAnsi="Times New Roman"/>
          <w:sz w:val="19"/>
          <w:szCs w:val="19"/>
          <w:color w:val="auto"/>
        </w:rPr>
        <w:t>means each loan or portion of a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or Participation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is acquired or originated or purported to be originated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by or acquired by the Borrower. Any Loan that is released from the Lien of this Agreement pursuant to Section 6.3 shall not be treated as a Loan for purposes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purchase of any Defaulted Loan shall not alter such Loan’s status as a Defaulted Loan for purposes of calculating ratios for periods occurring prior to the purchase of such Loan).</w:t>
      </w:r>
    </w:p>
    <w:p>
      <w:pPr>
        <w:spacing w:after="0" w:line="171" w:lineRule="exact"/>
        <w:rPr>
          <w:sz w:val="20"/>
          <w:szCs w:val="20"/>
          <w:color w:val="auto"/>
        </w:rPr>
      </w:pPr>
    </w:p>
    <w:p>
      <w:pPr>
        <w:ind w:right="40" w:firstLine="6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Loan Checklist</w:t>
      </w:r>
      <w:r>
        <w:rPr>
          <w:rFonts w:ascii="Times New Roman" w:cs="Times New Roman" w:eastAsia="Times New Roman" w:hAnsi="Times New Roman"/>
          <w:sz w:val="19"/>
          <w:szCs w:val="19"/>
          <w:color w:val="auto"/>
        </w:rPr>
        <w:t>” means an electronic or hard copy, as applicable, of a closing set index or checklist delivered by or on behalf of the Borrower to the Document Custodian and the Administrative Agent, for each Loan, of all Loan Documents to be included within the respective Loan File, which shall specify whether such document is an original or a copy (provided that any document that is not individually specified as an original or a copy shall be deemed specified as a copy).</w:t>
      </w:r>
    </w:p>
    <w:p>
      <w:pPr>
        <w:spacing w:after="0" w:line="171" w:lineRule="exact"/>
        <w:rPr>
          <w:sz w:val="20"/>
          <w:szCs w:val="20"/>
          <w:color w:val="auto"/>
        </w:rPr>
      </w:pPr>
    </w:p>
    <w:p>
      <w:pPr>
        <w:ind w:right="320"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“Loan Documents” </w:t>
      </w:r>
      <w:r>
        <w:rPr>
          <w:rFonts w:ascii="Times New Roman" w:cs="Times New Roman" w:eastAsia="Times New Roman" w:hAnsi="Times New Roman"/>
          <w:sz w:val="19"/>
          <w:szCs w:val="19"/>
          <w:color w:val="auto"/>
        </w:rPr>
        <w:t>means, with respect to any Loan, the related promissory note and any related loan agreement, lease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security agreement, intercreditor agreement, mortgage, assignment of mortgage, intellectual property security agreements, deposit account control agreement, assignment of loan or allonge, participation agreement, all guarantees related thereto, and all UCC financing statements and continuation statements (including amendments or modifications thereof) executed (as applicable) by the Obligor thereof or by another Person on the Obligor’s behalf in respect of such Loan, including, without limitation, general or limited guaranties.</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0" w:name="page211"/>
    <w:bookmarkEnd w:id="210"/>
    <w:p>
      <w:pPr>
        <w:spacing w:after="0" w:line="200" w:lineRule="exact"/>
        <w:rPr>
          <w:sz w:val="20"/>
          <w:szCs w:val="20"/>
          <w:color w:val="auto"/>
        </w:rPr>
      </w:pPr>
    </w:p>
    <w:p>
      <w:pPr>
        <w:spacing w:after="0" w:line="283"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“Loan File” </w:t>
      </w:r>
      <w:r>
        <w:rPr>
          <w:rFonts w:ascii="Times New Roman" w:cs="Times New Roman" w:eastAsia="Times New Roman" w:hAnsi="Times New Roman"/>
          <w:sz w:val="19"/>
          <w:szCs w:val="19"/>
          <w:color w:val="auto"/>
        </w:rPr>
        <w:t>means, with respect to any Loan, a file containing (a) each of the documents and items as set forth on the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Checklist with respect to such Loan and (b) duly executed originals or copies of any other relevant records relating to such Loans and the Related Property pertaining thereto.</w:t>
      </w:r>
    </w:p>
    <w:p>
      <w:pPr>
        <w:spacing w:after="0" w:line="166" w:lineRule="exact"/>
        <w:rPr>
          <w:sz w:val="20"/>
          <w:szCs w:val="20"/>
          <w:color w:val="auto"/>
        </w:rPr>
      </w:pPr>
    </w:p>
    <w:p>
      <w:pPr>
        <w:ind w:right="8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“Loan List” </w:t>
      </w:r>
      <w:r>
        <w:rPr>
          <w:rFonts w:ascii="Times New Roman" w:cs="Times New Roman" w:eastAsia="Times New Roman" w:hAnsi="Times New Roman"/>
          <w:sz w:val="19"/>
          <w:szCs w:val="19"/>
          <w:color w:val="auto"/>
        </w:rPr>
        <w:t>means the Loan List most recently provided by the Borrower to the Administrative Agent and the Document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Custodian in connection with a Funding Request or a Monthly Report, which Loan List shall replace the prior Loan List, if any, and be incorporated as Schedule II hereto. </w:t>
      </w:r>
      <w:r>
        <w:rPr>
          <w:rFonts w:ascii="Times New Roman" w:cs="Times New Roman" w:eastAsia="Times New Roman" w:hAnsi="Times New Roman"/>
          <w:sz w:val="19"/>
          <w:szCs w:val="19"/>
          <w:color w:val="0000FF"/>
        </w:rPr>
        <w:t>Each Loan List shall include a classification of each Loan as one of an ABL, BSL, Venture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Loan, Cash Flow Loan or Recurring Revenue Loan, and a Loan need not remain in the same classification on any subsequent Loan List.</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“Loan Party” </w:t>
      </w:r>
      <w:r>
        <w:rPr>
          <w:rFonts w:ascii="Times New Roman" w:cs="Times New Roman" w:eastAsia="Times New Roman" w:hAnsi="Times New Roman"/>
          <w:sz w:val="19"/>
          <w:szCs w:val="19"/>
          <w:color w:val="auto"/>
        </w:rPr>
        <w:t>means the Borrower and each of the Guarantors.</w:t>
      </w:r>
    </w:p>
    <w:p>
      <w:pPr>
        <w:spacing w:after="0" w:line="226" w:lineRule="exact"/>
        <w:rPr>
          <w:sz w:val="20"/>
          <w:szCs w:val="20"/>
          <w:color w:val="auto"/>
        </w:rPr>
      </w:pPr>
    </w:p>
    <w:p>
      <w:pPr>
        <w:ind w:right="40" w:firstLine="69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“LTV” </w:t>
      </w:r>
      <w:r>
        <w:rPr>
          <w:rFonts w:ascii="Times New Roman" w:cs="Times New Roman" w:eastAsia="Times New Roman" w:hAnsi="Times New Roman"/>
          <w:sz w:val="19"/>
          <w:szCs w:val="19"/>
          <w:color w:val="auto"/>
        </w:rPr>
        <w:t>means, as of any date of measurement with respect to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Loan that is a Venture Debt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the number, expressed as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percentage, of (a) the aggregate principal balance of all the Loans included as part of the Collateral with the same Obligor,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all other outstanding balances of secured and unsecured loans of such Obligor that are pari passu to the Loans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the aggregate Unfunded Amount, </w:t>
      </w:r>
      <w:r>
        <w:rPr>
          <w:rFonts w:ascii="Times New Roman" w:cs="Times New Roman" w:eastAsia="Times New Roman" w:hAnsi="Times New Roman"/>
          <w:sz w:val="19"/>
          <w:szCs w:val="19"/>
          <w:i w:val="1"/>
          <w:iCs w:val="1"/>
          <w:color w:val="auto"/>
        </w:rPr>
        <w:t>divided by</w:t>
      </w:r>
      <w:r>
        <w:rPr>
          <w:rFonts w:ascii="Times New Roman" w:cs="Times New Roman" w:eastAsia="Times New Roman" w:hAnsi="Times New Roman"/>
          <w:sz w:val="19"/>
          <w:szCs w:val="19"/>
          <w:color w:val="auto"/>
        </w:rPr>
        <w:t xml:space="preserve"> (b) the “Obligor enterprise value,” as determined in accordance with the Investment Policy which percentage shall be updated no less frequently than quarterly; </w:t>
      </w:r>
      <w:r>
        <w:rPr>
          <w:rFonts w:ascii="Times New Roman" w:cs="Times New Roman" w:eastAsia="Times New Roman" w:hAnsi="Times New Roman"/>
          <w:sz w:val="19"/>
          <w:szCs w:val="19"/>
          <w:i w:val="1"/>
          <w:iCs w:val="1"/>
          <w:color w:val="auto"/>
        </w:rPr>
        <w:t>provided that</w:t>
      </w:r>
      <w:r>
        <w:rPr>
          <w:rFonts w:ascii="Times New Roman" w:cs="Times New Roman" w:eastAsia="Times New Roman" w:hAnsi="Times New Roman"/>
          <w:sz w:val="19"/>
          <w:szCs w:val="19"/>
          <w:color w:val="auto"/>
        </w:rPr>
        <w:t xml:space="preserve"> with respect to any Eligible Loan the Obligor of which is publicly traded, the “Obligor enterprise value” as of any measurement date shall be the average Obligor enterprise value for the three months then ended.</w:t>
      </w:r>
    </w:p>
    <w:p>
      <w:pPr>
        <w:spacing w:after="0" w:line="175" w:lineRule="exact"/>
        <w:rPr>
          <w:sz w:val="20"/>
          <w:szCs w:val="20"/>
          <w:color w:val="auto"/>
        </w:rPr>
      </w:pPr>
    </w:p>
    <w:p>
      <w:pPr>
        <w:ind w:right="4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“Managing Agent” </w:t>
      </w:r>
      <w:r>
        <w:rPr>
          <w:rFonts w:ascii="Times New Roman" w:cs="Times New Roman" w:eastAsia="Times New Roman" w:hAnsi="Times New Roman"/>
          <w:sz w:val="19"/>
          <w:szCs w:val="19"/>
          <w:color w:val="auto"/>
        </w:rPr>
        <w:t>means, as to any Lender, the financial institution identified as such with respect to such Lender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signature pages hereof or in the applicable Assignment and Acceptance or Joinder Agreement.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“Mandatory Prepayment” </w:t>
      </w:r>
      <w:r>
        <w:rPr>
          <w:rFonts w:ascii="Times New Roman" w:cs="Times New Roman" w:eastAsia="Times New Roman" w:hAnsi="Times New Roman"/>
          <w:sz w:val="19"/>
          <w:szCs w:val="19"/>
          <w:color w:val="auto"/>
        </w:rPr>
        <w:t>is defined in Section 2.4(a).</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“Margin Stock” </w:t>
      </w:r>
      <w:r>
        <w:rPr>
          <w:rFonts w:ascii="Times New Roman" w:cs="Times New Roman" w:eastAsia="Times New Roman" w:hAnsi="Times New Roman"/>
          <w:sz w:val="19"/>
          <w:szCs w:val="19"/>
          <w:color w:val="auto"/>
        </w:rPr>
        <w:t>is defined in Section 4.1(y).</w:t>
      </w:r>
    </w:p>
    <w:p>
      <w:pPr>
        <w:spacing w:after="0" w:line="226" w:lineRule="exact"/>
        <w:rPr>
          <w:sz w:val="20"/>
          <w:szCs w:val="20"/>
          <w:color w:val="auto"/>
        </w:rPr>
      </w:pPr>
    </w:p>
    <w:p>
      <w:pPr>
        <w:ind w:right="7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“Material Adverse Change” </w:t>
      </w:r>
      <w:r>
        <w:rPr>
          <w:rFonts w:ascii="Times New Roman" w:cs="Times New Roman" w:eastAsia="Times New Roman" w:hAnsi="Times New Roman"/>
          <w:sz w:val="19"/>
          <w:szCs w:val="19"/>
          <w:color w:val="auto"/>
        </w:rPr>
        <w:t>means, with respect to any Person, any material adverse change in the business, condition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(financial or otherwise), operations, performance, properties or prospects of such Person.</w:t>
      </w:r>
    </w:p>
    <w:p>
      <w:pPr>
        <w:spacing w:after="0" w:line="148" w:lineRule="exact"/>
        <w:rPr>
          <w:sz w:val="20"/>
          <w:szCs w:val="20"/>
          <w:color w:val="auto"/>
        </w:rPr>
      </w:pPr>
    </w:p>
    <w:p>
      <w:pPr>
        <w:ind w:right="60"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“Material Adverse Effect” </w:t>
      </w:r>
      <w:r>
        <w:rPr>
          <w:rFonts w:ascii="Times New Roman" w:cs="Times New Roman" w:eastAsia="Times New Roman" w:hAnsi="Times New Roman"/>
          <w:sz w:val="19"/>
          <w:szCs w:val="19"/>
          <w:color w:val="auto"/>
        </w:rPr>
        <w:t>means an event or circumstance which would have or would be reasonably expected to have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material adverse effect on (a) the business, condition (financial or otherwise), operations, performance or properties of the Borrower, (b) the validity, enforceability or collectability of this Agreement or any other Transaction Document or the validity, enforceability or collectability of the Loans, (c) the rights and remedies of the Administrative Agent or any Secured Party under this Agreement or any Transaction Document or (d) the ability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auto"/>
        </w:rPr>
        <w:t xml:space="preserve"> to perform its payment or other material obligations under this Agreement or any other Transaction Document, or (e) the status, existence, perfection, priority, or enforceability of the Administrative Agent’s or Secured Parties’ interest in the Collateral.</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11" w:name="page212"/>
    <w:bookmarkEnd w:id="211"/>
    <w:p>
      <w:pPr>
        <w:spacing w:after="0" w:line="200" w:lineRule="exact"/>
        <w:rPr>
          <w:sz w:val="20"/>
          <w:szCs w:val="20"/>
          <w:color w:val="auto"/>
        </w:rPr>
      </w:pPr>
    </w:p>
    <w:p>
      <w:pPr>
        <w:spacing w:after="0" w:line="283" w:lineRule="exact"/>
        <w:rPr>
          <w:sz w:val="20"/>
          <w:szCs w:val="20"/>
          <w:color w:val="auto"/>
        </w:rPr>
      </w:pPr>
    </w:p>
    <w:p>
      <w:pPr>
        <w:ind w:right="40" w:firstLine="69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“Material Indebtedness” </w:t>
      </w:r>
      <w:r>
        <w:rPr>
          <w:rFonts w:ascii="Times New Roman" w:cs="Times New Roman" w:eastAsia="Times New Roman" w:hAnsi="Times New Roman"/>
          <w:sz w:val="19"/>
          <w:szCs w:val="19"/>
          <w:color w:val="0000FF"/>
        </w:rPr>
        <w:t>means (a) Indebtedness (other than the Advances and Hedging Agreements), of any Loan Party in an</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aggregate outstanding principal amount exceeding the Dollar Equivalent of $10,000,000 and (b) obligations in respect of one (1) or more Hedging Agreements under which the maximum aggregate amount (giving effect to any netting agreements) that any Loan Party would be required to pay if such Hedging Agreement(s) were terminated at such time would exceed the Dollar Equivalent of $10,000,000.</w:t>
      </w:r>
    </w:p>
    <w:p>
      <w:pPr>
        <w:spacing w:after="0" w:line="171" w:lineRule="exact"/>
        <w:rPr>
          <w:sz w:val="20"/>
          <w:szCs w:val="20"/>
          <w:color w:val="auto"/>
        </w:rPr>
      </w:pPr>
    </w:p>
    <w:p>
      <w:pPr>
        <w:jc w:val="both"/>
        <w:ind w:right="22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“Material Modification” </w:t>
      </w:r>
      <w:r>
        <w:rPr>
          <w:rFonts w:ascii="Times New Roman" w:cs="Times New Roman" w:eastAsia="Times New Roman" w:hAnsi="Times New Roman"/>
          <w:sz w:val="19"/>
          <w:szCs w:val="19"/>
          <w:color w:val="auto"/>
        </w:rPr>
        <w:t>means, with respect to any Loan, any amendment, waiver, consent or modification of a related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 with respect thereto executed or effected after the date on which such Loan is acquired by the Borrower as a result of credit deterioration or financial underperformance of the related Obligor, that:</w:t>
      </w:r>
    </w:p>
    <w:p>
      <w:pPr>
        <w:spacing w:after="0" w:line="168" w:lineRule="exact"/>
        <w:rPr>
          <w:sz w:val="20"/>
          <w:szCs w:val="20"/>
          <w:color w:val="auto"/>
        </w:rPr>
      </w:pPr>
    </w:p>
    <w:p>
      <w:pPr>
        <w:ind w:left="700" w:firstLine="50"/>
        <w:spacing w:after="0" w:line="259" w:lineRule="auto"/>
        <w:tabs>
          <w:tab w:leader="none" w:pos="10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extends or postpones any payment date of one or more interest payments, reduces the interest rate applicable to such Loan, or reduces or waives one or more interest payments or permits any interest due with respect to such Loan in cash to be deferred or capitalized and added to the principal amount of such Loan (other than any deferral or capitalization already expressly permitted by the terms of its underlying instruments or pursuant to the application of a pricing grid, in each case as of the date such Loan was acquired by the Borrower);</w:t>
      </w:r>
    </w:p>
    <w:p>
      <w:pPr>
        <w:spacing w:after="0" w:line="177" w:lineRule="exact"/>
        <w:rPr>
          <w:rFonts w:ascii="Times New Roman" w:cs="Times New Roman" w:eastAsia="Times New Roman" w:hAnsi="Times New Roman"/>
          <w:sz w:val="19"/>
          <w:szCs w:val="19"/>
          <w:color w:val="auto"/>
        </w:rPr>
      </w:pPr>
    </w:p>
    <w:p>
      <w:pPr>
        <w:jc w:val="both"/>
        <w:ind w:left="700" w:right="160" w:firstLine="50"/>
        <w:spacing w:after="0" w:line="234" w:lineRule="exact"/>
        <w:tabs>
          <w:tab w:leader="none" w:pos="10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contractually or structurally subordinates such Loan by operation of a priority of payments, turnover provisions or the transfer of assets in order to limit recourse to the related Obligor or releases any material guarantor or co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Obligor from its obligations with respect thereto and such release materially and adversely affects the value of such Loan (as determined by the Administrative Agent in a commercially reasonable manner);</w:t>
      </w:r>
    </w:p>
    <w:p>
      <w:pPr>
        <w:spacing w:after="0" w:line="196" w:lineRule="exact"/>
        <w:rPr>
          <w:rFonts w:ascii="Times New Roman" w:cs="Times New Roman" w:eastAsia="Times New Roman" w:hAnsi="Times New Roman"/>
          <w:sz w:val="19"/>
          <w:szCs w:val="19"/>
          <w:color w:val="auto"/>
        </w:rPr>
      </w:pPr>
    </w:p>
    <w:p>
      <w:pPr>
        <w:ind w:left="700" w:right="200" w:firstLine="50"/>
        <w:spacing w:after="0" w:line="262" w:lineRule="auto"/>
        <w:tabs>
          <w:tab w:leader="none" w:pos="1009"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substitutes or releases the underlying assets securing such Loan (other than as expressly permitted by the Related Documents as of the date such Loan was acquired by the Borrower) or subordinates the Lien in the underlying assets securing such Loan, and such subordination, substitution or release materially and adversely affects the value of such Loan (as determined by the Administrative Agent in a commercially reasonable manner);</w:t>
      </w:r>
    </w:p>
    <w:p>
      <w:pPr>
        <w:spacing w:after="0" w:line="174" w:lineRule="exact"/>
        <w:rPr>
          <w:rFonts w:ascii="Times New Roman" w:cs="Times New Roman" w:eastAsia="Times New Roman" w:hAnsi="Times New Roman"/>
          <w:sz w:val="19"/>
          <w:szCs w:val="19"/>
          <w:color w:val="auto"/>
        </w:rPr>
      </w:pPr>
    </w:p>
    <w:p>
      <w:pPr>
        <w:ind w:left="700" w:right="460" w:firstLine="50"/>
        <w:spacing w:after="0" w:line="286" w:lineRule="auto"/>
        <w:tabs>
          <w:tab w:leader="none" w:pos="10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waives, extends or postpones any date fixed for any scheduled payment or mandatory prepayment of principal on such Loan;</w:t>
      </w:r>
    </w:p>
    <w:p>
      <w:pPr>
        <w:spacing w:after="0" w:line="151"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reduces or forgives any principal amount of such Loan;</w:t>
      </w:r>
    </w:p>
    <w:p>
      <w:pPr>
        <w:spacing w:after="0" w:line="225" w:lineRule="exact"/>
        <w:rPr>
          <w:rFonts w:ascii="Times New Roman" w:cs="Times New Roman" w:eastAsia="Times New Roman" w:hAnsi="Times New Roman"/>
          <w:sz w:val="19"/>
          <w:szCs w:val="19"/>
          <w:color w:val="auto"/>
        </w:rPr>
      </w:pPr>
    </w:p>
    <w:p>
      <w:pPr>
        <w:ind w:left="1000" w:hanging="250"/>
        <w:spacing w:after="0"/>
        <w:tabs>
          <w:tab w:leader="none" w:pos="10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extends the maturity date of such Loan; or</w:t>
      </w:r>
    </w:p>
    <w:p>
      <w:pPr>
        <w:spacing w:after="0" w:line="225" w:lineRule="exact"/>
        <w:rPr>
          <w:rFonts w:ascii="Times New Roman" w:cs="Times New Roman" w:eastAsia="Times New Roman" w:hAnsi="Times New Roman"/>
          <w:sz w:val="19"/>
          <w:szCs w:val="19"/>
          <w:color w:val="auto"/>
        </w:rPr>
      </w:pPr>
    </w:p>
    <w:p>
      <w:pPr>
        <w:ind w:left="700" w:right="240" w:firstLine="50"/>
        <w:spacing w:after="0" w:line="286" w:lineRule="auto"/>
        <w:tabs>
          <w:tab w:leader="none" w:pos="10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impairs, alters or modifies in any material respect the related note, security agreement or any other agreement pursuant to which collateral is pledged to secure such Loan; or</w:t>
      </w:r>
    </w:p>
    <w:p>
      <w:pPr>
        <w:spacing w:after="0" w:line="149" w:lineRule="exact"/>
        <w:rPr>
          <w:rFonts w:ascii="Times New Roman" w:cs="Times New Roman" w:eastAsia="Times New Roman" w:hAnsi="Times New Roman"/>
          <w:sz w:val="19"/>
          <w:szCs w:val="19"/>
          <w:color w:val="auto"/>
        </w:rPr>
      </w:pPr>
    </w:p>
    <w:p>
      <w:pPr>
        <w:ind w:left="700" w:right="340" w:firstLine="50"/>
        <w:spacing w:after="0" w:line="263" w:lineRule="auto"/>
        <w:tabs>
          <w:tab w:leader="none" w:pos="10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extends any interest-only period;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Borrower may consent to one extension of an interest-only period for a period of not more than one year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2" w:name="page213"/>
    <w:bookmarkEnd w:id="212"/>
    <w:p>
      <w:pPr>
        <w:spacing w:after="0" w:line="200" w:lineRule="exact"/>
        <w:rPr>
          <w:sz w:val="20"/>
          <w:szCs w:val="20"/>
          <w:color w:val="auto"/>
        </w:rPr>
      </w:pPr>
    </w:p>
    <w:p>
      <w:pPr>
        <w:spacing w:after="0" w:line="285" w:lineRule="exact"/>
        <w:rPr>
          <w:sz w:val="20"/>
          <w:szCs w:val="20"/>
          <w:color w:val="auto"/>
        </w:rPr>
      </w:pPr>
    </w:p>
    <w:p>
      <w:pPr>
        <w:jc w:val="both"/>
        <w:ind w:left="700" w:right="80"/>
        <w:spacing w:after="0" w:line="268" w:lineRule="auto"/>
        <w:rPr>
          <w:sz w:val="20"/>
          <w:szCs w:val="20"/>
          <w:color w:val="auto"/>
        </w:rPr>
      </w:pPr>
      <w:r>
        <w:rPr>
          <w:rFonts w:ascii="Times New Roman" w:cs="Times New Roman" w:eastAsia="Times New Roman" w:hAnsi="Times New Roman"/>
          <w:sz w:val="19"/>
          <w:szCs w:val="19"/>
          <w:color w:val="auto"/>
        </w:rPr>
        <w:t>so long as (x) such extension was not a result of Obligor financial under -performance or Obligor credit related reasons and the Obligor is otherwise in compliance with the terms of such Loan and the Related Documents, and (y) such accommodation was done in accordance with the Investment Policy.</w:t>
      </w:r>
    </w:p>
    <w:p>
      <w:pPr>
        <w:spacing w:after="0" w:line="16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any Loan subject to a Material Modification which subsequently becomes a Restructured Loan shall no longer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considered to have been subject to a Material Modification hereunder unless such Loan is subject to a subsequent Material Modification.</w:t>
      </w:r>
    </w:p>
    <w:p>
      <w:pPr>
        <w:spacing w:after="0" w:line="148" w:lineRule="exact"/>
        <w:rPr>
          <w:sz w:val="20"/>
          <w:szCs w:val="20"/>
          <w:color w:val="auto"/>
        </w:rPr>
      </w:pPr>
    </w:p>
    <w:p>
      <w:pPr>
        <w:jc w:val="both"/>
        <w:ind w:right="26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“Maturity Date” </w:t>
      </w:r>
      <w:r>
        <w:rPr>
          <w:rFonts w:ascii="Times New Roman" w:cs="Times New Roman" w:eastAsia="Times New Roman" w:hAnsi="Times New Roman"/>
          <w:sz w:val="19"/>
          <w:szCs w:val="19"/>
          <w:color w:val="auto"/>
        </w:rPr>
        <w:t>means the earlier of (a) the date that is one (1) year after the Termination Date and (b) the date declared by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Administrative Agent or occurring automatically in respect of the occurrence of an Event of Default pursuant to Section 8.1. The Advances Outstanding and all other Obligations will be due and payable in full on the Maturity Date.</w:t>
      </w:r>
    </w:p>
    <w:p>
      <w:pPr>
        <w:spacing w:after="0" w:line="166" w:lineRule="exact"/>
        <w:rPr>
          <w:sz w:val="20"/>
          <w:szCs w:val="20"/>
          <w:color w:val="auto"/>
        </w:rPr>
      </w:pPr>
    </w:p>
    <w:p>
      <w:pPr>
        <w:ind w:right="52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“Maximum Availability” </w:t>
      </w:r>
      <w:r>
        <w:rPr>
          <w:rFonts w:ascii="Times New Roman" w:cs="Times New Roman" w:eastAsia="Times New Roman" w:hAnsi="Times New Roman"/>
          <w:sz w:val="19"/>
          <w:szCs w:val="19"/>
          <w:color w:val="auto"/>
        </w:rPr>
        <w:t>means the lesser of (i) the Facility Amount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(ii) the Borrowing Base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and (iii) the Aggregate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Outstanding Loan Balance less the Minimum Equity</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-246380</wp:posOffset>
            </wp:positionV>
            <wp:extent cx="20574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0">
                      <a:extLst>
                        <a:ext uri="{28A0092B-C50C-407E-A947-70E740481C1C}"/>
                      </a:extLst>
                    </a:blip>
                    <a:srcRect/>
                    <a:stretch>
                      <a:fillRect/>
                    </a:stretch>
                  </pic:blipFill>
                  <pic:spPr bwMode="auto">
                    <a:xfrm>
                      <a:off x="0" y="0"/>
                      <a:ext cx="205740" cy="7620"/>
                    </a:xfrm>
                    <a:prstGeom prst="rect">
                      <a:avLst/>
                    </a:prstGeom>
                    <a:noFill/>
                  </pic:spPr>
                </pic:pic>
              </a:graphicData>
            </a:graphic>
          </wp:anchor>
        </w:drawing>
      </w:r>
    </w:p>
    <w:p>
      <w:pPr>
        <w:spacing w:after="0" w:line="1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“Maximum Lawful Rate” </w:t>
      </w:r>
      <w:r>
        <w:rPr>
          <w:rFonts w:ascii="Times New Roman" w:cs="Times New Roman" w:eastAsia="Times New Roman" w:hAnsi="Times New Roman"/>
          <w:sz w:val="19"/>
          <w:szCs w:val="19"/>
          <w:color w:val="auto"/>
        </w:rPr>
        <w:t>is defined in Section 2.6(d).</w:t>
      </w:r>
    </w:p>
    <w:p>
      <w:pPr>
        <w:spacing w:after="0" w:line="226" w:lineRule="exact"/>
        <w:rPr>
          <w:sz w:val="20"/>
          <w:szCs w:val="20"/>
          <w:color w:val="auto"/>
        </w:rPr>
      </w:pPr>
    </w:p>
    <w:p>
      <w:pPr>
        <w:ind w:right="160" w:firstLine="696"/>
        <w:spacing w:after="0" w:line="260" w:lineRule="auto"/>
        <w:rPr>
          <w:sz w:val="20"/>
          <w:szCs w:val="20"/>
          <w:color w:val="auto"/>
        </w:rPr>
      </w:pPr>
      <w:r>
        <w:rPr>
          <w:rFonts w:ascii="Times New Roman" w:cs="Times New Roman" w:eastAsia="Times New Roman" w:hAnsi="Times New Roman"/>
          <w:sz w:val="19"/>
          <w:szCs w:val="19"/>
          <w:i w:val="1"/>
          <w:iCs w:val="1"/>
          <w:color w:val="0000FF"/>
        </w:rPr>
        <w:t xml:space="preserve">“Minimum Equity” </w:t>
      </w:r>
      <w:r>
        <w:rPr>
          <w:rFonts w:ascii="Times New Roman" w:cs="Times New Roman" w:eastAsia="Times New Roman" w:hAnsi="Times New Roman"/>
          <w:sz w:val="19"/>
          <w:szCs w:val="19"/>
          <w:color w:val="0000FF"/>
        </w:rPr>
        <w:t>means, at any time, the greater of (a) $100,000,000 and (b) on any date of determination, the sum of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Outstanding Loan Balances of all Eligible Loans owned by the Borrower and included as part of the Collateral (or, in relation to a proposed purchase of a Loan, proposed to be owned and included as part of the Collateral) which consist of obligations of any Obligor which, together with the Affiliates thereof, is an Obligor with the 1st, 2nd, 3rd or 4th largest percentage of the Aggregate Outstanding Loan Balance.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“Monthly Report” </w:t>
      </w:r>
      <w:r>
        <w:rPr>
          <w:rFonts w:ascii="Times New Roman" w:cs="Times New Roman" w:eastAsia="Times New Roman" w:hAnsi="Times New Roman"/>
          <w:sz w:val="19"/>
          <w:szCs w:val="19"/>
          <w:color w:val="auto"/>
        </w:rPr>
        <w:t>is defined in Section 7.11(a).</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“Moody’s” </w:t>
      </w:r>
      <w:r>
        <w:rPr>
          <w:rFonts w:ascii="Times New Roman" w:cs="Times New Roman" w:eastAsia="Times New Roman" w:hAnsi="Times New Roman"/>
          <w:sz w:val="19"/>
          <w:szCs w:val="19"/>
          <w:color w:val="auto"/>
        </w:rPr>
        <w:t>means Moody’s Investors Service, Inc., and any successor thereto.</w:t>
      </w:r>
    </w:p>
    <w:p>
      <w:pPr>
        <w:spacing w:after="0" w:line="226" w:lineRule="exact"/>
        <w:rPr>
          <w:sz w:val="20"/>
          <w:szCs w:val="20"/>
          <w:color w:val="auto"/>
        </w:rPr>
      </w:pPr>
    </w:p>
    <w:p>
      <w:pPr>
        <w:ind w:right="32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“Mortgage” </w:t>
      </w:r>
      <w:r>
        <w:rPr>
          <w:rFonts w:ascii="Times New Roman" w:cs="Times New Roman" w:eastAsia="Times New Roman" w:hAnsi="Times New Roman"/>
          <w:sz w:val="19"/>
          <w:szCs w:val="19"/>
          <w:color w:val="auto"/>
        </w:rPr>
        <w:t>means the mortgage, deed of trust or other instrument creating a Lien on an interest in real property securing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including the assignment of leases and rents related thereto.</w:t>
      </w:r>
    </w:p>
    <w:p>
      <w:pPr>
        <w:spacing w:after="0" w:line="148" w:lineRule="exact"/>
        <w:rPr>
          <w:sz w:val="20"/>
          <w:szCs w:val="20"/>
          <w:color w:val="auto"/>
        </w:rPr>
      </w:pPr>
    </w:p>
    <w:p>
      <w:pPr>
        <w:ind w:right="18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“Multiemployer Plan” </w:t>
      </w:r>
      <w:r>
        <w:rPr>
          <w:rFonts w:ascii="Times New Roman" w:cs="Times New Roman" w:eastAsia="Times New Roman" w:hAnsi="Times New Roman"/>
          <w:sz w:val="19"/>
          <w:szCs w:val="19"/>
          <w:color w:val="auto"/>
        </w:rPr>
        <w:t>means a “multiemployer plan” as defined in Section 4001(a)(3) of ERISA that is or was at any time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during the current year or the immediately preceding five years contributed to by the Borrower or any ERISA Affiliate on behalf of its employees.</w:t>
      </w:r>
    </w:p>
    <w:p>
      <w:pPr>
        <w:spacing w:after="0" w:line="166" w:lineRule="exact"/>
        <w:rPr>
          <w:sz w:val="20"/>
          <w:szCs w:val="20"/>
          <w:color w:val="auto"/>
        </w:rPr>
      </w:pPr>
    </w:p>
    <w:p>
      <w:pPr>
        <w:ind w:right="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“Net Loan Balance” </w:t>
      </w:r>
      <w:r>
        <w:rPr>
          <w:rFonts w:ascii="Times New Roman" w:cs="Times New Roman" w:eastAsia="Times New Roman" w:hAnsi="Times New Roman"/>
          <w:sz w:val="19"/>
          <w:szCs w:val="19"/>
          <w:color w:val="auto"/>
        </w:rPr>
        <w:t>means, as of the date it is to be determined, the difference of (a) the Aggregate Outstanding Loan Balance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 of such date </w:t>
      </w:r>
      <w:r>
        <w:rPr>
          <w:rFonts w:ascii="Times New Roman" w:cs="Times New Roman" w:eastAsia="Times New Roman" w:hAnsi="Times New Roman"/>
          <w:sz w:val="19"/>
          <w:szCs w:val="19"/>
          <w:i w:val="1"/>
          <w:iCs w:val="1"/>
          <w:color w:val="auto"/>
        </w:rPr>
        <w:t>less</w:t>
      </w:r>
      <w:r>
        <w:rPr>
          <w:rFonts w:ascii="Times New Roman" w:cs="Times New Roman" w:eastAsia="Times New Roman" w:hAnsi="Times New Roman"/>
          <w:sz w:val="19"/>
          <w:szCs w:val="19"/>
          <w:color w:val="auto"/>
        </w:rPr>
        <w:t xml:space="preserve"> (b) the Excess Concentration Amount as of such date.</w:t>
      </w:r>
    </w:p>
    <w:p>
      <w:pPr>
        <w:spacing w:after="0" w:line="131" w:lineRule="exact"/>
        <w:rPr>
          <w:sz w:val="20"/>
          <w:szCs w:val="20"/>
          <w:color w:val="auto"/>
        </w:rPr>
      </w:pPr>
    </w:p>
    <w:p>
      <w:pPr>
        <w:ind w:right="300" w:firstLine="696"/>
        <w:spacing w:after="0" w:line="249" w:lineRule="exact"/>
        <w:rPr>
          <w:sz w:val="20"/>
          <w:szCs w:val="20"/>
          <w:color w:val="auto"/>
        </w:rPr>
      </w:pPr>
      <w:r>
        <w:rPr>
          <w:rFonts w:ascii="Times New Roman" w:cs="Times New Roman" w:eastAsia="Times New Roman" w:hAnsi="Times New Roman"/>
          <w:sz w:val="19"/>
          <w:szCs w:val="19"/>
          <w:i w:val="1"/>
          <w:iCs w:val="1"/>
          <w:color w:val="auto"/>
        </w:rPr>
        <w:t xml:space="preserve">“Non </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Consenting Lender” </w:t>
      </w:r>
      <w:r>
        <w:rPr>
          <w:rFonts w:ascii="Times New Roman" w:cs="Times New Roman" w:eastAsia="Times New Roman" w:hAnsi="Times New Roman"/>
          <w:sz w:val="19"/>
          <w:szCs w:val="19"/>
          <w:color w:val="auto"/>
        </w:rPr>
        <w:t>means any Lender that does not approve any consent, waiver or amendment that (a) requires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approval of all affected Lenders in accordance with the terms of Section 12.1 and (b) has been approved by the Required Lenders.</w:t>
      </w:r>
    </w:p>
    <w:p>
      <w:pPr>
        <w:jc w:val="center"/>
        <w:ind w:right="-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213" w:name="page214"/>
    <w:bookmarkEnd w:id="213"/>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Non-Defaulting Lender</w:t>
      </w:r>
      <w:r>
        <w:rPr>
          <w:rFonts w:ascii="Times New Roman" w:cs="Times New Roman" w:eastAsia="Times New Roman" w:hAnsi="Times New Roman"/>
          <w:sz w:val="19"/>
          <w:szCs w:val="19"/>
          <w:color w:val="auto"/>
        </w:rPr>
        <w:t>” shall mean, at any time, a Lender that is not a Defaulting Lender or a Potential Defaulting Lender.</w:t>
      </w:r>
    </w:p>
    <w:p>
      <w:pPr>
        <w:spacing w:after="0" w:line="209" w:lineRule="exact"/>
        <w:rPr>
          <w:sz w:val="20"/>
          <w:szCs w:val="20"/>
          <w:color w:val="auto"/>
        </w:rPr>
      </w:pPr>
    </w:p>
    <w:p>
      <w:pPr>
        <w:ind w:left="700"/>
        <w:spacing w:after="0" w:line="219" w:lineRule="exact"/>
        <w:rPr>
          <w:sz w:val="20"/>
          <w:szCs w:val="20"/>
          <w:color w:val="auto"/>
        </w:rPr>
      </w:pPr>
      <w:r>
        <w:rPr>
          <w:rFonts w:ascii="Times New Roman" w:cs="Times New Roman" w:eastAsia="Times New Roman" w:hAnsi="Times New Roman"/>
          <w:sz w:val="19"/>
          <w:szCs w:val="19"/>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Renewing Lender” </w:t>
      </w:r>
      <w:r>
        <w:rPr>
          <w:rFonts w:ascii="Times New Roman" w:cs="Times New Roman" w:eastAsia="Times New Roman" w:hAnsi="Times New Roman"/>
          <w:sz w:val="19"/>
          <w:szCs w:val="19"/>
          <w:color w:val="auto"/>
        </w:rPr>
        <w:t>is defined in Section 2.1(b).</w:t>
      </w:r>
    </w:p>
    <w:p>
      <w:pPr>
        <w:spacing w:after="0" w:line="243" w:lineRule="exact"/>
        <w:rPr>
          <w:sz w:val="20"/>
          <w:szCs w:val="20"/>
          <w:color w:val="auto"/>
        </w:rPr>
      </w:pPr>
    </w:p>
    <w:p>
      <w:pPr>
        <w:ind w:right="20" w:firstLine="696"/>
        <w:spacing w:after="0" w:line="231" w:lineRule="exact"/>
        <w:rPr>
          <w:sz w:val="20"/>
          <w:szCs w:val="20"/>
          <w:color w:val="auto"/>
        </w:rPr>
      </w:pPr>
      <w:r>
        <w:rPr>
          <w:rFonts w:ascii="Times New Roman" w:cs="Times New Roman" w:eastAsia="Times New Roman" w:hAnsi="Times New Roman"/>
          <w:sz w:val="19"/>
          <w:szCs w:val="19"/>
          <w:i w:val="1"/>
          <w:iCs w:val="1"/>
          <w:color w:val="auto"/>
        </w:rPr>
        <w:t xml:space="preserve">“Obligations” </w:t>
      </w:r>
      <w:r>
        <w:rPr>
          <w:rFonts w:ascii="Times New Roman" w:cs="Times New Roman" w:eastAsia="Times New Roman" w:hAnsi="Times New Roman"/>
          <w:sz w:val="19"/>
          <w:szCs w:val="19"/>
          <w:color w:val="auto"/>
        </w:rPr>
        <w:t>means all loans, advances, debts, liabilities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(including Hedging Liability and Hedge Breakage Costs)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obligations, for monetary amounts owing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xml:space="preserve"> to the Lenders, the Bank Parties, the Administrative Agent, the Managing Agents or any of their permitted assigns, as the case may be, whether due or to become due, matured or unmatured, liquidated or unliquidated, contingent or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contingent, and all covenants and duties regarding such amounts, of any kind or nature, present or future, arising under or in respect of any of this Agreement, any other Transaction Document</w:t>
      </w:r>
      <w:r>
        <w:rPr>
          <w:rFonts w:ascii="Times New Roman" w:cs="Times New Roman" w:eastAsia="Times New Roman" w:hAnsi="Times New Roman"/>
          <w:sz w:val="19"/>
          <w:szCs w:val="19"/>
          <w:color w:val="0000FF"/>
        </w:rPr>
        <w:t>, any Hedging Agreement</w:t>
      </w:r>
      <w:r>
        <w:rPr>
          <w:rFonts w:ascii="Times New Roman" w:cs="Times New Roman" w:eastAsia="Times New Roman" w:hAnsi="Times New Roman"/>
          <w:sz w:val="19"/>
          <w:szCs w:val="19"/>
          <w:color w:val="auto"/>
        </w:rPr>
        <w:t xml:space="preserve"> or any Fee Letter delivered in connection with the transactions contemplated by this Agreement, whether or not evidenced by any separate note, agreement or other instrument. This term includes, without limitation, all principal, interest (including interest that accrues after the commencement against the Borrower of any action under the Bankruptcy Code), Commitment Fees, Unused Fees, and other fees, including, without limitation, any and all arrangement fees, loan fees, facility fees, and any and all other fees, expenses, costs or other sums (including attorney costs) chargeable to the Borrower under any of the Transaction Documents. </w:t>
      </w:r>
      <w:r>
        <w:rPr>
          <w:rFonts w:ascii="Times New Roman" w:cs="Times New Roman" w:eastAsia="Times New Roman" w:hAnsi="Times New Roman"/>
          <w:sz w:val="19"/>
          <w:szCs w:val="19"/>
          <w:color w:val="0000FF"/>
        </w:rPr>
        <w:t>Notwithstanding the foregoing, with respect to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Guarantor, Obligations guaranteed by such Guarantor shall exclude all Excluded Swap Obligations.</w:t>
      </w:r>
    </w:p>
    <w:p>
      <w:pPr>
        <w:spacing w:after="0" w:line="191" w:lineRule="exact"/>
        <w:rPr>
          <w:sz w:val="20"/>
          <w:szCs w:val="20"/>
          <w:color w:val="auto"/>
        </w:rPr>
      </w:pPr>
    </w:p>
    <w:p>
      <w:pPr>
        <w:jc w:val="both"/>
        <w:ind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“Obligor” </w:t>
      </w:r>
      <w:r>
        <w:rPr>
          <w:rFonts w:ascii="Times New Roman" w:cs="Times New Roman" w:eastAsia="Times New Roman" w:hAnsi="Times New Roman"/>
          <w:sz w:val="19"/>
          <w:szCs w:val="19"/>
          <w:color w:val="auto"/>
        </w:rPr>
        <w:t>means, with respect to any Loan, the Person or Persons obligated to make payments pursuant to such Loan,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guarantor thereof. For purposes of calculating the Advance Rate, Excess Concentration Amount and LTV, all Loans included in the Collateral or to become part of the Collateral the Obligor of which is an Affiliate of another Obligor shall be aggregated with all Loans of such other Obligor.</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“OFAC” </w:t>
      </w:r>
      <w:r>
        <w:rPr>
          <w:rFonts w:ascii="Times New Roman" w:cs="Times New Roman" w:eastAsia="Times New Roman" w:hAnsi="Times New Roman"/>
          <w:sz w:val="19"/>
          <w:szCs w:val="19"/>
          <w:color w:val="auto"/>
        </w:rPr>
        <w:t>means the U.S. Office of Foreign Asset Controls.</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“Officer’s Certificate” </w:t>
      </w:r>
      <w:r>
        <w:rPr>
          <w:rFonts w:ascii="Times New Roman" w:cs="Times New Roman" w:eastAsia="Times New Roman" w:hAnsi="Times New Roman"/>
          <w:sz w:val="19"/>
          <w:szCs w:val="19"/>
          <w:color w:val="auto"/>
        </w:rPr>
        <w:t>means a certificate signed by a Responsible Officer of the Borrower and delivered to the Administrative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Agent.</w:t>
      </w:r>
    </w:p>
    <w:p>
      <w:pPr>
        <w:spacing w:after="0" w:line="202" w:lineRule="exact"/>
        <w:rPr>
          <w:sz w:val="20"/>
          <w:szCs w:val="20"/>
          <w:color w:val="auto"/>
        </w:rPr>
      </w:pPr>
    </w:p>
    <w:p>
      <w:pPr>
        <w:ind w:right="2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“Opinion of Counsel” </w:t>
      </w:r>
      <w:r>
        <w:rPr>
          <w:rFonts w:ascii="Times New Roman" w:cs="Times New Roman" w:eastAsia="Times New Roman" w:hAnsi="Times New Roman"/>
          <w:sz w:val="19"/>
          <w:szCs w:val="19"/>
          <w:color w:val="auto"/>
        </w:rPr>
        <w:t>means a written opinion of counsel, who may be counsel for the Borrower and who shall be reasonably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acceptable to the Administrative Agent.</w:t>
      </w:r>
    </w:p>
    <w:p>
      <w:pPr>
        <w:spacing w:after="0" w:line="148" w:lineRule="exact"/>
        <w:rPr>
          <w:sz w:val="20"/>
          <w:szCs w:val="20"/>
          <w:color w:val="auto"/>
        </w:rPr>
      </w:pPr>
    </w:p>
    <w:p>
      <w:pPr>
        <w:jc w:val="both"/>
        <w:ind w:right="10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“Outstanding Loan Balance” </w:t>
      </w:r>
      <w:r>
        <w:rPr>
          <w:rFonts w:ascii="Times New Roman" w:cs="Times New Roman" w:eastAsia="Times New Roman" w:hAnsi="Times New Roman"/>
          <w:sz w:val="19"/>
          <w:szCs w:val="19"/>
          <w:color w:val="auto"/>
        </w:rPr>
        <w:t>means with respect to any Loan, the lower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the Dollar Equivalent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Fair Value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Loan not to exceed the Borrower’s cost basis with respect to such Loan (including any original issue discount, if any) and (b) </w:t>
      </w:r>
      <w:r>
        <w:rPr>
          <w:rFonts w:ascii="Times New Roman" w:cs="Times New Roman" w:eastAsia="Times New Roman" w:hAnsi="Times New Roman"/>
          <w:sz w:val="19"/>
          <w:szCs w:val="19"/>
          <w:color w:val="0000FF"/>
        </w:rPr>
        <w:t>the Dollar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Equivalent of </w:t>
      </w:r>
      <w:r>
        <w:rPr>
          <w:rFonts w:ascii="Times New Roman" w:cs="Times New Roman" w:eastAsia="Times New Roman" w:hAnsi="Times New Roman"/>
          <w:sz w:val="19"/>
          <w:szCs w:val="19"/>
          <w:color w:val="000000"/>
        </w:rPr>
        <w:t>the then outstanding principal balance thereof. For the avoidance of doubt, the “Outstanding Loan Balance” shall exclude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any accrued PIK Interest and end of term optional payments.</w:t>
      </w:r>
    </w:p>
    <w:p>
      <w:pPr>
        <w:spacing w:after="0" w:line="171" w:lineRule="exact"/>
        <w:rPr>
          <w:sz w:val="20"/>
          <w:szCs w:val="20"/>
          <w:color w:val="auto"/>
        </w:rPr>
      </w:pPr>
    </w:p>
    <w:p>
      <w:pPr>
        <w:ind w:right="360" w:firstLine="6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Parent Company</w:t>
      </w:r>
      <w:r>
        <w:rPr>
          <w:rFonts w:ascii="Times New Roman" w:cs="Times New Roman" w:eastAsia="Times New Roman" w:hAnsi="Times New Roman"/>
          <w:sz w:val="19"/>
          <w:szCs w:val="19"/>
          <w:color w:val="auto"/>
        </w:rPr>
        <w:t>” shall mean, with respect to a Lender, the “bank holding company” as defined in Regulation Y, if any, of such Lender, and/or any Person owning, beneficially or of record, directly or indirectly, a majority of the shares of such Lender.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4" w:name="page215"/>
    <w:bookmarkEnd w:id="214"/>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“Participant” </w:t>
      </w:r>
      <w:r>
        <w:rPr>
          <w:rFonts w:ascii="Times New Roman" w:cs="Times New Roman" w:eastAsia="Times New Roman" w:hAnsi="Times New Roman"/>
          <w:sz w:val="19"/>
          <w:szCs w:val="19"/>
          <w:color w:val="auto"/>
        </w:rPr>
        <w:t>is defined in Section 11.1(f).</w:t>
      </w:r>
    </w:p>
    <w:p>
      <w:pPr>
        <w:spacing w:after="0" w:line="226"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“Participation Interest” </w:t>
      </w:r>
      <w:r>
        <w:rPr>
          <w:rFonts w:ascii="Times New Roman" w:cs="Times New Roman" w:eastAsia="Times New Roman" w:hAnsi="Times New Roman"/>
          <w:sz w:val="19"/>
          <w:szCs w:val="19"/>
          <w:color w:val="auto"/>
        </w:rPr>
        <w:t>means a risk participation interest in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Loan</w:t>
      </w:r>
      <w:r>
        <w:rPr>
          <w:rFonts w:ascii="Times New Roman" w:cs="Times New Roman" w:eastAsia="Times New Roman" w:hAnsi="Times New Roman"/>
          <w:sz w:val="19"/>
          <w:szCs w:val="19"/>
          <w:color w:val="0000FF"/>
        </w:rPr>
        <w:t>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other obligation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originated by a bank, commercial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finance company or other institutional lender that targets the same market segment of the lending business of the Borrower and was underwritten in accordance with the Borrower’s Investment Policies</w:t>
      </w:r>
      <w:r>
        <w:rPr>
          <w:rFonts w:ascii="Times New Roman" w:cs="Times New Roman" w:eastAsia="Times New Roman" w:hAnsi="Times New Roman"/>
          <w:sz w:val="19"/>
          <w:szCs w:val="19"/>
          <w:color w:val="000000"/>
        </w:rPr>
        <w:t>.</w:t>
      </w:r>
    </w:p>
    <w:p>
      <w:pPr>
        <w:spacing w:after="0" w:line="166" w:lineRule="exact"/>
        <w:rPr>
          <w:sz w:val="20"/>
          <w:szCs w:val="20"/>
          <w:color w:val="auto"/>
        </w:rPr>
      </w:pPr>
    </w:p>
    <w:p>
      <w:pPr>
        <w:ind w:right="4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“Paying Agent” </w:t>
      </w:r>
      <w:r>
        <w:rPr>
          <w:rFonts w:ascii="Times New Roman" w:cs="Times New Roman" w:eastAsia="Times New Roman" w:hAnsi="Times New Roman"/>
          <w:sz w:val="19"/>
          <w:szCs w:val="19"/>
          <w:color w:val="auto"/>
        </w:rPr>
        <w:t>means U.S. Bank Trust Company, National Association, a national banking association, in its capacity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paying agent.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“Paying Agent Termination Notice” </w:t>
      </w:r>
      <w:r>
        <w:rPr>
          <w:rFonts w:ascii="Times New Roman" w:cs="Times New Roman" w:eastAsia="Times New Roman" w:hAnsi="Times New Roman"/>
          <w:sz w:val="19"/>
          <w:szCs w:val="19"/>
          <w:color w:val="auto"/>
        </w:rPr>
        <w:t>has the meaning specified in Section 14.2.</w:t>
      </w:r>
    </w:p>
    <w:p>
      <w:pPr>
        <w:spacing w:after="0" w:line="226" w:lineRule="exact"/>
        <w:rPr>
          <w:sz w:val="20"/>
          <w:szCs w:val="20"/>
          <w:color w:val="auto"/>
        </w:rPr>
      </w:pPr>
    </w:p>
    <w:p>
      <w:pPr>
        <w:ind w:right="1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“Payment Date” </w:t>
      </w:r>
      <w:r>
        <w:rPr>
          <w:rFonts w:ascii="Times New Roman" w:cs="Times New Roman" w:eastAsia="Times New Roman" w:hAnsi="Times New Roman"/>
          <w:sz w:val="19"/>
          <w:szCs w:val="19"/>
          <w:color w:val="auto"/>
        </w:rPr>
        <w:t>means (x) the fifteenth (15th) day following the end of each calendar quarter commencing with the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Date occurring in July 15, 2019 and (y) the Maturity Date.</w:t>
      </w:r>
    </w:p>
    <w:p>
      <w:pPr>
        <w:spacing w:after="0" w:line="1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9"/>
          <w:szCs w:val="19"/>
          <w:i w:val="1"/>
          <w:iCs w:val="1"/>
          <w:color w:val="auto"/>
        </w:rPr>
        <w:t xml:space="preserve">“Permitted Indebtedness” </w:t>
      </w:r>
      <w:r>
        <w:rPr>
          <w:rFonts w:ascii="Times New Roman" w:cs="Times New Roman" w:eastAsia="Times New Roman" w:hAnsi="Times New Roman"/>
          <w:sz w:val="19"/>
          <w:szCs w:val="19"/>
          <w:color w:val="auto"/>
        </w:rPr>
        <w:t>means senior unsecured notes issued by the Borrower in an aggregate amount of up to (a)</w:t>
      </w:r>
    </w:p>
    <w:p>
      <w:pPr>
        <w:spacing w:after="0" w:line="34"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9"/>
          <w:szCs w:val="19"/>
          <w:color w:val="auto"/>
        </w:rPr>
        <w:t xml:space="preserve">$375,000,000 or (b) $500,000,000, as of any date of determination, where the Borrower has Tangible Net Worth equal to or exceeding $650,000,000; provided, that no such senior unsecured notes issued on or after the </w:t>
      </w:r>
      <w:r>
        <w:rPr>
          <w:rFonts w:ascii="Times New Roman" w:cs="Times New Roman" w:eastAsia="Times New Roman" w:hAnsi="Times New Roman"/>
          <w:sz w:val="19"/>
          <w:szCs w:val="19"/>
          <w:color w:val="FF0000"/>
          <w:strike w:val="1"/>
        </w:rPr>
        <w:t>Fourth</w:t>
      </w:r>
      <w:r>
        <w:rPr>
          <w:rFonts w:ascii="Times New Roman" w:cs="Times New Roman" w:eastAsia="Times New Roman" w:hAnsi="Times New Roman"/>
          <w:sz w:val="19"/>
          <w:szCs w:val="19"/>
          <w:color w:val="0000FF"/>
        </w:rPr>
        <w:t>Sixth</w:t>
      </w:r>
      <w:r>
        <w:rPr>
          <w:rFonts w:ascii="Times New Roman" w:cs="Times New Roman" w:eastAsia="Times New Roman" w:hAnsi="Times New Roman"/>
          <w:sz w:val="19"/>
          <w:szCs w:val="19"/>
          <w:color w:val="auto"/>
        </w:rPr>
        <w:t xml:space="preserve"> Amendment Effective Date shall mature before </w:t>
      </w:r>
      <w:r>
        <w:rPr>
          <w:rFonts w:ascii="Times New Roman" w:cs="Times New Roman" w:eastAsia="Times New Roman" w:hAnsi="Times New Roman"/>
          <w:sz w:val="19"/>
          <w:szCs w:val="19"/>
          <w:color w:val="FF0000"/>
          <w:strike w:val="1"/>
        </w:rPr>
        <w:t>April</w:t>
      </w:r>
      <w:r>
        <w:rPr>
          <w:rFonts w:ascii="Times New Roman" w:cs="Times New Roman" w:eastAsia="Times New Roman" w:hAnsi="Times New Roman"/>
          <w:sz w:val="19"/>
          <w:szCs w:val="19"/>
          <w:color w:val="0000FF"/>
        </w:rPr>
        <w:t>March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30</w:t>
      </w:r>
      <w:r>
        <w:rPr>
          <w:rFonts w:ascii="Times New Roman" w:cs="Times New Roman" w:eastAsia="Times New Roman" w:hAnsi="Times New Roman"/>
          <w:sz w:val="19"/>
          <w:szCs w:val="19"/>
          <w:color w:val="0000FF"/>
        </w:rPr>
        <w:t>18</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2025</w:t>
      </w:r>
      <w:r>
        <w:rPr>
          <w:rFonts w:ascii="Times New Roman" w:cs="Times New Roman" w:eastAsia="Times New Roman" w:hAnsi="Times New Roman"/>
          <w:sz w:val="19"/>
          <w:szCs w:val="19"/>
          <w:color w:val="0000FF"/>
        </w:rPr>
        <w:t>2028</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“Permitted Investments” </w:t>
      </w:r>
      <w:r>
        <w:rPr>
          <w:rFonts w:ascii="Times New Roman" w:cs="Times New Roman" w:eastAsia="Times New Roman" w:hAnsi="Times New Roman"/>
          <w:sz w:val="19"/>
          <w:szCs w:val="19"/>
          <w:color w:val="auto"/>
        </w:rPr>
        <w:t>means any one or more of the following types of investments:</w:t>
      </w:r>
    </w:p>
    <w:p>
      <w:pPr>
        <w:spacing w:after="0" w:line="228" w:lineRule="exact"/>
        <w:rPr>
          <w:sz w:val="20"/>
          <w:szCs w:val="20"/>
          <w:color w:val="auto"/>
        </w:rPr>
      </w:pPr>
    </w:p>
    <w:p>
      <w:pPr>
        <w:ind w:left="700" w:right="120" w:firstLine="50"/>
        <w:spacing w:after="0" w:line="286" w:lineRule="auto"/>
        <w:tabs>
          <w:tab w:leader="none" w:pos="1009"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obligations of the United States, the full and timely payment of which are backed by the full faith and credit of the United States and that have a maturity of not more than 270 days from the date of acquisition;</w:t>
      </w:r>
    </w:p>
    <w:p>
      <w:pPr>
        <w:spacing w:after="0" w:line="151" w:lineRule="exact"/>
        <w:rPr>
          <w:rFonts w:ascii="Times New Roman" w:cs="Times New Roman" w:eastAsia="Times New Roman" w:hAnsi="Times New Roman"/>
          <w:sz w:val="19"/>
          <w:szCs w:val="19"/>
          <w:color w:val="auto"/>
        </w:rPr>
      </w:pPr>
    </w:p>
    <w:p>
      <w:pPr>
        <w:ind w:left="700" w:firstLine="50"/>
        <w:spacing w:after="0" w:line="286" w:lineRule="auto"/>
        <w:tabs>
          <w:tab w:leader="none" w:pos="102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obligations, the full and timely payment of which are directly and fully guaranteed by the full faith and credit of the United States and that have a maturity of not more than 270 days from the date of acquisition;</w:t>
      </w:r>
    </w:p>
    <w:p>
      <w:pPr>
        <w:spacing w:after="0" w:line="132" w:lineRule="exact"/>
        <w:rPr>
          <w:rFonts w:ascii="Times New Roman" w:cs="Times New Roman" w:eastAsia="Times New Roman" w:hAnsi="Times New Roman"/>
          <w:sz w:val="19"/>
          <w:szCs w:val="19"/>
          <w:color w:val="auto"/>
        </w:rPr>
      </w:pPr>
    </w:p>
    <w:p>
      <w:pPr>
        <w:ind w:left="700" w:firstLine="50"/>
        <w:spacing w:after="0" w:line="239" w:lineRule="exact"/>
        <w:tabs>
          <w:tab w:leader="none" w:pos="1009"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bankers’ acceptances and certificates of deposit and other interest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bearing obligations (in each case having a maturity of not more than 270 days from the date of acquisition) denominated in Dollars and issued by any bank with capital, surplus and undivided profits aggregating at least $100,000,000, the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 obligations of which are rated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S&amp;P and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Moody’s;</w:t>
      </w:r>
    </w:p>
    <w:p>
      <w:pPr>
        <w:spacing w:after="0" w:line="193"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repurchase obligations with a term of not more than ten days for underlying securities of the types described in clauses (a),</w:t>
      </w:r>
    </w:p>
    <w:p>
      <w:pPr>
        <w:spacing w:after="0" w:line="31" w:lineRule="exact"/>
        <w:rPr>
          <w:rFonts w:ascii="Times New Roman" w:cs="Times New Roman" w:eastAsia="Times New Roman" w:hAnsi="Times New Roman"/>
          <w:sz w:val="19"/>
          <w:szCs w:val="19"/>
          <w:color w:val="auto"/>
        </w:rPr>
      </w:pPr>
    </w:p>
    <w:p>
      <w:pPr>
        <w:ind w:left="980" w:hanging="278"/>
        <w:spacing w:after="0"/>
        <w:tabs>
          <w:tab w:leader="none" w:pos="98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 (c) above entered into with any bank of the type described in clause (c) above;</w:t>
      </w:r>
    </w:p>
    <w:p>
      <w:pPr>
        <w:spacing w:after="0" w:line="184" w:lineRule="exact"/>
        <w:rPr>
          <w:rFonts w:ascii="Times New Roman" w:cs="Times New Roman" w:eastAsia="Times New Roman" w:hAnsi="Times New Roman"/>
          <w:sz w:val="19"/>
          <w:szCs w:val="19"/>
          <w:color w:val="auto"/>
        </w:rPr>
      </w:pPr>
    </w:p>
    <w:p>
      <w:pPr>
        <w:ind w:left="1020" w:hanging="270"/>
        <w:spacing w:after="0" w:line="219" w:lineRule="exact"/>
        <w:tabs>
          <w:tab w:leader="none" w:pos="102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commercial paper rated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S&amp;P and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Moody’s;</w:t>
      </w:r>
    </w:p>
    <w:p>
      <w:pPr>
        <w:spacing w:after="0" w:line="244" w:lineRule="exact"/>
        <w:rPr>
          <w:rFonts w:ascii="Times New Roman" w:cs="Times New Roman" w:eastAsia="Times New Roman" w:hAnsi="Times New Roman"/>
          <w:sz w:val="19"/>
          <w:szCs w:val="19"/>
          <w:color w:val="auto"/>
        </w:rPr>
      </w:pPr>
    </w:p>
    <w:p>
      <w:pPr>
        <w:ind w:left="1000" w:hanging="250"/>
        <w:spacing w:after="0"/>
        <w:tabs>
          <w:tab w:leader="none" w:pos="1000"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demand deposits, time deposits or certificates of deposit (having original maturities of no more than 365 days) of depository</w:t>
      </w:r>
    </w:p>
    <w:p>
      <w:pPr>
        <w:spacing w:after="0" w:line="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institutions or trust companies incorporated under the laws of the United States or any state thereof (or domestic branches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15" w:name="page216"/>
    <w:bookmarkEnd w:id="215"/>
    <w:p>
      <w:pPr>
        <w:spacing w:after="0" w:line="200" w:lineRule="exact"/>
        <w:rPr>
          <w:sz w:val="20"/>
          <w:szCs w:val="20"/>
          <w:color w:val="auto"/>
        </w:rPr>
      </w:pPr>
    </w:p>
    <w:p>
      <w:pPr>
        <w:spacing w:after="0" w:line="285" w:lineRule="exact"/>
        <w:rPr>
          <w:sz w:val="20"/>
          <w:szCs w:val="20"/>
          <w:color w:val="auto"/>
        </w:rPr>
      </w:pPr>
    </w:p>
    <w:p>
      <w:pPr>
        <w:jc w:val="both"/>
        <w:ind w:left="700" w:right="20"/>
        <w:spacing w:after="0" w:line="238" w:lineRule="exact"/>
        <w:rPr>
          <w:sz w:val="20"/>
          <w:szCs w:val="20"/>
          <w:color w:val="auto"/>
        </w:rPr>
      </w:pPr>
      <w:r>
        <w:rPr>
          <w:rFonts w:ascii="Times New Roman" w:cs="Times New Roman" w:eastAsia="Times New Roman" w:hAnsi="Times New Roman"/>
          <w:sz w:val="19"/>
          <w:szCs w:val="19"/>
          <w:color w:val="auto"/>
        </w:rPr>
        <w:t xml:space="preserve">of any foreign bank) and subject to supervision and examination by federal or state banking or depository institution authorities;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at the time such investment, or the commitment to make such investment, is entered into, the short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debt rating of such depository institution or trust company shall be at least A</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S&amp;P and P</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 by Moody’s</w:t>
      </w:r>
    </w:p>
    <w:p>
      <w:pPr>
        <w:spacing w:after="0" w:line="187" w:lineRule="exact"/>
        <w:rPr>
          <w:sz w:val="20"/>
          <w:szCs w:val="20"/>
          <w:color w:val="auto"/>
        </w:rPr>
      </w:pPr>
    </w:p>
    <w:p>
      <w:pPr>
        <w:ind w:left="700" w:firstLine="50"/>
        <w:spacing w:after="0" w:line="268" w:lineRule="auto"/>
        <w:tabs>
          <w:tab w:leader="none" w:pos="10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money market mutual funds registered under the Investment Company Act of 1940, as amended, (i) having a rating, at the time of such investment, of no less than “Aaa-mf” by Moody’s, and “AAAm” by S&amp;P and (ii) that predominately invest in securities of the types described in clauses (a) through (f) above.</w:t>
      </w:r>
    </w:p>
    <w:p>
      <w:pPr>
        <w:spacing w:after="0" w:line="166"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“Permitted Liens” </w:t>
      </w:r>
      <w:r>
        <w:rPr>
          <w:rFonts w:ascii="Times New Roman" w:cs="Times New Roman" w:eastAsia="Times New Roman" w:hAnsi="Times New Roman"/>
          <w:sz w:val="19"/>
          <w:szCs w:val="19"/>
          <w:color w:val="auto"/>
        </w:rPr>
        <w:t>means (i) Liens created pursuant to the Transaction Documents in favor of the Administrative Agent,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agent for the Secured Parties, (ii) warehousemen’s and other Liens arising by operation of law in the ordinary course of business for sums not due or sums that are being contested in good faith, (iii) Liens for Taxes that if such Taxes shall not at the time be due and payable or if a Person shall currently be contesting the validity thereof in good faith by appropriate proceedings and with respect to which reserves in accordance with GAAP have been provided on the books of such Person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(iv) with respect to Loans for which a Person other than Borrower serves as the administrative or other agent for the lenders thereunder, Liens in favor of the lead agent, the collateral agent or the paying agent for the benefit of holders of indebtedness of such Obligor</w:t>
      </w:r>
      <w:r>
        <w:rPr>
          <w:rFonts w:ascii="Times New Roman" w:cs="Times New Roman" w:eastAsia="Times New Roman" w:hAnsi="Times New Roman"/>
          <w:sz w:val="19"/>
          <w:szCs w:val="19"/>
          <w:color w:val="0000FF"/>
        </w:rPr>
        <w:t>, and (v) Liens on Equity Interests in 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SBIC Subsidiary created in favor of the SBA or its designee and Liens on Equity Interests in any SPE Subsidiary in favor of and required by any lender providing third party financing to such SPE Subsidiary</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4432300</wp:posOffset>
            </wp:positionH>
            <wp:positionV relativeFrom="paragraph">
              <wp:posOffset>-661035</wp:posOffset>
            </wp:positionV>
            <wp:extent cx="20574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4">
                      <a:extLst>
                        <a:ext uri="{28A0092B-C50C-407E-A947-70E740481C1C}"/>
                      </a:extLst>
                    </a:blip>
                    <a:srcRect/>
                    <a:stretch>
                      <a:fillRect/>
                    </a:stretch>
                  </pic:blipFill>
                  <pic:spPr bwMode="auto">
                    <a:xfrm>
                      <a:off x="0" y="0"/>
                      <a:ext cx="205740" cy="7620"/>
                    </a:xfrm>
                    <a:prstGeom prst="rect">
                      <a:avLst/>
                    </a:prstGeom>
                    <a:noFill/>
                  </pic:spPr>
                </pic:pic>
              </a:graphicData>
            </a:graphic>
          </wp:anchor>
        </w:drawing>
      </w:r>
    </w:p>
    <w:p>
      <w:pPr>
        <w:spacing w:after="0" w:line="159" w:lineRule="exact"/>
        <w:rPr>
          <w:sz w:val="20"/>
          <w:szCs w:val="20"/>
          <w:color w:val="auto"/>
        </w:rPr>
      </w:pPr>
    </w:p>
    <w:p>
      <w:pPr>
        <w:ind w:right="4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“Permitted Obligor Liens” </w:t>
      </w:r>
      <w:r>
        <w:rPr>
          <w:rFonts w:ascii="Times New Roman" w:cs="Times New Roman" w:eastAsia="Times New Roman" w:hAnsi="Times New Roman"/>
          <w:sz w:val="19"/>
          <w:szCs w:val="19"/>
          <w:color w:val="auto"/>
        </w:rPr>
        <w:t>means the Liens described in the applicable Loan Documents as “permitted liens” or otherwise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permitted thereunder and any other liens approved by the Administrative Agent.</w:t>
      </w:r>
    </w:p>
    <w:p>
      <w:pPr>
        <w:spacing w:after="0" w:line="148" w:lineRule="exact"/>
        <w:rPr>
          <w:sz w:val="20"/>
          <w:szCs w:val="20"/>
          <w:color w:val="auto"/>
        </w:rPr>
      </w:pPr>
    </w:p>
    <w:p>
      <w:pPr>
        <w:ind w:right="180" w:firstLine="696"/>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Permitted SBIC Guarantee</w:t>
      </w:r>
      <w:r>
        <w:rPr>
          <w:rFonts w:ascii="Times New Roman" w:cs="Times New Roman" w:eastAsia="Times New Roman" w:hAnsi="Times New Roman"/>
          <w:sz w:val="19"/>
          <w:szCs w:val="19"/>
          <w:color w:val="auto"/>
        </w:rPr>
        <w:t xml:space="preserve">” means a guarantee by the Borrower of Indebtedness of </w:t>
      </w:r>
      <w:r>
        <w:rPr>
          <w:rFonts w:ascii="Times New Roman" w:cs="Times New Roman" w:eastAsia="Times New Roman" w:hAnsi="Times New Roman"/>
          <w:sz w:val="19"/>
          <w:szCs w:val="19"/>
          <w:color w:val="FF0000"/>
          <w:strike w:val="1"/>
        </w:rPr>
        <w:t>a small business investment company</w:t>
      </w:r>
      <w:r>
        <w:rPr>
          <w:rFonts w:ascii="Times New Roman" w:cs="Times New Roman" w:eastAsia="Times New Roman" w:hAnsi="Times New Roman"/>
          <w:sz w:val="19"/>
          <w:szCs w:val="19"/>
          <w:color w:val="0000FF"/>
        </w:rPr>
        <w:t>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SBIC </w:t>
      </w:r>
      <w:r>
        <w:rPr>
          <w:rFonts w:ascii="Times New Roman" w:cs="Times New Roman" w:eastAsia="Times New Roman" w:hAnsi="Times New Roman"/>
          <w:sz w:val="19"/>
          <w:szCs w:val="19"/>
          <w:color w:val="000000"/>
        </w:rPr>
        <w:t>Subsidiary on the SBA’s then applicable form; provided that the recourse to the Borrower thereunder is expressly limited only to</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periods after the occurrence of an event or condition that is an impermissible change in the control of such </w:t>
      </w:r>
      <w:r>
        <w:rPr>
          <w:rFonts w:ascii="Times New Roman" w:cs="Times New Roman" w:eastAsia="Times New Roman" w:hAnsi="Times New Roman"/>
          <w:sz w:val="19"/>
          <w:szCs w:val="19"/>
          <w:color w:val="FF0000"/>
          <w:strike w:val="1"/>
        </w:rPr>
        <w:t>small business investment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company</w:t>
      </w:r>
      <w:r>
        <w:rPr>
          <w:rFonts w:ascii="Times New Roman" w:cs="Times New Roman" w:eastAsia="Times New Roman" w:hAnsi="Times New Roman"/>
          <w:sz w:val="19"/>
          <w:szCs w:val="19"/>
          <w:color w:val="0000FF"/>
        </w:rPr>
        <w:t>SBIC</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Subsidiary.</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Permitted Transfer</w:t>
      </w:r>
      <w:r>
        <w:rPr>
          <w:rFonts w:ascii="Times New Roman" w:cs="Times New Roman" w:eastAsia="Times New Roman" w:hAnsi="Times New Roman"/>
          <w:sz w:val="19"/>
          <w:szCs w:val="19"/>
          <w:color w:val="0000FF"/>
        </w:rPr>
        <w:t>” is defined in Section 2.15.</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000FF"/>
        </w:rPr>
        <w:t xml:space="preserve">“Permitted Transfer Settlement Date” </w:t>
      </w:r>
      <w:r>
        <w:rPr>
          <w:rFonts w:ascii="Times New Roman" w:cs="Times New Roman" w:eastAsia="Times New Roman" w:hAnsi="Times New Roman"/>
          <w:sz w:val="19"/>
          <w:szCs w:val="19"/>
          <w:color w:val="0000FF"/>
        </w:rPr>
        <w:t>means the settlement date of a Permitted Transfer.</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000FF"/>
        </w:rPr>
        <w:t>“Permitted Transfer Trade Date</w:t>
      </w:r>
      <w:r>
        <w:rPr>
          <w:rFonts w:ascii="Times New Roman" w:cs="Times New Roman" w:eastAsia="Times New Roman" w:hAnsi="Times New Roman"/>
          <w:sz w:val="19"/>
          <w:szCs w:val="19"/>
          <w:color w:val="0000FF"/>
        </w:rPr>
        <w:t>” means the trade date of a Permitted Transfer.</w:t>
      </w:r>
    </w:p>
    <w:p>
      <w:pPr>
        <w:spacing w:after="0" w:line="226" w:lineRule="exact"/>
        <w:rPr>
          <w:sz w:val="20"/>
          <w:szCs w:val="20"/>
          <w:color w:val="auto"/>
        </w:rPr>
      </w:pPr>
    </w:p>
    <w:p>
      <w:pPr>
        <w:ind w:right="48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“Person” </w:t>
      </w:r>
      <w:r>
        <w:rPr>
          <w:rFonts w:ascii="Times New Roman" w:cs="Times New Roman" w:eastAsia="Times New Roman" w:hAnsi="Times New Roman"/>
          <w:sz w:val="19"/>
          <w:szCs w:val="19"/>
          <w:color w:val="auto"/>
        </w:rPr>
        <w:t>means an individual, partnership, corporation (including a statutory trust), limited liability company, joint stock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trust, unincorporated association, sole proprietorship, joint venture, government (or any agency or political subdivision thereof) or other entity.</w:t>
      </w:r>
    </w:p>
    <w:p>
      <w:pPr>
        <w:spacing w:after="0" w:line="166" w:lineRule="exact"/>
        <w:rPr>
          <w:sz w:val="20"/>
          <w:szCs w:val="20"/>
          <w:color w:val="auto"/>
        </w:rPr>
      </w:pPr>
    </w:p>
    <w:p>
      <w:pPr>
        <w:ind w:right="4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“PIK Interest” </w:t>
      </w:r>
      <w:r>
        <w:rPr>
          <w:rFonts w:ascii="Times New Roman" w:cs="Times New Roman" w:eastAsia="Times New Roman" w:hAnsi="Times New Roman"/>
          <w:sz w:val="19"/>
          <w:szCs w:val="19"/>
          <w:color w:val="auto"/>
        </w:rPr>
        <w:t>means, with respect to any Loan, accrued interest on such Loan that has been deferred or capitalized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Obligor of such Loan.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16" w:name="page217"/>
    <w:bookmarkEnd w:id="216"/>
    <w:p>
      <w:pPr>
        <w:spacing w:after="0" w:line="200" w:lineRule="exact"/>
        <w:rPr>
          <w:sz w:val="20"/>
          <w:szCs w:val="20"/>
          <w:color w:val="auto"/>
        </w:rPr>
      </w:pPr>
    </w:p>
    <w:p>
      <w:pPr>
        <w:spacing w:after="0" w:line="283" w:lineRule="exact"/>
        <w:rPr>
          <w:sz w:val="20"/>
          <w:szCs w:val="20"/>
          <w:color w:val="auto"/>
        </w:rPr>
      </w:pPr>
    </w:p>
    <w:p>
      <w:pPr>
        <w:ind w:right="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“PIK Loan” </w:t>
      </w:r>
      <w:r>
        <w:rPr>
          <w:rFonts w:ascii="Times New Roman" w:cs="Times New Roman" w:eastAsia="Times New Roman" w:hAnsi="Times New Roman"/>
          <w:sz w:val="19"/>
          <w:szCs w:val="19"/>
          <w:color w:val="auto"/>
        </w:rPr>
        <w:t>means, on any date of determination, a Loan that permits the Obligor thereof to defer or capitalize accrued interest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thereon and requires cash interest payments as of such date at a rate of less than 6% per annum.</w:t>
      </w:r>
    </w:p>
    <w:p>
      <w:pPr>
        <w:spacing w:after="0" w:line="148" w:lineRule="exact"/>
        <w:rPr>
          <w:sz w:val="20"/>
          <w:szCs w:val="20"/>
          <w:color w:val="auto"/>
        </w:rPr>
      </w:pPr>
    </w:p>
    <w:p>
      <w:pPr>
        <w:ind w:right="14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“Portfolio Investment” </w:t>
      </w:r>
      <w:r>
        <w:rPr>
          <w:rFonts w:ascii="Times New Roman" w:cs="Times New Roman" w:eastAsia="Times New Roman" w:hAnsi="Times New Roman"/>
          <w:sz w:val="19"/>
          <w:szCs w:val="19"/>
          <w:color w:val="auto"/>
        </w:rPr>
        <w:t>means any Investment held by the Borrower and its Subsidiaries in their asset portfolio that is included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will, at the end of the then current fiscal quarter, be included) on the schedule of investments on the financial statements of the Borrower delivered pursuant to Section 7.11(k) (and, for the avoidance of doubt, shall not include any Subsidiary of the Borrower).</w:t>
      </w:r>
    </w:p>
    <w:p>
      <w:pPr>
        <w:spacing w:after="0" w:line="166"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Potential Defaulting Lender</w:t>
      </w:r>
      <w:r>
        <w:rPr>
          <w:rFonts w:ascii="Times New Roman" w:cs="Times New Roman" w:eastAsia="Times New Roman" w:hAnsi="Times New Roman"/>
          <w:sz w:val="19"/>
          <w:szCs w:val="19"/>
          <w:color w:val="auto"/>
        </w:rPr>
        <w:t>” shall mean, at any time, subject to Section 2.16, any Lender as to which the Administrative Agent has notified the Borrower that (i) an event of the kind referred to in the definition of “Lender Insolvency Event” has occurred and is continuing in respect of any financial institution affiliate of such Lender, (ii) such Lender has (or its Parent Company or a financial institution affiliate thereof has) notified the Administrative Agent in writing, or has stated publicly, that it does not intend to comply with its funding obligations under any other loan agreement, credit agreement or other financing agreement, unless such writing or public statement states that such position is based on such Lender’s determination that one or more conditions precedent to funding cannot be satisfied (which conditions precedent, together with any applicable default, will be specifically identified in such writing or public statement), or (iii) such Lender has, or whose Parent Company has, a non-investment grade rating from Moody’s or S&amp;P or another nationally recognized rating agency. Any determination by the Administrative Agent that a Lender is a Potential Defaulting Lender will be conclusive and binding, absent manifest error, and such Lender shall be deemed to be a Potential Defaulting Lender (subject to Section 2.16) upon notification of such determination by the Administrative Agent to the Borrower and the Lenders.</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Pounds Sterling</w:t>
      </w:r>
      <w:r>
        <w:rPr>
          <w:rFonts w:ascii="Times New Roman" w:cs="Times New Roman" w:eastAsia="Times New Roman" w:hAnsi="Times New Roman"/>
          <w:sz w:val="19"/>
          <w:szCs w:val="19"/>
          <w:color w:val="0000FF"/>
        </w:rPr>
        <w:t>” means the lawful currency of the United Kingdom.</w:t>
      </w:r>
    </w:p>
    <w:p>
      <w:pPr>
        <w:spacing w:after="0" w:line="226" w:lineRule="exact"/>
        <w:rPr>
          <w:sz w:val="20"/>
          <w:szCs w:val="20"/>
          <w:color w:val="auto"/>
        </w:rPr>
      </w:pPr>
    </w:p>
    <w:p>
      <w:pPr>
        <w:ind w:right="1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“Pre-Commercial Obligor” </w:t>
      </w:r>
      <w:r>
        <w:rPr>
          <w:rFonts w:ascii="Times New Roman" w:cs="Times New Roman" w:eastAsia="Times New Roman" w:hAnsi="Times New Roman"/>
          <w:sz w:val="19"/>
          <w:szCs w:val="19"/>
          <w:color w:val="auto"/>
        </w:rPr>
        <w:t>means any Obligor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(i) operates a business within any Target Industry set forth in clause (a)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definition thereof, (ii) does not produce or provide a single commercially available product or service and (iii) satisfies each of the criteria set forth in the definition of “Eligible Obligor” other than clause</w:t>
      </w:r>
      <w:r>
        <w:rPr>
          <w:rFonts w:ascii="Times New Roman" w:cs="Times New Roman" w:eastAsia="Times New Roman" w:hAnsi="Times New Roman"/>
          <w:sz w:val="19"/>
          <w:szCs w:val="19"/>
          <w:color w:val="0000FF"/>
          <w:strike w:val="1"/>
        </w:rPr>
        <w:t>has generated less than the Dollar Equivalent of $2,500,000</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C000"/>
          <w:strike w:val="1"/>
        </w:rPr>
        <w:t>in</w:t>
      </w:r>
      <w:r>
        <w:rPr>
          <w:rFonts w:ascii="Times New Roman" w:cs="Times New Roman" w:eastAsia="Times New Roman" w:hAnsi="Times New Roman"/>
          <w:sz w:val="19"/>
          <w:szCs w:val="19"/>
          <w:color w:val="FF0000"/>
          <w:strike w:val="1"/>
        </w:rPr>
        <w:t xml:space="preserve"> </w:t>
      </w:r>
      <w:r>
        <w:rPr>
          <w:rFonts w:ascii="Times New Roman" w:cs="Times New Roman" w:eastAsia="Times New Roman" w:hAnsi="Times New Roman"/>
          <w:sz w:val="19"/>
          <w:szCs w:val="19"/>
          <w:color w:val="00C000"/>
          <w:strike w:val="1"/>
        </w:rPr>
        <w:t xml:space="preserve">revenue during the most recent trailing </w:t>
      </w:r>
      <w:r>
        <w:rPr>
          <w:rFonts w:ascii="Times New Roman" w:cs="Times New Roman" w:eastAsia="Times New Roman" w:hAnsi="Times New Roman"/>
          <w:sz w:val="19"/>
          <w:szCs w:val="19"/>
          <w:color w:val="0000FF"/>
          <w:strike w:val="1"/>
        </w:rPr>
        <w:t>six</w:t>
      </w:r>
      <w:r>
        <w:rPr>
          <w:rFonts w:ascii="Times New Roman" w:cs="Times New Roman" w:eastAsia="Times New Roman" w:hAnsi="Times New Roman"/>
          <w:sz w:val="19"/>
          <w:szCs w:val="19"/>
          <w:color w:val="00C000"/>
          <w:strike w:val="1"/>
        </w:rPr>
        <w:t xml:space="preserve"> </w:t>
      </w:r>
      <w:r>
        <w:rPr>
          <w:rFonts w:ascii="Times New Roman" w:cs="Times New Roman" w:eastAsia="Times New Roman" w:hAnsi="Times New Roman"/>
          <w:sz w:val="19"/>
          <w:szCs w:val="19"/>
          <w:color w:val="000000"/>
          <w:strike w:val="1"/>
        </w:rPr>
        <w:t>(</w:t>
      </w:r>
      <w:r>
        <w:rPr>
          <w:rFonts w:ascii="Times New Roman" w:cs="Times New Roman" w:eastAsia="Times New Roman" w:hAnsi="Times New Roman"/>
          <w:sz w:val="19"/>
          <w:szCs w:val="19"/>
          <w:color w:val="FF0000"/>
          <w:strike w:val="1"/>
        </w:rPr>
        <w:t>ix</w:t>
      </w:r>
      <w:r>
        <w:rPr>
          <w:rFonts w:ascii="Times New Roman" w:cs="Times New Roman" w:eastAsia="Times New Roman" w:hAnsi="Times New Roman"/>
          <w:sz w:val="19"/>
          <w:szCs w:val="19"/>
          <w:color w:val="0000FF"/>
          <w:strike w:val="1"/>
        </w:rPr>
        <w:t>6</w:t>
      </w:r>
      <w:r>
        <w:rPr>
          <w:rFonts w:ascii="Times New Roman" w:cs="Times New Roman" w:eastAsia="Times New Roman" w:hAnsi="Times New Roman"/>
          <w:sz w:val="19"/>
          <w:szCs w:val="19"/>
          <w:color w:val="000000"/>
          <w:strike w:val="1"/>
        </w:rPr>
        <w:t>)</w:t>
      </w:r>
      <w:r>
        <w:rPr>
          <w:rFonts w:ascii="Times New Roman" w:cs="Times New Roman" w:eastAsia="Times New Roman" w:hAnsi="Times New Roman"/>
          <w:sz w:val="19"/>
          <w:szCs w:val="19"/>
          <w:color w:val="00C000"/>
          <w:strike w:val="1"/>
        </w:rPr>
        <w:t xml:space="preserve"> </w:t>
      </w:r>
      <w:r>
        <w:rPr>
          <w:rFonts w:ascii="Times New Roman" w:cs="Times New Roman" w:eastAsia="Times New Roman" w:hAnsi="Times New Roman"/>
          <w:sz w:val="19"/>
          <w:szCs w:val="19"/>
          <w:color w:val="0000FF"/>
          <w:strike w:val="1"/>
        </w:rPr>
        <w:t>month period</w:t>
      </w:r>
      <w:r>
        <w:rPr>
          <w:rFonts w:ascii="Times New Roman" w:cs="Times New Roman" w:eastAsia="Times New Roman" w:hAnsi="Times New Roman"/>
          <w:sz w:val="19"/>
          <w:szCs w:val="19"/>
          <w:color w:val="000000"/>
          <w:strike w:val="1"/>
        </w:rPr>
        <w:t>.</w:t>
      </w:r>
    </w:p>
    <w:p>
      <w:pPr>
        <w:spacing w:after="0" w:line="171" w:lineRule="exact"/>
        <w:rPr>
          <w:sz w:val="20"/>
          <w:szCs w:val="20"/>
          <w:color w:val="auto"/>
        </w:rPr>
      </w:pPr>
    </w:p>
    <w:p>
      <w:pPr>
        <w:ind w:right="1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“Prime Rate” </w:t>
      </w:r>
      <w:r>
        <w:rPr>
          <w:rFonts w:ascii="Times New Roman" w:cs="Times New Roman" w:eastAsia="Times New Roman" w:hAnsi="Times New Roman"/>
          <w:sz w:val="19"/>
          <w:szCs w:val="19"/>
          <w:color w:val="auto"/>
        </w:rPr>
        <w:t>means the rate publicly announced by KeyBank at its principal office in Ohio from time to time as its prime rate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the United States, such rate to change as and when such designated rate changes and is evidenced by the recording thereof after its announcement in such internal publications as KeyBank may designate. The Prime Rate is not intended to be the lowest rate of interest charged by KeyBank in connection with extensions of credit to debtors.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“Principal Collection Subaccount” </w:t>
      </w:r>
      <w:r>
        <w:rPr>
          <w:rFonts w:ascii="Times New Roman" w:cs="Times New Roman" w:eastAsia="Times New Roman" w:hAnsi="Times New Roman"/>
          <w:sz w:val="19"/>
          <w:szCs w:val="19"/>
          <w:color w:val="auto"/>
        </w:rPr>
        <w:t>is defined in Section 7.4(e).</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“Principal Collections” </w:t>
      </w:r>
      <w:r>
        <w:rPr>
          <w:rFonts w:ascii="Times New Roman" w:cs="Times New Roman" w:eastAsia="Times New Roman" w:hAnsi="Times New Roman"/>
          <w:sz w:val="19"/>
          <w:szCs w:val="19"/>
          <w:color w:val="auto"/>
        </w:rPr>
        <w:t>means any and all Collections other than Interest Collections.</w:t>
      </w:r>
    </w:p>
    <w:p>
      <w:pPr>
        <w:spacing w:after="0" w:line="226" w:lineRule="exact"/>
        <w:rPr>
          <w:sz w:val="20"/>
          <w:szCs w:val="20"/>
          <w:color w:val="auto"/>
        </w:rPr>
      </w:pPr>
    </w:p>
    <w:p>
      <w:pPr>
        <w:ind w:right="30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“Proceeds” </w:t>
      </w:r>
      <w:r>
        <w:rPr>
          <w:rFonts w:ascii="Times New Roman" w:cs="Times New Roman" w:eastAsia="Times New Roman" w:hAnsi="Times New Roman"/>
          <w:sz w:val="19"/>
          <w:szCs w:val="19"/>
          <w:color w:val="auto"/>
        </w:rPr>
        <w:t>means, with respect to any Collateral, whatever is receivable or received when such Collateral is sold, collected,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liquidated, foreclosed, exchanged, or otherwise disposed of,</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7" w:name="page218"/>
    <w:bookmarkEnd w:id="217"/>
    <w:p>
      <w:pPr>
        <w:spacing w:after="0" w:line="200" w:lineRule="exact"/>
        <w:rPr>
          <w:sz w:val="20"/>
          <w:szCs w:val="20"/>
          <w:color w:val="auto"/>
        </w:rPr>
      </w:pPr>
    </w:p>
    <w:p>
      <w:pPr>
        <w:spacing w:after="0" w:line="2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9"/>
          <w:szCs w:val="19"/>
          <w:color w:val="auto"/>
        </w:rPr>
        <w:t>whether such disposition is voluntary or involuntary, including all rights to payment with respect to any insurance relating to such Collateral.</w:t>
      </w:r>
    </w:p>
    <w:p>
      <w:pPr>
        <w:spacing w:after="0" w:line="149"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i w:val="1"/>
          <w:iCs w:val="1"/>
          <w:color w:val="0000FF"/>
        </w:rPr>
        <w:t xml:space="preserve">“Prohibited </w:t>
      </w:r>
      <w:r>
        <w:rPr>
          <w:rFonts w:ascii="Times New Roman" w:cs="Times New Roman" w:eastAsia="Times New Roman" w:hAnsi="Times New Roman"/>
          <w:sz w:val="19"/>
          <w:szCs w:val="19"/>
          <w:i w:val="1"/>
          <w:iCs w:val="1"/>
          <w:color w:val="00C000"/>
        </w:rPr>
        <w:t>Industry”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C000"/>
        </w:rPr>
        <w:t>means each of the following business areas</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in (i) assault weapons or firearms manufacturing, (ii) payday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lending, title lending or predatory lending, (iii) pawn shops, (iv) pornography or adult entertainment, (v) illegal or internet gaming (excluding, for the avoidance of doubt, hospitality and/or resorts development or management thereof and, including, for avoidance of doubt, deposit accounts and/or payment services for internet gaming) or internet cafes, (vi) the sale or cultivation of marijuana, (vii) dealers, distributors, processors of illegal drugs, chemicals, substances, or the sale of illegal drug paraphernalia or materials, (viii) private prisons, (ix) embassies and foreign consulates, (x) political campaigns, committees or candidates, or (xi) any other industry, business, product or service, which is illegal under federal laws.</w:t>
      </w:r>
    </w:p>
    <w:p>
      <w:pPr>
        <w:spacing w:after="0" w:line="181" w:lineRule="exact"/>
        <w:rPr>
          <w:sz w:val="20"/>
          <w:szCs w:val="20"/>
          <w:color w:val="auto"/>
        </w:rPr>
      </w:pPr>
    </w:p>
    <w:p>
      <w:pPr>
        <w:ind w:right="4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“Prohibited Transaction” </w:t>
      </w:r>
      <w:r>
        <w:rPr>
          <w:rFonts w:ascii="Times New Roman" w:cs="Times New Roman" w:eastAsia="Times New Roman" w:hAnsi="Times New Roman"/>
          <w:sz w:val="19"/>
          <w:szCs w:val="19"/>
          <w:color w:val="auto"/>
        </w:rPr>
        <w:t>means a transaction described in Section 406(a) of ERISA, that is not exempted by a statutory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or individual exemption pursuant to Section 408 of ERISA.</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“Proposal Period” </w:t>
      </w:r>
      <w:r>
        <w:rPr>
          <w:rFonts w:ascii="Times New Roman" w:cs="Times New Roman" w:eastAsia="Times New Roman" w:hAnsi="Times New Roman"/>
          <w:sz w:val="19"/>
          <w:szCs w:val="19"/>
          <w:color w:val="auto"/>
        </w:rPr>
        <w:t>is defined in Section 5.2(b).</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“Proposed Replacement” </w:t>
      </w:r>
      <w:r>
        <w:rPr>
          <w:rFonts w:ascii="Times New Roman" w:cs="Times New Roman" w:eastAsia="Times New Roman" w:hAnsi="Times New Roman"/>
          <w:sz w:val="19"/>
          <w:szCs w:val="19"/>
          <w:color w:val="auto"/>
        </w:rPr>
        <w:t>is defined in Section 5.2(b).</w:t>
      </w:r>
    </w:p>
    <w:p>
      <w:pPr>
        <w:spacing w:after="0" w:line="226" w:lineRule="exact"/>
        <w:rPr>
          <w:sz w:val="20"/>
          <w:szCs w:val="20"/>
          <w:color w:val="auto"/>
        </w:rPr>
      </w:pPr>
    </w:p>
    <w:p>
      <w:pPr>
        <w:ind w:right="6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“Proprietary Risk Rating” </w:t>
      </w:r>
      <w:r>
        <w:rPr>
          <w:rFonts w:ascii="Times New Roman" w:cs="Times New Roman" w:eastAsia="Times New Roman" w:hAnsi="Times New Roman"/>
          <w:sz w:val="19"/>
          <w:szCs w:val="19"/>
          <w:color w:val="auto"/>
        </w:rPr>
        <w:t>means, for any Loan, the rating assigned thereto by the Borrower under the five-level numeric rating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system set forth in Schedule V used by the Borrower to rate the credit profile on Loans, as described in the Investment Policy, applied consistently and in good faith.</w:t>
      </w:r>
    </w:p>
    <w:p>
      <w:pPr>
        <w:spacing w:after="0" w:line="149" w:lineRule="exact"/>
        <w:rPr>
          <w:sz w:val="20"/>
          <w:szCs w:val="20"/>
          <w:color w:val="auto"/>
        </w:rPr>
      </w:pPr>
    </w:p>
    <w:p>
      <w:pPr>
        <w:ind w:firstLine="696"/>
        <w:spacing w:after="0" w:line="249" w:lineRule="exact"/>
        <w:rPr>
          <w:sz w:val="20"/>
          <w:szCs w:val="20"/>
          <w:color w:val="auto"/>
        </w:rPr>
      </w:pPr>
      <w:r>
        <w:rPr>
          <w:rFonts w:ascii="Times New Roman" w:cs="Times New Roman" w:eastAsia="Times New Roman" w:hAnsi="Times New Roman"/>
          <w:sz w:val="19"/>
          <w:szCs w:val="19"/>
          <w:i w:val="1"/>
          <w:iCs w:val="1"/>
          <w:color w:val="auto"/>
        </w:rPr>
        <w:t>“Pro</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Rata Share” </w:t>
      </w:r>
      <w:r>
        <w:rPr>
          <w:rFonts w:ascii="Times New Roman" w:cs="Times New Roman" w:eastAsia="Times New Roman" w:hAnsi="Times New Roman"/>
          <w:sz w:val="19"/>
          <w:szCs w:val="19"/>
          <w:color w:val="auto"/>
        </w:rPr>
        <w:t>means, with respect to any Lender on any day, the percentage equivalent of a fraction the numerator of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such Lender’s Commitment and the denominator of which is the Group Advance Limit of the related Lender Group.</w:t>
      </w:r>
    </w:p>
    <w:p>
      <w:pPr>
        <w:spacing w:after="0" w:line="192" w:lineRule="exact"/>
        <w:rPr>
          <w:sz w:val="20"/>
          <w:szCs w:val="20"/>
          <w:color w:val="auto"/>
        </w:rPr>
      </w:pPr>
    </w:p>
    <w:p>
      <w:pPr>
        <w:ind w:right="1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“PTE” </w:t>
      </w:r>
      <w:r>
        <w:rPr>
          <w:rFonts w:ascii="Times New Roman" w:cs="Times New Roman" w:eastAsia="Times New Roman" w:hAnsi="Times New Roman"/>
          <w:sz w:val="19"/>
          <w:szCs w:val="19"/>
          <w:color w:val="auto"/>
        </w:rPr>
        <w:t>means a prohibited transaction class exemption issued by the U.S. Department of Labor, as any such exemption may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amended from time to time.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“Purchasing Lender” </w:t>
      </w:r>
      <w:r>
        <w:rPr>
          <w:rFonts w:ascii="Times New Roman" w:cs="Times New Roman" w:eastAsia="Times New Roman" w:hAnsi="Times New Roman"/>
          <w:sz w:val="19"/>
          <w:szCs w:val="19"/>
          <w:color w:val="auto"/>
        </w:rPr>
        <w:t>is defined in Section 11.1(b).</w:t>
      </w:r>
    </w:p>
    <w:p>
      <w:pPr>
        <w:spacing w:after="0" w:line="226"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“Qualified Institution” </w:t>
      </w:r>
      <w:r>
        <w:rPr>
          <w:rFonts w:ascii="Times New Roman" w:cs="Times New Roman" w:eastAsia="Times New Roman" w:hAnsi="Times New Roman"/>
          <w:sz w:val="19"/>
          <w:szCs w:val="19"/>
          <w:color w:val="auto"/>
        </w:rPr>
        <w:t>means a depository institution or trust company (i) which is organized under the laws of the United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States or any one of the States thereof or the District of Columbia (or any domestic branch of a foreign bank) and (ii) whose deposits are insured by the Federal Deposit Insurance Corporation.</w:t>
      </w:r>
    </w:p>
    <w:p>
      <w:pPr>
        <w:spacing w:after="0" w:line="166" w:lineRule="exact"/>
        <w:rPr>
          <w:sz w:val="20"/>
          <w:szCs w:val="20"/>
          <w:color w:val="auto"/>
        </w:rPr>
      </w:pPr>
    </w:p>
    <w:p>
      <w:pPr>
        <w:ind w:right="36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“Rating Agencies” </w:t>
      </w:r>
      <w:r>
        <w:rPr>
          <w:rFonts w:ascii="Times New Roman" w:cs="Times New Roman" w:eastAsia="Times New Roman" w:hAnsi="Times New Roman"/>
          <w:sz w:val="19"/>
          <w:szCs w:val="19"/>
          <w:color w:val="auto"/>
        </w:rPr>
        <w:t>means S&amp;P, Moody’s and Fitch, if and so long as they have rated and are continuing to rate commercial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paper notes of any Issuer, or such other nationally recognized statistical rating organizations as may be designated by a Liquidity Provider with prior written notice to the Borrower and the Investment Adviser.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8" w:name="page219"/>
    <w:bookmarkEnd w:id="218"/>
    <w:p>
      <w:pPr>
        <w:spacing w:after="0" w:line="200" w:lineRule="exact"/>
        <w:rPr>
          <w:sz w:val="20"/>
          <w:szCs w:val="20"/>
          <w:color w:val="auto"/>
        </w:rPr>
      </w:pPr>
    </w:p>
    <w:p>
      <w:pPr>
        <w:spacing w:after="0" w:line="283" w:lineRule="exact"/>
        <w:rPr>
          <w:sz w:val="20"/>
          <w:szCs w:val="20"/>
          <w:color w:val="auto"/>
        </w:rPr>
      </w:pPr>
    </w:p>
    <w:p>
      <w:pPr>
        <w:ind w:right="2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“Records” </w:t>
      </w:r>
      <w:r>
        <w:rPr>
          <w:rFonts w:ascii="Times New Roman" w:cs="Times New Roman" w:eastAsia="Times New Roman" w:hAnsi="Times New Roman"/>
          <w:sz w:val="19"/>
          <w:szCs w:val="19"/>
          <w:color w:val="auto"/>
        </w:rPr>
        <w:t>means, with respect to any Loans, all documents, books, records and other information (including without limitation,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computer programs, tapes, disks, punch cards, data processing software and related property and rights) maintained with respect to any item of Collateral and the related Obligors, other than the Loan Documents.</w:t>
      </w:r>
    </w:p>
    <w:p>
      <w:pPr>
        <w:spacing w:after="0" w:line="166" w:lineRule="exact"/>
        <w:rPr>
          <w:sz w:val="20"/>
          <w:szCs w:val="20"/>
          <w:color w:val="auto"/>
        </w:rPr>
      </w:pPr>
    </w:p>
    <w:p>
      <w:pPr>
        <w:ind w:right="8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“Recoveries” </w:t>
      </w:r>
      <w:r>
        <w:rPr>
          <w:rFonts w:ascii="Times New Roman" w:cs="Times New Roman" w:eastAsia="Times New Roman" w:hAnsi="Times New Roman"/>
          <w:sz w:val="19"/>
          <w:szCs w:val="19"/>
          <w:color w:val="auto"/>
        </w:rPr>
        <w:t>means, with respect to any Loan that is a Defaulted Loan, Proceeds of the sale or other liquidation of any Related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Property, Proceeds of any related Insurance Policy, and any other recoveries with respect to such Loan and Related Property, and amounts representing late fees and penalties, net of Liquidation Expenses and amounts, if any, received that are required to be refunded to the Obligor on such Loan.</w:t>
      </w:r>
    </w:p>
    <w:p>
      <w:pPr>
        <w:spacing w:after="0" w:line="171"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“Recurring Revenue” </w:t>
      </w:r>
      <w:r>
        <w:rPr>
          <w:rFonts w:ascii="Times New Roman" w:cs="Times New Roman" w:eastAsia="Times New Roman" w:hAnsi="Times New Roman"/>
          <w:sz w:val="19"/>
          <w:szCs w:val="19"/>
          <w:color w:val="0000FF"/>
        </w:rPr>
        <w:t>means, with respect to any Obligor, the amount, as determined by the Investment Adviser in accordance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with the Investment Policy, of revenues of such Obligor in respect of perpetual licenses, subscription agreements, maintenance streams or other similar and reoccurring cash flow streams.</w:t>
      </w:r>
    </w:p>
    <w:p>
      <w:pPr>
        <w:spacing w:after="0" w:line="166" w:lineRule="exact"/>
        <w:rPr>
          <w:sz w:val="20"/>
          <w:szCs w:val="20"/>
          <w:color w:val="auto"/>
        </w:rPr>
      </w:pPr>
    </w:p>
    <w:p>
      <w:pPr>
        <w:ind w:right="100"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“Recurring Revenue Loan” </w:t>
      </w:r>
      <w:r>
        <w:rPr>
          <w:rFonts w:ascii="Times New Roman" w:cs="Times New Roman" w:eastAsia="Times New Roman" w:hAnsi="Times New Roman"/>
          <w:sz w:val="19"/>
          <w:szCs w:val="19"/>
          <w:color w:val="0000FF"/>
        </w:rPr>
        <w:t>means a Loan or Participation Interest (for purposes of this definition, a</w:t>
      </w:r>
      <w:r>
        <w:rPr>
          <w:rFonts w:ascii="Times New Roman" w:cs="Times New Roman" w:eastAsia="Times New Roman" w:hAnsi="Times New Roman"/>
          <w:sz w:val="19"/>
          <w:szCs w:val="19"/>
          <w:i w:val="1"/>
          <w:iCs w:val="1"/>
          <w:color w:val="0000FF"/>
        </w:rPr>
        <w:t xml:space="preserve"> “loan”</w:t>
      </w:r>
      <w:r>
        <w:rPr>
          <w:rFonts w:ascii="Times New Roman" w:cs="Times New Roman" w:eastAsia="Times New Roman" w:hAnsi="Times New Roman"/>
          <w:sz w:val="19"/>
          <w:szCs w:val="19"/>
          <w:color w:val="0000FF"/>
        </w:rPr>
        <w:t>) that meets each of</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the following criteria:</w:t>
      </w:r>
    </w:p>
    <w:p>
      <w:pPr>
        <w:spacing w:after="0" w:line="150" w:lineRule="exact"/>
        <w:rPr>
          <w:sz w:val="20"/>
          <w:szCs w:val="20"/>
          <w:color w:val="auto"/>
        </w:rPr>
      </w:pPr>
    </w:p>
    <w:p>
      <w:pPr>
        <w:ind w:left="1020" w:hanging="270"/>
        <w:spacing w:after="0"/>
        <w:tabs>
          <w:tab w:leader="none" w:pos="1020" w:val="left"/>
        </w:tabs>
        <w:numPr>
          <w:ilvl w:val="0"/>
          <w:numId w:val="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constitutes a First Lien Loan, a First Lien/Last Out Loan, or a Second Lien Loan;</w:t>
      </w:r>
    </w:p>
    <w:p>
      <w:pPr>
        <w:spacing w:after="0" w:line="225" w:lineRule="exact"/>
        <w:rPr>
          <w:rFonts w:ascii="Times New Roman" w:cs="Times New Roman" w:eastAsia="Times New Roman" w:hAnsi="Times New Roman"/>
          <w:sz w:val="19"/>
          <w:szCs w:val="19"/>
          <w:color w:val="0000FF"/>
        </w:rPr>
      </w:pPr>
    </w:p>
    <w:p>
      <w:pPr>
        <w:ind w:left="1020" w:hanging="270"/>
        <w:spacing w:after="0"/>
        <w:tabs>
          <w:tab w:leader="none" w:pos="1020" w:val="left"/>
        </w:tabs>
        <w:numPr>
          <w:ilvl w:val="0"/>
          <w:numId w:val="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(reserved);</w:t>
      </w:r>
    </w:p>
    <w:p>
      <w:pPr>
        <w:spacing w:after="0" w:line="225" w:lineRule="exact"/>
        <w:rPr>
          <w:rFonts w:ascii="Times New Roman" w:cs="Times New Roman" w:eastAsia="Times New Roman" w:hAnsi="Times New Roman"/>
          <w:sz w:val="19"/>
          <w:szCs w:val="19"/>
          <w:color w:val="0000FF"/>
        </w:rPr>
      </w:pPr>
    </w:p>
    <w:p>
      <w:pPr>
        <w:ind w:left="1020" w:hanging="270"/>
        <w:spacing w:after="0"/>
        <w:tabs>
          <w:tab w:leader="none" w:pos="1020" w:val="left"/>
        </w:tabs>
        <w:numPr>
          <w:ilvl w:val="0"/>
          <w:numId w:val="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Obligor of which is in a high growth industry or industry that customarily has businesses with recurring revenue;</w:t>
      </w:r>
    </w:p>
    <w:p>
      <w:pPr>
        <w:spacing w:after="0" w:line="225" w:lineRule="exact"/>
        <w:rPr>
          <w:rFonts w:ascii="Times New Roman" w:cs="Times New Roman" w:eastAsia="Times New Roman" w:hAnsi="Times New Roman"/>
          <w:sz w:val="19"/>
          <w:szCs w:val="19"/>
          <w:color w:val="0000FF"/>
        </w:rPr>
      </w:pPr>
    </w:p>
    <w:p>
      <w:pPr>
        <w:ind w:left="700" w:right="160" w:firstLine="50"/>
        <w:spacing w:after="0" w:line="286" w:lineRule="auto"/>
        <w:tabs>
          <w:tab w:leader="none" w:pos="1020" w:val="left"/>
        </w:tabs>
        <w:numPr>
          <w:ilvl w:val="0"/>
          <w:numId w:val="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Obligor of which has generated a minimum of the Dollar Equivalent of $15,000,000 in TTM Recurring Revenue using the last quarter’s GAAP Recurring Revenue (annualized);</w:t>
      </w:r>
    </w:p>
    <w:p>
      <w:pPr>
        <w:spacing w:after="0" w:line="151" w:lineRule="exact"/>
        <w:rPr>
          <w:rFonts w:ascii="Times New Roman" w:cs="Times New Roman" w:eastAsia="Times New Roman" w:hAnsi="Times New Roman"/>
          <w:sz w:val="19"/>
          <w:szCs w:val="19"/>
          <w:color w:val="0000FF"/>
        </w:rPr>
      </w:pPr>
    </w:p>
    <w:p>
      <w:pPr>
        <w:ind w:left="700" w:right="160" w:firstLine="50"/>
        <w:spacing w:after="0" w:line="286" w:lineRule="auto"/>
        <w:tabs>
          <w:tab w:leader="none" w:pos="1009" w:val="left"/>
        </w:tabs>
        <w:numPr>
          <w:ilvl w:val="0"/>
          <w:numId w:val="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ratio of the Dollar Equivalent of the outstanding principal amount of such loan to the related Obligor’s TTM Recurring Revenue is less than or equal to 3.00:1.00;</w:t>
      </w:r>
    </w:p>
    <w:p>
      <w:pPr>
        <w:spacing w:after="0" w:line="151" w:lineRule="exact"/>
        <w:rPr>
          <w:rFonts w:ascii="Times New Roman" w:cs="Times New Roman" w:eastAsia="Times New Roman" w:hAnsi="Times New Roman"/>
          <w:sz w:val="19"/>
          <w:szCs w:val="19"/>
          <w:color w:val="0000FF"/>
        </w:rPr>
      </w:pPr>
    </w:p>
    <w:p>
      <w:pPr>
        <w:ind w:left="1000" w:hanging="250"/>
        <w:spacing w:after="0"/>
        <w:tabs>
          <w:tab w:leader="none" w:pos="1000" w:val="left"/>
        </w:tabs>
        <w:numPr>
          <w:ilvl w:val="0"/>
          <w:numId w:val="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Obligor of which has a ratio of Senior Funded Debt to enterprise value of 45% or less; and</w:t>
      </w:r>
    </w:p>
    <w:p>
      <w:pPr>
        <w:spacing w:after="0" w:line="225" w:lineRule="exact"/>
        <w:rPr>
          <w:rFonts w:ascii="Times New Roman" w:cs="Times New Roman" w:eastAsia="Times New Roman" w:hAnsi="Times New Roman"/>
          <w:sz w:val="19"/>
          <w:szCs w:val="19"/>
          <w:color w:val="0000FF"/>
        </w:rPr>
      </w:pPr>
    </w:p>
    <w:p>
      <w:pPr>
        <w:ind w:left="700" w:right="540" w:firstLine="50"/>
        <w:spacing w:after="0" w:line="268" w:lineRule="auto"/>
        <w:tabs>
          <w:tab w:leader="none" w:pos="1020" w:val="left"/>
        </w:tabs>
        <w:numPr>
          <w:ilvl w:val="0"/>
          <w:numId w:val="54"/>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related Loan Documents require that the Obligor of which meets at least two (2) financial covenants, including (i) minimum liquidity or a fixed charge covenant ratio, and (ii) a revenue-based covenant, whether it is a recurring revenue leverage covenant or based on minimum TTM Recurring Revenue.</w:t>
      </w:r>
    </w:p>
    <w:p>
      <w:pPr>
        <w:spacing w:after="0" w:line="166" w:lineRule="exact"/>
        <w:rPr>
          <w:sz w:val="20"/>
          <w:szCs w:val="20"/>
          <w:color w:val="auto"/>
        </w:rPr>
      </w:pPr>
    </w:p>
    <w:p>
      <w:pPr>
        <w:ind w:right="18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“Reference Time” </w:t>
      </w:r>
      <w:r>
        <w:rPr>
          <w:rFonts w:ascii="Times New Roman" w:cs="Times New Roman" w:eastAsia="Times New Roman" w:hAnsi="Times New Roman"/>
          <w:sz w:val="19"/>
          <w:szCs w:val="19"/>
          <w:color w:val="auto"/>
        </w:rPr>
        <w:t>with respect to any setting of the then-current Benchmark, 11:00 a.m., New York City time, on the day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two SOFR Business Days preceding the date of such setting.</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19" w:name="page220"/>
    <w:bookmarkEnd w:id="219"/>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“Register” </w:t>
      </w:r>
      <w:r>
        <w:rPr>
          <w:rFonts w:ascii="Times New Roman" w:cs="Times New Roman" w:eastAsia="Times New Roman" w:hAnsi="Times New Roman"/>
          <w:sz w:val="19"/>
          <w:szCs w:val="19"/>
          <w:color w:val="auto"/>
        </w:rPr>
        <w:t>is defined in Section 11.1(d).</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“Regulatory Change” </w:t>
      </w:r>
      <w:r>
        <w:rPr>
          <w:rFonts w:ascii="Times New Roman" w:cs="Times New Roman" w:eastAsia="Times New Roman" w:hAnsi="Times New Roman"/>
          <w:sz w:val="19"/>
          <w:szCs w:val="19"/>
          <w:color w:val="auto"/>
        </w:rPr>
        <w:t>is defined in Section 2.12(a).</w:t>
      </w:r>
    </w:p>
    <w:p>
      <w:pPr>
        <w:spacing w:after="0" w:line="226"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“Related Property” </w:t>
      </w:r>
      <w:r>
        <w:rPr>
          <w:rFonts w:ascii="Times New Roman" w:cs="Times New Roman" w:eastAsia="Times New Roman" w:hAnsi="Times New Roman"/>
          <w:sz w:val="19"/>
          <w:szCs w:val="19"/>
          <w:color w:val="auto"/>
        </w:rPr>
        <w:t>means, with respect to a Loan, the Borrower’s interest (in its capacity as a lender with respect to such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any property or other assets of the Obligor thereunder pledged as collateral to secure the repayment of such Loan, including, without limitation, accounts receivable, inventory, equipment, real estate, customer lists, networks and databases, patents and other intellectual property and all other collateral therefor described in the revolving loan and security agreement or term loan agreement, as applicable, and any second lien collateral (subject to the applicable priority of interests described in such documents and in the applicable intercreditor agreement, if any) therefor.</w:t>
      </w:r>
    </w:p>
    <w:p>
      <w:pPr>
        <w:spacing w:after="0" w:line="175" w:lineRule="exact"/>
        <w:rPr>
          <w:sz w:val="20"/>
          <w:szCs w:val="20"/>
          <w:color w:val="auto"/>
        </w:rPr>
      </w:pPr>
    </w:p>
    <w:p>
      <w:pPr>
        <w:ind w:right="260" w:firstLine="696"/>
        <w:spacing w:after="0" w:line="28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Relevant Governmental Body</w:t>
      </w:r>
      <w:r>
        <w:rPr>
          <w:rFonts w:ascii="Times New Roman" w:cs="Times New Roman" w:eastAsia="Times New Roman" w:hAnsi="Times New Roman"/>
          <w:sz w:val="19"/>
          <w:szCs w:val="19"/>
          <w:color w:val="auto"/>
        </w:rPr>
        <w:t>” means the Federal Reserve Board or the Federal Reserve Bank of New York, or a committee officially endorsed or convened by the Federal Reserve Board or the Federal Reserve Bank of New York, or any successor thereto.</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“Replacement Lender</w:t>
      </w:r>
      <w:r>
        <w:rPr>
          <w:rFonts w:ascii="Times New Roman" w:cs="Times New Roman" w:eastAsia="Times New Roman" w:hAnsi="Times New Roman"/>
          <w:sz w:val="19"/>
          <w:szCs w:val="19"/>
          <w:color w:val="auto"/>
        </w:rPr>
        <w:t>” is defined in Section 2.17.</w:t>
      </w:r>
    </w:p>
    <w:p>
      <w:pPr>
        <w:spacing w:after="0" w:line="226" w:lineRule="exact"/>
        <w:rPr>
          <w:sz w:val="20"/>
          <w:szCs w:val="20"/>
          <w:color w:val="auto"/>
        </w:rPr>
      </w:pPr>
    </w:p>
    <w:p>
      <w:pPr>
        <w:ind w:right="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“Reporting Date” </w:t>
      </w:r>
      <w:r>
        <w:rPr>
          <w:rFonts w:ascii="Times New Roman" w:cs="Times New Roman" w:eastAsia="Times New Roman" w:hAnsi="Times New Roman"/>
          <w:sz w:val="19"/>
          <w:szCs w:val="19"/>
          <w:color w:val="auto"/>
        </w:rPr>
        <w:t>means the date that is two Business Days prior to each Payment Date and the twelfth (12th) Business Day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each calendar month that does not include a Payment Date commencing June 2019.</w:t>
      </w:r>
    </w:p>
    <w:p>
      <w:pPr>
        <w:spacing w:after="0" w:line="131" w:lineRule="exact"/>
        <w:rPr>
          <w:sz w:val="20"/>
          <w:szCs w:val="20"/>
          <w:color w:val="auto"/>
        </w:rPr>
      </w:pPr>
    </w:p>
    <w:p>
      <w:pPr>
        <w:ind w:right="40" w:firstLine="696"/>
        <w:spacing w:after="0" w:line="236" w:lineRule="exact"/>
        <w:rPr>
          <w:sz w:val="20"/>
          <w:szCs w:val="20"/>
          <w:color w:val="auto"/>
        </w:rPr>
      </w:pPr>
      <w:r>
        <w:rPr>
          <w:rFonts w:ascii="Times New Roman" w:cs="Times New Roman" w:eastAsia="Times New Roman" w:hAnsi="Times New Roman"/>
          <w:sz w:val="19"/>
          <w:szCs w:val="19"/>
          <w:i w:val="1"/>
          <w:iCs w:val="1"/>
          <w:color w:val="auto"/>
        </w:rPr>
        <w:t xml:space="preserve">“Required Lenders” </w:t>
      </w:r>
      <w:r>
        <w:rPr>
          <w:rFonts w:ascii="Times New Roman" w:cs="Times New Roman" w:eastAsia="Times New Roman" w:hAnsi="Times New Roman"/>
          <w:sz w:val="19"/>
          <w:szCs w:val="19"/>
          <w:color w:val="auto"/>
        </w:rPr>
        <w:t>means at a particular time, Lenders with Commitments (including, for this purpose,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Renewing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Lenders, who shall be deemed to have Commitments equal to their Lender Group’s Advances Outstanding at such time) in excess of 50% of the Facility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any time at which there are two or more Lenders that are not Affiliates, the Required Lenders must consist of at least two Lenders that are not Affiliates of each other and collectively hold Commitments in excess of 50% of the Facility Amount.</w:t>
      </w:r>
    </w:p>
    <w:p>
      <w:pPr>
        <w:spacing w:after="0" w:line="195" w:lineRule="exact"/>
        <w:rPr>
          <w:sz w:val="20"/>
          <w:szCs w:val="20"/>
          <w:color w:val="auto"/>
        </w:rPr>
      </w:pPr>
    </w:p>
    <w:p>
      <w:pPr>
        <w:ind w:right="3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“Required Loan Documents” </w:t>
      </w:r>
      <w:r>
        <w:rPr>
          <w:rFonts w:ascii="Times New Roman" w:cs="Times New Roman" w:eastAsia="Times New Roman" w:hAnsi="Times New Roman"/>
          <w:sz w:val="19"/>
          <w:szCs w:val="19"/>
          <w:color w:val="auto"/>
        </w:rPr>
        <w:t>means for each Loan, originals (except as otherwise indicated) of the following documents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instruments, all as specified on the related Loan Checklist:</w:t>
      </w:r>
    </w:p>
    <w:p>
      <w:pPr>
        <w:spacing w:after="0" w:line="150" w:lineRule="exact"/>
        <w:rPr>
          <w:sz w:val="20"/>
          <w:szCs w:val="20"/>
          <w:color w:val="auto"/>
        </w:rPr>
      </w:pPr>
    </w:p>
    <w:p>
      <w:pPr>
        <w:ind w:left="700" w:firstLine="50"/>
        <w:spacing w:after="0" w:line="253" w:lineRule="auto"/>
        <w:tabs>
          <w:tab w:leader="none" w:pos="1009"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evidenced by a note, the original or, if accompanied by an original “lost note” affidavit and indemnity, a copy of, the underlying promissory note, endorsed by the Borrower (that may be in the form of an allonge or note power attached thereto) either in blank or to the Administrative Agent as required under the related Loan Documents (and evidencing an unbroken chain of endorsements from each prior holder thereof evidenced in the chain of endorsements either in blank or to the Administrative Agent), with any endorsement to the Administrative Agent to be in the following form: “KeyBank National Association, as Administrative Agent for the Secured Parties” and (i) an undated transfer or assignment document or instrument relating to such Loan, signed by the Borrower, as assignor, and the administrative agent but not dated and not specifying an assignee, and delivered to the Document Custodian, or (ii) a copy of each transfer document or instrument relating to such Loan evidencing the assignment of such Loan to the Borrower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0" w:name="page221"/>
    <w:bookmarkEnd w:id="220"/>
    <w:p>
      <w:pPr>
        <w:spacing w:after="0" w:line="200" w:lineRule="exact"/>
        <w:rPr>
          <w:sz w:val="20"/>
          <w:szCs w:val="20"/>
          <w:color w:val="auto"/>
        </w:rPr>
      </w:pPr>
    </w:p>
    <w:p>
      <w:pPr>
        <w:spacing w:after="0" w:line="285" w:lineRule="exact"/>
        <w:rPr>
          <w:sz w:val="20"/>
          <w:szCs w:val="20"/>
          <w:color w:val="auto"/>
        </w:rPr>
      </w:pPr>
    </w:p>
    <w:p>
      <w:pPr>
        <w:ind w:left="700" w:right="120"/>
        <w:spacing w:after="0" w:line="268" w:lineRule="auto"/>
        <w:rPr>
          <w:sz w:val="20"/>
          <w:szCs w:val="20"/>
          <w:color w:val="auto"/>
        </w:rPr>
      </w:pPr>
      <w:r>
        <w:rPr>
          <w:rFonts w:ascii="Times New Roman" w:cs="Times New Roman" w:eastAsia="Times New Roman" w:hAnsi="Times New Roman"/>
          <w:sz w:val="19"/>
          <w:szCs w:val="19"/>
          <w:color w:val="auto"/>
        </w:rPr>
        <w:t>and an undated transfer or assignment document or instrument relating to such Loan, signed by the Borrower, as assignor, and the administrative agent (only in the event such administrative agent is an Affiliate of the Borrower) but not dated and not specifying an assignee, and delivered to the Document Custodian;</w:t>
      </w:r>
    </w:p>
    <w:p>
      <w:pPr>
        <w:spacing w:after="0" w:line="168" w:lineRule="exact"/>
        <w:rPr>
          <w:sz w:val="20"/>
          <w:szCs w:val="20"/>
          <w:color w:val="auto"/>
        </w:rPr>
      </w:pPr>
    </w:p>
    <w:p>
      <w:pPr>
        <w:ind w:left="700" w:firstLine="50"/>
        <w:spacing w:after="0" w:line="257" w:lineRule="auto"/>
        <w:tabs>
          <w:tab w:leader="none" w:pos="10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originals or copies of each of the following, to the extent applicable to the related Loan: any related loan agreement, credit agreement, note purchase agreement, security agreement or other documents evidencing a Lien or grant of collateral security (if separate from any Mortgage) including copies of any UCC financing statements to be filed, sale and servicing agreement, acquisition agreement, subordination agreement, intercreditor agreement or similar instruments, guarantee, Insurance Policy, participation agreement, assignment agreement, assumption agreement or substitution agreement or similar material operative document, in each case together with any amendment or modification thereto, as set forth on the Loan Checklist;</w:t>
      </w:r>
    </w:p>
    <w:p>
      <w:pPr>
        <w:spacing w:after="0" w:line="180"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Loan is secured by a Mortgage as underwritten collateral, in each case as set forth in the Loan Checklist:</w:t>
      </w:r>
    </w:p>
    <w:p>
      <w:pPr>
        <w:spacing w:after="0" w:line="225" w:lineRule="exact"/>
        <w:rPr>
          <w:rFonts w:ascii="Times New Roman" w:cs="Times New Roman" w:eastAsia="Times New Roman" w:hAnsi="Times New Roman"/>
          <w:sz w:val="19"/>
          <w:szCs w:val="19"/>
          <w:color w:val="auto"/>
        </w:rPr>
      </w:pPr>
    </w:p>
    <w:p>
      <w:pPr>
        <w:ind w:left="1420" w:right="120" w:firstLine="38"/>
        <w:spacing w:after="0" w:line="254" w:lineRule="auto"/>
        <w:tabs>
          <w:tab w:leader="none" w:pos="169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either (i) the original Mortgage, the original assignment of leases and rents, if any, and the originals of all intervening assignments, if any, of the Mortgage and assignments of leases and rents with evidence of recording thereon, (ii) copies thereof certified by the Borrower, by closing counsel or by a title company or escrow company to be true and complete copies thereof where the originals have been transmitted for recording until such time as the originals are returned by the pubic recording office;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solely for purposes of the Review Criteria, the Document Custodian shall have no duty to ascertain whether any certification set forth in this subsection (c)(i) has been received, other than a certification which has been clearly delineated as being provided by the Borrower or (iii) copies certified by the public recording offices where such documents were recorded to be true and complete copies thereof in those instances where the public recording offices retain the original or where the original recorded documents are lost; and</w:t>
      </w:r>
    </w:p>
    <w:p>
      <w:pPr>
        <w:spacing w:after="0" w:line="184" w:lineRule="exact"/>
        <w:rPr>
          <w:rFonts w:ascii="Times New Roman" w:cs="Times New Roman" w:eastAsia="Times New Roman" w:hAnsi="Times New Roman"/>
          <w:sz w:val="19"/>
          <w:szCs w:val="19"/>
          <w:color w:val="auto"/>
        </w:rPr>
      </w:pPr>
    </w:p>
    <w:p>
      <w:pPr>
        <w:ind w:left="1420" w:right="20" w:firstLine="38"/>
        <w:spacing w:after="0" w:line="259" w:lineRule="auto"/>
        <w:tabs>
          <w:tab w:leader="none" w:pos="1750"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applicable assignment of mortgage and of any other material recorded security documents (including any assignment of leases and rents) in recordable form, executed by the Borrower, the applicable collateral agent, or the prior holder of record, in blank or to the Document Custodian (and evidencing an unbroken chain of assignments from the prior holder of record to the Document Custodian), with any assignment to the Document Custodian to be in the following form: “U.S. Bank National Association, as Document Custodian for the Secured Parties.”</w:t>
      </w:r>
    </w:p>
    <w:p>
      <w:pPr>
        <w:spacing w:after="0" w:line="176" w:lineRule="exact"/>
        <w:rPr>
          <w:sz w:val="20"/>
          <w:szCs w:val="20"/>
          <w:color w:val="auto"/>
        </w:rPr>
      </w:pPr>
    </w:p>
    <w:p>
      <w:pPr>
        <w:ind w:right="10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“Required Reports” </w:t>
      </w:r>
      <w:r>
        <w:rPr>
          <w:rFonts w:ascii="Times New Roman" w:cs="Times New Roman" w:eastAsia="Times New Roman" w:hAnsi="Times New Roman"/>
          <w:sz w:val="19"/>
          <w:szCs w:val="19"/>
          <w:color w:val="auto"/>
        </w:rPr>
        <w:t>means collectively, the Monthly Report, the Borrower’s Certificate and the annual and quarterly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statements of the Borrower required to be delivered to the Borrower, the Managing Agents and the Administrative Agent pursuant to Section 7.11.</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21" w:name="page222"/>
    <w:bookmarkEnd w:id="221"/>
    <w:p>
      <w:pPr>
        <w:spacing w:after="0" w:line="200" w:lineRule="exact"/>
        <w:rPr>
          <w:sz w:val="20"/>
          <w:szCs w:val="20"/>
          <w:color w:val="auto"/>
        </w:rPr>
      </w:pPr>
    </w:p>
    <w:p>
      <w:pPr>
        <w:spacing w:after="0" w:line="283" w:lineRule="exact"/>
        <w:rPr>
          <w:sz w:val="20"/>
          <w:szCs w:val="20"/>
          <w:color w:val="auto"/>
        </w:rPr>
      </w:pPr>
    </w:p>
    <w:p>
      <w:pPr>
        <w:ind w:right="1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“Resolution Authority” </w:t>
      </w:r>
      <w:r>
        <w:rPr>
          <w:rFonts w:ascii="Times New Roman" w:cs="Times New Roman" w:eastAsia="Times New Roman" w:hAnsi="Times New Roman"/>
          <w:sz w:val="19"/>
          <w:szCs w:val="19"/>
          <w:color w:val="auto"/>
        </w:rPr>
        <w:t>means an EEA Resolution Authority or, with respect to any UK Financial Institution, a UK Resolution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Authority.</w:t>
      </w:r>
    </w:p>
    <w:p>
      <w:pPr>
        <w:spacing w:after="0" w:line="148" w:lineRule="exact"/>
        <w:rPr>
          <w:sz w:val="20"/>
          <w:szCs w:val="20"/>
          <w:color w:val="auto"/>
        </w:rPr>
      </w:pPr>
    </w:p>
    <w:p>
      <w:pPr>
        <w:ind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“Responsible Officer” </w:t>
      </w:r>
      <w:r>
        <w:rPr>
          <w:rFonts w:ascii="Times New Roman" w:cs="Times New Roman" w:eastAsia="Times New Roman" w:hAnsi="Times New Roman"/>
          <w:sz w:val="19"/>
          <w:szCs w:val="19"/>
          <w:color w:val="auto"/>
        </w:rPr>
        <w:t>means, as to the Borrower, an officer of the Borrower or the Investment Adviser or its general partner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person duly appointed as attorney-in-fact for the Investment Adviser, and as to any other Person (including Investment Adviser), any officer of such Person with direct responsibility for the administration of this Agreement and also, with respect to a particular matter, any other officer to whom such matter is referred because of such officer’s knowledge of and familiarity with the particular subject. The Borrower may designate other and additional Responsible Officers from time to time by notice to the Administrative Agent.</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“Restatement Effective Date” </w:t>
      </w:r>
      <w:r>
        <w:rPr>
          <w:rFonts w:ascii="Times New Roman" w:cs="Times New Roman" w:eastAsia="Times New Roman" w:hAnsi="Times New Roman"/>
          <w:sz w:val="19"/>
          <w:szCs w:val="19"/>
          <w:color w:val="auto"/>
        </w:rPr>
        <w:t>means April 20, 2022.</w:t>
      </w:r>
    </w:p>
    <w:p>
      <w:pPr>
        <w:spacing w:after="0" w:line="226" w:lineRule="exact"/>
        <w:rPr>
          <w:sz w:val="20"/>
          <w:szCs w:val="20"/>
          <w:color w:val="auto"/>
        </w:rPr>
      </w:pPr>
    </w:p>
    <w:p>
      <w:pPr>
        <w:jc w:val="both"/>
        <w:ind w:right="140" w:firstLine="69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“Restrictive Agreement” </w:t>
      </w:r>
      <w:r>
        <w:rPr>
          <w:rFonts w:ascii="Times New Roman" w:cs="Times New Roman" w:eastAsia="Times New Roman" w:hAnsi="Times New Roman"/>
          <w:sz w:val="19"/>
          <w:szCs w:val="19"/>
          <w:color w:val="0000FF"/>
        </w:rPr>
        <w:t>means any agreement, instrument, deed or lease which prohibits or limits in any material respect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ability of any Loan Party to create, incur, assume or suffer to exist any Lien upon any of its properties, assets or revenues, whether now owned or hereafter acquired, or which requires the grant of any security for an obligation if security is granted for another obligation.</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“Restructured Loan” </w:t>
      </w:r>
      <w:r>
        <w:rPr>
          <w:rFonts w:ascii="Times New Roman" w:cs="Times New Roman" w:eastAsia="Times New Roman" w:hAnsi="Times New Roman"/>
          <w:sz w:val="19"/>
          <w:szCs w:val="19"/>
          <w:color w:val="auto"/>
        </w:rPr>
        <w:t>means any Loan (a) that was previously the subject of a Material Modification, (b) for which the Obligor</w:t>
      </w:r>
    </w:p>
    <w:p>
      <w:pPr>
        <w:spacing w:after="0" w:line="34" w:lineRule="exact"/>
        <w:rPr>
          <w:sz w:val="20"/>
          <w:szCs w:val="20"/>
          <w:color w:val="auto"/>
        </w:rPr>
      </w:pPr>
    </w:p>
    <w:p>
      <w:pPr>
        <w:ind w:right="40" w:firstLine="6"/>
        <w:spacing w:after="0" w:line="256" w:lineRule="auto"/>
        <w:tabs>
          <w:tab w:leader="none" w:pos="229"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is current on all required payments for three consecutive payment periods and (ii) is no longer experiencing a material financial underperformance, distress or material default, in each case in accordance with the Investment Policy, and (c) that has been valued by an independent third-party appraiser since the date of such Material Modification or other default or financial distress.</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Review Criteria</w:t>
      </w:r>
      <w:r>
        <w:rPr>
          <w:rFonts w:ascii="Times New Roman" w:cs="Times New Roman" w:eastAsia="Times New Roman" w:hAnsi="Times New Roman"/>
          <w:sz w:val="19"/>
          <w:szCs w:val="19"/>
          <w:color w:val="auto"/>
        </w:rPr>
        <w:t>” has the definition specified in the Document Custody Agreement.</w:t>
      </w:r>
    </w:p>
    <w:p>
      <w:pPr>
        <w:spacing w:after="0" w:line="226" w:lineRule="exact"/>
        <w:rPr>
          <w:sz w:val="20"/>
          <w:szCs w:val="20"/>
          <w:color w:val="auto"/>
        </w:rPr>
      </w:pPr>
    </w:p>
    <w:p>
      <w:pPr>
        <w:ind w:right="20" w:firstLine="696"/>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“Revolving Loan” </w:t>
      </w:r>
      <w:r>
        <w:rPr>
          <w:rFonts w:ascii="Times New Roman" w:cs="Times New Roman" w:eastAsia="Times New Roman" w:hAnsi="Times New Roman"/>
          <w:sz w:val="19"/>
          <w:szCs w:val="19"/>
          <w:color w:val="auto"/>
        </w:rPr>
        <w:t>means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First Lien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(i) the terms of which specify a maximum aggregate amount that can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borrowed by the related Obligor and permits such Obligor to re-borrow any amount previously borrowed and subsequently repaid during the term of such Loan, (ii) that is </w:t>
      </w:r>
      <w:r>
        <w:rPr>
          <w:rFonts w:ascii="Times New Roman" w:cs="Times New Roman" w:eastAsia="Times New Roman" w:hAnsi="Times New Roman"/>
          <w:sz w:val="19"/>
          <w:szCs w:val="19"/>
          <w:color w:val="FF0000"/>
          <w:strike w:val="1"/>
        </w:rPr>
        <w:t>a receivables-based or formula-based revolving credit facility secured by a valid first priority security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interest or Lien on working capital (i.e., accounts receivable and inventory), (iii) that 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not subordinate in right of payment to any other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obligation for borrowed money of the Obligor, </w:t>
      </w:r>
      <w:r>
        <w:rPr>
          <w:rFonts w:ascii="Times New Roman" w:cs="Times New Roman" w:eastAsia="Times New Roman" w:hAnsi="Times New Roman"/>
          <w:sz w:val="19"/>
          <w:szCs w:val="19"/>
          <w:color w:val="0000FF"/>
        </w:rPr>
        <w:t>(iii) [reserved], and</w:t>
      </w:r>
      <w:r>
        <w:rPr>
          <w:rFonts w:ascii="Times New Roman" w:cs="Times New Roman" w:eastAsia="Times New Roman" w:hAnsi="Times New Roman"/>
          <w:sz w:val="19"/>
          <w:szCs w:val="19"/>
          <w:color w:val="000000"/>
        </w:rPr>
        <w:t xml:space="preserve"> (iv) that </w:t>
      </w:r>
      <w:r>
        <w:rPr>
          <w:rFonts w:ascii="Times New Roman" w:cs="Times New Roman" w:eastAsia="Times New Roman" w:hAnsi="Times New Roman"/>
          <w:sz w:val="19"/>
          <w:szCs w:val="19"/>
          <w:color w:val="FF0000"/>
          <w:strike w:val="1"/>
        </w:rPr>
        <w:t>terminates within the earlier of thirty-six (36) months or 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maturity date of any other obligation for borrowed money of the Obligor provided by the Borrower or any of its Affiliates, and (v) that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classified as a “revolving loan” on the books of the Borrower in accordance with the Investment Policy. For the avoidance of doubt, </w:t>
      </w:r>
      <w:r>
        <w:rPr>
          <w:rFonts w:ascii="Times New Roman" w:cs="Times New Roman" w:eastAsia="Times New Roman" w:hAnsi="Times New Roman"/>
          <w:sz w:val="19"/>
          <w:szCs w:val="19"/>
          <w:color w:val="FF0000"/>
          <w:strike w:val="1"/>
        </w:rPr>
        <w:t>no</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Enterprise Loan</w:t>
      </w:r>
      <w:r>
        <w:rPr>
          <w:rFonts w:ascii="Times New Roman" w:cs="Times New Roman" w:eastAsia="Times New Roman" w:hAnsi="Times New Roman"/>
          <w:sz w:val="19"/>
          <w:szCs w:val="19"/>
          <w:color w:val="0000FF"/>
        </w:rPr>
        <w:t>any ABL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shall constitute a Revolving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-224155</wp:posOffset>
            </wp:positionV>
            <wp:extent cx="3048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1">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64" w:lineRule="exact"/>
        <w:rPr>
          <w:sz w:val="20"/>
          <w:szCs w:val="20"/>
          <w:color w:val="auto"/>
        </w:rPr>
      </w:pPr>
    </w:p>
    <w:p>
      <w:pPr>
        <w:ind w:right="3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“Revolving Period” </w:t>
      </w:r>
      <w:r>
        <w:rPr>
          <w:rFonts w:ascii="Times New Roman" w:cs="Times New Roman" w:eastAsia="Times New Roman" w:hAnsi="Times New Roman"/>
          <w:sz w:val="19"/>
          <w:szCs w:val="19"/>
          <w:color w:val="auto"/>
        </w:rPr>
        <w:t>means the period commencing on the Effective Date and ending on the day immediately preceding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Termination Date.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“RGC” </w:t>
      </w:r>
      <w:r>
        <w:rPr>
          <w:rFonts w:ascii="Times New Roman" w:cs="Times New Roman" w:eastAsia="Times New Roman" w:hAnsi="Times New Roman"/>
          <w:sz w:val="19"/>
          <w:szCs w:val="19"/>
          <w:color w:val="auto"/>
        </w:rPr>
        <w:t>means Runway Growth Capital LLC, a Delaware limited liability company.</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22" w:name="page223"/>
    <w:bookmarkEnd w:id="222"/>
    <w:p>
      <w:pPr>
        <w:spacing w:after="0" w:line="200" w:lineRule="exact"/>
        <w:rPr>
          <w:sz w:val="20"/>
          <w:szCs w:val="20"/>
          <w:color w:val="auto"/>
        </w:rPr>
      </w:pPr>
    </w:p>
    <w:p>
      <w:pPr>
        <w:spacing w:after="0" w:line="283" w:lineRule="exact"/>
        <w:rPr>
          <w:sz w:val="20"/>
          <w:szCs w:val="20"/>
          <w:color w:val="auto"/>
        </w:rPr>
      </w:pPr>
    </w:p>
    <w:p>
      <w:pPr>
        <w:ind w:right="1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“RIC” </w:t>
      </w:r>
      <w:r>
        <w:rPr>
          <w:rFonts w:ascii="Times New Roman" w:cs="Times New Roman" w:eastAsia="Times New Roman" w:hAnsi="Times New Roman"/>
          <w:sz w:val="19"/>
          <w:szCs w:val="19"/>
          <w:color w:val="auto"/>
        </w:rPr>
        <w:t>means a regulated investment company qualified as such under Sections 851 through 855 of the Code and the Treasury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regulations promulgated thereunder.</w:t>
      </w:r>
    </w:p>
    <w:p>
      <w:pPr>
        <w:spacing w:after="0" w:line="131" w:lineRule="exact"/>
        <w:rPr>
          <w:sz w:val="20"/>
          <w:szCs w:val="20"/>
          <w:color w:val="auto"/>
        </w:rPr>
      </w:pPr>
    </w:p>
    <w:p>
      <w:pPr>
        <w:ind w:firstLine="696"/>
        <w:spacing w:after="0" w:line="239" w:lineRule="exact"/>
        <w:rPr>
          <w:sz w:val="20"/>
          <w:szCs w:val="20"/>
          <w:color w:val="auto"/>
        </w:rPr>
      </w:pPr>
      <w:r>
        <w:rPr>
          <w:rFonts w:ascii="Times New Roman" w:cs="Times New Roman" w:eastAsia="Times New Roman" w:hAnsi="Times New Roman"/>
          <w:sz w:val="19"/>
          <w:szCs w:val="19"/>
          <w:i w:val="1"/>
          <w:iCs w:val="1"/>
          <w:color w:val="auto"/>
        </w:rPr>
        <w:t>“Rule 17g</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5” </w:t>
      </w:r>
      <w:r>
        <w:rPr>
          <w:rFonts w:ascii="Times New Roman" w:cs="Times New Roman" w:eastAsia="Times New Roman" w:hAnsi="Times New Roman"/>
          <w:sz w:val="19"/>
          <w:szCs w:val="19"/>
          <w:color w:val="auto"/>
        </w:rPr>
        <w:t>means Rule 17g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under the Securities Exchange Act of 1934, as amended, as such rule may be amended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time to time, and subject to such clarification and interpretation as have been provided by the Securities and Exchange Commission in the adopting release (Amendments to Rules for Nationally Recognized Statistical Rating Organizations, Exchange Act Release No.</w:t>
      </w:r>
    </w:p>
    <w:p>
      <w:pPr>
        <w:spacing w:after="0" w:line="3" w:lineRule="exact"/>
        <w:rPr>
          <w:sz w:val="20"/>
          <w:szCs w:val="20"/>
          <w:color w:val="auto"/>
        </w:rPr>
      </w:pPr>
    </w:p>
    <w:p>
      <w:pPr>
        <w:ind w:right="400"/>
        <w:spacing w:after="0" w:line="233" w:lineRule="exact"/>
        <w:rPr>
          <w:sz w:val="20"/>
          <w:szCs w:val="20"/>
          <w:color w:val="auto"/>
        </w:rPr>
      </w:pPr>
      <w:r>
        <w:rPr>
          <w:rFonts w:ascii="Times New Roman" w:cs="Times New Roman" w:eastAsia="Times New Roman" w:hAnsi="Times New Roman"/>
          <w:sz w:val="19"/>
          <w:szCs w:val="19"/>
          <w:color w:val="auto"/>
        </w:rPr>
        <w:t>34</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61050, 74 Fed. Reg. 63,832, 63,865 (Dec. 4, 2009)) and subject to such clarification and interpretation as may be provided by the Securities and Exchange Commission or its staff from time to time.</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“S&amp;P” </w:t>
      </w:r>
      <w:r>
        <w:rPr>
          <w:rFonts w:ascii="Times New Roman" w:cs="Times New Roman" w:eastAsia="Times New Roman" w:hAnsi="Times New Roman"/>
          <w:sz w:val="19"/>
          <w:szCs w:val="19"/>
          <w:color w:val="auto"/>
        </w:rPr>
        <w:t>means Standard &amp; Poor’s Ratings Services, a Standard &amp; Poor’s Financial Services LLC business, and any successor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thereto.</w:t>
      </w:r>
    </w:p>
    <w:p>
      <w:pPr>
        <w:spacing w:after="0" w:line="202" w:lineRule="exact"/>
        <w:rPr>
          <w:sz w:val="20"/>
          <w:szCs w:val="20"/>
          <w:color w:val="auto"/>
        </w:rPr>
      </w:pPr>
    </w:p>
    <w:p>
      <w:pPr>
        <w:ind w:right="140"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“Sanctioned Jurisdiction” </w:t>
      </w:r>
      <w:r>
        <w:rPr>
          <w:rFonts w:ascii="Times New Roman" w:cs="Times New Roman" w:eastAsia="Times New Roman" w:hAnsi="Times New Roman"/>
          <w:sz w:val="19"/>
          <w:szCs w:val="19"/>
          <w:color w:val="0000FF"/>
        </w:rPr>
        <w:t>means at any time, a country or territory that is, or whose government is, the subject or target of any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Sanctions.</w:t>
      </w:r>
    </w:p>
    <w:p>
      <w:pPr>
        <w:spacing w:after="0" w:line="148" w:lineRule="exact"/>
        <w:rPr>
          <w:sz w:val="20"/>
          <w:szCs w:val="20"/>
          <w:color w:val="auto"/>
        </w:rPr>
      </w:pPr>
    </w:p>
    <w:p>
      <w:pPr>
        <w:jc w:val="both"/>
        <w:ind w:right="20" w:firstLine="69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“Sanctioned Person” </w:t>
      </w:r>
      <w:r>
        <w:rPr>
          <w:rFonts w:ascii="Times New Roman" w:cs="Times New Roman" w:eastAsia="Times New Roman" w:hAnsi="Times New Roman"/>
          <w:sz w:val="19"/>
          <w:szCs w:val="19"/>
          <w:color w:val="0000FF"/>
        </w:rPr>
        <w:t>means, at any time, (a) any Person listed in any Sanctions-related list of designated Persons maintained by</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OFAC, the U.S. Department of State, the United Nations Security Council, the European Union or any EU member state, (b) any Person located, organized or resident in a Sanctioned Jurisdiction or (c) any Person owned 50% or more or controlled by any Person described in clauses (a) or (b).</w:t>
      </w:r>
    </w:p>
    <w:p>
      <w:pPr>
        <w:spacing w:after="0" w:line="171" w:lineRule="exact"/>
        <w:rPr>
          <w:sz w:val="20"/>
          <w:szCs w:val="20"/>
          <w:color w:val="auto"/>
        </w:rPr>
      </w:pPr>
    </w:p>
    <w:p>
      <w:pPr>
        <w:jc w:val="both"/>
        <w:ind w:right="40" w:firstLine="696"/>
        <w:spacing w:after="0" w:line="263" w:lineRule="auto"/>
        <w:rPr>
          <w:sz w:val="20"/>
          <w:szCs w:val="20"/>
          <w:color w:val="auto"/>
        </w:rPr>
      </w:pPr>
      <w:r>
        <w:rPr>
          <w:rFonts w:ascii="Times New Roman" w:cs="Times New Roman" w:eastAsia="Times New Roman" w:hAnsi="Times New Roman"/>
          <w:sz w:val="19"/>
          <w:szCs w:val="19"/>
          <w:i w:val="1"/>
          <w:iCs w:val="1"/>
          <w:color w:val="0000FF"/>
        </w:rPr>
        <w:t xml:space="preserve">“Sanctions” </w:t>
      </w:r>
      <w:r>
        <w:rPr>
          <w:rFonts w:ascii="Times New Roman" w:cs="Times New Roman" w:eastAsia="Times New Roman" w:hAnsi="Times New Roman"/>
          <w:sz w:val="19"/>
          <w:szCs w:val="19"/>
          <w:color w:val="0000FF"/>
        </w:rPr>
        <w:t>means economic or financial sanctions or trade embargoes, or any related laws, rules, regulations, executive orders</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and requirements administered or enforced from time to time by (a) any governmental authority of the U.S., including those administered by OFAC or the U.S. Department of State or (b) the United Nations Security Council, the European Union His Majesty’s Treasury of the United Kingdom, or any other applicable domestic or foreign authority with jurisdiction over the parties hereto.</w:t>
      </w:r>
    </w:p>
    <w:p>
      <w:pPr>
        <w:spacing w:after="0" w:line="171" w:lineRule="exact"/>
        <w:rPr>
          <w:sz w:val="20"/>
          <w:szCs w:val="20"/>
          <w:color w:val="auto"/>
        </w:rPr>
      </w:pPr>
    </w:p>
    <w:p>
      <w:pPr>
        <w:ind w:right="180" w:firstLine="696"/>
        <w:spacing w:after="0" w:line="263"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SBIC Subsidiary</w:t>
      </w:r>
      <w:r>
        <w:rPr>
          <w:rFonts w:ascii="Times New Roman" w:cs="Times New Roman" w:eastAsia="Times New Roman" w:hAnsi="Times New Roman"/>
          <w:sz w:val="19"/>
          <w:szCs w:val="19"/>
          <w:color w:val="0000FF"/>
        </w:rPr>
        <w:t>” means (i) a Subsidiary that is a small business investment company licensed and regulated by the United States Small Business Administration (or that has applied for such a license and is actively pursuing the granting thereof by appropriate proceedings promptly instituted and diligently conducted), (ii) any wholly-owned Subsidiary of an entity referred to in clause (i) of this definition, or (iii) the general partner or manager entity of any of the foregoing (solely to the extent such general partner or manager entity exists solely to act as the general partner or manager entity of the foregoing).</w:t>
      </w:r>
    </w:p>
    <w:p>
      <w:pPr>
        <w:spacing w:after="0" w:line="171" w:lineRule="exact"/>
        <w:rPr>
          <w:sz w:val="20"/>
          <w:szCs w:val="20"/>
          <w:color w:val="auto"/>
        </w:rPr>
      </w:pPr>
    </w:p>
    <w:p>
      <w:pPr>
        <w:ind w:right="3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“Scheduled Payment” </w:t>
      </w:r>
      <w:r>
        <w:rPr>
          <w:rFonts w:ascii="Times New Roman" w:cs="Times New Roman" w:eastAsia="Times New Roman" w:hAnsi="Times New Roman"/>
          <w:sz w:val="19"/>
          <w:szCs w:val="19"/>
          <w:color w:val="auto"/>
        </w:rPr>
        <w:t>means, on any date, with respect to any Loan, each monthly or other periodic payment (whether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principal, interest or principal and interest) scheduled to be made by the Obligor thereof after such date under the terms of such Loan.</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“SEC” </w:t>
      </w:r>
      <w:r>
        <w:rPr>
          <w:rFonts w:ascii="Times New Roman" w:cs="Times New Roman" w:eastAsia="Times New Roman" w:hAnsi="Times New Roman"/>
          <w:sz w:val="19"/>
          <w:szCs w:val="19"/>
          <w:color w:val="auto"/>
        </w:rPr>
        <w:t>means the United States Securities and Exchange Commission.</w:t>
      </w:r>
    </w:p>
    <w:p>
      <w:pPr>
        <w:spacing w:after="0" w:line="226" w:lineRule="exact"/>
        <w:rPr>
          <w:sz w:val="20"/>
          <w:szCs w:val="20"/>
          <w:color w:val="auto"/>
        </w:rPr>
      </w:pPr>
    </w:p>
    <w:p>
      <w:pPr>
        <w:ind w:right="6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“Second Lien Loan” </w:t>
      </w:r>
      <w:r>
        <w:rPr>
          <w:rFonts w:ascii="Times New Roman" w:cs="Times New Roman" w:eastAsia="Times New Roman" w:hAnsi="Times New Roman"/>
          <w:sz w:val="19"/>
          <w:szCs w:val="19"/>
          <w:color w:val="auto"/>
        </w:rPr>
        <w:t>means any Loan that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(I) either (A)</w:t>
      </w:r>
      <w:r>
        <w:rPr>
          <w:rFonts w:ascii="Times New Roman" w:cs="Times New Roman" w:eastAsia="Times New Roman" w:hAnsi="Times New Roman"/>
          <w:sz w:val="19"/>
          <w:szCs w:val="19"/>
          <w:color w:val="auto"/>
        </w:rPr>
        <w:t>(i) is secured by a valid and perfected security interest or Lien 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substantially all of the Obligor’s assets constituting Related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23" w:name="page224"/>
    <w:bookmarkEnd w:id="223"/>
    <w:p>
      <w:pPr>
        <w:spacing w:after="0" w:line="200" w:lineRule="exact"/>
        <w:rPr>
          <w:sz w:val="20"/>
          <w:szCs w:val="20"/>
          <w:color w:val="auto"/>
        </w:rPr>
      </w:pPr>
    </w:p>
    <w:p>
      <w:pPr>
        <w:spacing w:after="0" w:line="2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Property </w:t>
      </w:r>
      <w:r>
        <w:rPr>
          <w:rFonts w:ascii="Times New Roman" w:cs="Times New Roman" w:eastAsia="Times New Roman" w:hAnsi="Times New Roman"/>
          <w:sz w:val="19"/>
          <w:szCs w:val="19"/>
          <w:color w:val="0000FF"/>
        </w:rPr>
        <w:t>(including intellectual property or, in some cases, depending on the credit of the Obligor, a negative pledge with respect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Obligor’s intellectual property prohibiting the Obligor from pledging or otherwise encumbering its intellectual property securing the obligations of the Obligor) </w:t>
      </w:r>
      <w:r>
        <w:rPr>
          <w:rFonts w:ascii="Times New Roman" w:cs="Times New Roman" w:eastAsia="Times New Roman" w:hAnsi="Times New Roman"/>
          <w:sz w:val="19"/>
          <w:szCs w:val="19"/>
          <w:color w:val="000000"/>
        </w:rPr>
        <w:t>for such Loan, subject only to the prior Lien provided to secure the obligations under a “first lien” loan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pursuant to customary commercial terms, and any other </w:t>
      </w:r>
      <w:r>
        <w:rPr>
          <w:rFonts w:ascii="Times New Roman" w:cs="Times New Roman" w:eastAsia="Times New Roman" w:hAnsi="Times New Roman"/>
          <w:sz w:val="19"/>
          <w:szCs w:val="19"/>
          <w:color w:val="FF0000"/>
          <w:strike w:val="1"/>
        </w:rPr>
        <w:t>“permitted liens”</w:t>
      </w:r>
      <w:r>
        <w:rPr>
          <w:rFonts w:ascii="Times New Roman" w:cs="Times New Roman" w:eastAsia="Times New Roman" w:hAnsi="Times New Roman"/>
          <w:sz w:val="19"/>
          <w:szCs w:val="19"/>
          <w:color w:val="0000FF"/>
        </w:rPr>
        <w:t>Permitted Obligor Liens</w:t>
      </w:r>
      <w:r>
        <w:rPr>
          <w:rFonts w:ascii="Times New Roman" w:cs="Times New Roman" w:eastAsia="Times New Roman" w:hAnsi="Times New Roman"/>
          <w:sz w:val="19"/>
          <w:szCs w:val="19"/>
          <w:color w:val="000000"/>
        </w:rPr>
        <w:t xml:space="preserve"> as defined in the applicable Loan Documents for such Loan or such comparable definition if “permitted liens” is not defined therein (including, without limitation, priority Liens on certain current assets, including accounts receivable, to secure working capital facilities), (ii) provides that the payment obligation of the Obligor on such Loan is “senior debt” and, except for the express priority provisions under the documentation of the “first lien” lenders, is either senior to, or pari passu with, all other Indebtedness of such Obligor</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and</w:t>
      </w:r>
      <w:r>
        <w:rPr>
          <w:rFonts w:ascii="Times New Roman" w:cs="Times New Roman" w:eastAsia="Times New Roman" w:hAnsi="Times New Roman"/>
          <w:sz w:val="19"/>
          <w:szCs w:val="19"/>
          <w:color w:val="000000"/>
        </w:rPr>
        <w:t xml:space="preserve"> (iii) for which the principal Related Property is not comprised of equity interests in the Obligor’s subsidiaries and Affiliates,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0000FF"/>
        </w:rPr>
        <w:t>or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iv</w:t>
      </w:r>
      <w:r>
        <w:rPr>
          <w:rFonts w:ascii="Times New Roman" w:cs="Times New Roman" w:eastAsia="Times New Roman" w:hAnsi="Times New Roman"/>
          <w:sz w:val="19"/>
          <w:szCs w:val="19"/>
          <w:color w:val="0000FF"/>
        </w:rPr>
        <w:t>B) meets the criteria of “First Lien/Last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Out Loan” except for clause (c) of the definition thereof and has a ratio of funded debt under the first out facility to TTM EBITDA on any date of determination of less than or equal to 2.0x in the case of the Cash Flow Loan or a ratio of funded debt under the first out facility to TTM Recurring Revenue of less than or equal to 1.5x in the case of a Recurring Revenue Loan, as applicable, and (II</w:t>
      </w:r>
      <w:r>
        <w:rPr>
          <w:rFonts w:ascii="Times New Roman" w:cs="Times New Roman" w:eastAsia="Times New Roman" w:hAnsi="Times New Roman"/>
          <w:sz w:val="19"/>
          <w:szCs w:val="19"/>
          <w:color w:val="000000"/>
        </w:rPr>
        <w:t>)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Borrower has determined in good faith that the value of the Related Property securing the Loan on or about the time of origination equals or exceeds the Outstanding Loan Balance of the Loan plus the aggregate outstanding balances of all other loans of equal or higher seniority secured by the same collateral.</w:t>
      </w:r>
    </w:p>
    <w:p>
      <w:pPr>
        <w:spacing w:after="0" w:line="180" w:lineRule="exact"/>
        <w:rPr>
          <w:sz w:val="20"/>
          <w:szCs w:val="20"/>
          <w:color w:val="auto"/>
        </w:rPr>
      </w:pPr>
    </w:p>
    <w:p>
      <w:pPr>
        <w:ind w:right="16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“Secured Party” </w:t>
      </w:r>
      <w:r>
        <w:rPr>
          <w:rFonts w:ascii="Times New Roman" w:cs="Times New Roman" w:eastAsia="Times New Roman" w:hAnsi="Times New Roman"/>
          <w:sz w:val="19"/>
          <w:szCs w:val="19"/>
          <w:color w:val="auto"/>
        </w:rPr>
        <w:t>means (i) each Lender, (ii) each Managing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(iii) each Hedge Counterparty that is either a Lender or 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 xml:space="preserve">Affiliate of a Lender if such Affiliate executes a counterpart of this Agreement agreeing to be bound by the terms of the Agreement applicable to a Secured Party, </w:t>
      </w:r>
      <w:r>
        <w:rPr>
          <w:rFonts w:ascii="Times New Roman" w:cs="Times New Roman" w:eastAsia="Times New Roman" w:hAnsi="Times New Roman"/>
          <w:sz w:val="19"/>
          <w:szCs w:val="19"/>
          <w:color w:val="000000"/>
        </w:rPr>
        <w:t>and (</w:t>
      </w:r>
      <w:r>
        <w:rPr>
          <w:rFonts w:ascii="Times New Roman" w:cs="Times New Roman" w:eastAsia="Times New Roman" w:hAnsi="Times New Roman"/>
          <w:sz w:val="19"/>
          <w:szCs w:val="19"/>
          <w:color w:val="FF0000"/>
          <w:strike w:val="1"/>
        </w:rPr>
        <w:t>iii</w:t>
      </w:r>
      <w:r>
        <w:rPr>
          <w:rFonts w:ascii="Times New Roman" w:cs="Times New Roman" w:eastAsia="Times New Roman" w:hAnsi="Times New Roman"/>
          <w:sz w:val="19"/>
          <w:szCs w:val="19"/>
          <w:color w:val="0000FF"/>
        </w:rPr>
        <w:t>iv</w:t>
      </w:r>
      <w:r>
        <w:rPr>
          <w:rFonts w:ascii="Times New Roman" w:cs="Times New Roman" w:eastAsia="Times New Roman" w:hAnsi="Times New Roman"/>
          <w:sz w:val="19"/>
          <w:szCs w:val="19"/>
          <w:color w:val="000000"/>
        </w:rPr>
        <w:t>) the Administrative Agent.</w:t>
      </w:r>
    </w:p>
    <w:p>
      <w:pPr>
        <w:spacing w:after="0" w:line="149" w:lineRule="exact"/>
        <w:rPr>
          <w:sz w:val="20"/>
          <w:szCs w:val="20"/>
          <w:color w:val="auto"/>
        </w:rPr>
      </w:pPr>
    </w:p>
    <w:p>
      <w:pPr>
        <w:ind w:left="700"/>
        <w:spacing w:after="0" w:line="219" w:lineRule="exact"/>
        <w:rPr>
          <w:sz w:val="20"/>
          <w:szCs w:val="20"/>
          <w:color w:val="auto"/>
        </w:rPr>
      </w:pPr>
      <w:r>
        <w:rPr>
          <w:rFonts w:ascii="Times New Roman" w:cs="Times New Roman" w:eastAsia="Times New Roman" w:hAnsi="Times New Roman"/>
          <w:sz w:val="19"/>
          <w:szCs w:val="19"/>
          <w:i w:val="1"/>
          <w:iCs w:val="1"/>
          <w:color w:val="auto"/>
        </w:rPr>
        <w:t xml:space="preserve">“Securities Intermediary” </w:t>
      </w:r>
      <w:r>
        <w:rPr>
          <w:rFonts w:ascii="Times New Roman" w:cs="Times New Roman" w:eastAsia="Times New Roman" w:hAnsi="Times New Roman"/>
          <w:sz w:val="19"/>
          <w:szCs w:val="19"/>
          <w:color w:val="auto"/>
        </w:rPr>
        <w:t>has the meaning assigned to it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102(a)(14) of the UCC.</w:t>
      </w:r>
    </w:p>
    <w:p>
      <w:pPr>
        <w:spacing w:after="0" w:line="243" w:lineRule="exact"/>
        <w:rPr>
          <w:sz w:val="20"/>
          <w:szCs w:val="20"/>
          <w:color w:val="auto"/>
        </w:rPr>
      </w:pPr>
    </w:p>
    <w:p>
      <w:pPr>
        <w:ind w:right="40" w:firstLine="696"/>
        <w:spacing w:after="0" w:line="256" w:lineRule="auto"/>
        <w:rPr>
          <w:sz w:val="20"/>
          <w:szCs w:val="20"/>
          <w:color w:val="auto"/>
        </w:rPr>
      </w:pPr>
      <w:r>
        <w:rPr>
          <w:rFonts w:ascii="Times New Roman" w:cs="Times New Roman" w:eastAsia="Times New Roman" w:hAnsi="Times New Roman"/>
          <w:sz w:val="19"/>
          <w:szCs w:val="19"/>
          <w:i w:val="1"/>
          <w:iCs w:val="1"/>
          <w:color w:val="0000FF"/>
        </w:rPr>
        <w:t xml:space="preserve">“Senior Funded Debt” </w:t>
      </w:r>
      <w:r>
        <w:rPr>
          <w:rFonts w:ascii="Times New Roman" w:cs="Times New Roman" w:eastAsia="Times New Roman" w:hAnsi="Times New Roman"/>
          <w:sz w:val="19"/>
          <w:szCs w:val="19"/>
          <w:color w:val="0000FF"/>
        </w:rPr>
        <w:t>means, with respect to any Loan at any time the same is to be determined, the sum (but without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duplication) of (a) all Indebtedness for borrowed money of the related Obligor ranking senior or pari passu to such Loan at such time, and (b) all Indebtedness for borrowed money of any other Person, which is directly or indirectly guaranteed by the Obligor or which the Obligor has agreed (contingently or otherwise) to purchase or otherwise acquire or in respect of which the Obligor has otherwise assured a creditor against loss, in each case, which such obligation under such guarantee, agreement or assurance ranks senior or pari passu with respect to such Loan, all calculated in accordance with the corresponding amount or ratio in the underlying Loan Documents for such Loan utilizing the most recently delivered financial results for the related Obligor.</w:t>
      </w:r>
    </w:p>
    <w:p>
      <w:pPr>
        <w:spacing w:after="0" w:line="181" w:lineRule="exact"/>
        <w:rPr>
          <w:sz w:val="20"/>
          <w:szCs w:val="20"/>
          <w:color w:val="auto"/>
        </w:rPr>
      </w:pPr>
    </w:p>
    <w:p>
      <w:pPr>
        <w:ind w:right="300" w:firstLine="696"/>
        <w:spacing w:after="0" w:line="259" w:lineRule="auto"/>
        <w:rPr>
          <w:sz w:val="20"/>
          <w:szCs w:val="20"/>
          <w:color w:val="auto"/>
        </w:rPr>
      </w:pPr>
      <w:r>
        <w:rPr>
          <w:rFonts w:ascii="Times New Roman" w:cs="Times New Roman" w:eastAsia="Times New Roman" w:hAnsi="Times New Roman"/>
          <w:sz w:val="19"/>
          <w:szCs w:val="19"/>
          <w:i w:val="1"/>
          <w:iCs w:val="1"/>
          <w:color w:val="0000FF"/>
        </w:rPr>
        <w:t xml:space="preserve">“Senior Funded Debt to TTM EBITDA Ratio” </w:t>
      </w:r>
      <w:r>
        <w:rPr>
          <w:rFonts w:ascii="Times New Roman" w:cs="Times New Roman" w:eastAsia="Times New Roman" w:hAnsi="Times New Roman"/>
          <w:sz w:val="19"/>
          <w:szCs w:val="19"/>
          <w:color w:val="0000FF"/>
        </w:rPr>
        <w:t>means, as of any date of measurement with respect to any Loan that is a Cash</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Flow Loan, the number, expressed as a percentage, of (a) Senior Funded Debt, divided by (b) the TTM EBITDA as determined in accordance with the Investment Policy which percentage shall be updated no less frequently than quarterly.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4" w:name="page225"/>
    <w:bookmarkEnd w:id="224"/>
    <w:p>
      <w:pPr>
        <w:spacing w:after="0" w:line="200" w:lineRule="exact"/>
        <w:rPr>
          <w:sz w:val="20"/>
          <w:szCs w:val="20"/>
          <w:color w:val="auto"/>
        </w:rPr>
      </w:pPr>
    </w:p>
    <w:p>
      <w:pPr>
        <w:spacing w:after="0" w:line="283" w:lineRule="exact"/>
        <w:rPr>
          <w:sz w:val="20"/>
          <w:szCs w:val="20"/>
          <w:color w:val="auto"/>
        </w:rPr>
      </w:pPr>
    </w:p>
    <w:p>
      <w:pPr>
        <w:ind w:right="80" w:firstLine="69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“Senior Funded Debt to TTM Recurring Revenue Ratio” </w:t>
      </w:r>
      <w:r>
        <w:rPr>
          <w:rFonts w:ascii="Times New Roman" w:cs="Times New Roman" w:eastAsia="Times New Roman" w:hAnsi="Times New Roman"/>
          <w:sz w:val="19"/>
          <w:szCs w:val="19"/>
          <w:color w:val="0000FF"/>
        </w:rPr>
        <w:t>means, as of any date of measurement with respect to any Loan that is</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a Recurring Revenue Loan, the number, expressed as a percentage, of (a) Senior Funded Debt, divided by (b) the TTM Recurring Revenue as determined in accordance with the Investment Policy which percentage shall be updated no less frequently than quarterly.</w:t>
      </w:r>
    </w:p>
    <w:p>
      <w:pPr>
        <w:spacing w:after="0" w:line="166" w:lineRule="exact"/>
        <w:rPr>
          <w:sz w:val="20"/>
          <w:szCs w:val="20"/>
          <w:color w:val="auto"/>
        </w:rPr>
      </w:pPr>
    </w:p>
    <w:p>
      <w:pPr>
        <w:ind w:right="40"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“Settlement Period” </w:t>
      </w:r>
      <w:r>
        <w:rPr>
          <w:rFonts w:ascii="Times New Roman" w:cs="Times New Roman" w:eastAsia="Times New Roman" w:hAnsi="Times New Roman"/>
          <w:sz w:val="19"/>
          <w:szCs w:val="19"/>
          <w:color w:val="auto"/>
        </w:rPr>
        <w:t>means the three -month period commencing on the first day of a calendar quarter and ending on the last day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the calendar month occurring three months thereafter;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initial Settlement Period shall be the period from and including the Effective Date to and including the last day of the calendar quarter in which the Effective Date occurs,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further, </w:t>
      </w:r>
      <w:r>
        <w:rPr>
          <w:rFonts w:ascii="Times New Roman" w:cs="Times New Roman" w:eastAsia="Times New Roman" w:hAnsi="Times New Roman"/>
          <w:sz w:val="19"/>
          <w:szCs w:val="19"/>
          <w:color w:val="auto"/>
        </w:rPr>
        <w:t>that the final Settlement Period preceding the Maturity Date or the final Settlement Period preceding an optional prepayment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whole of the Advances, shall end on the Maturity Date or the date of such prepayment, respectively.</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0000FF"/>
        </w:rPr>
        <w:t xml:space="preserve">“Sixth Amendment Effective Date” </w:t>
      </w:r>
      <w:r>
        <w:rPr>
          <w:rFonts w:ascii="Times New Roman" w:cs="Times New Roman" w:eastAsia="Times New Roman" w:hAnsi="Times New Roman"/>
          <w:sz w:val="19"/>
          <w:szCs w:val="19"/>
          <w:color w:val="0000FF"/>
        </w:rPr>
        <w:t>means March 18, 2025.</w:t>
      </w:r>
    </w:p>
    <w:p>
      <w:pPr>
        <w:spacing w:after="0" w:line="226" w:lineRule="exact"/>
        <w:rPr>
          <w:sz w:val="20"/>
          <w:szCs w:val="20"/>
          <w:color w:val="auto"/>
        </w:rPr>
      </w:pPr>
    </w:p>
    <w:p>
      <w:pPr>
        <w:jc w:val="both"/>
        <w:ind w:right="4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“SOFR Business Day” </w:t>
      </w:r>
      <w:r>
        <w:rPr>
          <w:rFonts w:ascii="Times New Roman" w:cs="Times New Roman" w:eastAsia="Times New Roman" w:hAnsi="Times New Roman"/>
          <w:sz w:val="19"/>
          <w:szCs w:val="19"/>
          <w:color w:val="auto"/>
        </w:rPr>
        <w:t>means any day except for (i) a Saturday, (ii) a Sunday or (iii) a day on which the Securities Industry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Financial Markets Association recommends that the fixed income departments of its members be closed for the entire day for purposes of trading in United States government securities.</w:t>
      </w:r>
    </w:p>
    <w:p>
      <w:pPr>
        <w:spacing w:after="0" w:line="166" w:lineRule="exact"/>
        <w:rPr>
          <w:sz w:val="20"/>
          <w:szCs w:val="20"/>
          <w:color w:val="auto"/>
        </w:rPr>
      </w:pPr>
    </w:p>
    <w:p>
      <w:pPr>
        <w:ind w:right="4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“Solvent” </w:t>
      </w:r>
      <w:r>
        <w:rPr>
          <w:rFonts w:ascii="Times New Roman" w:cs="Times New Roman" w:eastAsia="Times New Roman" w:hAnsi="Times New Roman"/>
          <w:sz w:val="19"/>
          <w:szCs w:val="19"/>
          <w:color w:val="auto"/>
        </w:rPr>
        <w:t>means, as to any Person at any time, having a state of affairs such that all of the following conditions are met: (a)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fair value of the property owned by such Person is greater than the amount of such Person’s liabilities (including disputed, contingent and unliquidated liabilities) as such value is established and liabilities evaluated for purposes of Section 101(32) of the Bankruptcy Code;</w:t>
      </w:r>
    </w:p>
    <w:p>
      <w:pPr>
        <w:spacing w:after="0" w:line="1" w:lineRule="exact"/>
        <w:rPr>
          <w:sz w:val="20"/>
          <w:szCs w:val="20"/>
          <w:color w:val="auto"/>
        </w:rPr>
      </w:pPr>
    </w:p>
    <w:p>
      <w:pPr>
        <w:ind w:firstLine="6"/>
        <w:spacing w:after="0" w:line="252" w:lineRule="auto"/>
        <w:tabs>
          <w:tab w:leader="none" w:pos="27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present fair salable value of the property owned by such Person in an orderly liquidation of such Person is not less than the amount that will be required to pay the probable liability of such Person on its debts as they become absolute and matured; (c) such Person is able to realize upon its property and pay its debts and other liabilities (including disputed, contingent and unliquidated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a business or a transaction, for which such Person’s property would constitute unreasonably small capital.</w:t>
      </w:r>
    </w:p>
    <w:p>
      <w:pPr>
        <w:spacing w:after="0" w:line="200" w:lineRule="exact"/>
        <w:rPr>
          <w:sz w:val="20"/>
          <w:szCs w:val="20"/>
          <w:color w:val="auto"/>
        </w:rPr>
      </w:pP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SPE Subsidiary</w:t>
      </w:r>
      <w:r>
        <w:rPr>
          <w:rFonts w:ascii="Times New Roman" w:cs="Times New Roman" w:eastAsia="Times New Roman" w:hAnsi="Times New Roman"/>
          <w:sz w:val="19"/>
          <w:szCs w:val="19"/>
          <w:color w:val="0000FF"/>
        </w:rPr>
        <w:t>” means</w:t>
      </w:r>
    </w:p>
    <w:p>
      <w:pPr>
        <w:spacing w:after="0" w:line="228" w:lineRule="exact"/>
        <w:rPr>
          <w:sz w:val="20"/>
          <w:szCs w:val="20"/>
          <w:color w:val="auto"/>
        </w:rPr>
      </w:pPr>
    </w:p>
    <w:p>
      <w:pPr>
        <w:ind w:right="320" w:firstLine="702"/>
        <w:spacing w:after="0" w:line="262" w:lineRule="auto"/>
        <w:tabs>
          <w:tab w:leader="none" w:pos="957" w:val="left"/>
        </w:tabs>
        <w:numPr>
          <w:ilvl w:val="0"/>
          <w:numId w:val="59"/>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a direct or indirect Subsidiary of the Borrower to which the Borrower, any Loan Party, or any other Financing Subsidiary sells, conveys or otherwise transfers (whether directly or indirectly) Cash, Cash Equivalents or other Investments, or which owns Investments, and that engages in no material activities other than in connection with the purchase, holding, disposition or financing of such assets and which is designated by the Borrower (as provided below) as an SPE Subsidiary, so long as:</w:t>
      </w:r>
    </w:p>
    <w:p>
      <w:pPr>
        <w:spacing w:after="0" w:line="174" w:lineRule="exact"/>
        <w:rPr>
          <w:rFonts w:ascii="Times New Roman" w:cs="Times New Roman" w:eastAsia="Times New Roman" w:hAnsi="Times New Roman"/>
          <w:sz w:val="19"/>
          <w:szCs w:val="19"/>
          <w:color w:val="0000FF"/>
        </w:rPr>
      </w:pPr>
    </w:p>
    <w:p>
      <w:pPr>
        <w:ind w:left="700" w:right="840" w:firstLine="746"/>
        <w:spacing w:after="0" w:line="262" w:lineRule="auto"/>
        <w:tabs>
          <w:tab w:leader="none" w:pos="1673" w:val="left"/>
        </w:tabs>
        <w:numPr>
          <w:ilvl w:val="1"/>
          <w:numId w:val="59"/>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no portion of the Indebtedness or any other obligations (contingent or otherwise) of such Subsidiary (i) is guaranteed by any Loan Party (other than guarantees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25" w:name="page226"/>
    <w:bookmarkEnd w:id="225"/>
    <w:p>
      <w:pPr>
        <w:spacing w:after="0" w:line="200" w:lineRule="exact"/>
        <w:rPr>
          <w:sz w:val="20"/>
          <w:szCs w:val="20"/>
          <w:color w:val="auto"/>
        </w:rPr>
      </w:pPr>
    </w:p>
    <w:p>
      <w:pPr>
        <w:spacing w:after="0" w:line="285" w:lineRule="exact"/>
        <w:rPr>
          <w:sz w:val="20"/>
          <w:szCs w:val="20"/>
          <w:color w:val="auto"/>
        </w:rPr>
      </w:pPr>
    </w:p>
    <w:p>
      <w:pPr>
        <w:ind w:left="700" w:right="180"/>
        <w:spacing w:after="0" w:line="259" w:lineRule="auto"/>
        <w:rPr>
          <w:sz w:val="20"/>
          <w:szCs w:val="20"/>
          <w:color w:val="auto"/>
        </w:rPr>
      </w:pPr>
      <w:r>
        <w:rPr>
          <w:rFonts w:ascii="Times New Roman" w:cs="Times New Roman" w:eastAsia="Times New Roman" w:hAnsi="Times New Roman"/>
          <w:sz w:val="19"/>
          <w:szCs w:val="19"/>
          <w:color w:val="0000FF"/>
        </w:rPr>
        <w:t>in respect of Standard Securitization Undertakings), (ii) is recourse to or obligates any Loan Party in any way other than pursuant to Standard Securitization Undertakings or (iii) subjects any property of any Loan Party (other than property that has been contributed or sold, purported to be sold or otherwise transferred to such Subsidiary or any equity of such Subsidiary), directly or indirectly, contingently or otherwise, to the satisfaction thereof, other than pursuant to Standard Securitization Undertakings or any guarantee thereof,</w:t>
      </w:r>
    </w:p>
    <w:p>
      <w:pPr>
        <w:spacing w:after="0" w:line="178" w:lineRule="exact"/>
        <w:rPr>
          <w:sz w:val="20"/>
          <w:szCs w:val="20"/>
          <w:color w:val="auto"/>
        </w:rPr>
      </w:pPr>
    </w:p>
    <w:p>
      <w:pPr>
        <w:ind w:left="700" w:firstLine="746"/>
        <w:spacing w:after="0" w:line="257" w:lineRule="auto"/>
        <w:tabs>
          <w:tab w:leader="none" w:pos="1727" w:val="left"/>
        </w:tabs>
        <w:numPr>
          <w:ilvl w:val="1"/>
          <w:numId w:val="60"/>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no Loan Party has any material contract, agreement, arrangement or understanding with such Subsidiary other than on terms, taken as a whole, not materially less favorable to such Loan Party (excluding customary sale and contribution agreements entered into with a single purpose entity that is structured to be bankruptcy remote and master participation agreements) than those that might be obtained at the time from Persons that are not Affiliates of any Loan Party, other than fees payable in the ordinary course of business in connection with servicing receivables or financial assets and pursuant to any Standard Securitization Undertakings, and</w:t>
      </w:r>
    </w:p>
    <w:p>
      <w:pPr>
        <w:spacing w:after="0" w:line="180" w:lineRule="exact"/>
        <w:rPr>
          <w:rFonts w:ascii="Times New Roman" w:cs="Times New Roman" w:eastAsia="Times New Roman" w:hAnsi="Times New Roman"/>
          <w:sz w:val="19"/>
          <w:szCs w:val="19"/>
          <w:color w:val="0000FF"/>
        </w:rPr>
      </w:pPr>
    </w:p>
    <w:p>
      <w:pPr>
        <w:ind w:left="700" w:right="100" w:firstLine="746"/>
        <w:spacing w:after="0" w:line="286" w:lineRule="auto"/>
        <w:tabs>
          <w:tab w:leader="none" w:pos="1780" w:val="left"/>
        </w:tabs>
        <w:numPr>
          <w:ilvl w:val="1"/>
          <w:numId w:val="60"/>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to which no Loan Party has any obligation to maintain or preserve such entity’s financial condition or cause such entity to achieve certain levels of operating results, other than pursuant to Standard Securitization Undertakings; or</w:t>
      </w:r>
    </w:p>
    <w:p>
      <w:pPr>
        <w:spacing w:after="0" w:line="151" w:lineRule="exact"/>
        <w:rPr>
          <w:rFonts w:ascii="Times New Roman" w:cs="Times New Roman" w:eastAsia="Times New Roman" w:hAnsi="Times New Roman"/>
          <w:sz w:val="19"/>
          <w:szCs w:val="19"/>
          <w:color w:val="0000FF"/>
        </w:rPr>
      </w:pPr>
    </w:p>
    <w:p>
      <w:pPr>
        <w:ind w:left="980" w:hanging="278"/>
        <w:spacing w:after="0"/>
        <w:tabs>
          <w:tab w:leader="none" w:pos="980" w:val="left"/>
        </w:tabs>
        <w:numPr>
          <w:ilvl w:val="0"/>
          <w:numId w:val="6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a direct or indirect Subsidiary of the Borrower that is designated by the Borrower (as provided below) as an SPE Subsidiary,</w:t>
      </w:r>
    </w:p>
    <w:p>
      <w:pPr>
        <w:spacing w:after="0" w:line="31" w:lineRule="exact"/>
        <w:rPr>
          <w:rFonts w:ascii="Times New Roman" w:cs="Times New Roman" w:eastAsia="Times New Roman" w:hAnsi="Times New Roman"/>
          <w:sz w:val="19"/>
          <w:szCs w:val="19"/>
          <w:color w:val="0000FF"/>
        </w:rPr>
      </w:pPr>
    </w:p>
    <w:p>
      <w:pPr>
        <w:spacing w:after="0"/>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so long as:</w:t>
      </w:r>
    </w:p>
    <w:p>
      <w:pPr>
        <w:spacing w:after="0" w:line="203" w:lineRule="exact"/>
        <w:rPr>
          <w:rFonts w:ascii="Times New Roman" w:cs="Times New Roman" w:eastAsia="Times New Roman" w:hAnsi="Times New Roman"/>
          <w:sz w:val="19"/>
          <w:szCs w:val="19"/>
          <w:color w:val="0000FF"/>
        </w:rPr>
      </w:pPr>
    </w:p>
    <w:p>
      <w:pPr>
        <w:ind w:left="700" w:firstLine="746"/>
        <w:spacing w:after="0" w:line="286" w:lineRule="auto"/>
        <w:tabs>
          <w:tab w:leader="none" w:pos="1673" w:val="left"/>
        </w:tabs>
        <w:numPr>
          <w:ilvl w:val="1"/>
          <w:numId w:val="6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such Subsidiary is the direct parent of any SPE Subsidiary referred to in clause (a) and meets the criteria set forth in clause (a)(i);</w:t>
      </w:r>
    </w:p>
    <w:p>
      <w:pPr>
        <w:spacing w:after="0" w:line="151" w:lineRule="exact"/>
        <w:rPr>
          <w:rFonts w:ascii="Times New Roman" w:cs="Times New Roman" w:eastAsia="Times New Roman" w:hAnsi="Times New Roman"/>
          <w:sz w:val="19"/>
          <w:szCs w:val="19"/>
          <w:color w:val="0000FF"/>
        </w:rPr>
      </w:pPr>
    </w:p>
    <w:p>
      <w:pPr>
        <w:ind w:left="700" w:firstLine="746"/>
        <w:spacing w:after="0" w:line="259" w:lineRule="auto"/>
        <w:tabs>
          <w:tab w:leader="none" w:pos="1727" w:val="left"/>
        </w:tabs>
        <w:numPr>
          <w:ilvl w:val="1"/>
          <w:numId w:val="6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such Subsidiary engages in no activities and has no assets (other than in connection with the transfer of assets to and from any SPE Subsidiary referred to in clause (a), its ownership of all of the Equity Interests of any SPE Subsidiary referred to in clause (a), any contracts, agreements, arrangements or arrangements not prohibited by clause (iii) below and Standard Securitization Undertakings) or liabilities (other than in connection with any contracts, agreements, arrangements or arrangements not prohibited by clause (iii) below and Standard Securitization Undertakings); and</w:t>
      </w:r>
    </w:p>
    <w:p>
      <w:pPr>
        <w:spacing w:after="0" w:line="177" w:lineRule="exact"/>
        <w:rPr>
          <w:rFonts w:ascii="Times New Roman" w:cs="Times New Roman" w:eastAsia="Times New Roman" w:hAnsi="Times New Roman"/>
          <w:sz w:val="19"/>
          <w:szCs w:val="19"/>
          <w:color w:val="0000FF"/>
        </w:rPr>
      </w:pPr>
    </w:p>
    <w:p>
      <w:pPr>
        <w:ind w:left="700" w:right="160" w:firstLine="746"/>
        <w:spacing w:after="0" w:line="262" w:lineRule="auto"/>
        <w:tabs>
          <w:tab w:leader="none" w:pos="1780" w:val="left"/>
        </w:tabs>
        <w:numPr>
          <w:ilvl w:val="1"/>
          <w:numId w:val="6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no Loan Party has any material contract, agreement, arrangement or understanding with such holding company other than on terms, taken as a whole, not materially less favorable to such Loan Party than those that might be obtained at the time from Persons that are not Affiliates of any Loan Party, other than fees payable in the ordinary course of business in connection with servicing receivables or financial assets and pursuant to any Standard Securitization Undertakings; and</w:t>
      </w:r>
    </w:p>
    <w:p>
      <w:pPr>
        <w:spacing w:after="0" w:line="174" w:lineRule="exact"/>
        <w:rPr>
          <w:rFonts w:ascii="Times New Roman" w:cs="Times New Roman" w:eastAsia="Times New Roman" w:hAnsi="Times New Roman"/>
          <w:sz w:val="19"/>
          <w:szCs w:val="19"/>
          <w:color w:val="0000FF"/>
        </w:rPr>
      </w:pPr>
    </w:p>
    <w:p>
      <w:pPr>
        <w:ind w:left="700" w:right="240" w:firstLine="746"/>
        <w:spacing w:after="0" w:line="262" w:lineRule="auto"/>
        <w:tabs>
          <w:tab w:leader="none" w:pos="1769" w:val="left"/>
        </w:tabs>
        <w:numPr>
          <w:ilvl w:val="1"/>
          <w:numId w:val="6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no Loan Party has obligation to maintain or preserve such holding company’s financial condition or cause such entity to achieve certain levels of operating results, other than pursuant to Standard Securitization Undertakings.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6" w:name="page227"/>
    <w:bookmarkEnd w:id="226"/>
    <w:p>
      <w:pPr>
        <w:spacing w:after="0" w:line="200" w:lineRule="exact"/>
        <w:rPr>
          <w:sz w:val="20"/>
          <w:szCs w:val="20"/>
          <w:color w:val="auto"/>
        </w:rPr>
      </w:pPr>
    </w:p>
    <w:p>
      <w:pPr>
        <w:spacing w:after="0" w:line="285" w:lineRule="exact"/>
        <w:rPr>
          <w:sz w:val="20"/>
          <w:szCs w:val="20"/>
          <w:color w:val="auto"/>
        </w:rPr>
      </w:pPr>
    </w:p>
    <w:p>
      <w:pPr>
        <w:ind w:right="440" w:firstLine="696"/>
        <w:spacing w:after="0" w:line="259" w:lineRule="auto"/>
        <w:rPr>
          <w:sz w:val="20"/>
          <w:szCs w:val="20"/>
          <w:color w:val="auto"/>
        </w:rPr>
      </w:pPr>
      <w:r>
        <w:rPr>
          <w:rFonts w:ascii="Times New Roman" w:cs="Times New Roman" w:eastAsia="Times New Roman" w:hAnsi="Times New Roman"/>
          <w:sz w:val="19"/>
          <w:szCs w:val="19"/>
          <w:color w:val="0000FF"/>
        </w:rPr>
        <w:t>Any designation of an SPE Subsidiary by the Borrower shall be effected pursuant to a certificate of a Responsible Officer delivered to the Administrative Agent, which certificate shall include a statement to the effect that, to the best of such Responsible Officer’s knowledge, such designation complied with each of the conditions set forth in clause (a) or (b) above, as applicable. Each Subsidiary of an SPE Subsidiary shall be deemed to be an SPE Subsidiary and shall comply with the foregoing requirements of this definition.</w:t>
      </w:r>
    </w:p>
    <w:p>
      <w:pPr>
        <w:spacing w:after="0" w:line="176" w:lineRule="exact"/>
        <w:rPr>
          <w:sz w:val="20"/>
          <w:szCs w:val="20"/>
          <w:color w:val="auto"/>
        </w:rPr>
      </w:pPr>
    </w:p>
    <w:p>
      <w:pPr>
        <w:ind w:right="680" w:firstLine="696"/>
        <w:spacing w:after="0" w:line="288"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Sponsor -Backed Company</w:t>
      </w:r>
      <w:r>
        <w:rPr>
          <w:rFonts w:ascii="Times New Roman" w:cs="Times New Roman" w:eastAsia="Times New Roman" w:hAnsi="Times New Roman"/>
          <w:sz w:val="19"/>
          <w:szCs w:val="19"/>
          <w:color w:val="0000FF"/>
        </w:rPr>
        <w:t xml:space="preserve">” means any publicly-traded company or any other company which is sponsored (directly or indirectly through affiliates) by a </w:t>
      </w:r>
      <w:r>
        <w:rPr>
          <w:rFonts w:ascii="Times New Roman" w:cs="Times New Roman" w:eastAsia="Times New Roman" w:hAnsi="Times New Roman"/>
          <w:sz w:val="19"/>
          <w:szCs w:val="19"/>
          <w:color w:val="00C000"/>
        </w:rPr>
        <w:t>venture capital firm, private equity group or other institutional investor.</w:t>
      </w:r>
    </w:p>
    <w:p>
      <w:pPr>
        <w:spacing w:after="0" w:line="148" w:lineRule="exact"/>
        <w:rPr>
          <w:sz w:val="20"/>
          <w:szCs w:val="20"/>
          <w:color w:val="auto"/>
        </w:rPr>
      </w:pPr>
    </w:p>
    <w:p>
      <w:pPr>
        <w:ind w:right="4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“Spread” </w:t>
      </w:r>
      <w:r>
        <w:rPr>
          <w:rFonts w:ascii="Times New Roman" w:cs="Times New Roman" w:eastAsia="Times New Roman" w:hAnsi="Times New Roman"/>
          <w:sz w:val="19"/>
          <w:szCs w:val="19"/>
          <w:color w:val="auto"/>
        </w:rPr>
        <w:t>means, with respect to Floating Rate Loans, the current cash interest rate (after giving effect to any floor) of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Floating Rate Loan over the Adjusted Term SOFR Rate.</w:t>
      </w:r>
    </w:p>
    <w:p>
      <w:pPr>
        <w:spacing w:after="0" w:line="148"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Standard Securitization Undertakings</w:t>
      </w:r>
      <w:r>
        <w:rPr>
          <w:rFonts w:ascii="Times New Roman" w:cs="Times New Roman" w:eastAsia="Times New Roman" w:hAnsi="Times New Roman"/>
          <w:sz w:val="19"/>
          <w:szCs w:val="19"/>
          <w:color w:val="0000FF"/>
        </w:rPr>
        <w:t xml:space="preserve"> ” means, collectively, (a) customary arms-length servicing obligations (together with any related performance guarantees), (b) obligations (together with any related performance guarantees) to refund the purchase price or grant purchase price credits for dilutive events or misrepresentations (in each case unrelated to the collectability of the assets sold or the creditworthiness of the associated account debtors), (c) representations, warranties, covenants and indemnities (together with any related performance guarantees) of a type that are reasonably customary in middle market, broadly syndicated or commercial loan market accounts receivable securitizations, securitizations of financial assets, collateralized loan obligations, or loans to special purpose vehicles, including those owed to customary third-party service providers in connection with such transactions, such as rating agencies and accountants, and (d) obligations (together with any related performance guarantees) under any customary bad boy guarantee or guarantee of any make-whole premium.</w:t>
      </w:r>
    </w:p>
    <w:p>
      <w:pPr>
        <w:spacing w:after="0" w:line="179" w:lineRule="exact"/>
        <w:rPr>
          <w:sz w:val="20"/>
          <w:szCs w:val="20"/>
          <w:color w:val="auto"/>
        </w:rPr>
      </w:pPr>
    </w:p>
    <w:p>
      <w:pPr>
        <w:ind w:right="160" w:firstLine="696"/>
        <w:spacing w:after="0" w:line="234" w:lineRule="exact"/>
        <w:rPr>
          <w:sz w:val="20"/>
          <w:szCs w:val="20"/>
          <w:color w:val="auto"/>
        </w:rPr>
      </w:pPr>
      <w:r>
        <w:rPr>
          <w:rFonts w:ascii="Times New Roman" w:cs="Times New Roman" w:eastAsia="Times New Roman" w:hAnsi="Times New Roman"/>
          <w:sz w:val="19"/>
          <w:szCs w:val="19"/>
          <w:i w:val="1"/>
          <w:iCs w:val="1"/>
          <w:color w:val="auto"/>
        </w:rPr>
        <w:t xml:space="preserve">“Structured Finance Obligation” </w:t>
      </w:r>
      <w:r>
        <w:rPr>
          <w:rFonts w:ascii="Times New Roman" w:cs="Times New Roman" w:eastAsia="Times New Roman" w:hAnsi="Times New Roman"/>
          <w:sz w:val="19"/>
          <w:szCs w:val="19"/>
          <w:color w:val="auto"/>
        </w:rPr>
        <w:t>means any debt obligation owing by a finance vehicle that is secured directly and primarily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by, primarily referenced to, and/or primarily representing ownership of, a pool of receivables or a pool of other assets, including collateralized debt obligations, residential mortgage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backed securities, commercial mortgage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backed securities, other asset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backed securities, “future flow” receivable transactions and other similar obligations, but excluding debt obligations that are secured by royalty payments relating to intellectual property.</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“Subject Laws” </w:t>
      </w:r>
      <w:r>
        <w:rPr>
          <w:rFonts w:ascii="Times New Roman" w:cs="Times New Roman" w:eastAsia="Times New Roman" w:hAnsi="Times New Roman"/>
          <w:sz w:val="19"/>
          <w:szCs w:val="19"/>
          <w:color w:val="auto"/>
        </w:rPr>
        <w:t>is defined in Section 4.1(cc).</w:t>
      </w:r>
    </w:p>
    <w:p>
      <w:pPr>
        <w:spacing w:after="0" w:line="226" w:lineRule="exact"/>
        <w:rPr>
          <w:sz w:val="20"/>
          <w:szCs w:val="20"/>
          <w:color w:val="auto"/>
        </w:rPr>
      </w:pPr>
    </w:p>
    <w:p>
      <w:pPr>
        <w:ind w:right="140" w:firstLine="696"/>
        <w:spacing w:after="0" w:line="254" w:lineRule="auto"/>
        <w:rPr>
          <w:sz w:val="20"/>
          <w:szCs w:val="20"/>
          <w:color w:val="auto"/>
        </w:rPr>
      </w:pPr>
      <w:r>
        <w:rPr>
          <w:rFonts w:ascii="Times New Roman" w:cs="Times New Roman" w:eastAsia="Times New Roman" w:hAnsi="Times New Roman"/>
          <w:sz w:val="19"/>
          <w:szCs w:val="19"/>
          <w:i w:val="1"/>
          <w:iCs w:val="1"/>
          <w:color w:val="auto"/>
        </w:rPr>
        <w:t xml:space="preserve">“Subsidiary” </w:t>
      </w:r>
      <w:r>
        <w:rPr>
          <w:rFonts w:ascii="Times New Roman" w:cs="Times New Roman" w:eastAsia="Times New Roman" w:hAnsi="Times New Roman"/>
          <w:sz w:val="19"/>
          <w:szCs w:val="19"/>
          <w:color w:val="auto"/>
        </w:rPr>
        <w:t>means, with respect to any Person, any corporation, limited liability company, trust, or other Person (a) of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securities or other ownership interests having ordinary voting power to elect a majority of the board of directors or other Persons performing similar functions are at the time directly or indirectly owned by such Person or (b) that is directly or indirectly controlled by such Person within the meaning of control under Section 15 of the Securities Act of 1933, as amended. Anything herein to the contrary notwithstanding, the term “Subsidiary” shall not include (x)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FF"/>
        </w:rPr>
        <w:t>any</w:t>
      </w:r>
      <w:r>
        <w:rPr>
          <w:rFonts w:ascii="Times New Roman" w:cs="Times New Roman" w:eastAsia="Times New Roman" w:hAnsi="Times New Roman"/>
          <w:sz w:val="19"/>
          <w:szCs w:val="19"/>
          <w:color w:val="auto"/>
        </w:rPr>
        <w:t xml:space="preserve"> Joint Venture or (y) any Person that constitutes an investment held by the Borrower in the ordinary course of business and that is not, under GAAP, consolidated on the financial statements of the Borrower.</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7" w:name="page228"/>
    <w:bookmarkEnd w:id="227"/>
    <w:p>
      <w:pPr>
        <w:spacing w:after="0" w:line="200" w:lineRule="exact"/>
        <w:rPr>
          <w:sz w:val="20"/>
          <w:szCs w:val="20"/>
          <w:color w:val="auto"/>
        </w:rPr>
      </w:pPr>
    </w:p>
    <w:p>
      <w:pPr>
        <w:spacing w:after="0" w:line="283" w:lineRule="exact"/>
        <w:rPr>
          <w:sz w:val="20"/>
          <w:szCs w:val="20"/>
          <w:color w:val="auto"/>
        </w:rPr>
      </w:pPr>
    </w:p>
    <w:p>
      <w:pPr>
        <w:ind w:right="14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“Swingline Advance” </w:t>
      </w:r>
      <w:r>
        <w:rPr>
          <w:rFonts w:ascii="Times New Roman" w:cs="Times New Roman" w:eastAsia="Times New Roman" w:hAnsi="Times New Roman"/>
          <w:sz w:val="19"/>
          <w:szCs w:val="19"/>
          <w:color w:val="auto"/>
        </w:rPr>
        <w:t>means any swingline loan made by the Swingline Lender to the Borrower pursuant to Section 2.2(f)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such swingline loans collectively as the context requires.</w:t>
      </w:r>
    </w:p>
    <w:p>
      <w:pPr>
        <w:spacing w:after="0" w:line="148" w:lineRule="exact"/>
        <w:rPr>
          <w:sz w:val="20"/>
          <w:szCs w:val="20"/>
          <w:color w:val="auto"/>
        </w:rPr>
      </w:pPr>
    </w:p>
    <w:p>
      <w:pPr>
        <w:ind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“Swingline Commitment” </w:t>
      </w:r>
      <w:r>
        <w:rPr>
          <w:rFonts w:ascii="Times New Roman" w:cs="Times New Roman" w:eastAsia="Times New Roman" w:hAnsi="Times New Roman"/>
          <w:sz w:val="19"/>
          <w:szCs w:val="19"/>
          <w:color w:val="auto"/>
        </w:rPr>
        <w:t>means the commitment of the Swingline Lender to fund Swingline Advances subject to the terms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conditions herein, in an amount not to exceed 25% of the Facility Amount in effect as of the applicable date of determination as such amount may be reduced or increased from time to time pursuant to the provisions of this Agreement. The Swingline Commitment is a sub-limit of the Commitment of the Swingline Lender, in its capacity as a Lender hereunder, and is not in addition thereto. Each Lender shall purchase a risk participation interest in any Swingline Advance.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“Swingline Lender” </w:t>
      </w:r>
      <w:r>
        <w:rPr>
          <w:rFonts w:ascii="Times New Roman" w:cs="Times New Roman" w:eastAsia="Times New Roman" w:hAnsi="Times New Roman"/>
          <w:sz w:val="19"/>
          <w:szCs w:val="19"/>
          <w:color w:val="auto"/>
        </w:rPr>
        <w:t>has the meaning assigned such term in the introduction of this Agreement.</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“Swingline Refund Date” </w:t>
      </w:r>
      <w:r>
        <w:rPr>
          <w:rFonts w:ascii="Times New Roman" w:cs="Times New Roman" w:eastAsia="Times New Roman" w:hAnsi="Times New Roman"/>
          <w:sz w:val="19"/>
          <w:szCs w:val="19"/>
          <w:color w:val="auto"/>
        </w:rPr>
        <w:t>has the meaning assigned to that term in Section 2.2(g)(i).</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“Syndication Agent” </w:t>
      </w:r>
      <w:r>
        <w:rPr>
          <w:rFonts w:ascii="Times New Roman" w:cs="Times New Roman" w:eastAsia="Times New Roman" w:hAnsi="Times New Roman"/>
          <w:sz w:val="19"/>
          <w:szCs w:val="19"/>
          <w:color w:val="auto"/>
        </w:rPr>
        <w:t>means KeyBank National Association, and its successors or assigns.</w:t>
      </w:r>
    </w:p>
    <w:p>
      <w:pPr>
        <w:spacing w:after="0" w:line="226" w:lineRule="exact"/>
        <w:rPr>
          <w:sz w:val="20"/>
          <w:szCs w:val="20"/>
          <w:color w:val="auto"/>
        </w:rPr>
      </w:pPr>
    </w:p>
    <w:p>
      <w:pPr>
        <w:ind w:right="20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“Tangible Net Worth” </w:t>
      </w:r>
      <w:r>
        <w:rPr>
          <w:rFonts w:ascii="Times New Roman" w:cs="Times New Roman" w:eastAsia="Times New Roman" w:hAnsi="Times New Roman"/>
          <w:sz w:val="19"/>
          <w:szCs w:val="19"/>
          <w:color w:val="auto"/>
        </w:rPr>
        <w:t>means, as of any date of determination, determined on a consolidated basis in accordance with GAAP,</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result of (a) a Person’s total members’ equity or total beneficial owners’ equity, as applicable, provided, that, with respect to the Borrower, any investment in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FF"/>
        </w:rPr>
        <w:t>a</w:t>
      </w:r>
      <w:r>
        <w:rPr>
          <w:rFonts w:ascii="Times New Roman" w:cs="Times New Roman" w:eastAsia="Times New Roman" w:hAnsi="Times New Roman"/>
          <w:sz w:val="19"/>
          <w:szCs w:val="19"/>
          <w:color w:val="auto"/>
        </w:rPr>
        <w:t xml:space="preserve"> Joint Venture in excess of $</w:t>
      </w:r>
      <w:r>
        <w:rPr>
          <w:rFonts w:ascii="Times New Roman" w:cs="Times New Roman" w:eastAsia="Times New Roman" w:hAnsi="Times New Roman"/>
          <w:sz w:val="19"/>
          <w:szCs w:val="19"/>
          <w:color w:val="FF0000"/>
          <w:strike w:val="1"/>
        </w:rPr>
        <w:t>35,000,000</w:t>
      </w:r>
      <w:r>
        <w:rPr>
          <w:rFonts w:ascii="Times New Roman" w:cs="Times New Roman" w:eastAsia="Times New Roman" w:hAnsi="Times New Roman"/>
          <w:sz w:val="19"/>
          <w:szCs w:val="19"/>
          <w:color w:val="0000FF"/>
        </w:rPr>
        <w:t>55,000,000</w:t>
      </w:r>
      <w:r>
        <w:rPr>
          <w:rFonts w:ascii="Times New Roman" w:cs="Times New Roman" w:eastAsia="Times New Roman" w:hAnsi="Times New Roman"/>
          <w:sz w:val="19"/>
          <w:szCs w:val="19"/>
          <w:color w:val="auto"/>
        </w:rPr>
        <w:t xml:space="preserve"> shall be deducted from total members’ equity or total beneficial owners’ equity, as applicable,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(b) all intangible assets of such Person.</w:t>
      </w:r>
    </w:p>
    <w:p>
      <w:pPr>
        <w:spacing w:after="0" w:line="171" w:lineRule="exact"/>
        <w:rPr>
          <w:sz w:val="20"/>
          <w:szCs w:val="20"/>
          <w:color w:val="auto"/>
        </w:rPr>
      </w:pPr>
    </w:p>
    <w:p>
      <w:pPr>
        <w:ind w:right="140" w:firstLine="696"/>
        <w:spacing w:after="0" w:line="263" w:lineRule="auto"/>
        <w:rPr>
          <w:sz w:val="20"/>
          <w:szCs w:val="20"/>
          <w:color w:val="auto"/>
        </w:rPr>
      </w:pPr>
      <w:r>
        <w:rPr>
          <w:rFonts w:ascii="Times New Roman" w:cs="Times New Roman" w:eastAsia="Times New Roman" w:hAnsi="Times New Roman"/>
          <w:sz w:val="19"/>
          <w:szCs w:val="19"/>
          <w:i w:val="1"/>
          <w:iCs w:val="1"/>
          <w:color w:val="FF0000"/>
          <w:strike w:val="1"/>
        </w:rPr>
        <w:t xml:space="preserve">“Target </w:t>
      </w:r>
      <w:r>
        <w:rPr>
          <w:rFonts w:ascii="Times New Roman" w:cs="Times New Roman" w:eastAsia="Times New Roman" w:hAnsi="Times New Roman"/>
          <w:sz w:val="19"/>
          <w:szCs w:val="19"/>
          <w:i w:val="1"/>
          <w:iCs w:val="1"/>
          <w:color w:val="00C000"/>
          <w:strike w:val="1"/>
        </w:rPr>
        <w:t>Industry”</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00C000"/>
          <w:strike w:val="1"/>
        </w:rPr>
        <w:t>means each of the following business areas</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as classified in accordance with the Investment Policy (a) (i)</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biotechnology, (ii) pharmaceuticals, (iii) medical tools and devices, (iv) medical diagnostics, (v) healthcare information technology and</w:t>
      </w:r>
    </w:p>
    <w:p>
      <w:pPr>
        <w:spacing w:after="0" w:line="1" w:lineRule="exact"/>
        <w:rPr>
          <w:sz w:val="20"/>
          <w:szCs w:val="20"/>
          <w:color w:val="auto"/>
        </w:rPr>
      </w:pPr>
    </w:p>
    <w:p>
      <w:pPr>
        <w:ind w:right="20" w:firstLine="6"/>
        <w:spacing w:after="0" w:line="252" w:lineRule="auto"/>
        <w:tabs>
          <w:tab w:leader="none" w:pos="325" w:val="left"/>
        </w:tabs>
        <w:numPr>
          <w:ilvl w:val="0"/>
          <w:numId w:val="62"/>
        </w:numPr>
        <w:rPr>
          <w:rFonts w:ascii="Times New Roman" w:cs="Times New Roman" w:eastAsia="Times New Roman" w:hAnsi="Times New Roman"/>
          <w:sz w:val="19"/>
          <w:szCs w:val="19"/>
          <w:color w:val="FF0000"/>
          <w:strike w:val="1"/>
        </w:rPr>
      </w:pPr>
      <w:r>
        <w:rPr>
          <w:rFonts w:ascii="Times New Roman" w:cs="Times New Roman" w:eastAsia="Times New Roman" w:hAnsi="Times New Roman"/>
          <w:sz w:val="19"/>
          <w:szCs w:val="19"/>
          <w:color w:val="FF0000"/>
          <w:strike w:val="1"/>
        </w:rPr>
        <w:t>medical non-diagnostic and lab services, (b) (i) advertising, (ii) consumer goods (ex. electronics), (iii) consumer hardware and electronics, (iv) consumer technologies (ex. electronics), (v) digital content and media, (vi) ecommerce, (vii) education technology, (viii) enterprise software – data analysis, (ix) enterprise software – IT services and other, (x) enterprise software – marketing enablement, (xi) enterprise software – security, (xii) financial technology – lending, (xiii) financial technology – payments and other, (xiv) information technology, (xv) manufacturing, (xvi) mobile/telecom infrastructure, (xvii) professional, scientific and technical services, (xviii) research tools, (xix) retail health goods, (xx) semiconductors, (xxi) specialized business services, (xxii) specialized consumer services and (xxiii) technology hardware, storage &amp; peripherals, (c) energy (other than oil and gas) and (d) any other business area approved by the Administrative Agent in writing in its sole discretion.</w:t>
      </w:r>
    </w:p>
    <w:p>
      <w:pPr>
        <w:spacing w:after="0" w:line="181" w:lineRule="exact"/>
        <w:rPr>
          <w:sz w:val="20"/>
          <w:szCs w:val="20"/>
          <w:color w:val="auto"/>
        </w:rPr>
      </w:pPr>
    </w:p>
    <w:p>
      <w:pPr>
        <w:ind w:right="62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“Taxes” </w:t>
      </w:r>
      <w:r>
        <w:rPr>
          <w:rFonts w:ascii="Times New Roman" w:cs="Times New Roman" w:eastAsia="Times New Roman" w:hAnsi="Times New Roman"/>
          <w:sz w:val="19"/>
          <w:szCs w:val="19"/>
          <w:color w:val="auto"/>
        </w:rPr>
        <w:t>means any present or future taxes, levies, imposts, duties, charges, assessments or fees of any nature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interest, penalties, and additions thereto) that are imposed by any Government Authority.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28" w:name="page229"/>
    <w:bookmarkEnd w:id="228"/>
    <w:p>
      <w:pPr>
        <w:spacing w:after="0" w:line="200" w:lineRule="exact"/>
        <w:rPr>
          <w:sz w:val="20"/>
          <w:szCs w:val="20"/>
          <w:color w:val="auto"/>
        </w:rPr>
      </w:pPr>
    </w:p>
    <w:p>
      <w:pPr>
        <w:spacing w:after="0" w:line="283" w:lineRule="exact"/>
        <w:rPr>
          <w:sz w:val="20"/>
          <w:szCs w:val="20"/>
          <w:color w:val="auto"/>
        </w:rPr>
      </w:pPr>
    </w:p>
    <w:p>
      <w:pPr>
        <w:ind w:right="160" w:firstLine="696"/>
        <w:spacing w:after="0" w:line="288" w:lineRule="auto"/>
        <w:rPr>
          <w:sz w:val="20"/>
          <w:szCs w:val="20"/>
          <w:color w:val="auto"/>
        </w:rPr>
      </w:pPr>
      <w:r>
        <w:rPr>
          <w:rFonts w:ascii="Times New Roman" w:cs="Times New Roman" w:eastAsia="Times New Roman" w:hAnsi="Times New Roman"/>
          <w:sz w:val="19"/>
          <w:szCs w:val="19"/>
          <w:i w:val="1"/>
          <w:iCs w:val="1"/>
          <w:color w:val="FF0000"/>
          <w:strike w:val="1"/>
        </w:rPr>
        <w:t xml:space="preserve">“Technology Company” </w:t>
      </w:r>
      <w:r>
        <w:rPr>
          <w:rFonts w:ascii="Times New Roman" w:cs="Times New Roman" w:eastAsia="Times New Roman" w:hAnsi="Times New Roman"/>
          <w:sz w:val="19"/>
          <w:szCs w:val="19"/>
          <w:color w:val="FF0000"/>
          <w:strike w:val="1"/>
        </w:rPr>
        <w:t>means and includes Obligors that operate a business within any Target Industry set forth in clause (b)</w:t>
      </w:r>
      <w:r>
        <w:rPr>
          <w:rFonts w:ascii="Times New Roman" w:cs="Times New Roman" w:eastAsia="Times New Roman" w:hAnsi="Times New Roman"/>
          <w:sz w:val="19"/>
          <w:szCs w:val="19"/>
          <w:i w:val="1"/>
          <w:iCs w:val="1"/>
          <w:color w:val="FF0000"/>
          <w:strike w:val="1"/>
        </w:rPr>
        <w:t xml:space="preserve"> </w:t>
      </w:r>
      <w:r>
        <w:rPr>
          <w:rFonts w:ascii="Times New Roman" w:cs="Times New Roman" w:eastAsia="Times New Roman" w:hAnsi="Times New Roman"/>
          <w:sz w:val="19"/>
          <w:szCs w:val="19"/>
          <w:color w:val="FF0000"/>
          <w:strike w:val="1"/>
        </w:rPr>
        <w:t>of the definition thereof as determined in accordance with the Investment Policy.</w:t>
      </w:r>
    </w:p>
    <w:p>
      <w:pPr>
        <w:spacing w:after="0" w:line="148" w:lineRule="exact"/>
        <w:rPr>
          <w:sz w:val="20"/>
          <w:szCs w:val="20"/>
          <w:color w:val="auto"/>
        </w:rPr>
      </w:pPr>
    </w:p>
    <w:p>
      <w:pPr>
        <w:ind w:right="6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“Termination Date” </w:t>
      </w:r>
      <w:r>
        <w:rPr>
          <w:rFonts w:ascii="Times New Roman" w:cs="Times New Roman" w:eastAsia="Times New Roman" w:hAnsi="Times New Roman"/>
          <w:sz w:val="19"/>
          <w:szCs w:val="19"/>
          <w:color w:val="auto"/>
        </w:rPr>
        <w:t>means the earliest to occur of (a) the date declared by the Administrative Agent or occurring automatically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respect of the occurrence of an Event of Default pursuant to Section 8.1, (b) a date selected by the Borrower upon at least 30 days’ prior written notice to the Administrative Agent and each Managing Agent and (c) the Commitment Termination Date.</w:t>
      </w:r>
    </w:p>
    <w:p>
      <w:pPr>
        <w:spacing w:after="0" w:line="166" w:lineRule="exact"/>
        <w:rPr>
          <w:sz w:val="20"/>
          <w:szCs w:val="20"/>
          <w:color w:val="auto"/>
        </w:rPr>
      </w:pPr>
    </w:p>
    <w:p>
      <w:pPr>
        <w:ind w:right="6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“Term Loan” </w:t>
      </w:r>
      <w:r>
        <w:rPr>
          <w:rFonts w:ascii="Times New Roman" w:cs="Times New Roman" w:eastAsia="Times New Roman" w:hAnsi="Times New Roman"/>
          <w:sz w:val="19"/>
          <w:szCs w:val="19"/>
          <w:color w:val="auto"/>
        </w:rPr>
        <w:t xml:space="preserve">means each Loan with required scheduled monthly amortization payments, no portion of which may be re-borrowed once repaid, and designated as a “term loan” on the books of the Borrower in accordance with the Investment Policy;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a Loan with an interest only period that otherwise satisfies the foregoing definition shall be a Term Loan.</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Term SOFR</w:t>
      </w:r>
      <w:r>
        <w:rPr>
          <w:rFonts w:ascii="Times New Roman" w:cs="Times New Roman" w:eastAsia="Times New Roman" w:hAnsi="Times New Roman"/>
          <w:sz w:val="19"/>
          <w:szCs w:val="19"/>
          <w:color w:val="auto"/>
        </w:rPr>
        <w:t>” has the meaning provided in the definition of “Adjusted Term SOFR Rate”.</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“Term SOFR Administrator” </w:t>
      </w:r>
      <w:r>
        <w:rPr>
          <w:rFonts w:ascii="Times New Roman" w:cs="Times New Roman" w:eastAsia="Times New Roman" w:hAnsi="Times New Roman"/>
          <w:sz w:val="19"/>
          <w:szCs w:val="19"/>
          <w:color w:val="auto"/>
        </w:rPr>
        <w:t>means CBA (or a successor administrator of the forward-looking secured overnight financing</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“Term SOFR Loan” </w:t>
      </w:r>
      <w:r>
        <w:rPr>
          <w:rFonts w:ascii="Times New Roman" w:cs="Times New Roman" w:eastAsia="Times New Roman" w:hAnsi="Times New Roman"/>
          <w:sz w:val="19"/>
          <w:szCs w:val="19"/>
          <w:color w:val="auto"/>
        </w:rPr>
        <w:t>means each Advance bearing interest at a rate based upon the Adjusted Term SOFR Rate.</w:t>
      </w:r>
    </w:p>
    <w:p>
      <w:pPr>
        <w:spacing w:after="0" w:line="226" w:lineRule="exact"/>
        <w:rPr>
          <w:sz w:val="20"/>
          <w:szCs w:val="20"/>
          <w:color w:val="auto"/>
        </w:rPr>
      </w:pPr>
    </w:p>
    <w:p>
      <w:pPr>
        <w:ind w:right="200" w:firstLine="696"/>
        <w:spacing w:after="0" w:line="258" w:lineRule="auto"/>
        <w:rPr>
          <w:sz w:val="20"/>
          <w:szCs w:val="20"/>
          <w:color w:val="auto"/>
        </w:rPr>
      </w:pPr>
      <w:r>
        <w:rPr>
          <w:rFonts w:ascii="Times New Roman" w:cs="Times New Roman" w:eastAsia="Times New Roman" w:hAnsi="Times New Roman"/>
          <w:sz w:val="19"/>
          <w:szCs w:val="19"/>
          <w:i w:val="1"/>
          <w:iCs w:val="1"/>
          <w:color w:val="0000FF"/>
        </w:rPr>
        <w:t xml:space="preserve">“Total Funded Debt” </w:t>
      </w:r>
      <w:r>
        <w:rPr>
          <w:rFonts w:ascii="Times New Roman" w:cs="Times New Roman" w:eastAsia="Times New Roman" w:hAnsi="Times New Roman"/>
          <w:sz w:val="19"/>
          <w:szCs w:val="19"/>
          <w:color w:val="0000FF"/>
        </w:rPr>
        <w:t>means with respect to any Loan at any time the same is to be determined, the sum (but without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duplication) of (a) the Dollar Equivalent of all Indebtedness for borrowed money of the related Obligor at such time, and (b) the Dollar Equivalent of all Indebtedness for borrowed money of any other Person which is directly or indirectly guaranteed by the Obligor or which the Obligor has agreed (contingently or otherwise) to purchase or otherwise acquire or in respect of which the Obligor has otherwise assured a creditor against loss, calculated in accordance with the corresponding amount or ratio in the underlying Loan Documents for such Loan utilizing the most recently delivered financial results for the related Obligor.</w:t>
      </w:r>
    </w:p>
    <w:p>
      <w:pPr>
        <w:spacing w:after="0" w:line="175" w:lineRule="exact"/>
        <w:rPr>
          <w:sz w:val="20"/>
          <w:szCs w:val="20"/>
          <w:color w:val="auto"/>
        </w:rPr>
      </w:pPr>
    </w:p>
    <w:p>
      <w:pPr>
        <w:ind w:right="1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“Transaction Documents” </w:t>
      </w:r>
      <w:r>
        <w:rPr>
          <w:rFonts w:ascii="Times New Roman" w:cs="Times New Roman" w:eastAsia="Times New Roman" w:hAnsi="Times New Roman"/>
          <w:sz w:val="19"/>
          <w:szCs w:val="19"/>
          <w:color w:val="auto"/>
        </w:rPr>
        <w:t>means this Agreement, the Account Control Agreements, the Document Custody Agreement,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Custody Agreement, the Lender Fee Letter and any additional document, letter, Fee Letter, certificate, opinion, agreement or writing the execution of which is necessary or incidental to carrying out the terms of the foregoing documents.</w:t>
      </w:r>
    </w:p>
    <w:p>
      <w:pPr>
        <w:spacing w:after="0" w:line="166" w:lineRule="exact"/>
        <w:rPr>
          <w:sz w:val="20"/>
          <w:szCs w:val="20"/>
          <w:color w:val="auto"/>
        </w:rPr>
      </w:pPr>
    </w:p>
    <w:p>
      <w:pPr>
        <w:ind w:firstLine="696"/>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“Transaction Information” </w:t>
      </w:r>
      <w:r>
        <w:rPr>
          <w:rFonts w:ascii="Times New Roman" w:cs="Times New Roman" w:eastAsia="Times New Roman" w:hAnsi="Times New Roman"/>
          <w:sz w:val="19"/>
          <w:szCs w:val="19"/>
          <w:color w:val="auto"/>
        </w:rPr>
        <w:t>means any information provided to any nationally recognized statistical rating organization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providing a rating or proposing to provide a rating to, or monitoring an existing rating of, an Issuer’s commercial paper, in each case, to the extent related to providing or proposing to provide such rating or monitoring such rating including information in connection with the Borrower, the Investment Adviser, their respective </w:t>
      </w:r>
      <w:r>
        <w:rPr>
          <w:rFonts w:ascii="Times New Roman" w:cs="Times New Roman" w:eastAsia="Times New Roman" w:hAnsi="Times New Roman"/>
          <w:sz w:val="19"/>
          <w:szCs w:val="19"/>
          <w:color w:val="0000FF"/>
        </w:rPr>
        <w:t>Controlled</w:t>
      </w:r>
      <w:r>
        <w:rPr>
          <w:rFonts w:ascii="Times New Roman" w:cs="Times New Roman" w:eastAsia="Times New Roman" w:hAnsi="Times New Roman"/>
          <w:sz w:val="19"/>
          <w:szCs w:val="19"/>
          <w:color w:val="auto"/>
        </w:rPr>
        <w:t xml:space="preserve"> Affiliates or the Collateral, but “Transaction Information” shall not include any such information provided to any nationally recognized statistical rating organization in connection with its providing a rating or monitoring</w:t>
      </w: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59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29" w:name="page230"/>
    <w:bookmarkEnd w:id="229"/>
    <w:p>
      <w:pPr>
        <w:spacing w:after="0" w:line="200" w:lineRule="exact"/>
        <w:rPr>
          <w:sz w:val="20"/>
          <w:szCs w:val="20"/>
          <w:color w:val="auto"/>
        </w:rPr>
      </w:pPr>
    </w:p>
    <w:p>
      <w:pPr>
        <w:spacing w:after="0" w:line="2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9"/>
          <w:szCs w:val="19"/>
          <w:color w:val="auto"/>
        </w:rPr>
        <w:t>an existing rating of the Borrower, the Investment Adviser, any of their respective Affiliates or the Collateral or any securities of the Borrower, the Investment Adviser or any of their respective Affiliates.</w:t>
      </w:r>
    </w:p>
    <w:p>
      <w:pPr>
        <w:spacing w:after="0" w:line="149" w:lineRule="exact"/>
        <w:rPr>
          <w:sz w:val="20"/>
          <w:szCs w:val="20"/>
          <w:color w:val="auto"/>
        </w:rPr>
      </w:pPr>
    </w:p>
    <w:p>
      <w:pPr>
        <w:ind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“Treaty” </w:t>
      </w:r>
      <w:r>
        <w:rPr>
          <w:rFonts w:ascii="Times New Roman" w:cs="Times New Roman" w:eastAsia="Times New Roman" w:hAnsi="Times New Roman"/>
          <w:sz w:val="19"/>
          <w:szCs w:val="19"/>
          <w:color w:val="auto"/>
        </w:rPr>
        <w:t>means the Convention Between the Government of the United States of America and the Government of Ireland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Avoidance of Double Taxation and the Prevention of Fiscal Evasion with Respect to Taxes on Income and Capital Gains, signed July 28, 1997, and any protocol or successor convention thereto.</w:t>
      </w:r>
    </w:p>
    <w:p>
      <w:pPr>
        <w:spacing w:after="0" w:line="166" w:lineRule="exact"/>
        <w:rPr>
          <w:sz w:val="20"/>
          <w:szCs w:val="20"/>
          <w:color w:val="auto"/>
        </w:rPr>
      </w:pPr>
    </w:p>
    <w:p>
      <w:pPr>
        <w:ind w:right="40" w:firstLine="69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“TTM EBITDA” </w:t>
      </w:r>
      <w:r>
        <w:rPr>
          <w:rFonts w:ascii="Times New Roman" w:cs="Times New Roman" w:eastAsia="Times New Roman" w:hAnsi="Times New Roman"/>
          <w:sz w:val="19"/>
          <w:szCs w:val="19"/>
          <w:color w:val="0000FF"/>
        </w:rPr>
        <w:t>means at any time the same is to be determined with respect to any Obligor, the Dollar Equivalent of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trailing twelve -month EBITDA of such Obligor calculated in accordance with the corresponding amount or ratio in the Loan Documents for the related Loan utilizing the most recently delivered financial results for such Obligor.</w:t>
      </w:r>
    </w:p>
    <w:p>
      <w:pPr>
        <w:spacing w:after="0" w:line="166" w:lineRule="exact"/>
        <w:rPr>
          <w:sz w:val="20"/>
          <w:szCs w:val="20"/>
          <w:color w:val="auto"/>
        </w:rPr>
      </w:pPr>
    </w:p>
    <w:p>
      <w:pPr>
        <w:jc w:val="both"/>
        <w:ind w:right="100" w:firstLine="696"/>
        <w:spacing w:after="0" w:line="269" w:lineRule="auto"/>
        <w:rPr>
          <w:sz w:val="20"/>
          <w:szCs w:val="20"/>
          <w:color w:val="auto"/>
        </w:rPr>
      </w:pPr>
      <w:r>
        <w:rPr>
          <w:rFonts w:ascii="Times New Roman" w:cs="Times New Roman" w:eastAsia="Times New Roman" w:hAnsi="Times New Roman"/>
          <w:sz w:val="19"/>
          <w:szCs w:val="19"/>
          <w:i w:val="1"/>
          <w:iCs w:val="1"/>
          <w:color w:val="0000FF"/>
        </w:rPr>
        <w:t xml:space="preserve">“TTM Recurring Revenue” </w:t>
      </w:r>
      <w:r>
        <w:rPr>
          <w:rFonts w:ascii="Times New Roman" w:cs="Times New Roman" w:eastAsia="Times New Roman" w:hAnsi="Times New Roman"/>
          <w:sz w:val="19"/>
          <w:szCs w:val="19"/>
          <w:color w:val="0000FF"/>
        </w:rPr>
        <w:t>means, at any time the same is to be determined with respect to any Obligor, the Dollar Equivalent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of the trailing twelve -month Recurring Revenue of such Obligor calculated in accordance with the corresponding amount or ratio in the Loan Documents for the related Loan utilizing the most recently delivered financial results of such Obligor.</w:t>
      </w:r>
    </w:p>
    <w:p>
      <w:pPr>
        <w:spacing w:after="0" w:line="166" w:lineRule="exact"/>
        <w:rPr>
          <w:sz w:val="20"/>
          <w:szCs w:val="20"/>
          <w:color w:val="auto"/>
        </w:rPr>
      </w:pPr>
    </w:p>
    <w:p>
      <w:pPr>
        <w:ind w:right="6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“UCC” </w:t>
      </w:r>
      <w:r>
        <w:rPr>
          <w:rFonts w:ascii="Times New Roman" w:cs="Times New Roman" w:eastAsia="Times New Roman" w:hAnsi="Times New Roman"/>
          <w:sz w:val="19"/>
          <w:szCs w:val="19"/>
          <w:color w:val="auto"/>
        </w:rPr>
        <w:t>means the Uniform Commercial Code as from time to time in effect in the specified jurisdiction or, if no jurisdiction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specified, the State of New York.</w:t>
      </w:r>
    </w:p>
    <w:p>
      <w:pPr>
        <w:spacing w:after="0" w:line="148" w:lineRule="exact"/>
        <w:rPr>
          <w:sz w:val="20"/>
          <w:szCs w:val="20"/>
          <w:color w:val="auto"/>
        </w:rPr>
      </w:pPr>
    </w:p>
    <w:p>
      <w:pPr>
        <w:ind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“UK Financial Institution” </w:t>
      </w:r>
      <w:r>
        <w:rPr>
          <w:rFonts w:ascii="Times New Roman" w:cs="Times New Roman" w:eastAsia="Times New Roman" w:hAnsi="Times New Roman"/>
          <w:sz w:val="19"/>
          <w:szCs w:val="19"/>
          <w:color w:val="auto"/>
        </w:rPr>
        <w:t>means any BRRD Undertaking (as such term is defined under the PRA Rulebook (as amended from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1" w:lineRule="exact"/>
        <w:rPr>
          <w:sz w:val="20"/>
          <w:szCs w:val="20"/>
          <w:color w:val="auto"/>
        </w:rPr>
      </w:pPr>
    </w:p>
    <w:p>
      <w:pPr>
        <w:ind w:right="22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“UK Resolution Authority” </w:t>
      </w:r>
      <w:r>
        <w:rPr>
          <w:rFonts w:ascii="Times New Roman" w:cs="Times New Roman" w:eastAsia="Times New Roman" w:hAnsi="Times New Roman"/>
          <w:sz w:val="19"/>
          <w:szCs w:val="19"/>
          <w:color w:val="auto"/>
        </w:rPr>
        <w:t>means the Bank of England or any other public administrative authority having responsibility for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resolution of any UK Financial Institution.</w:t>
      </w:r>
    </w:p>
    <w:p>
      <w:pPr>
        <w:spacing w:after="0" w:line="148" w:lineRule="exact"/>
        <w:rPr>
          <w:sz w:val="20"/>
          <w:szCs w:val="20"/>
          <w:color w:val="auto"/>
        </w:rPr>
      </w:pPr>
    </w:p>
    <w:p>
      <w:pPr>
        <w:ind w:right="40" w:firstLine="696"/>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“Unfunded Amount” </w:t>
      </w:r>
      <w:r>
        <w:rPr>
          <w:rFonts w:ascii="Times New Roman" w:cs="Times New Roman" w:eastAsia="Times New Roman" w:hAnsi="Times New Roman"/>
          <w:sz w:val="19"/>
          <w:szCs w:val="19"/>
          <w:color w:val="auto"/>
        </w:rPr>
        <w:t>means, (a) with respect to any Revolving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Loan or Enterprise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as of any date of determination,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 xml:space="preserve">product of (i) the Dollar Equivalent of </w:t>
      </w:r>
      <w:r>
        <w:rPr>
          <w:rFonts w:ascii="Times New Roman" w:cs="Times New Roman" w:eastAsia="Times New Roman" w:hAnsi="Times New Roman"/>
          <w:sz w:val="19"/>
          <w:szCs w:val="19"/>
          <w:color w:val="000000"/>
        </w:rPr>
        <w:t>the unfunded notional commitment of the Borrower with respect to such Revolving Loan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Enterprise Loan, as applicable</w:t>
      </w:r>
      <w:r>
        <w:rPr>
          <w:rFonts w:ascii="Times New Roman" w:cs="Times New Roman" w:eastAsia="Times New Roman" w:hAnsi="Times New Roman"/>
          <w:sz w:val="19"/>
          <w:szCs w:val="19"/>
          <w:color w:val="0000FF"/>
        </w:rPr>
        <w:t>, and (ii) the Availability Factor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and (b) with respect to any Delayed Draw Term Loan (</w:t>
      </w:r>
      <w:r>
        <w:rPr>
          <w:rFonts w:ascii="Times New Roman" w:cs="Times New Roman" w:eastAsia="Times New Roman" w:hAnsi="Times New Roman"/>
          <w:sz w:val="19"/>
          <w:szCs w:val="19"/>
          <w:color w:val="FF0000"/>
          <w:strike w:val="1"/>
        </w:rPr>
        <w:t>i</w:t>
      </w:r>
      <w:r>
        <w:rPr>
          <w:rFonts w:ascii="Times New Roman" w:cs="Times New Roman" w:eastAsia="Times New Roman" w:hAnsi="Times New Roman"/>
          <w:sz w:val="19"/>
          <w:szCs w:val="19"/>
          <w:color w:val="0000FF"/>
        </w:rPr>
        <w:t>1</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during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Revolving Period, as of any date of determination, during a specified term </w:t>
      </w:r>
      <w:r>
        <w:rPr>
          <w:rFonts w:ascii="Times New Roman" w:cs="Times New Roman" w:eastAsia="Times New Roman" w:hAnsi="Times New Roman"/>
          <w:sz w:val="19"/>
          <w:szCs w:val="19"/>
          <w:color w:val="FF0000"/>
          <w:strike w:val="1"/>
        </w:rPr>
        <w:t>where</w:t>
      </w:r>
      <w:r>
        <w:rPr>
          <w:rFonts w:ascii="Times New Roman" w:cs="Times New Roman" w:eastAsia="Times New Roman" w:hAnsi="Times New Roman"/>
          <w:sz w:val="19"/>
          <w:szCs w:val="19"/>
          <w:color w:val="0000FF"/>
        </w:rPr>
        <w:t>when</w:t>
      </w:r>
      <w:r>
        <w:rPr>
          <w:rFonts w:ascii="Times New Roman" w:cs="Times New Roman" w:eastAsia="Times New Roman" w:hAnsi="Times New Roman"/>
          <w:sz w:val="19"/>
          <w:szCs w:val="19"/>
          <w:color w:val="000000"/>
        </w:rPr>
        <w:t xml:space="preserve"> any required future milestone or condition is satisfied or projected to be satisfied within the next six (6) calendar months as reasonably determined by the Borrower, the </w:t>
      </w:r>
      <w:r>
        <w:rPr>
          <w:rFonts w:ascii="Times New Roman" w:cs="Times New Roman" w:eastAsia="Times New Roman" w:hAnsi="Times New Roman"/>
          <w:sz w:val="19"/>
          <w:szCs w:val="19"/>
          <w:color w:val="0000FF"/>
        </w:rPr>
        <w:t>product of (i)</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 xml:space="preserve">the Dollar Equivalent of the </w:t>
      </w:r>
      <w:r>
        <w:rPr>
          <w:rFonts w:ascii="Times New Roman" w:cs="Times New Roman" w:eastAsia="Times New Roman" w:hAnsi="Times New Roman"/>
          <w:sz w:val="19"/>
          <w:szCs w:val="19"/>
          <w:color w:val="000000"/>
        </w:rPr>
        <w:t>unfunded available commitment of the Borrower with respect to such Delayed Draw Term Loan and (ii</w:t>
      </w:r>
      <w:r>
        <w:rPr>
          <w:rFonts w:ascii="Times New Roman" w:cs="Times New Roman" w:eastAsia="Times New Roman" w:hAnsi="Times New Roman"/>
          <w:sz w:val="19"/>
          <w:szCs w:val="19"/>
          <w:color w:val="0000FF"/>
        </w:rPr>
        <w:t xml:space="preserve">) the Availability Factor and (2 </w:t>
      </w:r>
      <w:r>
        <w:rPr>
          <w:rFonts w:ascii="Times New Roman" w:cs="Times New Roman" w:eastAsia="Times New Roman" w:hAnsi="Times New Roman"/>
          <w:sz w:val="19"/>
          <w:szCs w:val="19"/>
          <w:color w:val="000000"/>
        </w:rPr>
        <w:t>) during the Amortization Period, as of any date of determination, during a specified term</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where</w:t>
      </w:r>
      <w:r>
        <w:rPr>
          <w:rFonts w:ascii="Times New Roman" w:cs="Times New Roman" w:eastAsia="Times New Roman" w:hAnsi="Times New Roman"/>
          <w:sz w:val="19"/>
          <w:szCs w:val="19"/>
          <w:color w:val="0000FF"/>
        </w:rPr>
        <w:t xml:space="preserve">when </w:t>
      </w:r>
      <w:r>
        <w:rPr>
          <w:rFonts w:ascii="Times New Roman" w:cs="Times New Roman" w:eastAsia="Times New Roman" w:hAnsi="Times New Roman"/>
          <w:sz w:val="19"/>
          <w:szCs w:val="19"/>
          <w:color w:val="000000"/>
        </w:rPr>
        <w:t>any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required future milestone or condition is satisfied or projected to be satisfied within the next twelve (12) calendar months as reasonably determined by the Borrower, the </w:t>
      </w:r>
      <w:r>
        <w:rPr>
          <w:rFonts w:ascii="Times New Roman" w:cs="Times New Roman" w:eastAsia="Times New Roman" w:hAnsi="Times New Roman"/>
          <w:sz w:val="19"/>
          <w:szCs w:val="19"/>
          <w:color w:val="0000FF"/>
        </w:rPr>
        <w:t>product of (i) Dollar Equivalent of the</w:t>
      </w:r>
      <w:r>
        <w:rPr>
          <w:rFonts w:ascii="Times New Roman" w:cs="Times New Roman" w:eastAsia="Times New Roman" w:hAnsi="Times New Roman"/>
          <w:sz w:val="19"/>
          <w:szCs w:val="19"/>
          <w:color w:val="000000"/>
        </w:rPr>
        <w:t xml:space="preserve"> unfunded available commitment of the Borrower with respect to such Delayed Draw Term Loan </w:t>
      </w:r>
      <w:r>
        <w:rPr>
          <w:rFonts w:ascii="Times New Roman" w:cs="Times New Roman" w:eastAsia="Times New Roman" w:hAnsi="Times New Roman"/>
          <w:sz w:val="19"/>
          <w:szCs w:val="19"/>
          <w:color w:val="0000FF"/>
        </w:rPr>
        <w:t>and (ii) the Availability Factor</w:t>
      </w:r>
      <w:r>
        <w:rPr>
          <w:rFonts w:ascii="Times New Roman" w:cs="Times New Roman" w:eastAsia="Times New Roman" w:hAnsi="Times New Roman"/>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6238875</wp:posOffset>
            </wp:positionH>
            <wp:positionV relativeFrom="paragraph">
              <wp:posOffset>-1231265</wp:posOffset>
            </wp:positionV>
            <wp:extent cx="12954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0">
                      <a:extLst>
                        <a:ext uri="{28A0092B-C50C-407E-A947-70E740481C1C}"/>
                      </a:extLst>
                    </a:blip>
                    <a:srcRect/>
                    <a:stretch>
                      <a:fillRect/>
                    </a:stretch>
                  </pic:blipFill>
                  <pic:spPr bwMode="auto">
                    <a:xfrm>
                      <a:off x="0" y="0"/>
                      <a:ext cx="129540" cy="762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30" w:name="page231"/>
    <w:bookmarkEnd w:id="230"/>
    <w:p>
      <w:pPr>
        <w:spacing w:after="0" w:line="200" w:lineRule="exact"/>
        <w:rPr>
          <w:sz w:val="20"/>
          <w:szCs w:val="20"/>
          <w:color w:val="auto"/>
        </w:rPr>
      </w:pPr>
    </w:p>
    <w:p>
      <w:pPr>
        <w:spacing w:after="0" w:line="2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“United States” </w:t>
      </w:r>
      <w:r>
        <w:rPr>
          <w:rFonts w:ascii="Times New Roman" w:cs="Times New Roman" w:eastAsia="Times New Roman" w:hAnsi="Times New Roman"/>
          <w:sz w:val="19"/>
          <w:szCs w:val="19"/>
          <w:color w:val="auto"/>
        </w:rPr>
        <w:t>means the United States of America.</w:t>
      </w:r>
    </w:p>
    <w:p>
      <w:pPr>
        <w:spacing w:after="0" w:line="226" w:lineRule="exact"/>
        <w:rPr>
          <w:sz w:val="20"/>
          <w:szCs w:val="20"/>
          <w:color w:val="auto"/>
        </w:rPr>
      </w:pPr>
    </w:p>
    <w:p>
      <w:pPr>
        <w:ind w:right="8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“Unmatured Event of Default” </w:t>
      </w:r>
      <w:r>
        <w:rPr>
          <w:rFonts w:ascii="Times New Roman" w:cs="Times New Roman" w:eastAsia="Times New Roman" w:hAnsi="Times New Roman"/>
          <w:sz w:val="19"/>
          <w:szCs w:val="19"/>
          <w:color w:val="auto"/>
        </w:rPr>
        <w:t>means an event that, with the giving of notice or lapse of time, or both, would become an Event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Default.</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i w:val="1"/>
          <w:iCs w:val="1"/>
          <w:color w:val="auto"/>
        </w:rPr>
        <w:t xml:space="preserve">“Unused Fee” </w:t>
      </w:r>
      <w:r>
        <w:rPr>
          <w:rFonts w:ascii="Times New Roman" w:cs="Times New Roman" w:eastAsia="Times New Roman" w:hAnsi="Times New Roman"/>
          <w:sz w:val="19"/>
          <w:szCs w:val="19"/>
          <w:color w:val="auto"/>
        </w:rPr>
        <w:t>is defined in the Lender Fee Letter.</w:t>
      </w:r>
    </w:p>
    <w:p>
      <w:pPr>
        <w:spacing w:after="0" w:line="226" w:lineRule="exact"/>
        <w:rPr>
          <w:sz w:val="20"/>
          <w:szCs w:val="20"/>
          <w:color w:val="auto"/>
        </w:rPr>
      </w:pPr>
    </w:p>
    <w:p>
      <w:pPr>
        <w:ind w:right="20" w:firstLine="696"/>
        <w:spacing w:after="0" w:line="288" w:lineRule="auto"/>
        <w:rPr>
          <w:sz w:val="20"/>
          <w:szCs w:val="20"/>
          <w:color w:val="auto"/>
        </w:rPr>
      </w:pPr>
      <w:r>
        <w:rPr>
          <w:rFonts w:ascii="Times New Roman" w:cs="Times New Roman" w:eastAsia="Times New Roman" w:hAnsi="Times New Roman"/>
          <w:sz w:val="19"/>
          <w:szCs w:val="19"/>
          <w:i w:val="1"/>
          <w:iCs w:val="1"/>
          <w:color w:val="0000FF"/>
        </w:rPr>
        <w:t xml:space="preserve">“Venture Debt Loan” </w:t>
      </w:r>
      <w:r>
        <w:rPr>
          <w:rFonts w:ascii="Times New Roman" w:cs="Times New Roman" w:eastAsia="Times New Roman" w:hAnsi="Times New Roman"/>
          <w:sz w:val="19"/>
          <w:szCs w:val="19"/>
          <w:color w:val="0000FF"/>
        </w:rPr>
        <w:t>means a Loan or Participation Interest (for the purposes of this definition, a “loan”) that meets each of the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following criteria:</w:t>
      </w:r>
    </w:p>
    <w:p>
      <w:pPr>
        <w:spacing w:after="0" w:line="150" w:lineRule="exact"/>
        <w:rPr>
          <w:sz w:val="20"/>
          <w:szCs w:val="20"/>
          <w:color w:val="auto"/>
        </w:rPr>
      </w:pPr>
    </w:p>
    <w:p>
      <w:pPr>
        <w:ind w:left="1020" w:hanging="270"/>
        <w:spacing w:after="0"/>
        <w:tabs>
          <w:tab w:leader="none" w:pos="1020" w:val="left"/>
        </w:tabs>
        <w:numPr>
          <w:ilvl w:val="0"/>
          <w:numId w:val="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constitutes a First Lien Loan or Second Lien Loan;</w:t>
      </w:r>
    </w:p>
    <w:p>
      <w:pPr>
        <w:spacing w:after="0" w:line="225" w:lineRule="exact"/>
        <w:rPr>
          <w:rFonts w:ascii="Times New Roman" w:cs="Times New Roman" w:eastAsia="Times New Roman" w:hAnsi="Times New Roman"/>
          <w:sz w:val="19"/>
          <w:szCs w:val="19"/>
          <w:color w:val="0000FF"/>
        </w:rPr>
      </w:pPr>
    </w:p>
    <w:p>
      <w:pPr>
        <w:ind w:left="1020" w:hanging="270"/>
        <w:spacing w:after="0"/>
        <w:tabs>
          <w:tab w:leader="none" w:pos="1020" w:val="left"/>
        </w:tabs>
        <w:numPr>
          <w:ilvl w:val="0"/>
          <w:numId w:val="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Obligor of which is in a high growth industry or industry that customarily is funded by venture capital;</w:t>
      </w:r>
    </w:p>
    <w:p>
      <w:pPr>
        <w:spacing w:after="0" w:line="225" w:lineRule="exact"/>
        <w:rPr>
          <w:rFonts w:ascii="Times New Roman" w:cs="Times New Roman" w:eastAsia="Times New Roman" w:hAnsi="Times New Roman"/>
          <w:sz w:val="19"/>
          <w:szCs w:val="19"/>
          <w:color w:val="0000FF"/>
        </w:rPr>
      </w:pPr>
    </w:p>
    <w:p>
      <w:pPr>
        <w:ind w:left="1020" w:hanging="270"/>
        <w:spacing w:after="0"/>
        <w:tabs>
          <w:tab w:leader="none" w:pos="1020" w:val="left"/>
        </w:tabs>
        <w:numPr>
          <w:ilvl w:val="0"/>
          <w:numId w:val="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has an LTV ratio of less than or equal to 35.0% at the time of origination;</w:t>
      </w:r>
    </w:p>
    <w:p>
      <w:pPr>
        <w:spacing w:after="0" w:line="225" w:lineRule="exact"/>
        <w:rPr>
          <w:rFonts w:ascii="Times New Roman" w:cs="Times New Roman" w:eastAsia="Times New Roman" w:hAnsi="Times New Roman"/>
          <w:sz w:val="19"/>
          <w:szCs w:val="19"/>
          <w:color w:val="0000FF"/>
        </w:rPr>
      </w:pPr>
    </w:p>
    <w:p>
      <w:pPr>
        <w:ind w:left="1020" w:hanging="270"/>
        <w:spacing w:after="0"/>
        <w:tabs>
          <w:tab w:leader="none" w:pos="1020" w:val="left"/>
        </w:tabs>
        <w:numPr>
          <w:ilvl w:val="0"/>
          <w:numId w:val="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has an LTV ratio of less than or equal to 50.0% at any time; and</w:t>
      </w:r>
    </w:p>
    <w:p>
      <w:pPr>
        <w:spacing w:after="0" w:line="225" w:lineRule="exact"/>
        <w:rPr>
          <w:rFonts w:ascii="Times New Roman" w:cs="Times New Roman" w:eastAsia="Times New Roman" w:hAnsi="Times New Roman"/>
          <w:sz w:val="19"/>
          <w:szCs w:val="19"/>
          <w:color w:val="0000FF"/>
        </w:rPr>
      </w:pPr>
    </w:p>
    <w:p>
      <w:pPr>
        <w:ind w:left="1020" w:hanging="270"/>
        <w:spacing w:after="0"/>
        <w:tabs>
          <w:tab w:leader="none" w:pos="1020" w:val="left"/>
        </w:tabs>
        <w:numPr>
          <w:ilvl w:val="0"/>
          <w:numId w:val="63"/>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the Obligor of which has paid-in-capital greater than or equal to the Dollar Equivalent of $10,000,000.</w:t>
      </w:r>
    </w:p>
    <w:p>
      <w:pPr>
        <w:spacing w:after="0" w:line="224" w:lineRule="exact"/>
        <w:rPr>
          <w:sz w:val="20"/>
          <w:szCs w:val="20"/>
          <w:color w:val="auto"/>
        </w:rPr>
      </w:pPr>
    </w:p>
    <w:p>
      <w:pPr>
        <w:ind w:right="2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“Voting Stock” </w:t>
      </w:r>
      <w:r>
        <w:rPr>
          <w:rFonts w:ascii="Times New Roman" w:cs="Times New Roman" w:eastAsia="Times New Roman" w:hAnsi="Times New Roman"/>
          <w:sz w:val="19"/>
          <w:szCs w:val="19"/>
          <w:color w:val="auto"/>
        </w:rPr>
        <w:t>of any Person means capital stock or other equity interests of any class or classes (however designated)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beneficial interests of owners having ordinary power for the election of directors or other similar governing body of such Person, other than stock, other equity interests or other beneficial interests having such power only by reason of the happening of a contingency.</w:t>
      </w:r>
    </w:p>
    <w:p>
      <w:pPr>
        <w:spacing w:after="0" w:line="166" w:lineRule="exact"/>
        <w:rPr>
          <w:sz w:val="20"/>
          <w:szCs w:val="20"/>
          <w:color w:val="auto"/>
        </w:rPr>
      </w:pPr>
    </w:p>
    <w:p>
      <w:pPr>
        <w:jc w:val="both"/>
        <w:ind w:right="50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“Weighted Average Advance Rate” </w:t>
      </w:r>
      <w:r>
        <w:rPr>
          <w:rFonts w:ascii="Times New Roman" w:cs="Times New Roman" w:eastAsia="Times New Roman" w:hAnsi="Times New Roman"/>
          <w:sz w:val="19"/>
          <w:szCs w:val="19"/>
          <w:color w:val="auto"/>
        </w:rPr>
        <w:t>means, as of any date of determination with respect to all Eligible Loans, the number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expressed as a percentage (rounded to the nearest one hundredth (1/100th) of one percent (1%)) obtained by summing the products obtained by multiplying: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the Advance Rate at such time applicable to such</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X</w:t>
            </w:r>
          </w:p>
        </w:tc>
        <w:tc>
          <w:tcPr>
            <w:tcW w:w="420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the Outstanding Loan Balance of such Eligible Loan</w:t>
            </w:r>
          </w:p>
        </w:tc>
        <w:tc>
          <w:tcPr>
            <w:tcW w:w="0" w:type="dxa"/>
            <w:vAlign w:val="bottom"/>
          </w:tcPr>
          <w:p>
            <w:pPr>
              <w:spacing w:after="0"/>
              <w:rPr>
                <w:sz w:val="1"/>
                <w:szCs w:val="1"/>
                <w:color w:val="auto"/>
              </w:rPr>
            </w:pPr>
          </w:p>
        </w:tc>
      </w:tr>
      <w:tr>
        <w:trPr>
          <w:trHeight w:val="131"/>
        </w:trPr>
        <w:tc>
          <w:tcPr>
            <w:tcW w:w="5020" w:type="dxa"/>
            <w:vAlign w:val="bottom"/>
            <w:vMerge w:val="restart"/>
          </w:tcPr>
          <w:p>
            <w:pPr>
              <w:ind w:left="840"/>
              <w:spacing w:after="0"/>
              <w:rPr>
                <w:sz w:val="20"/>
                <w:szCs w:val="20"/>
                <w:color w:val="auto"/>
              </w:rPr>
            </w:pPr>
            <w:r>
              <w:rPr>
                <w:rFonts w:ascii="Times New Roman" w:cs="Times New Roman" w:eastAsia="Times New Roman" w:hAnsi="Times New Roman"/>
                <w:sz w:val="19"/>
                <w:szCs w:val="19"/>
                <w:color w:val="auto"/>
              </w:rPr>
              <w:t>Eligible Loan</w:t>
            </w:r>
          </w:p>
        </w:tc>
        <w:tc>
          <w:tcPr>
            <w:tcW w:w="400" w:type="dxa"/>
            <w:vAlign w:val="bottom"/>
            <w:vMerge w:val="continue"/>
          </w:tcPr>
          <w:p>
            <w:pPr>
              <w:spacing w:after="0"/>
              <w:rPr>
                <w:sz w:val="11"/>
                <w:szCs w:val="11"/>
                <w:color w:val="auto"/>
              </w:rPr>
            </w:pPr>
          </w:p>
        </w:tc>
        <w:tc>
          <w:tcPr>
            <w:tcW w:w="4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50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and dividing such sum by:</w:t>
            </w:r>
          </w:p>
        </w:tc>
        <w:tc>
          <w:tcPr>
            <w:tcW w:w="4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02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the Aggregate Outstanding Loan Balance at such time.</w:t>
            </w:r>
          </w:p>
        </w:tc>
        <w:tc>
          <w:tcPr>
            <w:tcW w:w="4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40" w:firstLine="696"/>
        <w:spacing w:after="0" w:line="269" w:lineRule="auto"/>
        <w:rPr>
          <w:sz w:val="20"/>
          <w:szCs w:val="20"/>
          <w:color w:val="auto"/>
        </w:rPr>
      </w:pPr>
      <w:r>
        <w:rPr>
          <w:rFonts w:ascii="Times New Roman" w:cs="Times New Roman" w:eastAsia="Times New Roman" w:hAnsi="Times New Roman"/>
          <w:sz w:val="19"/>
          <w:szCs w:val="19"/>
          <w:i w:val="1"/>
          <w:iCs w:val="1"/>
          <w:color w:val="auto"/>
        </w:rPr>
        <w:t xml:space="preserve">“Weighted Average LTV” </w:t>
      </w:r>
      <w:r>
        <w:rPr>
          <w:rFonts w:ascii="Times New Roman" w:cs="Times New Roman" w:eastAsia="Times New Roman" w:hAnsi="Times New Roman"/>
          <w:sz w:val="19"/>
          <w:szCs w:val="19"/>
          <w:color w:val="auto"/>
        </w:rPr>
        <w:t>means, as of any date of determination with respect to all Eligible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classified as a Venture Debt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Loan</w:t>
      </w:r>
      <w:r>
        <w:rPr>
          <w:rFonts w:ascii="Times New Roman" w:cs="Times New Roman" w:eastAsia="Times New Roman" w:hAnsi="Times New Roman"/>
          <w:sz w:val="19"/>
          <w:szCs w:val="19"/>
          <w:color w:val="000000"/>
        </w:rPr>
        <w:t>, the percentage (rounded to the nearest one tenth (1/10th) of one percent (1%)) obtained by summing the products obtained by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multiplying: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4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the LTV at such time applicable to such Eligible</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9"/>
                <w:szCs w:val="19"/>
                <w:b w:val="1"/>
                <w:bCs w:val="1"/>
                <w:color w:val="auto"/>
              </w:rPr>
              <w:t>X</w:t>
            </w:r>
          </w:p>
        </w:tc>
        <w:tc>
          <w:tcPr>
            <w:tcW w:w="506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the Outstanding Loan Balance of such Eligible Loan</w:t>
            </w:r>
          </w:p>
        </w:tc>
        <w:tc>
          <w:tcPr>
            <w:tcW w:w="0" w:type="dxa"/>
            <w:vAlign w:val="bottom"/>
          </w:tcPr>
          <w:p>
            <w:pPr>
              <w:spacing w:after="0"/>
              <w:rPr>
                <w:sz w:val="1"/>
                <w:szCs w:val="1"/>
                <w:color w:val="auto"/>
              </w:rPr>
            </w:pPr>
          </w:p>
        </w:tc>
      </w:tr>
      <w:tr>
        <w:trPr>
          <w:trHeight w:val="131"/>
        </w:trPr>
        <w:tc>
          <w:tcPr>
            <w:tcW w:w="4840" w:type="dxa"/>
            <w:vAlign w:val="bottom"/>
            <w:vMerge w:val="restart"/>
          </w:tcPr>
          <w:p>
            <w:pPr>
              <w:ind w:left="840"/>
              <w:spacing w:after="0"/>
              <w:rPr>
                <w:sz w:val="20"/>
                <w:szCs w:val="20"/>
                <w:color w:val="auto"/>
              </w:rPr>
            </w:pPr>
            <w:r>
              <w:rPr>
                <w:rFonts w:ascii="Times New Roman" w:cs="Times New Roman" w:eastAsia="Times New Roman" w:hAnsi="Times New Roman"/>
                <w:sz w:val="19"/>
                <w:szCs w:val="19"/>
                <w:color w:val="auto"/>
              </w:rPr>
              <w:t>Loan</w:t>
            </w:r>
          </w:p>
        </w:tc>
        <w:tc>
          <w:tcPr>
            <w:tcW w:w="660" w:type="dxa"/>
            <w:vAlign w:val="bottom"/>
            <w:vMerge w:val="continue"/>
          </w:tcPr>
          <w:p>
            <w:pPr>
              <w:spacing w:after="0"/>
              <w:rPr>
                <w:sz w:val="11"/>
                <w:szCs w:val="11"/>
                <w:color w:val="auto"/>
              </w:rPr>
            </w:pPr>
          </w:p>
        </w:tc>
        <w:tc>
          <w:tcPr>
            <w:tcW w:w="5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484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8"/>
        </w:trPr>
        <w:tc>
          <w:tcPr>
            <w:tcW w:w="484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61</w:t>
            </w:r>
            <w:r>
              <w:rPr>
                <w:rFonts w:ascii="Times New Roman" w:cs="Times New Roman" w:eastAsia="Times New Roman" w:hAnsi="Times New Roman"/>
                <w:sz w:val="14"/>
                <w:szCs w:val="14"/>
                <w:color w:val="auto"/>
              </w:rPr>
              <w:t>-</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2"/>
        </w:trPr>
        <w:tc>
          <w:tcPr>
            <w:tcW w:w="484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50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1" w:name="page232"/>
    <w:bookmarkEnd w:id="231"/>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dividing such sum by:</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Aggregate Outstanding Loan Balance at such time.</w:t>
      </w:r>
    </w:p>
    <w:p>
      <w:pPr>
        <w:spacing w:after="0" w:line="224" w:lineRule="exact"/>
        <w:rPr>
          <w:sz w:val="20"/>
          <w:szCs w:val="20"/>
          <w:color w:val="auto"/>
        </w:rPr>
      </w:pPr>
    </w:p>
    <w:p>
      <w:pPr>
        <w:jc w:val="both"/>
        <w:ind w:right="400" w:firstLine="696"/>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“Weighted Average Proprietary Risk Rating” </w:t>
      </w:r>
      <w:r>
        <w:rPr>
          <w:rFonts w:ascii="Times New Roman" w:cs="Times New Roman" w:eastAsia="Times New Roman" w:hAnsi="Times New Roman"/>
          <w:sz w:val="19"/>
          <w:szCs w:val="19"/>
          <w:color w:val="auto"/>
        </w:rPr>
        <w:t>means, as of any date of determination with respect to all Eligible Loans,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number (rounded to the nearest one-tenth (1/10th) of one percent (1%)) obtained by summing the products obtained by multiplying: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20" w:type="dxa"/>
            <w:vAlign w:val="bottom"/>
          </w:tcPr>
          <w:p>
            <w:pPr>
              <w:ind w:left="880"/>
              <w:spacing w:after="0"/>
              <w:rPr>
                <w:sz w:val="20"/>
                <w:szCs w:val="20"/>
                <w:color w:val="auto"/>
              </w:rPr>
            </w:pPr>
            <w:r>
              <w:rPr>
                <w:rFonts w:ascii="Times New Roman" w:cs="Times New Roman" w:eastAsia="Times New Roman" w:hAnsi="Times New Roman"/>
                <w:sz w:val="19"/>
                <w:szCs w:val="19"/>
                <w:color w:val="auto"/>
              </w:rPr>
              <w:t>the Proprietary Risk Rating at such time of such</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9"/>
                <w:szCs w:val="19"/>
                <w:b w:val="1"/>
                <w:bCs w:val="1"/>
                <w:color w:val="auto"/>
              </w:rPr>
              <w:t>X</w:t>
            </w:r>
          </w:p>
        </w:tc>
        <w:tc>
          <w:tcPr>
            <w:tcW w:w="3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the Outstanding Loan Balance of such Eligible</w:t>
            </w:r>
          </w:p>
        </w:tc>
        <w:tc>
          <w:tcPr>
            <w:tcW w:w="0" w:type="dxa"/>
            <w:vAlign w:val="bottom"/>
          </w:tcPr>
          <w:p>
            <w:pPr>
              <w:spacing w:after="0"/>
              <w:rPr>
                <w:sz w:val="1"/>
                <w:szCs w:val="1"/>
                <w:color w:val="auto"/>
              </w:rPr>
            </w:pPr>
          </w:p>
        </w:tc>
      </w:tr>
      <w:tr>
        <w:trPr>
          <w:trHeight w:val="131"/>
        </w:trPr>
        <w:tc>
          <w:tcPr>
            <w:tcW w:w="5020" w:type="dxa"/>
            <w:vAlign w:val="bottom"/>
            <w:vMerge w:val="restart"/>
          </w:tcPr>
          <w:p>
            <w:pPr>
              <w:ind w:left="880"/>
              <w:spacing w:after="0"/>
              <w:rPr>
                <w:sz w:val="20"/>
                <w:szCs w:val="20"/>
                <w:color w:val="auto"/>
              </w:rPr>
            </w:pPr>
            <w:r>
              <w:rPr>
                <w:rFonts w:ascii="Times New Roman" w:cs="Times New Roman" w:eastAsia="Times New Roman" w:hAnsi="Times New Roman"/>
                <w:sz w:val="19"/>
                <w:szCs w:val="19"/>
                <w:color w:val="auto"/>
              </w:rPr>
              <w:t>Eligible Loan</w:t>
            </w:r>
          </w:p>
        </w:tc>
        <w:tc>
          <w:tcPr>
            <w:tcW w:w="480" w:type="dxa"/>
            <w:vAlign w:val="bottom"/>
            <w:vMerge w:val="continue"/>
          </w:tcPr>
          <w:p>
            <w:pPr>
              <w:spacing w:after="0"/>
              <w:rPr>
                <w:sz w:val="11"/>
                <w:szCs w:val="11"/>
                <w:color w:val="auto"/>
              </w:rPr>
            </w:pPr>
          </w:p>
        </w:tc>
        <w:tc>
          <w:tcPr>
            <w:tcW w:w="3800" w:type="dxa"/>
            <w:vAlign w:val="bottom"/>
            <w:vMerge w:val="restart"/>
          </w:tcPr>
          <w:p>
            <w:pPr>
              <w:ind w:left="200"/>
              <w:spacing w:after="0"/>
              <w:rPr>
                <w:sz w:val="20"/>
                <w:szCs w:val="20"/>
                <w:color w:val="auto"/>
              </w:rPr>
            </w:pPr>
            <w:r>
              <w:rPr>
                <w:rFonts w:ascii="Times New Roman" w:cs="Times New Roman" w:eastAsia="Times New Roman" w:hAnsi="Times New Roman"/>
                <w:sz w:val="19"/>
                <w:szCs w:val="19"/>
                <w:color w:val="auto"/>
              </w:rPr>
              <w:t>Loan</w:t>
            </w:r>
          </w:p>
        </w:tc>
        <w:tc>
          <w:tcPr>
            <w:tcW w:w="0" w:type="dxa"/>
            <w:vAlign w:val="bottom"/>
          </w:tcPr>
          <w:p>
            <w:pPr>
              <w:spacing w:after="0"/>
              <w:rPr>
                <w:sz w:val="1"/>
                <w:szCs w:val="1"/>
                <w:color w:val="auto"/>
              </w:rPr>
            </w:pPr>
          </w:p>
        </w:tc>
      </w:tr>
      <w:tr>
        <w:trPr>
          <w:trHeight w:val="120"/>
        </w:trPr>
        <w:tc>
          <w:tcPr>
            <w:tcW w:w="50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4"/>
        </w:trPr>
        <w:tc>
          <w:tcPr>
            <w:tcW w:w="5020" w:type="dxa"/>
            <w:vAlign w:val="bottom"/>
          </w:tcPr>
          <w:p>
            <w:pPr>
              <w:spacing w:after="0"/>
              <w:rPr>
                <w:sz w:val="20"/>
                <w:szCs w:val="20"/>
                <w:color w:val="auto"/>
              </w:rPr>
            </w:pPr>
            <w:r>
              <w:rPr>
                <w:rFonts w:ascii="Times New Roman" w:cs="Times New Roman" w:eastAsia="Times New Roman" w:hAnsi="Times New Roman"/>
                <w:sz w:val="19"/>
                <w:szCs w:val="19"/>
                <w:color w:val="auto"/>
              </w:rPr>
              <w:t>and dividing such sum by:</w:t>
            </w:r>
          </w:p>
        </w:tc>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02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the Aggregate Outstanding Loan Balance at such time.</w:t>
            </w:r>
          </w:p>
        </w:tc>
        <w:tc>
          <w:tcPr>
            <w:tcW w:w="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20" w:firstLine="696"/>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“Weighted Average Remaining Maturity” </w:t>
      </w:r>
      <w:r>
        <w:rPr>
          <w:rFonts w:ascii="Times New Roman" w:cs="Times New Roman" w:eastAsia="Times New Roman" w:hAnsi="Times New Roman"/>
          <w:sz w:val="19"/>
          <w:szCs w:val="19"/>
          <w:color w:val="auto"/>
        </w:rPr>
        <w:t>means, as of any date of measurement, with respect to all of the Eligible Loans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included in the Collateral at such time, the number (rounded to the nearest one-tenth (1/10th)) equal to (i) the sum of the products for each such Eligible Loan of (A) the remaining term to maturity (in years, rounded to the nearest month and based upon the initial maturity date of such Eligible Loan) of such Eligible Loan times (B) the Outstanding Loan Balance of such Eligible Loan, divided by (ii) Aggregate Outstanding Loan Balance at such time.</w:t>
      </w:r>
    </w:p>
    <w:p>
      <w:pPr>
        <w:spacing w:after="0" w:line="173" w:lineRule="exact"/>
        <w:rPr>
          <w:sz w:val="20"/>
          <w:szCs w:val="20"/>
          <w:color w:val="auto"/>
        </w:rPr>
      </w:pPr>
    </w:p>
    <w:p>
      <w:pPr>
        <w:ind w:right="140" w:firstLine="696"/>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“Weighted Average Remaining Interest Only Period” </w:t>
      </w:r>
      <w:r>
        <w:rPr>
          <w:rFonts w:ascii="Times New Roman" w:cs="Times New Roman" w:eastAsia="Times New Roman" w:hAnsi="Times New Roman"/>
          <w:sz w:val="19"/>
          <w:szCs w:val="19"/>
          <w:color w:val="auto"/>
        </w:rPr>
        <w:t>means, as of any date of measurement, with respect to all of the Eligible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Loans included in the Collateral at such time, the number equal to (i) the sum of the products for each such Eligible Loan of (A) the remaining interest only period of such Eligible Loan times (B) the Outstanding Loan Balance of such Eligible Loan, divided by (ii) Aggregate Outstanding Loan Balance at such time.</w:t>
      </w:r>
    </w:p>
    <w:p>
      <w:pPr>
        <w:spacing w:after="0" w:line="171" w:lineRule="exact"/>
        <w:rPr>
          <w:sz w:val="20"/>
          <w:szCs w:val="20"/>
          <w:color w:val="auto"/>
        </w:rPr>
      </w:pPr>
    </w:p>
    <w:p>
      <w:pPr>
        <w:ind w:firstLine="696"/>
        <w:spacing w:after="0" w:line="238" w:lineRule="auto"/>
        <w:rPr>
          <w:sz w:val="20"/>
          <w:szCs w:val="20"/>
          <w:color w:val="auto"/>
        </w:rPr>
      </w:pPr>
      <w:r>
        <w:rPr>
          <w:rFonts w:ascii="Times New Roman" w:cs="Times New Roman" w:eastAsia="Times New Roman" w:hAnsi="Times New Roman"/>
          <w:sz w:val="19"/>
          <w:szCs w:val="19"/>
          <w:i w:val="1"/>
          <w:iCs w:val="1"/>
          <w:color w:val="0000FF"/>
        </w:rPr>
        <w:t xml:space="preserve">“Weighted Average Senior Funded Debt to TTM EBITDA Ratio” </w:t>
      </w:r>
      <w:r>
        <w:rPr>
          <w:rFonts w:ascii="Times New Roman" w:cs="Times New Roman" w:eastAsia="Times New Roman" w:hAnsi="Times New Roman"/>
          <w:sz w:val="19"/>
          <w:szCs w:val="19"/>
          <w:color w:val="0000FF"/>
        </w:rPr>
        <w:t>means, as of any date of determination with respect to all</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Eligible Loans classified as a Cash Flow Loan, the percentage (rounded to the nearest one tenth (1/10</w:t>
      </w:r>
      <w:r>
        <w:rPr>
          <w:rFonts w:ascii="Times New Roman" w:cs="Times New Roman" w:eastAsia="Times New Roman" w:hAnsi="Times New Roman"/>
          <w:sz w:val="26"/>
          <w:szCs w:val="26"/>
          <w:color w:val="0000FF"/>
          <w:vertAlign w:val="superscript"/>
        </w:rPr>
        <w:t>th</w:t>
      </w:r>
      <w:r>
        <w:rPr>
          <w:rFonts w:ascii="Times New Roman" w:cs="Times New Roman" w:eastAsia="Times New Roman" w:hAnsi="Times New Roman"/>
          <w:sz w:val="19"/>
          <w:szCs w:val="19"/>
          <w:color w:val="0000FF"/>
        </w:rPr>
        <w:t>) of one percent (1%)) obtained by summing the products obtained by multiplying: (a) the Senior Funded Debt to TTM EBITDA Ratio at such time applicable to such Eligible Loan and (b) the Outstanding Loan Balance of such Eligible Loan and dividing such sum by the Aggregate Outstanding Loan Balance at such time.</w:t>
      </w:r>
    </w:p>
    <w:p>
      <w:pPr>
        <w:spacing w:after="0" w:line="193" w:lineRule="exact"/>
        <w:rPr>
          <w:sz w:val="20"/>
          <w:szCs w:val="20"/>
          <w:color w:val="auto"/>
        </w:rPr>
      </w:pPr>
    </w:p>
    <w:p>
      <w:pPr>
        <w:ind w:right="20" w:firstLine="696"/>
        <w:spacing w:after="0" w:line="260" w:lineRule="auto"/>
        <w:rPr>
          <w:sz w:val="20"/>
          <w:szCs w:val="20"/>
          <w:color w:val="auto"/>
        </w:rPr>
      </w:pPr>
      <w:r>
        <w:rPr>
          <w:rFonts w:ascii="Times New Roman" w:cs="Times New Roman" w:eastAsia="Times New Roman" w:hAnsi="Times New Roman"/>
          <w:sz w:val="19"/>
          <w:szCs w:val="19"/>
          <w:i w:val="1"/>
          <w:iCs w:val="1"/>
          <w:color w:val="0000FF"/>
        </w:rPr>
        <w:t xml:space="preserve">“Weighted Average Senior Funded Debt Ratio to TTM Recurring Revenue” </w:t>
      </w:r>
      <w:r>
        <w:rPr>
          <w:rFonts w:ascii="Times New Roman" w:cs="Times New Roman" w:eastAsia="Times New Roman" w:hAnsi="Times New Roman"/>
          <w:sz w:val="19"/>
          <w:szCs w:val="19"/>
          <w:color w:val="0000FF"/>
        </w:rPr>
        <w:t>means, as of any date of determination with respect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to all Eligible Loans classified as a Recurring Revenue Loan, the percentage (rounded to the nearest one tenth (1/10th) of one percent (1%) ) obtained by summing the products obtained by multiplying: (a) the Senior Funded Debt to TTM Recurring Revenue Ratio at such time applicable to such Eligible Loan and (b) the Outstanding Loan Balance of such Eligible Loan and dividing such sum by the Aggregate Outstanding Loan Balance at such time.</w:t>
      </w:r>
    </w:p>
    <w:p>
      <w:pPr>
        <w:spacing w:after="0" w:line="173" w:lineRule="exact"/>
        <w:rPr>
          <w:sz w:val="20"/>
          <w:szCs w:val="20"/>
          <w:color w:val="auto"/>
        </w:rPr>
      </w:pPr>
    </w:p>
    <w:p>
      <w:pPr>
        <w:ind w:right="160" w:firstLine="696"/>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“Weighted Average Spread” </w:t>
      </w:r>
      <w:r>
        <w:rPr>
          <w:rFonts w:ascii="Times New Roman" w:cs="Times New Roman" w:eastAsia="Times New Roman" w:hAnsi="Times New Roman"/>
          <w:sz w:val="19"/>
          <w:szCs w:val="19"/>
          <w:color w:val="auto"/>
        </w:rPr>
        <w:t>means, as of any date of determination, an amount (rounded to the nearest one-tenth (1/10th)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one percent (1%)) equal to (i) the sum of the products for each such Eligible Loan of (A) the Spread, on an annualized basis, applicable to such Eligible Loan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2" w:name="page233"/>
    <w:bookmarkEnd w:id="232"/>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times </w:t>
      </w:r>
      <w:r>
        <w:rPr>
          <w:rFonts w:ascii="Times New Roman" w:cs="Times New Roman" w:eastAsia="Times New Roman" w:hAnsi="Times New Roman"/>
          <w:sz w:val="19"/>
          <w:szCs w:val="19"/>
          <w:color w:val="auto"/>
        </w:rPr>
        <w:t>(B) the Outstanding Loan Balance of such Eligible Loan,</w:t>
      </w:r>
      <w:r>
        <w:rPr>
          <w:rFonts w:ascii="Times New Roman" w:cs="Times New Roman" w:eastAsia="Times New Roman" w:hAnsi="Times New Roman"/>
          <w:sz w:val="19"/>
          <w:szCs w:val="19"/>
          <w:i w:val="1"/>
          <w:iCs w:val="1"/>
          <w:color w:val="auto"/>
        </w:rPr>
        <w:t xml:space="preserve"> divided by </w:t>
      </w:r>
      <w:r>
        <w:rPr>
          <w:rFonts w:ascii="Times New Roman" w:cs="Times New Roman" w:eastAsia="Times New Roman" w:hAnsi="Times New Roman"/>
          <w:sz w:val="19"/>
          <w:szCs w:val="19"/>
          <w:color w:val="auto"/>
        </w:rPr>
        <w:t>(ii) the Aggregate Outstanding Loan Balance at such time.</w:t>
      </w:r>
    </w:p>
    <w:p>
      <w:pPr>
        <w:spacing w:after="0" w:line="209" w:lineRule="exact"/>
        <w:rPr>
          <w:sz w:val="20"/>
          <w:szCs w:val="20"/>
          <w:color w:val="auto"/>
        </w:rPr>
      </w:pPr>
    </w:p>
    <w:p>
      <w:pPr>
        <w:ind w:right="40" w:firstLine="696"/>
        <w:spacing w:after="0" w:line="234" w:lineRule="exact"/>
        <w:rPr>
          <w:sz w:val="20"/>
          <w:szCs w:val="20"/>
          <w:color w:val="auto"/>
        </w:rPr>
      </w:pPr>
      <w:r>
        <w:rPr>
          <w:rFonts w:ascii="Times New Roman" w:cs="Times New Roman" w:eastAsia="Times New Roman" w:hAnsi="Times New Roman"/>
          <w:sz w:val="19"/>
          <w:szCs w:val="19"/>
          <w:i w:val="1"/>
          <w:iCs w:val="1"/>
          <w:color w:val="auto"/>
        </w:rPr>
        <w:t>“Write</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 xml:space="preserve">Down and Conversion Powers” </w:t>
      </w:r>
      <w:r>
        <w:rPr>
          <w:rFonts w:ascii="Times New Roman" w:cs="Times New Roman" w:eastAsia="Times New Roman" w:hAnsi="Times New Roman"/>
          <w:sz w:val="19"/>
          <w:szCs w:val="19"/>
          <w:color w:val="auto"/>
        </w:rPr>
        <w:t>means, (a) with respect to any EEA Resolution Authority, the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conversion powers of such EEA Resolution Authority from time to time under the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for the applicable EEA Member Country, which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down and conversion powers are described in the EU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In Legislation Schedule, and (b) with respect to the United Kingdom, any powers of the applicable Resolution Authority under the Bail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Legislation that are related to or ancillary to any of those powers.</w:t>
      </w:r>
    </w:p>
    <w:p>
      <w:pPr>
        <w:spacing w:after="0" w:line="186" w:lineRule="exact"/>
        <w:rPr>
          <w:sz w:val="20"/>
          <w:szCs w:val="20"/>
          <w:color w:val="auto"/>
        </w:rPr>
      </w:pPr>
    </w:p>
    <w:p>
      <w:pPr>
        <w:ind w:right="12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1.2. Other Terms</w:t>
      </w:r>
      <w:r>
        <w:rPr>
          <w:rFonts w:ascii="Times New Roman" w:cs="Times New Roman" w:eastAsia="Times New Roman" w:hAnsi="Times New Roman"/>
          <w:sz w:val="19"/>
          <w:szCs w:val="19"/>
          <w:color w:val="auto"/>
        </w:rPr>
        <w:t>. All accounting terms not specifically defined herein shall be construed in accordance with GAAP.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extent any change in GAAP after the Effective Date resulting from the adoption of international accounting standards in the United States affects any computation or determination required to be made under or pursuant to this Agreement, including any computation or determination made with respect to the Borrower’s compliance with any covenant or condition hereunder, such computation or determination shall be made as if such change in GAAP had not occurred. All terms used in Article 9 of the UCC in the State of New York, and not specifically defined herein, are used herein as defined in such Article 9.</w:t>
      </w:r>
    </w:p>
    <w:p>
      <w:pPr>
        <w:spacing w:after="0" w:line="175" w:lineRule="exact"/>
        <w:rPr>
          <w:sz w:val="20"/>
          <w:szCs w:val="20"/>
          <w:color w:val="auto"/>
        </w:rPr>
      </w:pPr>
    </w:p>
    <w:p>
      <w:pPr>
        <w:jc w:val="both"/>
        <w:ind w:right="24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1.3. Computation of Time Periods</w:t>
      </w:r>
      <w:r>
        <w:rPr>
          <w:rFonts w:ascii="Times New Roman" w:cs="Times New Roman" w:eastAsia="Times New Roman" w:hAnsi="Times New Roman"/>
          <w:sz w:val="19"/>
          <w:szCs w:val="19"/>
          <w:color w:val="auto"/>
        </w:rPr>
        <w:t>. Unless otherwise stated in this Agreement, in the computation of a period of time from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specified date to a later specified date, the word “from” means “from and including” and the words “to” and “until” each mean “to but excluding.”</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1.4. Interpretation</w:t>
      </w:r>
      <w:r>
        <w:rPr>
          <w:rFonts w:ascii="Times New Roman" w:cs="Times New Roman" w:eastAsia="Times New Roman" w:hAnsi="Times New Roman"/>
          <w:sz w:val="19"/>
          <w:szCs w:val="19"/>
          <w:color w:val="auto"/>
        </w:rPr>
        <w:t>. In each Transaction Document, unless a contrary intention appears:</w:t>
      </w:r>
    </w:p>
    <w:p>
      <w:pPr>
        <w:spacing w:after="0" w:line="228" w:lineRule="exact"/>
        <w:rPr>
          <w:sz w:val="20"/>
          <w:szCs w:val="20"/>
          <w:color w:val="auto"/>
        </w:rPr>
      </w:pPr>
    </w:p>
    <w:p>
      <w:pPr>
        <w:ind w:left="980" w:hanging="230"/>
        <w:spacing w:after="0"/>
        <w:tabs>
          <w:tab w:leader="none" w:pos="9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singular number includes the plural number and vice versa;</w:t>
      </w:r>
    </w:p>
    <w:p>
      <w:pPr>
        <w:spacing w:after="0" w:line="225" w:lineRule="exact"/>
        <w:rPr>
          <w:rFonts w:ascii="Times New Roman" w:cs="Times New Roman" w:eastAsia="Times New Roman" w:hAnsi="Times New Roman"/>
          <w:sz w:val="19"/>
          <w:szCs w:val="19"/>
          <w:color w:val="auto"/>
        </w:rPr>
      </w:pPr>
    </w:p>
    <w:p>
      <w:pPr>
        <w:ind w:left="700" w:firstLine="50"/>
        <w:spacing w:after="0" w:line="286" w:lineRule="auto"/>
        <w:tabs>
          <w:tab w:leader="none" w:pos="103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to any Person includes such Person’s successors and assigns but, if applicable, only if such successors and assigns are permitted by the Transaction Document;</w:t>
      </w:r>
    </w:p>
    <w:p>
      <w:pPr>
        <w:spacing w:after="0" w:line="151" w:lineRule="exact"/>
        <w:rPr>
          <w:rFonts w:ascii="Times New Roman" w:cs="Times New Roman" w:eastAsia="Times New Roman" w:hAnsi="Times New Roman"/>
          <w:sz w:val="19"/>
          <w:szCs w:val="19"/>
          <w:color w:val="auto"/>
        </w:rPr>
      </w:pPr>
    </w:p>
    <w:p>
      <w:pPr>
        <w:ind w:left="1080" w:hanging="330"/>
        <w:spacing w:after="0"/>
        <w:tabs>
          <w:tab w:leader="none" w:pos="108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to any gender includes each other gender;</w:t>
      </w:r>
    </w:p>
    <w:p>
      <w:pPr>
        <w:spacing w:after="0" w:line="225" w:lineRule="exact"/>
        <w:rPr>
          <w:rFonts w:ascii="Times New Roman" w:cs="Times New Roman" w:eastAsia="Times New Roman" w:hAnsi="Times New Roman"/>
          <w:sz w:val="19"/>
          <w:szCs w:val="19"/>
          <w:color w:val="auto"/>
        </w:rPr>
      </w:pPr>
    </w:p>
    <w:p>
      <w:pPr>
        <w:ind w:left="700" w:right="300" w:firstLine="50"/>
        <w:spacing w:after="0" w:line="258" w:lineRule="auto"/>
        <w:tabs>
          <w:tab w:leader="none" w:pos="1073"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to any agreement (including any Transaction Document), document or instrument means such agreement, document or instrument as amended, supplemented or modified and in effect from time to time in accordance with the terms thereof and, if applicable, the terms of the other Transaction Documents and reference to any promissory note includes any</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promissory note that is an extension or renewal thereof or a substitute or replacement therefor;</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3" w:name="page234"/>
    <w:bookmarkEnd w:id="233"/>
    <w:p>
      <w:pPr>
        <w:spacing w:after="0" w:line="200" w:lineRule="exact"/>
        <w:rPr>
          <w:sz w:val="20"/>
          <w:szCs w:val="20"/>
          <w:color w:val="auto"/>
        </w:rPr>
      </w:pPr>
    </w:p>
    <w:p>
      <w:pPr>
        <w:spacing w:after="0" w:line="285" w:lineRule="exact"/>
        <w:rPr>
          <w:sz w:val="20"/>
          <w:szCs w:val="20"/>
          <w:color w:val="auto"/>
        </w:rPr>
      </w:pPr>
    </w:p>
    <w:p>
      <w:pPr>
        <w:ind w:left="700" w:right="140" w:firstLine="50"/>
        <w:spacing w:after="0" w:line="259" w:lineRule="auto"/>
        <w:tabs>
          <w:tab w:leader="none" w:pos="102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and</w:t>
      </w:r>
    </w:p>
    <w:p>
      <w:pPr>
        <w:spacing w:after="0" w:line="177" w:lineRule="exact"/>
        <w:rPr>
          <w:rFonts w:ascii="Times New Roman" w:cs="Times New Roman" w:eastAsia="Times New Roman" w:hAnsi="Times New Roman"/>
          <w:sz w:val="19"/>
          <w:szCs w:val="19"/>
          <w:color w:val="auto"/>
        </w:rPr>
      </w:pPr>
    </w:p>
    <w:p>
      <w:pPr>
        <w:ind w:left="700" w:firstLine="50"/>
        <w:spacing w:after="0" w:line="268" w:lineRule="auto"/>
        <w:tabs>
          <w:tab w:leader="none" w:pos="107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references to any action to be taken, permitted to be taken or prohibited to be taken by the Borrower under this Agreement shall be deemed to include any actions on behalf of the Borrower by the Investment Adviser pursuant to the terms of the Investment Advisory Agreement.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1.5</w:t>
      </w:r>
      <w:r>
        <w:rPr>
          <w:rFonts w:ascii="Times New Roman" w:cs="Times New Roman" w:eastAsia="Times New Roman" w:hAnsi="Times New Roman"/>
          <w:sz w:val="19"/>
          <w:szCs w:val="19"/>
          <w:i w:val="1"/>
          <w:iCs w:val="1"/>
          <w:color w:val="0000FF"/>
        </w:rPr>
        <w:t>. Calculation of Borrowing Base; Monetary Calculations with Respect to Approved Foreign Currencies</w:t>
      </w:r>
      <w:r>
        <w:rPr>
          <w:rFonts w:ascii="Times New Roman" w:cs="Times New Roman" w:eastAsia="Times New Roman" w:hAnsi="Times New Roman"/>
          <w:sz w:val="19"/>
          <w:szCs w:val="19"/>
          <w:color w:val="0000FF"/>
        </w:rPr>
        <w:t>. In connection with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amounts to be calculated for purposes of determining the Borrowing Base and generally preparing the Borrowing Base Certificate, all amounts shall be expressed in Dollars. Any amount denominated in an Approved Foreign Currency shall be expressed as the Dollar Equivalent of such amount. Notwithstanding any other provision of this Agreement to the contrary, all monetary calculations under this Agreement shall be in Dollars (and any amounts denominated in an Approved Foreign Currency shall be converted to the Dollar Equivalent for such calculations, as applicable).</w:t>
      </w:r>
    </w:p>
    <w:p>
      <w:pPr>
        <w:spacing w:after="0" w:line="175" w:lineRule="exact"/>
        <w:rPr>
          <w:sz w:val="20"/>
          <w:szCs w:val="20"/>
          <w:color w:val="auto"/>
        </w:rPr>
      </w:pPr>
    </w:p>
    <w:p>
      <w:pPr>
        <w:ind w:right="280" w:firstLine="48"/>
        <w:spacing w:after="0" w:line="255" w:lineRule="auto"/>
        <w:rPr>
          <w:sz w:val="20"/>
          <w:szCs w:val="20"/>
          <w:color w:val="auto"/>
        </w:rPr>
      </w:pPr>
      <w:r>
        <w:rPr>
          <w:rFonts w:ascii="Times New Roman" w:cs="Times New Roman" w:eastAsia="Times New Roman" w:hAnsi="Times New Roman"/>
          <w:sz w:val="19"/>
          <w:szCs w:val="19"/>
          <w:i w:val="1"/>
          <w:iCs w:val="1"/>
          <w:color w:val="0000FF"/>
        </w:rPr>
        <w:t>Section 1.6</w:t>
      </w:r>
      <w:r>
        <w:rPr>
          <w:rFonts w:ascii="Times New Roman" w:cs="Times New Roman" w:eastAsia="Times New Roman" w:hAnsi="Times New Roman"/>
          <w:sz w:val="19"/>
          <w:szCs w:val="19"/>
          <w:i w:val="1"/>
          <w:iCs w:val="1"/>
          <w:color w:val="000000"/>
        </w:rPr>
        <w:t>. Rates</w:t>
      </w:r>
      <w:r>
        <w:rPr>
          <w:rFonts w:ascii="Times New Roman" w:cs="Times New Roman" w:eastAsia="Times New Roman" w:hAnsi="Times New Roman"/>
          <w:sz w:val="19"/>
          <w:szCs w:val="19"/>
          <w:color w:val="000000"/>
        </w:rPr>
        <w:t>. The interest rate on Loans denominated in Dollars may be determined by reference to a benchmark rate that is, or</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00"/>
        </w:rPr>
        <w:t>may in the future become, the subject of regulatory reform or cessation. The Administrative Agent does not warrant or accept responsibility for, and shall not have any liability with respect to (a) the administration of, submission of, calculation of or any other matter related to Term SOFR, any component definition thereof or rates referenced in the definition thereof or any alternative, comparable or successor rate thereto (including any then-current Benchmark or any Benchmark Replacement), including whether the composition or characteristics of any such alternative, comparable or successor rate (including any Benchmark Replacement) will be similar to, or produce the same value or economic equivalence of, or have the same volume or liquidity as, Term SOFR or any other Benchmark, or (b) the effect, implementation or composition of any Benchmark Replacement Conforming Changes.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II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DVANCES</w:t>
      </w:r>
    </w:p>
    <w:p>
      <w:pPr>
        <w:spacing w:after="0" w:line="226" w:lineRule="exact"/>
        <w:rPr>
          <w:sz w:val="20"/>
          <w:szCs w:val="20"/>
          <w:color w:val="auto"/>
        </w:rPr>
      </w:pPr>
    </w:p>
    <w:p>
      <w:pPr>
        <w:ind w:right="6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2.1. Advances</w:t>
      </w:r>
      <w:r>
        <w:rPr>
          <w:rFonts w:ascii="Times New Roman" w:cs="Times New Roman" w:eastAsia="Times New Roman" w:hAnsi="Times New Roman"/>
          <w:sz w:val="19"/>
          <w:szCs w:val="19"/>
          <w:color w:val="auto"/>
        </w:rPr>
        <w:t>. (a) On the terms and conditions hereinafter set forth, the Borrower may, by delivery of a Funding Request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and each Managing Agent, from time to time on any Business Day during the Revolving Period, at its option, request that the Lenders make Advances to it (including, in the case of the Swingline Lender, any Swingline Advances) in an amount which, at any time, shall not exceed the Availability in effect on the related Funding Date. Such Funding Request shall be delivered not later than 11:00 a.m.</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4" w:name="page235"/>
    <w:bookmarkEnd w:id="234"/>
    <w:p>
      <w:pPr>
        <w:spacing w:after="0" w:line="200" w:lineRule="exact"/>
        <w:rPr>
          <w:sz w:val="20"/>
          <w:szCs w:val="20"/>
          <w:color w:val="auto"/>
        </w:rPr>
      </w:pPr>
    </w:p>
    <w:p>
      <w:pPr>
        <w:spacing w:after="0" w:line="283" w:lineRule="exact"/>
        <w:rPr>
          <w:sz w:val="20"/>
          <w:szCs w:val="20"/>
          <w:color w:val="auto"/>
        </w:rPr>
      </w:pPr>
    </w:p>
    <w:p>
      <w:pPr>
        <w:ind w:right="20"/>
        <w:spacing w:after="0" w:line="231" w:lineRule="exact"/>
        <w:rPr>
          <w:sz w:val="20"/>
          <w:szCs w:val="20"/>
          <w:color w:val="auto"/>
        </w:rPr>
      </w:pPr>
      <w:r>
        <w:rPr>
          <w:rFonts w:ascii="Times New Roman" w:cs="Times New Roman" w:eastAsia="Times New Roman" w:hAnsi="Times New Roman"/>
          <w:sz w:val="19"/>
          <w:szCs w:val="19"/>
          <w:color w:val="auto"/>
        </w:rPr>
        <w:t xml:space="preserve">(New York City time) on the requested Funding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notwithstanding anything contained herein to the contrary, no more than two Advances may be made in a calendar week. Upon receipt of such Funding Request, the Administrative Agent (or, if applicable, each Managing Agent) shall promptly forward such Funding Request to the Lenders (or if applicable, each Managing Agent shall promptly forward such Funding Request to the Lenders in its Lender Group), and the applicable portion of the Advance will be made by the Lenders in accordance with their Pro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Rata Shares. Notwithstanding anything contained in this Section 2.1 or elsewhere in this Agreement to the contrary, no Lender shall be obligated to make any Advance in an amount that would result in the aggregate Advances then funded by such Lender exceeding its Commitment then in effect. The obligation of each Lender to remit its Pro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Rata Share of any such Advance allocated to its Lender Group shall be several from that of each other Lender, and the failure of any Lender to so make such amount available to the Borrower shall not relieve any other Lender of its obligation hereunder. Each Advance to be made hereunder shall be made ratably among the Lender Groups in accordance with their Group Advance Limits. For the avoidance of doubt, each Lender’s obligation to refund Swingline Advances pursuant to Section 2.2(f) shall constitute usage of its Commitment.</w:t>
      </w:r>
    </w:p>
    <w:p>
      <w:pPr>
        <w:spacing w:after="0" w:line="193" w:lineRule="exact"/>
        <w:rPr>
          <w:sz w:val="20"/>
          <w:szCs w:val="20"/>
          <w:color w:val="auto"/>
        </w:rPr>
      </w:pPr>
    </w:p>
    <w:p>
      <w:pPr>
        <w:ind w:firstLine="54"/>
        <w:spacing w:after="0" w:line="229" w:lineRule="exact"/>
        <w:tabs>
          <w:tab w:leader="none" w:pos="32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no later than ninety (90) days prior to the date which is two years after the Restatement Effective Date and each anniversary thereafter, by written notice to the Administrative Agent, make written requests for the Lenders to extend the Commitment Termination Date. The Administrative Agent will give prompt notice to each Managing Agent of its receipt of such request, and each Managing Agent shall give prompt notice to each of the Lenders in its related Lender Group of its receipt of such request for extension of the Commitment Termination Date. Each Lender shall make a determination, in its sole discretion and after a full credit review, not less than sixty (60) days prior to the applicable anniversary of the Restatement Effective Date as to whether or not it will agree to extend the Commitment Termination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 failure of any Lender to make a timely response to the Borrower’s request for extension of the Commitment Termination Date shall be deemed to constitute a refusal by such Lender to extend the Commitment Termination Date. In the event that at least one Lender agrees to extend the Commitment Termination Date, the Borrower, the Administrative Agent and the extending Lenders shall enter into such documents as the Administrative Agent and such extending Lenders and may deem necessary or appropriate to reflect such extension, and all reasonable costs and expenses incurred by such Lenders and the Administrative Agent (including reasonable attorneys’ fees) shall be paid by the Borrower. In the event that any Lender declines the request to extend the Commitment Termination Date (each such Lender being referred to herein, from and after their then current Commitment Termination Date as a </w:t>
      </w:r>
      <w:r>
        <w:rPr>
          <w:rFonts w:ascii="Times New Roman" w:cs="Times New Roman" w:eastAsia="Times New Roman" w:hAnsi="Times New Roman"/>
          <w:sz w:val="19"/>
          <w:szCs w:val="19"/>
          <w:i w:val="1"/>
          <w:iCs w:val="1"/>
          <w:color w:val="auto"/>
        </w:rPr>
        <w:t>“Non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Renewing Lender”</w:t>
      </w:r>
      <w:r>
        <w:rPr>
          <w:rFonts w:ascii="Times New Roman" w:cs="Times New Roman" w:eastAsia="Times New Roman" w:hAnsi="Times New Roman"/>
          <w:sz w:val="19"/>
          <w:szCs w:val="19"/>
          <w:color w:val="auto"/>
        </w:rPr>
        <w:t>), and the Commitment of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Renewing Lender is not assigned to another Person in accordance with the terms of Article XI prior to the then current Commitment Termination Date, (i) the Facility Amount shall be reduced by an amount equal to each such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Renewing Lender’s Commitment on the then current Commitment Termination Date, and (ii) the Group Advance Limits of the applicable Lender Groups shall be reduced by an amount equal to the applicable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Renewing Lender’s Commitment on the then current Commitment Termination Date. Notwithstanding the foregoing, the Borrower may elect to withdraw its request to extend the Commitment Termination Date in the event that the effective Facility Amount following any Commitment Termination Date extension would be less than the Facility Amount in effect on the Commitment Termination Date prior to such extension.</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35" w:name="page236"/>
    <w:bookmarkEnd w:id="235"/>
    <w:p>
      <w:pPr>
        <w:spacing w:after="0" w:line="200" w:lineRule="exact"/>
        <w:rPr>
          <w:sz w:val="20"/>
          <w:szCs w:val="20"/>
          <w:color w:val="auto"/>
        </w:rPr>
      </w:pPr>
    </w:p>
    <w:p>
      <w:pPr>
        <w:spacing w:after="0" w:line="283" w:lineRule="exact"/>
        <w:rPr>
          <w:sz w:val="20"/>
          <w:szCs w:val="20"/>
          <w:color w:val="auto"/>
        </w:rPr>
      </w:pPr>
    </w:p>
    <w:p>
      <w:pPr>
        <w:ind w:right="12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2.2. Procedures for Advances</w:t>
      </w:r>
      <w:r>
        <w:rPr>
          <w:rFonts w:ascii="Times New Roman" w:cs="Times New Roman" w:eastAsia="Times New Roman" w:hAnsi="Times New Roman"/>
          <w:sz w:val="19"/>
          <w:szCs w:val="19"/>
          <w:color w:val="auto"/>
        </w:rPr>
        <w:t>. (a) In the case of the making of any Advance or any termination, increase or reduction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Facility Amount, the Borrower shall give the Administrative Agent a Borrower Notice. Each Borrower Notice shall specify the amount (subject to Section 2.1 hereof) of Advances to be borrowed and the Funding Date (which shall be a Business Day).</w:t>
      </w:r>
    </w:p>
    <w:p>
      <w:pPr>
        <w:spacing w:after="0" w:line="168" w:lineRule="exact"/>
        <w:rPr>
          <w:sz w:val="20"/>
          <w:szCs w:val="20"/>
          <w:color w:val="auto"/>
        </w:rPr>
      </w:pPr>
    </w:p>
    <w:p>
      <w:pPr>
        <w:ind w:right="460" w:firstLine="54"/>
        <w:spacing w:after="0" w:line="286" w:lineRule="auto"/>
        <w:tabs>
          <w:tab w:leader="none" w:pos="32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conditions described in Section 2.1, the Borrower may request an Advance from the Lenders by delivering to the Administrative Agent at certain times the information and documents set forth in this Section 2.2.</w:t>
      </w:r>
    </w:p>
    <w:p>
      <w:pPr>
        <w:spacing w:after="0" w:line="151" w:lineRule="exact"/>
        <w:rPr>
          <w:rFonts w:ascii="Times New Roman" w:cs="Times New Roman" w:eastAsia="Times New Roman" w:hAnsi="Times New Roman"/>
          <w:sz w:val="19"/>
          <w:szCs w:val="19"/>
          <w:color w:val="auto"/>
        </w:rPr>
      </w:pPr>
    </w:p>
    <w:p>
      <w:pPr>
        <w:ind w:right="160" w:firstLine="54"/>
        <w:spacing w:after="0" w:line="262" w:lineRule="auto"/>
        <w:tabs>
          <w:tab w:leader="none" w:pos="30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later than 11:00 a.m. (New York City time) on the proposed Funding Date (or, other than in the case of clause (i) below, such shorter period of time or later date as may be agreed to by the Required Lenders), the Administrative Agent, each Managing Agent, the Document Custodian, the Collateral Custodian, and the Swingline Lender, as applicable, shall receive or shall have previously received the following:</w:t>
      </w:r>
    </w:p>
    <w:p>
      <w:pPr>
        <w:spacing w:after="0" w:line="174" w:lineRule="exact"/>
        <w:rPr>
          <w:rFonts w:ascii="Times New Roman" w:cs="Times New Roman" w:eastAsia="Times New Roman" w:hAnsi="Times New Roman"/>
          <w:sz w:val="19"/>
          <w:szCs w:val="19"/>
          <w:color w:val="auto"/>
        </w:rPr>
      </w:pPr>
    </w:p>
    <w:p>
      <w:pPr>
        <w:ind w:left="700" w:right="420" w:firstLine="50"/>
        <w:spacing w:after="0" w:line="286" w:lineRule="auto"/>
        <w:tabs>
          <w:tab w:leader="none" w:pos="977"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Funding Request in the form of Exhibit A (including a duly completed Borrowing Base Certificate as of the proposed Funding Date and giving pro forma effect to the Advance requested and the use of proceeds thereof); and</w:t>
      </w:r>
    </w:p>
    <w:p>
      <w:pPr>
        <w:spacing w:after="0" w:line="151" w:lineRule="exact"/>
        <w:rPr>
          <w:rFonts w:ascii="Times New Roman" w:cs="Times New Roman" w:eastAsia="Times New Roman" w:hAnsi="Times New Roman"/>
          <w:sz w:val="19"/>
          <w:szCs w:val="19"/>
          <w:color w:val="auto"/>
        </w:rPr>
      </w:pPr>
    </w:p>
    <w:p>
      <w:pPr>
        <w:ind w:left="1040" w:hanging="290"/>
        <w:spacing w:after="0"/>
        <w:tabs>
          <w:tab w:leader="none" w:pos="1040"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wire disbursement and authorization form shall be delivered to the Administrative Agent and each Managing Agent.</w:t>
      </w:r>
    </w:p>
    <w:p>
      <w:pPr>
        <w:spacing w:after="0" w:line="225" w:lineRule="exact"/>
        <w:rPr>
          <w:rFonts w:ascii="Times New Roman" w:cs="Times New Roman" w:eastAsia="Times New Roman" w:hAnsi="Times New Roman"/>
          <w:sz w:val="19"/>
          <w:szCs w:val="19"/>
          <w:color w:val="auto"/>
        </w:rPr>
      </w:pPr>
    </w:p>
    <w:p>
      <w:pPr>
        <w:ind w:right="40" w:firstLine="54"/>
        <w:spacing w:after="0" w:line="256" w:lineRule="auto"/>
        <w:tabs>
          <w:tab w:leader="none" w:pos="32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Funding Request shall specify the aggregate amount of the requested Advance, which shall be in an amount equal to more than $500,000. Each Funding Request shall be accompanied by (i) a Borrower Notice, depicting the outstanding amount of Advances under this Agreement and representing that all conditions precedent for a funding have been met, including a representation by the Borrower that the requested Advance shall not, on the Funding Date thereof, exceed the Availability on such day, (ii) a Borrowing Base Certificate as of the applicable Funding Date (giving pro forma effect to the Advance requested and the use of proceeds thereof), (iii) an updated Loan List including each Loan that is subject to the requested Advance (if any), (iv) the proposed Funding Date, and (v) wire transfer instructions for the Advance.</w:t>
      </w:r>
    </w:p>
    <w:p>
      <w:pPr>
        <w:spacing w:after="0" w:line="181" w:lineRule="exact"/>
        <w:rPr>
          <w:rFonts w:ascii="Times New Roman" w:cs="Times New Roman" w:eastAsia="Times New Roman" w:hAnsi="Times New Roman"/>
          <w:sz w:val="19"/>
          <w:szCs w:val="19"/>
          <w:color w:val="auto"/>
        </w:rPr>
      </w:pPr>
    </w:p>
    <w:p>
      <w:pPr>
        <w:ind w:right="180" w:firstLine="54"/>
        <w:spacing w:after="0" w:line="259" w:lineRule="auto"/>
        <w:tabs>
          <w:tab w:leader="none" w:pos="309"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Funding Date following the satisfaction of the applicable conditions set forth in this Section 2.2 and Article III, the Lenders shall deposit to the Collection Account in same day funds, in accordance with the wire transfer instructions specified in the Funding Request, an amount equal to such Lender’s ratable share of the Advance (other than Swingline Advances) then being made. Each wire transfer of an Advance to the Borrower shall be initiated by the applicable Lender no later than 2:00 p.m. (New York City time) on the applicable Funding Date.</w:t>
      </w:r>
    </w:p>
    <w:p>
      <w:pPr>
        <w:spacing w:after="0" w:line="177" w:lineRule="exact"/>
        <w:rPr>
          <w:rFonts w:ascii="Times New Roman" w:cs="Times New Roman" w:eastAsia="Times New Roman" w:hAnsi="Times New Roman"/>
          <w:sz w:val="19"/>
          <w:szCs w:val="19"/>
          <w:color w:val="auto"/>
        </w:rPr>
      </w:pPr>
    </w:p>
    <w:p>
      <w:pPr>
        <w:ind w:firstLine="54"/>
        <w:spacing w:after="0" w:line="262" w:lineRule="auto"/>
        <w:tabs>
          <w:tab w:leader="none" w:pos="288"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shall have been notified by a Lender prior to the date on which such Lender is scheduled to make its ratable share of the applicable aggregate amount of the requested Advance available to the Borrower pursuant to Section 2.2(e) (which</w:t>
      </w:r>
    </w:p>
    <w:p>
      <w:pPr>
        <w:spacing w:after="0" w:line="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9"/>
          <w:szCs w:val="19"/>
          <w:color w:val="auto"/>
        </w:rPr>
        <w:t>notice shall be effective upon receipt) that such Lender does not intend to make such disbursement, the Administrative Agent may assume that such Lender has made such disbursement when due and the Administrative Agent may in reliance upon such assumption (but shall not be required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36" w:name="page237"/>
    <w:bookmarkEnd w:id="236"/>
    <w:p>
      <w:pPr>
        <w:spacing w:after="0" w:line="200" w:lineRule="exact"/>
        <w:rPr>
          <w:sz w:val="20"/>
          <w:szCs w:val="20"/>
          <w:color w:val="auto"/>
        </w:rPr>
      </w:pPr>
    </w:p>
    <w:p>
      <w:pPr>
        <w:spacing w:after="0" w:line="2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color w:val="auto"/>
        </w:rPr>
        <w:t>make available to the Borrower the proceeds of the amount of the requested Advance to be made by such Lender. Any amount of the requested Advance that is not funded by the Lenders by the time required pursuant to Section 2.2(e) shall, at the Administrative Agent’s sole discretion, have the option to be deemed to be a Swingline Advance made by the Swingline Lender in an aggregate principal amount up to but not exceeding the Swingline Commitment that shall be refunded in accordance with Section 2.2(g) below; provided that, the Swingline Lender shall not make a Swingline Advance if the amount of such Swingling Advance plus the Swingline Lender’s pro rata share of Advances Outstanding as of such date plus the aggregate amount of unrefunded Swingling Advances outstanding as of such date exceeds such Swingline Lender’s Commitment .</w:t>
      </w:r>
    </w:p>
    <w:p>
      <w:pPr>
        <w:spacing w:after="0" w:line="181" w:lineRule="exact"/>
        <w:rPr>
          <w:sz w:val="20"/>
          <w:szCs w:val="20"/>
          <w:color w:val="auto"/>
        </w:rPr>
      </w:pPr>
    </w:p>
    <w:p>
      <w:pPr>
        <w:ind w:right="80" w:firstLine="54"/>
        <w:spacing w:after="0" w:line="256" w:lineRule="auto"/>
        <w:tabs>
          <w:tab w:leader="none" w:pos="32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Each Swingline Advance shall be refunded by the Lenders (other than the Swingline Lender, but including the Person acting as Swingline Lender in its capacity as a Lender hereunder) no later than the Business Day following the date of such Swingline Advance (each such date, a </w:t>
      </w:r>
      <w:r>
        <w:rPr>
          <w:rFonts w:ascii="Times New Roman" w:cs="Times New Roman" w:eastAsia="Times New Roman" w:hAnsi="Times New Roman"/>
          <w:sz w:val="19"/>
          <w:szCs w:val="19"/>
          <w:i w:val="1"/>
          <w:iCs w:val="1"/>
          <w:color w:val="auto"/>
        </w:rPr>
        <w:t>“Swingline Refund Date”</w:t>
      </w:r>
      <w:r>
        <w:rPr>
          <w:rFonts w:ascii="Times New Roman" w:cs="Times New Roman" w:eastAsia="Times New Roman" w:hAnsi="Times New Roman"/>
          <w:sz w:val="19"/>
          <w:szCs w:val="19"/>
          <w:color w:val="auto"/>
        </w:rPr>
        <w:t>). Such refunding shall be made hereunder ratably among the Lender Groups in accordance with their Group Advance Limits and by each Lender ratably in accordance with its Pro-Rata Share and shall thereafter be reflected as Advances of the Lenders on the books and records of the Administrative Agent. Each Lender shall fund its respective pro rata share of Advances as required to repay Swingline Advances outstanding to the Swingline Lender no later than 3:00p.m. (New York City time) on the applicable Swingline Refund Date.</w:t>
      </w:r>
    </w:p>
    <w:p>
      <w:pPr>
        <w:spacing w:after="0" w:line="181" w:lineRule="exact"/>
        <w:rPr>
          <w:sz w:val="20"/>
          <w:szCs w:val="20"/>
          <w:color w:val="auto"/>
        </w:rPr>
      </w:pPr>
    </w:p>
    <w:p>
      <w:pPr>
        <w:ind w:right="100" w:firstLine="54"/>
        <w:spacing w:after="0" w:line="257" w:lineRule="auto"/>
        <w:tabs>
          <w:tab w:leader="none" w:pos="33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to the Swingline Lender, within five (5) days of demand, the amount of such Swingline Advances to the extent amounts received from the Lenders are not sufficient to repay in full the outstanding Swingline Advances requested or required to be refunded. If any portion of any such amount paid to the Swingline Lender shall be recovered by or on behalf of the Borrower from the Swingline Lender in bankruptcy or otherwise, the loss of the amount so recovered shall be ratably shared among the Lender Groups in accordance with their Group Advance Limits and by each Lender ratably in accordance with its Pro-Rata Share (other than the Swingline Lender, but including the Person acting as Swingline Lender in its capacity as a Lender hereunder).</w:t>
      </w:r>
    </w:p>
    <w:p>
      <w:pPr>
        <w:spacing w:after="0" w:line="180" w:lineRule="exact"/>
        <w:rPr>
          <w:rFonts w:ascii="Times New Roman" w:cs="Times New Roman" w:eastAsia="Times New Roman" w:hAnsi="Times New Roman"/>
          <w:sz w:val="19"/>
          <w:szCs w:val="19"/>
          <w:color w:val="auto"/>
        </w:rPr>
      </w:pPr>
    </w:p>
    <w:p>
      <w:pPr>
        <w:ind w:firstLine="54"/>
        <w:spacing w:after="0" w:line="253" w:lineRule="auto"/>
        <w:tabs>
          <w:tab w:leader="none" w:pos="384"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acknowledges and agrees that its obligation to refund Swingline Advances in accordance with the terms of this Section 2.2(g) is absolute and unconditional and shall not be affected by any circumstance whatsoever, including non-satisfaction of the conditions set forth in Article III. Further, each Lender agrees and acknowledges that, if prior to the refunding of any outstanding Swingline Advances pursuant to this Section 2.2(g), an Insolvency Event relating to a Borrower shall have occurred, each Lender will, on the date the applicable Advance would have been made, purchase an undivided participating interest in the Swingline Advance to be refunded in an amount equal to its ratable share of the aggregate amount of such Swingline Advance. Each Lender will immediately transfer to the Swingline Lender, in immediately available funds, the amount of its participation and upon receipt thereof the Swingline Lender will deliver to such Lender a certificate evidencing such participation dated the date of receipt of such funds and for such amount.</w:t>
      </w:r>
    </w:p>
    <w:p>
      <w:pPr>
        <w:spacing w:after="0" w:line="4"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9"/>
          <w:szCs w:val="19"/>
          <w:color w:val="auto"/>
        </w:rPr>
        <w:t>Whenever, at any time after the Swingline Lender has received from any Lender such Lender’s participating interest in a Swingline Advance, the Swingline Lender receives any payment on account thereof, the Swingline Lender will distribute to such Lender its participating interest in such amount (appropriately adjusted, in the case of interest payments, to</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7" w:name="page238"/>
    <w:bookmarkEnd w:id="237"/>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reflect the period of time during which such Lender’s participating interest was outstanding and funded).</w:t>
      </w:r>
    </w:p>
    <w:p>
      <w:pPr>
        <w:spacing w:after="0" w:line="226" w:lineRule="exact"/>
        <w:rPr>
          <w:sz w:val="20"/>
          <w:szCs w:val="20"/>
          <w:color w:val="auto"/>
        </w:rPr>
      </w:pPr>
    </w:p>
    <w:p>
      <w:pPr>
        <w:ind w:right="40" w:firstLine="54"/>
        <w:spacing w:after="0" w:line="259" w:lineRule="auto"/>
        <w:tabs>
          <w:tab w:leader="none" w:pos="373"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contained in this Agreement to the contrary, the Swingline Lender shall not be obligated to make any Swingline Advance at a time when any other Lender is a Defaulting Lender, unless the Swingline Lender has entered into arrangements (which may include the delivery of cash collateral) with the Borrower or such Defaulting Lender which are satisfactory to the Swingline Lender to eliminate the Swingline Lender’s Fronting Exposure (without giving effect to Section 2.16(a)(ii)) with respect to any such Defaulting Lender.</w:t>
      </w:r>
    </w:p>
    <w:p>
      <w:pPr>
        <w:spacing w:after="0" w:line="176"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2.3. Optional Changes in Facility Amount; Prepayments</w:t>
      </w:r>
      <w:r>
        <w:rPr>
          <w:rFonts w:ascii="Times New Roman" w:cs="Times New Roman" w:eastAsia="Times New Roman" w:hAnsi="Times New Roman"/>
          <w:sz w:val="19"/>
          <w:szCs w:val="19"/>
          <w:color w:val="auto"/>
        </w:rPr>
        <w:t>. (a) The Borrower shall be entitled at its option, on any Payment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prior to the occurrence of an Event of Default, to reduce the Facility Amount in whole or in part;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give prior written notice of such reduction to the Administrative Agent and each Managing Agent as provided in paragraph (b) of this Section 2.3 and that any partial reduction of the Facility Amount shall be in an amount equal to $ 5,000,000 with integral multiples of $1,000,000 above such amount;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the Borrower shall have paid to the applicable Managing Agents for the account of their related Lenders, an amount equal to the product of (x) the Applicable Reduction Premium Percentage times (y) the amount by which the Commitment of each Lender is to be reduced under this clause (a) in connection with such reduction of the Facility Amount. Unless otherwise agreed by the Lenders, the Commitment of each Lender shall be reduced ratably in proportion to any such reduction in the Facility Amount. Any request for a reduction or termination pursuant to this Section 2.3 shall be irrevocable.</w:t>
      </w:r>
    </w:p>
    <w:p>
      <w:pPr>
        <w:spacing w:after="0" w:line="181" w:lineRule="exact"/>
        <w:rPr>
          <w:sz w:val="20"/>
          <w:szCs w:val="20"/>
          <w:color w:val="auto"/>
        </w:rPr>
      </w:pPr>
    </w:p>
    <w:p>
      <w:pPr>
        <w:ind w:right="100" w:firstLine="54"/>
        <w:spacing w:after="0" w:line="257" w:lineRule="auto"/>
        <w:tabs>
          <w:tab w:leader="none" w:pos="3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time to time during the Revolving Period, the Borrower may prepay any portion or all of the Advances Outstanding by delivering a Borrower Notice to the Administrative Agent at least one (1) Business Day prior to the date of such prepayment specifying the date and amount of such prepayment. Any partial prepayment by the Borrower of Advances hereunder, other than with respect to Mandatory Prepayments, shall be in a minimum amount of $500,000 with integral multiples of $100,000 above such amount. Any amount so prepaid may, subject to the terms and conditions hereof, be reborrowed during the Revolving Period. A Borrower Notice relating to any such prepayment shall be irrevocable when delivered.</w:t>
      </w:r>
    </w:p>
    <w:p>
      <w:pPr>
        <w:spacing w:after="0" w:line="180" w:lineRule="exact"/>
        <w:rPr>
          <w:rFonts w:ascii="Times New Roman" w:cs="Times New Roman" w:eastAsia="Times New Roman" w:hAnsi="Times New Roman"/>
          <w:sz w:val="19"/>
          <w:szCs w:val="19"/>
          <w:color w:val="auto"/>
        </w:rPr>
      </w:pPr>
    </w:p>
    <w:p>
      <w:pPr>
        <w:ind w:right="60" w:firstLine="54"/>
        <w:spacing w:after="0" w:line="253" w:lineRule="auto"/>
        <w:tabs>
          <w:tab w:leader="none" w:pos="309"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set forth herein, the Borrower shall have the right, at any time from the Effective Date until the Commitment Termination Date with the consent of the Administrative Agent, to increase the Facility Amount up to a total maximum Facility Amount of $600,000,000. The following terms and conditions shall apply to any such increase: (i) any such increase shall be obtained from existing Lenders or from other Eligible Assignees, in each case in accordance with the terms set forth below; (ii) the Commitment of any Lender may not be increased without the prior written consent of such Lender; (iii) any increase in the Facility Amount shall be in a minimum principal amount of (x) if such increase shall be obtained from existing Lenders, $5,000,000 and (y) if such increase shall be obtained from Eligible Assignees who are not Lenders hereunder, $15,000,000; (iv) the Borrower, each new Lender (if any) and each existing Lender (if any) that is increasing its commitment shall execute an acknowledgement (or, in the case of</w:t>
      </w:r>
    </w:p>
    <w:p>
      <w:pPr>
        <w:spacing w:after="0" w:line="4"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9"/>
          <w:szCs w:val="19"/>
          <w:color w:val="auto"/>
        </w:rPr>
        <w:t>the addition of a new Lender, a Joinder Agreement) in form and content satisfactory to the Administrative Agent to reflect the new or revised Commitment(s), as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38" w:name="page239"/>
    <w:bookmarkEnd w:id="238"/>
    <w:p>
      <w:pPr>
        <w:spacing w:after="0" w:line="200" w:lineRule="exact"/>
        <w:rPr>
          <w:sz w:val="20"/>
          <w:szCs w:val="20"/>
          <w:color w:val="auto"/>
        </w:rPr>
      </w:pPr>
    </w:p>
    <w:p>
      <w:pPr>
        <w:spacing w:after="0" w:line="2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 xml:space="preserve">applicable, and Facility Amount; (v) the Borrower shall execute such promissory notes as are necessary to reflect the increase in or creation of the Commitments; (vi) if any Advances are outstanding at the time of any such increase, the Borrower shall make such payments and adjustments on the Advances as necessary to give effect to the revised commitment percentages and outstandings of the Lenders; (vii) the Borrower may solicit commitments from Eligible Assignees that are not then a party to this Agreement so long as such Eligible Assignees are reasonably acceptable to the Administrative Agent and execute a Joinder Agreement in form and content satisfactory to the Administrative Agent; (viii) the conditions set forth in Section 3.2 shall be satisfied in all material respects; (ix) after giving effect to any such increase in the Facility Amount, no Unmatured Event of Default or Event of Default shall have occurred; (x) the Borrower shall have provided to the Administrative Agent, at least thirty (30) days prior to such proposed increase in the Facility Amount (or such shorter period as determined by the Administrative Agent in its sole discretion), written evidence demonstrating pro forma compliance with the Borrowing Base Test after giving effect to such proposed increase, such evidence to be satisfactory in the sole discretion of the Administrative Agent. Unless otherwise agreed by the Administrative Agent and the Lenders, the terms of any increase in the Facility Amount shall be the same as those in effect prior to any increase;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should the terms of the increase agreed to be other than those in effect prior to the increase, then the Transaction Documents shall, with the consent of the Administrative Agent and the Lenders, be amended to the extent necessary to incorporate any such different terms.</w:t>
      </w:r>
    </w:p>
    <w:p>
      <w:pPr>
        <w:spacing w:after="0" w:line="185" w:lineRule="exact"/>
        <w:rPr>
          <w:sz w:val="20"/>
          <w:szCs w:val="20"/>
          <w:color w:val="auto"/>
        </w:rPr>
      </w:pPr>
    </w:p>
    <w:p>
      <w:pPr>
        <w:ind w:right="60" w:firstLine="54"/>
        <w:spacing w:after="0" w:line="259" w:lineRule="auto"/>
        <w:tabs>
          <w:tab w:leader="none" w:pos="3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the written approval of the Administrative Agent, the Borrower may terminate (on a non-ratable basis) the unused amount of the Commitment of a Defaulting Lender, and in such event the provisions of Section 2.16 will apply to all amounts thereafter paid by the Borrower for the account of any such Defaulting Lender under this Agreement (whether on account of principal, interest, fees, indemnity or other amounts);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termination will not be deemed to be a waiver or release of any claim that the Borrower, the Administrative Agent or any other Lender may have against such Defaulting Lender.</w:t>
      </w:r>
    </w:p>
    <w:p>
      <w:pPr>
        <w:spacing w:after="0" w:line="176" w:lineRule="exact"/>
        <w:rPr>
          <w:sz w:val="20"/>
          <w:szCs w:val="20"/>
          <w:color w:val="auto"/>
        </w:rPr>
      </w:pPr>
    </w:p>
    <w:p>
      <w:pPr>
        <w:ind w:right="8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2.4. Principal Repayments</w:t>
      </w:r>
      <w:r>
        <w:rPr>
          <w:rFonts w:ascii="Times New Roman" w:cs="Times New Roman" w:eastAsia="Times New Roman" w:hAnsi="Times New Roman"/>
          <w:sz w:val="19"/>
          <w:szCs w:val="19"/>
          <w:color w:val="auto"/>
        </w:rPr>
        <w:t>. The Advances Outstanding and all other Obligations shall be repaid in accordance with Section 2.8,</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shall be due and payable in full on the Maturity Date. The Borrower hereby promises to pay all Advances Outstanding and all other Obligations in full on the Maturity Date. In addition, Advances Outstanding shall be repaid as and when necessary to cause the Borrowing Base Test to be met, and in any case within two (2) Business Days of any failure of the Borrowing Base Test to be satisfied (each such payment, a </w:t>
      </w:r>
      <w:r>
        <w:rPr>
          <w:rFonts w:ascii="Times New Roman" w:cs="Times New Roman" w:eastAsia="Times New Roman" w:hAnsi="Times New Roman"/>
          <w:sz w:val="19"/>
          <w:szCs w:val="19"/>
          <w:i w:val="1"/>
          <w:iCs w:val="1"/>
          <w:color w:val="auto"/>
        </w:rPr>
        <w:t>“Mandatory Prepayment”</w:t>
      </w:r>
      <w:r>
        <w:rPr>
          <w:rFonts w:ascii="Times New Roman" w:cs="Times New Roman" w:eastAsia="Times New Roman" w:hAnsi="Times New Roman"/>
          <w:sz w:val="19"/>
          <w:szCs w:val="19"/>
          <w:color w:val="auto"/>
        </w:rPr>
        <w:t>), and any amount so repaid may, subject to the terms and conditions hereof, be reborrowed hereunder during the Revolving Period (including reborrowed on or before the next applicable Payment Date not to exceed the Availability as of such date).</w:t>
      </w:r>
    </w:p>
    <w:p>
      <w:pPr>
        <w:spacing w:after="0" w:line="181"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2.5. Evidence of Indebtedness</w:t>
      </w:r>
      <w:r>
        <w:rPr>
          <w:rFonts w:ascii="Times New Roman" w:cs="Times New Roman" w:eastAsia="Times New Roman" w:hAnsi="Times New Roman"/>
          <w:sz w:val="19"/>
          <w:szCs w:val="19"/>
          <w:color w:val="auto"/>
        </w:rPr>
        <w:t>. Each Lender shall maintain in accordance with its usual practice an account or accounts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evidencing the indebtedness of the Borrower to it and resulting from the Advances made by such Lender to the Borrower, from time to time, including the amounts of principal and interest thereon and paid to it, from time to time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failure of any Lender to maintain such accounts or any error therein shall not in any manner affect the obligation of the Borrower to repay the Advances in accordance with the terms of this Agreement.</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69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39" w:name="page240"/>
    <w:bookmarkEnd w:id="239"/>
    <w:p>
      <w:pPr>
        <w:spacing w:after="0" w:line="200" w:lineRule="exact"/>
        <w:rPr>
          <w:sz w:val="20"/>
          <w:szCs w:val="20"/>
          <w:color w:val="auto"/>
        </w:rPr>
      </w:pPr>
    </w:p>
    <w:p>
      <w:pPr>
        <w:spacing w:after="0" w:line="283" w:lineRule="exact"/>
        <w:rPr>
          <w:sz w:val="20"/>
          <w:szCs w:val="20"/>
          <w:color w:val="auto"/>
        </w:rPr>
      </w:pPr>
    </w:p>
    <w:p>
      <w:pPr>
        <w:ind w:right="16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2.6. Interest Payments</w:t>
      </w:r>
      <w:r>
        <w:rPr>
          <w:rFonts w:ascii="Times New Roman" w:cs="Times New Roman" w:eastAsia="Times New Roman" w:hAnsi="Times New Roman"/>
          <w:sz w:val="19"/>
          <w:szCs w:val="19"/>
          <w:color w:val="auto"/>
        </w:rPr>
        <w:t>. (a) Interest shall accrue on each Advance outstanding during each Interest Period at the applicable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Interest Rate. The Borrower shall pay Interest on the unpaid principal amount of each Advance for the period commencing on and including the Funding Date of such Advance until but excluding the date that such Advance shall be paid in full;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Swingline Advance repaid (other than through Advances) on the date of borrowing shall accrue one day’s interest. Interest shall accrue during each Interest Period and be payable on the Advances Outstanding on each Payment Date, unless earlier paid pursuant this Agreement.</w:t>
      </w:r>
    </w:p>
    <w:p>
      <w:pPr>
        <w:spacing w:after="0" w:line="177" w:lineRule="exact"/>
        <w:rPr>
          <w:sz w:val="20"/>
          <w:szCs w:val="20"/>
          <w:color w:val="auto"/>
        </w:rPr>
      </w:pPr>
    </w:p>
    <w:p>
      <w:pPr>
        <w:ind w:right="320" w:firstLine="54"/>
        <w:spacing w:after="0" w:line="286" w:lineRule="auto"/>
        <w:tabs>
          <w:tab w:leader="none" w:pos="3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Rates shall be determined by the Administrative Agent in accordance with the definitions thereof, and the Administrative Agent shall advise the Borrower of each calculation thereof.</w:t>
      </w:r>
    </w:p>
    <w:p>
      <w:pPr>
        <w:spacing w:after="0" w:line="151" w:lineRule="exact"/>
        <w:rPr>
          <w:rFonts w:ascii="Times New Roman" w:cs="Times New Roman" w:eastAsia="Times New Roman" w:hAnsi="Times New Roman"/>
          <w:sz w:val="19"/>
          <w:szCs w:val="19"/>
          <w:color w:val="auto"/>
        </w:rPr>
      </w:pPr>
    </w:p>
    <w:p>
      <w:pPr>
        <w:ind w:right="60" w:firstLine="54"/>
        <w:spacing w:after="0" w:line="255" w:lineRule="auto"/>
        <w:tabs>
          <w:tab w:leader="none" w:pos="309"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Managing Agent, on behalf of the applicable Lenders, shall notify the Administrative Agent that a Disruption Event has occurred, the Administrative Agent shall in turn so notify the Borrower, whereupon all Advances in respect of which Interest accrues at the Adjusted Term SOFR Rate plus the Applicable Margin shall immediately be converted into Advances in respect of which Interest accrues at the Base Rate plus the Applicable Margin;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if at any time after the occurrence and during the continuance of a Disruption Event, the Base Rate shall, for a period of ten (10) consecutive days, be greater than a Lender’s actual cost of funds in respect of its Advances hereunder, then all Advances of such Lender in respect of which Interest would accrue at the Base Rate in accordance with this clause (c) shall accrue Interest at an effective rate of interest equal to such Lender’s actual cost of funds in respect of such Advances.</w:t>
      </w:r>
    </w:p>
    <w:p>
      <w:pPr>
        <w:spacing w:after="0" w:line="183" w:lineRule="exact"/>
        <w:rPr>
          <w:rFonts w:ascii="Times New Roman" w:cs="Times New Roman" w:eastAsia="Times New Roman" w:hAnsi="Times New Roman"/>
          <w:sz w:val="19"/>
          <w:szCs w:val="19"/>
          <w:color w:val="auto"/>
        </w:rPr>
      </w:pPr>
    </w:p>
    <w:p>
      <w:pPr>
        <w:ind w:right="20" w:firstLine="54"/>
        <w:spacing w:after="0" w:line="254" w:lineRule="auto"/>
        <w:tabs>
          <w:tab w:leader="none" w:pos="3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Anything in this Agreement or the other Transaction Documents to the contrary notwithstanding, if at any time the rate of interest payable by any Person under this Agreement and the Transaction Documents exceeds the highest rate of interest permissible under Applicable Law (the </w:t>
      </w:r>
      <w:r>
        <w:rPr>
          <w:rFonts w:ascii="Times New Roman" w:cs="Times New Roman" w:eastAsia="Times New Roman" w:hAnsi="Times New Roman"/>
          <w:sz w:val="19"/>
          <w:szCs w:val="19"/>
          <w:i w:val="1"/>
          <w:iCs w:val="1"/>
          <w:color w:val="auto"/>
        </w:rPr>
        <w:t>“Maximum Lawful Rate”</w:t>
      </w:r>
      <w:r>
        <w:rPr>
          <w:rFonts w:ascii="Times New Roman" w:cs="Times New Roman" w:eastAsia="Times New Roman" w:hAnsi="Times New Roman"/>
          <w:sz w:val="19"/>
          <w:szCs w:val="19"/>
          <w:color w:val="auto"/>
        </w:rPr>
        <w:t>), then, so long as the Maximum Lawful Rate would be exceeded, the rate of interest under this Agreement and the Transaction Documents shall be equal to the Maximum Lawful Rate. If at any time thereafter the rate of interest payable under this Agreement and the Transaction Documents is less than the Maximum Lawful Rate, such Person shall continue to pay interest under this Agreement and the Transaction Documents at the Maximum Lawful Rate until such time as the total interest received from such Person is equal to the total interest that would have been received had Applicable Law not limited the interest rate payable under this Agreement and the Transaction Documents. In no event shall the total interest received by a Lender under this Agreement and the Transaction Documents exceed the amount that such Lender could lawfully have received, had the interest due under this Agreement and the Transaction Documents been calculated since the Effective Date at the Maximum Lawful Rate.</w:t>
      </w:r>
    </w:p>
    <w:p>
      <w:pPr>
        <w:spacing w:after="0" w:line="182" w:lineRule="exact"/>
        <w:rPr>
          <w:sz w:val="20"/>
          <w:szCs w:val="20"/>
          <w:color w:val="auto"/>
        </w:rPr>
      </w:pPr>
    </w:p>
    <w:p>
      <w:pPr>
        <w:ind w:firstLine="48"/>
        <w:spacing w:after="0" w:line="257" w:lineRule="auto"/>
        <w:rPr>
          <w:sz w:val="20"/>
          <w:szCs w:val="20"/>
          <w:color w:val="auto"/>
        </w:rPr>
      </w:pPr>
      <w:r>
        <w:rPr>
          <w:rFonts w:ascii="Times New Roman" w:cs="Times New Roman" w:eastAsia="Times New Roman" w:hAnsi="Times New Roman"/>
          <w:sz w:val="19"/>
          <w:szCs w:val="19"/>
          <w:i w:val="1"/>
          <w:iCs w:val="1"/>
          <w:color w:val="auto"/>
        </w:rPr>
        <w:t>Section 2.7. Fees</w:t>
      </w:r>
      <w:r>
        <w:rPr>
          <w:rFonts w:ascii="Times New Roman" w:cs="Times New Roman" w:eastAsia="Times New Roman" w:hAnsi="Times New Roman"/>
          <w:sz w:val="19"/>
          <w:szCs w:val="19"/>
          <w:color w:val="auto"/>
        </w:rPr>
        <w:t>. (a) The Borrower (or the Paying Agent on behalf of the Borrower as directed by the Borrower pursuant to instructions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provided by it (which shall include the amount to be paid and any wiring or other payment instructions necessary in order to effect such payment)) shall pay to the Administrative Agent from the Collection Account on each Payment Date the Unused Fee for the related Interest Period in accordance with Section 2.8.</w:t>
      </w: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0" w:name="page241"/>
    <w:bookmarkEnd w:id="240"/>
    <w:p>
      <w:pPr>
        <w:spacing w:after="0" w:line="200" w:lineRule="exact"/>
        <w:rPr>
          <w:sz w:val="20"/>
          <w:szCs w:val="20"/>
          <w:color w:val="auto"/>
        </w:rPr>
      </w:pPr>
    </w:p>
    <w:p>
      <w:pPr>
        <w:spacing w:after="0" w:line="285" w:lineRule="exact"/>
        <w:rPr>
          <w:sz w:val="20"/>
          <w:szCs w:val="20"/>
          <w:color w:val="auto"/>
        </w:rPr>
      </w:pPr>
    </w:p>
    <w:p>
      <w:pPr>
        <w:ind w:firstLine="102"/>
        <w:spacing w:after="0" w:line="262" w:lineRule="auto"/>
        <w:tabs>
          <w:tab w:leader="none" w:pos="416"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the Paying Agent on behalf of the Borrower as directed by the Borrower pursuant to instructions provided by it (which shall include the amount to be paid and any wiring or other payment instructions necessary in order to effect such payment)) shall pay to the Bank Parties from the Collection Account on each Payment Date the Bank Fees and Expenses for the related Settlement Period in accordance with Section 2.8.</w:t>
      </w:r>
    </w:p>
    <w:p>
      <w:pPr>
        <w:spacing w:after="0" w:line="172" w:lineRule="exact"/>
        <w:rPr>
          <w:rFonts w:ascii="Times New Roman" w:cs="Times New Roman" w:eastAsia="Times New Roman" w:hAnsi="Times New Roman"/>
          <w:sz w:val="19"/>
          <w:szCs w:val="19"/>
          <w:color w:val="auto"/>
        </w:rPr>
      </w:pPr>
    </w:p>
    <w:p>
      <w:pPr>
        <w:ind w:left="420" w:hanging="318"/>
        <w:spacing w:after="0"/>
        <w:tabs>
          <w:tab w:leader="none" w:pos="4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27" w:lineRule="exact"/>
        <w:rPr>
          <w:rFonts w:ascii="Times New Roman" w:cs="Times New Roman" w:eastAsia="Times New Roman" w:hAnsi="Times New Roman"/>
          <w:sz w:val="19"/>
          <w:szCs w:val="19"/>
          <w:color w:val="auto"/>
        </w:rPr>
      </w:pPr>
    </w:p>
    <w:p>
      <w:pPr>
        <w:ind w:right="360" w:firstLine="102"/>
        <w:spacing w:after="0" w:line="262" w:lineRule="auto"/>
        <w:tabs>
          <w:tab w:leader="none" w:pos="4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the Administrative Agent on behalf of the Borrower as directed by the Borrower pursuant to instructions delivered on the Restatement Effective Date) shall pay to the Administrative Agent, the Syndication Agent and the Lenders from the Collection Account on the Restatement Effective Date all amounts payable on the Restatement Effective Date in accordance with Section 3.3.</w:t>
      </w:r>
    </w:p>
    <w:p>
      <w:pPr>
        <w:spacing w:after="0" w:line="174" w:lineRule="exact"/>
        <w:rPr>
          <w:rFonts w:ascii="Times New Roman" w:cs="Times New Roman" w:eastAsia="Times New Roman" w:hAnsi="Times New Roman"/>
          <w:sz w:val="19"/>
          <w:szCs w:val="19"/>
          <w:color w:val="auto"/>
        </w:rPr>
      </w:pPr>
    </w:p>
    <w:p>
      <w:pPr>
        <w:ind w:firstLine="102"/>
        <w:spacing w:after="0" w:line="262" w:lineRule="auto"/>
        <w:tabs>
          <w:tab w:leader="none" w:pos="40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the Paying Agent on behalf of the Borrower as directed by the Borrower pursuant to instructions provided by it (which shall include the amount to be paid and any wiring or other payment instructions necessary in order to effect such payment)) shall pay to the Administrative Agent from the Collection Account on each date on which the Supplemental Fee (as defined in the Lender Fee Letter) is due, the Supplemental Fee then due in accordance with Section 2.8.</w:t>
      </w:r>
    </w:p>
    <w:p>
      <w:pPr>
        <w:spacing w:after="0" w:line="172" w:lineRule="exact"/>
        <w:rPr>
          <w:sz w:val="20"/>
          <w:szCs w:val="20"/>
          <w:color w:val="auto"/>
        </w:rPr>
      </w:pPr>
    </w:p>
    <w:p>
      <w:pPr>
        <w:ind w:firstLine="744"/>
        <w:spacing w:after="0" w:line="260" w:lineRule="auto"/>
        <w:rPr>
          <w:sz w:val="20"/>
          <w:szCs w:val="20"/>
          <w:color w:val="auto"/>
        </w:rPr>
      </w:pPr>
      <w:r>
        <w:rPr>
          <w:rFonts w:ascii="Times New Roman" w:cs="Times New Roman" w:eastAsia="Times New Roman" w:hAnsi="Times New Roman"/>
          <w:sz w:val="19"/>
          <w:szCs w:val="19"/>
          <w:i w:val="1"/>
          <w:iCs w:val="1"/>
          <w:color w:val="auto"/>
        </w:rPr>
        <w:t>Section 2.8. Settlement Procedures</w:t>
      </w:r>
      <w:r>
        <w:rPr>
          <w:rFonts w:ascii="Times New Roman" w:cs="Times New Roman" w:eastAsia="Times New Roman" w:hAnsi="Times New Roman"/>
          <w:sz w:val="19"/>
          <w:szCs w:val="19"/>
          <w:color w:val="auto"/>
        </w:rPr>
        <w:t>. No later than 11:00 a.m. (New York City time) (x) on each Payment Date and (y) solely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respect to the payment of Supplemental Fees pursuant to clause (a)(ii) below, on the 15th calendar day of each calendar month (or if such date is not a Business Day the immediately succeeding Business Day) beginning on August 16, 2021 and ending on July 15, 2022 (each, a “</w:t>
      </w:r>
      <w:r>
        <w:rPr>
          <w:rFonts w:ascii="Times New Roman" w:cs="Times New Roman" w:eastAsia="Times New Roman" w:hAnsi="Times New Roman"/>
          <w:sz w:val="19"/>
          <w:szCs w:val="19"/>
          <w:i w:val="1"/>
          <w:iCs w:val="1"/>
          <w:color w:val="auto"/>
        </w:rPr>
        <w:t>Supplemental Fee Payment Date</w:t>
      </w:r>
      <w:r>
        <w:rPr>
          <w:rFonts w:ascii="Times New Roman" w:cs="Times New Roman" w:eastAsia="Times New Roman" w:hAnsi="Times New Roman"/>
          <w:sz w:val="19"/>
          <w:szCs w:val="19"/>
          <w:color w:val="auto"/>
        </w:rPr>
        <w:t xml:space="preserve">”), the Paying Agent shall, from the Collection Account, to the extent of available funds (such amounts being the </w:t>
      </w:r>
      <w:r>
        <w:rPr>
          <w:rFonts w:ascii="Times New Roman" w:cs="Times New Roman" w:eastAsia="Times New Roman" w:hAnsi="Times New Roman"/>
          <w:sz w:val="19"/>
          <w:szCs w:val="19"/>
          <w:i w:val="1"/>
          <w:iCs w:val="1"/>
          <w:color w:val="auto"/>
        </w:rPr>
        <w:t>“Available Collections”</w:t>
      </w:r>
      <w:r>
        <w:rPr>
          <w:rFonts w:ascii="Times New Roman" w:cs="Times New Roman" w:eastAsia="Times New Roman" w:hAnsi="Times New Roman"/>
          <w:sz w:val="19"/>
          <w:szCs w:val="19"/>
          <w:color w:val="auto"/>
        </w:rPr>
        <w:t>) disburse the following amounts in the following order of priority:</w:t>
      </w:r>
    </w:p>
    <w:p>
      <w:pPr>
        <w:spacing w:after="0" w:line="175" w:lineRule="exact"/>
        <w:rPr>
          <w:sz w:val="20"/>
          <w:szCs w:val="20"/>
          <w:color w:val="auto"/>
        </w:rPr>
      </w:pPr>
    </w:p>
    <w:p>
      <w:pPr>
        <w:ind w:left="1020" w:hanging="270"/>
        <w:spacing w:after="0"/>
        <w:tabs>
          <w:tab w:leader="none" w:pos="1020" w:val="left"/>
        </w:tabs>
        <w:numPr>
          <w:ilvl w:val="0"/>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Revolving Period, and in each case unless otherwise specified below, applying Available Collections:</w:t>
      </w:r>
    </w:p>
    <w:p>
      <w:pPr>
        <w:spacing w:after="0" w:line="225" w:lineRule="exact"/>
        <w:rPr>
          <w:rFonts w:ascii="Times New Roman" w:cs="Times New Roman" w:eastAsia="Times New Roman" w:hAnsi="Times New Roman"/>
          <w:sz w:val="19"/>
          <w:szCs w:val="19"/>
          <w:color w:val="auto"/>
        </w:rPr>
      </w:pPr>
    </w:p>
    <w:p>
      <w:pPr>
        <w:ind w:left="1680" w:hanging="222"/>
        <w:spacing w:after="0"/>
        <w:tabs>
          <w:tab w:leader="none" w:pos="168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ratably, (A) to the Bank Parties in an amount equal to any accrued and unpaid Bank Fees and Expenses, if</w:t>
      </w:r>
    </w:p>
    <w:p>
      <w:pPr>
        <w:spacing w:after="0" w:line="31" w:lineRule="exact"/>
        <w:rPr>
          <w:rFonts w:ascii="Times New Roman" w:cs="Times New Roman" w:eastAsia="Times New Roman" w:hAnsi="Times New Roman"/>
          <w:sz w:val="19"/>
          <w:szCs w:val="19"/>
          <w:color w:val="auto"/>
        </w:rPr>
      </w:pPr>
    </w:p>
    <w:p>
      <w:pPr>
        <w:ind w:left="142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 the payment thereof in an aggregate amount not to exceed the Bank Fees and Expenses and the Administrative Expense Cap, and (B) to the Administrative Agent, in an amount equal to any accrued and unpaid Administrative Agent Fee and Administrative Expenses;</w:t>
      </w:r>
    </w:p>
    <w:p>
      <w:pPr>
        <w:spacing w:after="0" w:line="179" w:lineRule="exact"/>
        <w:rPr>
          <w:rFonts w:ascii="Times New Roman" w:cs="Times New Roman" w:eastAsia="Times New Roman" w:hAnsi="Times New Roman"/>
          <w:sz w:val="19"/>
          <w:szCs w:val="19"/>
          <w:color w:val="auto"/>
        </w:rPr>
      </w:pPr>
    </w:p>
    <w:p>
      <w:pPr>
        <w:ind w:left="1420" w:right="80" w:firstLine="38"/>
        <w:spacing w:after="0" w:line="268" w:lineRule="auto"/>
        <w:tabs>
          <w:tab w:leader="none" w:pos="1756"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to the Administrative Agent for payment to each Managing Agent, on behalf of the related Lenders, and the Swingline Lender in an amount equal to any accrued and unpaid Interest, Unused Fee that is due on such Payment Date and any accrued and unpaid Supplemental Fee that is due on such Supplemental Fee Payment Date;</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1" w:name="page242"/>
    <w:bookmarkEnd w:id="241"/>
    <w:p>
      <w:pPr>
        <w:spacing w:after="0" w:line="200" w:lineRule="exact"/>
        <w:rPr>
          <w:sz w:val="20"/>
          <w:szCs w:val="20"/>
          <w:color w:val="auto"/>
        </w:rPr>
      </w:pPr>
    </w:p>
    <w:p>
      <w:pPr>
        <w:spacing w:after="0" w:line="285" w:lineRule="exact"/>
        <w:rPr>
          <w:sz w:val="20"/>
          <w:szCs w:val="20"/>
          <w:color w:val="auto"/>
        </w:rPr>
      </w:pPr>
    </w:p>
    <w:p>
      <w:pPr>
        <w:ind w:left="670" w:right="60" w:firstLine="38"/>
        <w:spacing w:after="0" w:line="268" w:lineRule="auto"/>
        <w:tabs>
          <w:tab w:leader="none" w:pos="1054"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w:t>
      </w:r>
      <w:r>
        <w:rPr>
          <w:rFonts w:ascii="Times New Roman" w:cs="Times New Roman" w:eastAsia="Times New Roman" w:hAnsi="Times New Roman"/>
          <w:sz w:val="19"/>
          <w:szCs w:val="19"/>
          <w:color w:val="0000FF"/>
        </w:rPr>
        <w:t>, to the Administrative Agent for payment to each Hedge Counterparty, in an amount equal to any regularly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scheduled payments, fees, and expenses accrued and unpaid under any Hedging Agreement (other than Hedge Breakage Costs);</w:t>
      </w:r>
    </w:p>
    <w:p>
      <w:pPr>
        <w:spacing w:after="0" w:line="168" w:lineRule="exact"/>
        <w:rPr>
          <w:rFonts w:ascii="Times New Roman" w:cs="Times New Roman" w:eastAsia="Times New Roman" w:hAnsi="Times New Roman"/>
          <w:sz w:val="19"/>
          <w:szCs w:val="19"/>
          <w:color w:val="auto"/>
        </w:rPr>
      </w:pPr>
    </w:p>
    <w:p>
      <w:pPr>
        <w:ind w:left="670" w:right="40" w:firstLine="38"/>
        <w:spacing w:after="0" w:line="234" w:lineRule="exact"/>
        <w:tabs>
          <w:tab w:leader="none" w:pos="1042" w:val="left"/>
        </w:tabs>
        <w:numPr>
          <w:ilvl w:val="0"/>
          <w:numId w:val="76"/>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Fourth</w:t>
      </w:r>
      <w:r>
        <w:rPr>
          <w:rFonts w:ascii="Times New Roman" w:cs="Times New Roman" w:eastAsia="Times New Roman" w:hAnsi="Times New Roman"/>
          <w:sz w:val="19"/>
          <w:szCs w:val="19"/>
          <w:color w:val="000000"/>
        </w:rPr>
        <w:t>, first, to the Administrative Agent for payment to each Managing Agent, on behalf of the related Lenders,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an amount equal to the excess, if any, of Advances Outstanding over the Maximum Availability, pro rata;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00"/>
        </w:rPr>
        <w:t>however</w:t>
      </w:r>
      <w:r>
        <w:rPr>
          <w:rFonts w:ascii="Times New Roman" w:cs="Times New Roman" w:eastAsia="Times New Roman" w:hAnsi="Times New Roman"/>
          <w:sz w:val="19"/>
          <w:szCs w:val="19"/>
          <w:color w:val="000000"/>
        </w:rPr>
        <w:t>, that to the extent that (i) the Termination Date has not occurred and (ii) Advances Outstanding exceed the</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Facility Amount due to one or more Lenders becoming Non</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Renewing Lenders, to each Managing Agent on behalf of such Non</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Renewing Lenders only, pro rata in accordance with their Advances Outstanding;</w:t>
      </w:r>
    </w:p>
    <w:p>
      <w:pPr>
        <w:spacing w:after="0" w:line="187" w:lineRule="exact"/>
        <w:rPr>
          <w:sz w:val="20"/>
          <w:szCs w:val="20"/>
          <w:color w:val="auto"/>
        </w:rPr>
      </w:pPr>
    </w:p>
    <w:p>
      <w:pPr>
        <w:ind w:left="670" w:right="40" w:firstLine="4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iv</w:t>
      </w:r>
      <w:r>
        <w:rPr>
          <w:rFonts w:ascii="Times New Roman" w:cs="Times New Roman" w:eastAsia="Times New Roman" w:hAnsi="Times New Roman"/>
          <w:sz w:val="19"/>
          <w:szCs w:val="19"/>
          <w:color w:val="0000FF"/>
        </w:rPr>
        <w: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Fourth</w:t>
      </w:r>
      <w:r>
        <w:rPr>
          <w:rFonts w:ascii="Times New Roman" w:cs="Times New Roman" w:eastAsia="Times New Roman" w:hAnsi="Times New Roman"/>
          <w:sz w:val="19"/>
          <w:szCs w:val="19"/>
          <w:color w:val="0000FF"/>
        </w:rPr>
        <w:t>Fifth</w:t>
      </w:r>
      <w:r>
        <w:rPr>
          <w:rFonts w:ascii="Times New Roman" w:cs="Times New Roman" w:eastAsia="Times New Roman" w:hAnsi="Times New Roman"/>
          <w:sz w:val="19"/>
          <w:szCs w:val="19"/>
          <w:color w:val="auto"/>
        </w:rPr>
        <w:t>, to the Administrative Agent for payment to each Managing Agent, on behalf of the related Lenders, in the amount of Increased Costs, and/or Taxes (if any);</w:t>
      </w:r>
    </w:p>
    <w:p>
      <w:pPr>
        <w:spacing w:after="0" w:line="151" w:lineRule="exact"/>
        <w:rPr>
          <w:sz w:val="20"/>
          <w:szCs w:val="20"/>
          <w:color w:val="auto"/>
        </w:rPr>
      </w:pPr>
    </w:p>
    <w:p>
      <w:pPr>
        <w:ind w:left="670" w:right="160" w:firstLine="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v</w:t>
      </w:r>
      <w:r>
        <w:rPr>
          <w:rFonts w:ascii="Times New Roman" w:cs="Times New Roman" w:eastAsia="Times New Roman" w:hAnsi="Times New Roman"/>
          <w:sz w:val="19"/>
          <w:szCs w:val="19"/>
          <w:color w:val="0000FF"/>
        </w:rPr>
        <w:t>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Fifth</w:t>
      </w:r>
      <w:r>
        <w:rPr>
          <w:rFonts w:ascii="Times New Roman" w:cs="Times New Roman" w:eastAsia="Times New Roman" w:hAnsi="Times New Roman"/>
          <w:sz w:val="19"/>
          <w:szCs w:val="19"/>
          <w:color w:val="0000FF"/>
        </w:rPr>
        <w:t>Sixth</w:t>
      </w:r>
      <w:r>
        <w:rPr>
          <w:rFonts w:ascii="Times New Roman" w:cs="Times New Roman" w:eastAsia="Times New Roman" w:hAnsi="Times New Roman"/>
          <w:sz w:val="19"/>
          <w:szCs w:val="19"/>
          <w:color w:val="auto"/>
        </w:rPr>
        <w:t xml:space="preserve">, to the Administrative Agent, all other amounts or Obligations then due under this Agreement or the other Transaction Documents </w:t>
      </w:r>
      <w:r>
        <w:rPr>
          <w:rFonts w:ascii="Times New Roman" w:cs="Times New Roman" w:eastAsia="Times New Roman" w:hAnsi="Times New Roman"/>
          <w:sz w:val="19"/>
          <w:szCs w:val="19"/>
          <w:color w:val="0000FF"/>
        </w:rPr>
        <w:t>(including any Hedge Breakage Costs)</w:t>
      </w:r>
      <w:r>
        <w:rPr>
          <w:rFonts w:ascii="Times New Roman" w:cs="Times New Roman" w:eastAsia="Times New Roman" w:hAnsi="Times New Roman"/>
          <w:sz w:val="19"/>
          <w:szCs w:val="19"/>
          <w:color w:val="auto"/>
        </w:rPr>
        <w:t xml:space="preserve"> to the Administrative Agent, the Lenders, the Affected Parties</w:t>
      </w:r>
      <w:r>
        <w:rPr>
          <w:rFonts w:ascii="Times New Roman" w:cs="Times New Roman" w:eastAsia="Times New Roman" w:hAnsi="Times New Roman"/>
          <w:sz w:val="19"/>
          <w:szCs w:val="19"/>
          <w:color w:val="0000FF"/>
        </w:rPr>
        <w:t>, the Hedge Counterparties</w:t>
      </w:r>
      <w:r>
        <w:rPr>
          <w:rFonts w:ascii="Times New Roman" w:cs="Times New Roman" w:eastAsia="Times New Roman" w:hAnsi="Times New Roman"/>
          <w:sz w:val="19"/>
          <w:szCs w:val="19"/>
          <w:color w:val="auto"/>
        </w:rPr>
        <w:t xml:space="preserve"> or Indemnified Parties, each for the payment thereof;</w:t>
      </w:r>
    </w:p>
    <w:p>
      <w:pPr>
        <w:spacing w:after="0" w:line="168" w:lineRule="exact"/>
        <w:rPr>
          <w:sz w:val="20"/>
          <w:szCs w:val="20"/>
          <w:color w:val="auto"/>
        </w:rPr>
      </w:pPr>
    </w:p>
    <w:p>
      <w:pPr>
        <w:ind w:left="670" w:right="260" w:firstLine="4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vi</w:t>
      </w:r>
      <w:r>
        <w:rPr>
          <w:rFonts w:ascii="Times New Roman" w:cs="Times New Roman" w:eastAsia="Times New Roman" w:hAnsi="Times New Roman"/>
          <w:sz w:val="19"/>
          <w:szCs w:val="19"/>
          <w:color w:val="0000FF"/>
        </w:rPr>
        <w:t>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Sixth</w:t>
      </w:r>
      <w:r>
        <w:rPr>
          <w:rFonts w:ascii="Times New Roman" w:cs="Times New Roman" w:eastAsia="Times New Roman" w:hAnsi="Times New Roman"/>
          <w:sz w:val="19"/>
          <w:szCs w:val="19"/>
          <w:color w:val="0000FF"/>
        </w:rPr>
        <w:t>Seventh</w:t>
      </w:r>
      <w:r>
        <w:rPr>
          <w:rFonts w:ascii="Times New Roman" w:cs="Times New Roman" w:eastAsia="Times New Roman" w:hAnsi="Times New Roman"/>
          <w:sz w:val="19"/>
          <w:szCs w:val="19"/>
          <w:color w:val="auto"/>
        </w:rPr>
        <w:t>, to the Bank Parties, all other amounts then due under this Agreement or the other Transaction Documents to the Bank Parties, for the payment thereof; and</w:t>
      </w:r>
    </w:p>
    <w:p>
      <w:pPr>
        <w:spacing w:after="0" w:line="151" w:lineRule="exact"/>
        <w:rPr>
          <w:sz w:val="20"/>
          <w:szCs w:val="20"/>
          <w:color w:val="auto"/>
        </w:rPr>
      </w:pPr>
    </w:p>
    <w:p>
      <w:pPr>
        <w:ind w:left="71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vii</w:t>
      </w:r>
      <w:r>
        <w:rPr>
          <w:rFonts w:ascii="Times New Roman" w:cs="Times New Roman" w:eastAsia="Times New Roman" w:hAnsi="Times New Roman"/>
          <w:sz w:val="19"/>
          <w:szCs w:val="19"/>
          <w:color w:val="0000FF"/>
        </w:rPr>
        <w:t>viii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Seventh</w:t>
      </w:r>
      <w:r>
        <w:rPr>
          <w:rFonts w:ascii="Times New Roman" w:cs="Times New Roman" w:eastAsia="Times New Roman" w:hAnsi="Times New Roman"/>
          <w:sz w:val="19"/>
          <w:szCs w:val="19"/>
          <w:color w:val="0000FF"/>
        </w:rPr>
        <w:t>Eighth</w:t>
      </w:r>
      <w:r>
        <w:rPr>
          <w:rFonts w:ascii="Times New Roman" w:cs="Times New Roman" w:eastAsia="Times New Roman" w:hAnsi="Times New Roman"/>
          <w:sz w:val="19"/>
          <w:szCs w:val="19"/>
          <w:color w:val="auto"/>
        </w:rPr>
        <w:t>, all remaining amounts to the Borrower.</w:t>
      </w:r>
    </w:p>
    <w:p>
      <w:pPr>
        <w:spacing w:after="0" w:line="226" w:lineRule="exact"/>
        <w:rPr>
          <w:sz w:val="20"/>
          <w:szCs w:val="20"/>
          <w:color w:val="auto"/>
        </w:rPr>
      </w:pPr>
    </w:p>
    <w:p>
      <w:pPr>
        <w:ind w:left="270" w:hanging="270"/>
        <w:spacing w:after="0"/>
        <w:tabs>
          <w:tab w:leader="none" w:pos="270"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Amortization Period, to the extent of Available Collections:</w:t>
      </w:r>
    </w:p>
    <w:p>
      <w:pPr>
        <w:spacing w:after="0" w:line="225" w:lineRule="exact"/>
        <w:rPr>
          <w:rFonts w:ascii="Times New Roman" w:cs="Times New Roman" w:eastAsia="Times New Roman" w:hAnsi="Times New Roman"/>
          <w:sz w:val="19"/>
          <w:szCs w:val="19"/>
          <w:color w:val="auto"/>
        </w:rPr>
      </w:pPr>
    </w:p>
    <w:p>
      <w:pPr>
        <w:ind w:left="930" w:hanging="222"/>
        <w:spacing w:after="0"/>
        <w:tabs>
          <w:tab w:leader="none" w:pos="93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First, ratably, (A) to the Bank Parties in an amount equal to any accrued and unpaid Bank Fees and Expenses, if</w:t>
      </w:r>
    </w:p>
    <w:p>
      <w:pPr>
        <w:spacing w:after="0" w:line="31" w:lineRule="exact"/>
        <w:rPr>
          <w:rFonts w:ascii="Times New Roman" w:cs="Times New Roman" w:eastAsia="Times New Roman" w:hAnsi="Times New Roman"/>
          <w:sz w:val="19"/>
          <w:szCs w:val="19"/>
          <w:color w:val="auto"/>
        </w:rPr>
      </w:pPr>
    </w:p>
    <w:p>
      <w:pPr>
        <w:ind w:left="67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 the payment thereof in an aggregate amount not to exceed the Bank Fees and Expenses and the Administrative Expense Cap, provided, that if the Advances have been accelerated following the occurrence and during the continuance of an Event of Default, and the sale of the Collateral has commenced in connection therewith, such limitations specified therein shall not be given any effect, and (B) to the Administrative Agent, in an amount equal to any accrued and unpaid Administrative Agent Fee and Administrative Expenses;</w:t>
      </w:r>
    </w:p>
    <w:p>
      <w:pPr>
        <w:spacing w:after="0" w:line="182" w:lineRule="exact"/>
        <w:rPr>
          <w:rFonts w:ascii="Times New Roman" w:cs="Times New Roman" w:eastAsia="Times New Roman" w:hAnsi="Times New Roman"/>
          <w:sz w:val="19"/>
          <w:szCs w:val="19"/>
          <w:color w:val="auto"/>
        </w:rPr>
      </w:pPr>
    </w:p>
    <w:p>
      <w:pPr>
        <w:ind w:left="990" w:hanging="282"/>
        <w:spacing w:after="0"/>
        <w:tabs>
          <w:tab w:leader="none" w:pos="99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Second, to the Administrative Agent for payment to each Managing Agent, on behalf of the related Lenders, and</w:t>
      </w:r>
    </w:p>
    <w:p>
      <w:pPr>
        <w:spacing w:after="0" w:line="32" w:lineRule="exact"/>
        <w:rPr>
          <w:sz w:val="20"/>
          <w:szCs w:val="20"/>
          <w:color w:val="auto"/>
        </w:rPr>
      </w:pPr>
    </w:p>
    <w:p>
      <w:pPr>
        <w:jc w:val="center"/>
        <w:ind w:right="750"/>
        <w:spacing w:after="0"/>
        <w:rPr>
          <w:sz w:val="20"/>
          <w:szCs w:val="20"/>
          <w:color w:val="auto"/>
        </w:rPr>
      </w:pPr>
      <w:r>
        <w:rPr>
          <w:rFonts w:ascii="Times New Roman" w:cs="Times New Roman" w:eastAsia="Times New Roman" w:hAnsi="Times New Roman"/>
          <w:sz w:val="19"/>
          <w:szCs w:val="19"/>
          <w:color w:val="auto"/>
        </w:rPr>
        <w:t>the Swingline Lender in an amount equal to any accrued and unpaid Interest for such Payment Date;</w:t>
      </w:r>
    </w:p>
    <w:p>
      <w:pPr>
        <w:spacing w:after="0" w:line="10" w:lineRule="exact"/>
        <w:rPr>
          <w:sz w:val="20"/>
          <w:szCs w:val="20"/>
          <w:color w:val="auto"/>
        </w:rPr>
      </w:pPr>
    </w:p>
    <w:p>
      <w:pPr>
        <w:ind w:left="43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635635</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90"/>
          </w:cols>
          <w:pgMar w:left="1410" w:top="1440" w:right="700" w:bottom="1440" w:gutter="0" w:footer="0" w:header="0"/>
        </w:sectPr>
      </w:pPr>
    </w:p>
    <w:bookmarkStart w:id="242" w:name="page243"/>
    <w:bookmarkEnd w:id="2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20" w:right="120" w:firstLine="38"/>
        <w:spacing w:after="0" w:line="268" w:lineRule="auto"/>
        <w:tabs>
          <w:tab w:leader="none" w:pos="1804"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w:t>
      </w:r>
      <w:r>
        <w:rPr>
          <w:rFonts w:ascii="Times New Roman" w:cs="Times New Roman" w:eastAsia="Times New Roman" w:hAnsi="Times New Roman"/>
          <w:sz w:val="19"/>
          <w:szCs w:val="19"/>
          <w:color w:val="0000FF"/>
        </w:rPr>
        <w:t>, to the Administrative Agent for payment to each Hedge Counterparty in an amount equal to any regularly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scheduled payments, fees, and expenses accrued and unpaid under any Hedging Agreement (other than Hedge Breakage Costs);</w:t>
      </w:r>
    </w:p>
    <w:p>
      <w:pPr>
        <w:spacing w:after="0" w:line="166" w:lineRule="exact"/>
        <w:rPr>
          <w:rFonts w:ascii="Times New Roman" w:cs="Times New Roman" w:eastAsia="Times New Roman" w:hAnsi="Times New Roman"/>
          <w:sz w:val="19"/>
          <w:szCs w:val="19"/>
          <w:color w:val="auto"/>
        </w:rPr>
      </w:pPr>
    </w:p>
    <w:p>
      <w:pPr>
        <w:ind w:left="1420" w:right="400" w:firstLine="38"/>
        <w:spacing w:after="0" w:line="269" w:lineRule="auto"/>
        <w:tabs>
          <w:tab w:leader="none" w:pos="1792" w:val="left"/>
        </w:tabs>
        <w:numPr>
          <w:ilvl w:val="0"/>
          <w:numId w:val="78"/>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Fourth</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00"/>
        </w:rPr>
        <w:t>first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to the Swingline Lender for the payment of the principal amount of all outstanding Swingline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Advances, and </w:t>
      </w:r>
      <w:r>
        <w:rPr>
          <w:rFonts w:ascii="Times New Roman" w:cs="Times New Roman" w:eastAsia="Times New Roman" w:hAnsi="Times New Roman"/>
          <w:sz w:val="19"/>
          <w:szCs w:val="19"/>
          <w:i w:val="1"/>
          <w:iCs w:val="1"/>
          <w:color w:val="000000"/>
        </w:rPr>
        <w:t>second</w:t>
      </w:r>
      <w:r>
        <w:rPr>
          <w:rFonts w:ascii="Times New Roman" w:cs="Times New Roman" w:eastAsia="Times New Roman" w:hAnsi="Times New Roman"/>
          <w:sz w:val="19"/>
          <w:szCs w:val="19"/>
          <w:color w:val="000000"/>
        </w:rPr>
        <w:t>, to the Administrative Agent for ratable payment to each Managing Agent, on behalf of the related Lenders, in an amount to reduce Advances Outstanding to zero and to pay any other Obligations in full;</w:t>
      </w:r>
    </w:p>
    <w:p>
      <w:pPr>
        <w:spacing w:after="0" w:line="168" w:lineRule="exact"/>
        <w:rPr>
          <w:sz w:val="20"/>
          <w:szCs w:val="20"/>
          <w:color w:val="auto"/>
        </w:rPr>
      </w:pPr>
    </w:p>
    <w:p>
      <w:pPr>
        <w:ind w:left="1420" w:right="60" w:firstLine="4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iv</w:t>
      </w:r>
      <w:r>
        <w:rPr>
          <w:rFonts w:ascii="Times New Roman" w:cs="Times New Roman" w:eastAsia="Times New Roman" w:hAnsi="Times New Roman"/>
          <w:sz w:val="19"/>
          <w:szCs w:val="19"/>
          <w:color w:val="0000FF"/>
        </w:rPr>
        <w: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Fourth</w:t>
      </w:r>
      <w:r>
        <w:rPr>
          <w:rFonts w:ascii="Times New Roman" w:cs="Times New Roman" w:eastAsia="Times New Roman" w:hAnsi="Times New Roman"/>
          <w:sz w:val="19"/>
          <w:szCs w:val="19"/>
          <w:color w:val="0000FF"/>
        </w:rPr>
        <w:t>Fifth</w:t>
      </w:r>
      <w:r>
        <w:rPr>
          <w:rFonts w:ascii="Times New Roman" w:cs="Times New Roman" w:eastAsia="Times New Roman" w:hAnsi="Times New Roman"/>
          <w:sz w:val="19"/>
          <w:szCs w:val="19"/>
          <w:color w:val="auto"/>
        </w:rPr>
        <w:t>, to the Administrative Agent for payment to each Managing Agent, on behalf of the related Lenders, in the amount of Increased Costs and/or Taxes (if any);</w:t>
      </w:r>
    </w:p>
    <w:p>
      <w:pPr>
        <w:spacing w:after="0" w:line="151" w:lineRule="exact"/>
        <w:rPr>
          <w:sz w:val="20"/>
          <w:szCs w:val="20"/>
          <w:color w:val="auto"/>
        </w:rPr>
      </w:pPr>
    </w:p>
    <w:p>
      <w:pPr>
        <w:ind w:left="1420" w:right="180" w:firstLine="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v</w:t>
      </w:r>
      <w:r>
        <w:rPr>
          <w:rFonts w:ascii="Times New Roman" w:cs="Times New Roman" w:eastAsia="Times New Roman" w:hAnsi="Times New Roman"/>
          <w:sz w:val="19"/>
          <w:szCs w:val="19"/>
          <w:color w:val="0000FF"/>
        </w:rPr>
        <w:t>vi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Fifth</w:t>
      </w:r>
      <w:r>
        <w:rPr>
          <w:rFonts w:ascii="Times New Roman" w:cs="Times New Roman" w:eastAsia="Times New Roman" w:hAnsi="Times New Roman"/>
          <w:sz w:val="19"/>
          <w:szCs w:val="19"/>
          <w:color w:val="0000FF"/>
        </w:rPr>
        <w:t>Sixth</w:t>
      </w:r>
      <w:r>
        <w:rPr>
          <w:rFonts w:ascii="Times New Roman" w:cs="Times New Roman" w:eastAsia="Times New Roman" w:hAnsi="Times New Roman"/>
          <w:sz w:val="19"/>
          <w:szCs w:val="19"/>
          <w:color w:val="auto"/>
        </w:rPr>
        <w:t xml:space="preserve">, to the Administrative Agent, all other amounts or Obligations then due under this Agreement or the other Transaction Documents </w:t>
      </w:r>
      <w:r>
        <w:rPr>
          <w:rFonts w:ascii="Times New Roman" w:cs="Times New Roman" w:eastAsia="Times New Roman" w:hAnsi="Times New Roman"/>
          <w:sz w:val="19"/>
          <w:szCs w:val="19"/>
          <w:color w:val="0000FF"/>
        </w:rPr>
        <w:t>(including any Hedge Breakage Costs)</w:t>
      </w:r>
      <w:r>
        <w:rPr>
          <w:rFonts w:ascii="Times New Roman" w:cs="Times New Roman" w:eastAsia="Times New Roman" w:hAnsi="Times New Roman"/>
          <w:sz w:val="19"/>
          <w:szCs w:val="19"/>
          <w:color w:val="auto"/>
        </w:rPr>
        <w:t xml:space="preserve"> to the Administrative Agent, the Lenders, the Affected Parties</w:t>
      </w:r>
      <w:r>
        <w:rPr>
          <w:rFonts w:ascii="Times New Roman" w:cs="Times New Roman" w:eastAsia="Times New Roman" w:hAnsi="Times New Roman"/>
          <w:sz w:val="19"/>
          <w:szCs w:val="19"/>
          <w:color w:val="0000FF"/>
        </w:rPr>
        <w:t>, the Hedge Counterparties</w:t>
      </w:r>
      <w:r>
        <w:rPr>
          <w:rFonts w:ascii="Times New Roman" w:cs="Times New Roman" w:eastAsia="Times New Roman" w:hAnsi="Times New Roman"/>
          <w:sz w:val="19"/>
          <w:szCs w:val="19"/>
          <w:color w:val="auto"/>
        </w:rPr>
        <w:t xml:space="preserve"> or Indemnified Parties, each for the payment thereof;</w:t>
      </w:r>
    </w:p>
    <w:p>
      <w:pPr>
        <w:spacing w:after="0" w:line="168" w:lineRule="exact"/>
        <w:rPr>
          <w:sz w:val="20"/>
          <w:szCs w:val="20"/>
          <w:color w:val="auto"/>
        </w:rPr>
      </w:pPr>
    </w:p>
    <w:p>
      <w:pPr>
        <w:ind w:left="1420" w:right="280" w:firstLine="4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vi</w:t>
      </w:r>
      <w:r>
        <w:rPr>
          <w:rFonts w:ascii="Times New Roman" w:cs="Times New Roman" w:eastAsia="Times New Roman" w:hAnsi="Times New Roman"/>
          <w:sz w:val="19"/>
          <w:szCs w:val="19"/>
          <w:color w:val="0000FF"/>
        </w:rPr>
        <w:t>vii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Sixth</w:t>
      </w:r>
      <w:r>
        <w:rPr>
          <w:rFonts w:ascii="Times New Roman" w:cs="Times New Roman" w:eastAsia="Times New Roman" w:hAnsi="Times New Roman"/>
          <w:sz w:val="19"/>
          <w:szCs w:val="19"/>
          <w:color w:val="0000FF"/>
        </w:rPr>
        <w:t>Seventh</w:t>
      </w:r>
      <w:r>
        <w:rPr>
          <w:rFonts w:ascii="Times New Roman" w:cs="Times New Roman" w:eastAsia="Times New Roman" w:hAnsi="Times New Roman"/>
          <w:sz w:val="19"/>
          <w:szCs w:val="19"/>
          <w:color w:val="auto"/>
        </w:rPr>
        <w:t>, to the Bank Parties, all other amounts then due under this Agreement or the other Transaction Documents to the Bank Parties, for the payment thereof; and</w:t>
      </w:r>
    </w:p>
    <w:p>
      <w:pPr>
        <w:spacing w:after="0" w:line="15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vii</w:t>
      </w:r>
      <w:r>
        <w:rPr>
          <w:rFonts w:ascii="Times New Roman" w:cs="Times New Roman" w:eastAsia="Times New Roman" w:hAnsi="Times New Roman"/>
          <w:sz w:val="19"/>
          <w:szCs w:val="19"/>
          <w:color w:val="0000FF"/>
        </w:rPr>
        <w:t>viii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Seventh</w:t>
      </w:r>
      <w:r>
        <w:rPr>
          <w:rFonts w:ascii="Times New Roman" w:cs="Times New Roman" w:eastAsia="Times New Roman" w:hAnsi="Times New Roman"/>
          <w:sz w:val="19"/>
          <w:szCs w:val="19"/>
          <w:color w:val="0000FF"/>
        </w:rPr>
        <w:t>Eighth</w:t>
      </w:r>
      <w:r>
        <w:rPr>
          <w:rFonts w:ascii="Times New Roman" w:cs="Times New Roman" w:eastAsia="Times New Roman" w:hAnsi="Times New Roman"/>
          <w:sz w:val="19"/>
          <w:szCs w:val="19"/>
          <w:color w:val="auto"/>
        </w:rPr>
        <w:t>, all remaining amounts to the Borrower.</w:t>
      </w:r>
    </w:p>
    <w:p>
      <w:pPr>
        <w:spacing w:after="0" w:line="224" w:lineRule="exact"/>
        <w:rPr>
          <w:sz w:val="20"/>
          <w:szCs w:val="20"/>
          <w:color w:val="auto"/>
        </w:rPr>
      </w:pPr>
    </w:p>
    <w:p>
      <w:pPr>
        <w:ind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2.9. Collections and Allocations</w:t>
      </w:r>
      <w:r>
        <w:rPr>
          <w:rFonts w:ascii="Times New Roman" w:cs="Times New Roman" w:eastAsia="Times New Roman" w:hAnsi="Times New Roman"/>
          <w:sz w:val="19"/>
          <w:szCs w:val="19"/>
          <w:color w:val="auto"/>
        </w:rPr>
        <w:t>. (a) The Borrower shall promptly (but in no event later than two (2) Business Days after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receipt thereof) identify any Collections received into the CIBC Account or by it or any Affiliate of the Borrower on its behalf and deposit all such Collections received into the CIBC Account or directly by it or any Affiliate of the Borrower on its behalf into the Collection Account and the applicable subaccounts therein. The Borrower shall make such deposits or payments on the date indicated by wire transfer, in immediately available funds.</w:t>
      </w:r>
    </w:p>
    <w:p>
      <w:pPr>
        <w:spacing w:after="0" w:line="175" w:lineRule="exact"/>
        <w:rPr>
          <w:sz w:val="20"/>
          <w:szCs w:val="20"/>
          <w:color w:val="auto"/>
        </w:rPr>
      </w:pPr>
    </w:p>
    <w:p>
      <w:pPr>
        <w:ind w:right="100" w:firstLine="54"/>
        <w:spacing w:after="0" w:line="254" w:lineRule="auto"/>
        <w:tabs>
          <w:tab w:leader="none" w:pos="320"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Until the occurrence of an Event of Default, to the extent there are uninvested amounts deposited in the Collection Account, all amounts shall be invested in Permitted Investments selected by the Borrower and communicated to the Administrative Agent by the Borrower that mature no later than the Business Day immediately preceding the next Payment Date; from and after the occurrence of an Event of Default, to the extent there are uninvested amounts deposited in the Collection Account, all amounts may be invested in Permitted Investments selected by the Administrative Agent that mature no later than the next Business Day. Any earnings (and losses) thereon shall be for the account of the Borrower.</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3" w:name="page244"/>
    <w:bookmarkEnd w:id="243"/>
    <w:p>
      <w:pPr>
        <w:spacing w:after="0" w:line="200" w:lineRule="exact"/>
        <w:rPr>
          <w:sz w:val="20"/>
          <w:szCs w:val="20"/>
          <w:color w:val="auto"/>
        </w:rPr>
      </w:pPr>
    </w:p>
    <w:p>
      <w:pPr>
        <w:spacing w:after="0" w:line="283" w:lineRule="exact"/>
        <w:rPr>
          <w:sz w:val="20"/>
          <w:szCs w:val="20"/>
          <w:color w:val="auto"/>
        </w:rPr>
      </w:pPr>
    </w:p>
    <w:p>
      <w:pPr>
        <w:ind w:right="18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2.10. Payments, Computations, Etc</w:t>
      </w:r>
      <w:r>
        <w:rPr>
          <w:rFonts w:ascii="Times New Roman" w:cs="Times New Roman" w:eastAsia="Times New Roman" w:hAnsi="Times New Roman"/>
          <w:sz w:val="19"/>
          <w:szCs w:val="19"/>
          <w:color w:val="auto"/>
        </w:rPr>
        <w:t>. (a) Unless otherwise expressly provided herein, all amounts to be paid or deposited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Borrower hereunder shall be paid or deposited in accordance with the terms hereof no later than 2:00 p.m. (New York City time) on the day when due in lawful money of the United States in immediately available funds to the Agent’s Account. The Borrower shall, to the extent permitted by law, pay to the Secured Parties, without duplication, interest on all amounts not paid or deposited when due hereunder at a rate of interest equal to the then applicable Interest Rate and, if not paid within three (3) Business Days, at the Default Rate, payable on demand;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such interest rate shall not at any time exceed the Maximum Lawful Rate. All computations of interest and all computations of the Interest Rate and other fees hereunder shall be made on the basis of a year of 360 days for the actual number of days (including the first but excluding the last day) elapsed.</w:t>
      </w:r>
    </w:p>
    <w:p>
      <w:pPr>
        <w:spacing w:after="0" w:line="186" w:lineRule="exact"/>
        <w:rPr>
          <w:sz w:val="20"/>
          <w:szCs w:val="20"/>
          <w:color w:val="auto"/>
        </w:rPr>
      </w:pPr>
    </w:p>
    <w:p>
      <w:pPr>
        <w:ind w:right="60" w:firstLine="54"/>
        <w:spacing w:after="0" w:line="268" w:lineRule="auto"/>
        <w:tabs>
          <w:tab w:leader="none" w:pos="32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Whenever any payment hereunder shall be stated to be due on a day other than a Business Day, such payment shall be made on the next succeeding Business Day, and such extension of time shall in such case be included in the computation of payment of Interest, other interest or any fee payable hereunder, as the case may be, without duplication.</w:t>
      </w:r>
    </w:p>
    <w:p>
      <w:pPr>
        <w:spacing w:after="0" w:line="149" w:lineRule="exact"/>
        <w:rPr>
          <w:rFonts w:ascii="Times New Roman" w:cs="Times New Roman" w:eastAsia="Times New Roman" w:hAnsi="Times New Roman"/>
          <w:sz w:val="19"/>
          <w:szCs w:val="19"/>
          <w:color w:val="auto"/>
        </w:rPr>
      </w:pPr>
    </w:p>
    <w:p>
      <w:pPr>
        <w:ind w:right="40" w:firstLine="54"/>
        <w:spacing w:after="0" w:line="242" w:lineRule="exact"/>
        <w:tabs>
          <w:tab w:leader="none" w:pos="309"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payments hereunder shall be made without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or counterclaim and in such amounts as may be necessary in order that all such payments shall not be less than the amounts otherwise specified to be paid under this Agreement (after withholding for or on account of any Taxes).</w:t>
      </w:r>
    </w:p>
    <w:p>
      <w:pPr>
        <w:spacing w:after="0" w:line="193" w:lineRule="exact"/>
        <w:rPr>
          <w:rFonts w:ascii="Times New Roman" w:cs="Times New Roman" w:eastAsia="Times New Roman" w:hAnsi="Times New Roman"/>
          <w:sz w:val="19"/>
          <w:szCs w:val="19"/>
          <w:color w:val="auto"/>
        </w:rPr>
      </w:pPr>
    </w:p>
    <w:p>
      <w:pPr>
        <w:ind w:firstLine="54"/>
        <w:spacing w:after="0" w:line="258" w:lineRule="auto"/>
        <w:tabs>
          <w:tab w:leader="none" w:pos="324"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Administrative Agent’s Reliance. </w:t>
      </w:r>
      <w:r>
        <w:rPr>
          <w:rFonts w:ascii="Times New Roman" w:cs="Times New Roman" w:eastAsia="Times New Roman" w:hAnsi="Times New Roman"/>
          <w:sz w:val="19"/>
          <w:szCs w:val="19"/>
          <w:color w:val="auto"/>
        </w:rPr>
        <w:t>In making the deposits, distributions and calculations required to be made by it hereunder,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shall be entitled to rely, in good faith, on information supplied to the Administrative Agent by the Collateral Custodian or the Borrower. The Administrative Agent shall be fully protected in making disbursements hereunder in accordance with the written instructions of the Collateral Custodian or the Borrower delivered in accordance with this Agreement. For the avoidance of doubt, any Monthly Report that has been delivered to the Administrative Agent by the Borrower shall constitute the written instructions of the Borrower with respect to the deposits and distributions described therein.</w:t>
      </w:r>
    </w:p>
    <w:p>
      <w:pPr>
        <w:spacing w:after="0" w:line="175" w:lineRule="exact"/>
        <w:rPr>
          <w:rFonts w:ascii="Times New Roman" w:cs="Times New Roman" w:eastAsia="Times New Roman" w:hAnsi="Times New Roman"/>
          <w:sz w:val="19"/>
          <w:szCs w:val="19"/>
          <w:color w:val="auto"/>
        </w:rPr>
      </w:pPr>
    </w:p>
    <w:p>
      <w:pPr>
        <w:ind w:right="120" w:firstLine="54"/>
        <w:spacing w:after="0" w:line="253" w:lineRule="auto"/>
        <w:tabs>
          <w:tab w:leader="none" w:pos="360" w:val="left"/>
        </w:tabs>
        <w:numPr>
          <w:ilvl w:val="0"/>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Defaulting Lenders. </w:t>
      </w:r>
      <w:r>
        <w:rPr>
          <w:rFonts w:ascii="Times New Roman" w:cs="Times New Roman" w:eastAsia="Times New Roman" w:hAnsi="Times New Roman"/>
          <w:sz w:val="19"/>
          <w:szCs w:val="19"/>
          <w:color w:val="auto"/>
        </w:rPr>
        <w:t>Notwithstanding anything herein to the contrary, any amount paid by the Borrower for the account of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Defaulting Lender under this Agreement (whether on account of principal, interest, fees, indemnity payments or other amounts) will be retained by the Administrative Agent in a segregated non-interest bearing account until the Termination Date, at which time the funds in such account will be applied by the Administrative Agent, to the fullest extent permitted by law, in the following order of priority: first, to the payment of any amounts owing by such Defaulting Lender to the Administrative Agent under this Agreement; second, to the payment of any amounts owing by such Defaulting Lender to the Swingline Lender hereunder; </w:t>
      </w:r>
      <w:r>
        <w:rPr>
          <w:rFonts w:ascii="Times New Roman" w:cs="Times New Roman" w:eastAsia="Times New Roman" w:hAnsi="Times New Roman"/>
          <w:sz w:val="19"/>
          <w:szCs w:val="19"/>
          <w:i w:val="1"/>
          <w:iCs w:val="1"/>
          <w:color w:val="auto"/>
        </w:rPr>
        <w:t>third</w:t>
      </w:r>
      <w:r>
        <w:rPr>
          <w:rFonts w:ascii="Times New Roman" w:cs="Times New Roman" w:eastAsia="Times New Roman" w:hAnsi="Times New Roman"/>
          <w:sz w:val="19"/>
          <w:szCs w:val="19"/>
          <w:color w:val="auto"/>
        </w:rPr>
        <w:t xml:space="preserve">, if so determined by the Administrative Agent or requested by the Swingline Lender, to be held as cash collateral for future funding obligations of such Defaulting Lender for any participation in any Swingline Advance;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to the payment of interest due and payable to the Lenders hereunder that are not Defaulting Lenders, ratably among them in accordance with the amounts of such interest then due and payable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-1229995</wp:posOffset>
            </wp:positionV>
            <wp:extent cx="3048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5">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right="100"/>
        <w:spacing w:after="0" w:line="250" w:lineRule="auto"/>
        <w:rPr>
          <w:sz w:val="20"/>
          <w:szCs w:val="20"/>
          <w:color w:val="auto"/>
        </w:rPr>
      </w:pPr>
      <w:r>
        <w:rPr>
          <w:rFonts w:ascii="Times New Roman" w:cs="Times New Roman" w:eastAsia="Times New Roman" w:hAnsi="Times New Roman"/>
          <w:sz w:val="19"/>
          <w:szCs w:val="19"/>
          <w:color w:val="auto"/>
        </w:rPr>
        <w:t xml:space="preserve">them;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xml:space="preserve">, to the payment of fees then due and payable to the Lenders hereunder that are not Defaulting Lenders, ratably among them in accordance with the amounts of such fees then due and payable to them;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to</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44" w:name="page245"/>
    <w:bookmarkEnd w:id="244"/>
    <w:p>
      <w:pPr>
        <w:spacing w:after="0" w:line="200" w:lineRule="exact"/>
        <w:rPr>
          <w:sz w:val="20"/>
          <w:szCs w:val="20"/>
          <w:color w:val="auto"/>
        </w:rPr>
      </w:pPr>
    </w:p>
    <w:p>
      <w:pPr>
        <w:spacing w:after="0" w:line="28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 xml:space="preserve">the payment of principal then due and payable to the Lenders hereunder that are not Defaulting Lenders, ratably in accordance with the amounts thereof then due and payable to them;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to the ratable payment of other amounts then due and payable to the Lenders hereunder that are not Defaulting Lenders;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to pay amounts owing under this Agreement to such Defaulting Lender or as a court of competent jurisdiction may otherwise direct.</w:t>
      </w:r>
    </w:p>
    <w:p>
      <w:pPr>
        <w:spacing w:after="0" w:line="172"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2.11. Inability to Determine Rates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Temporary. </w:t>
      </w:r>
      <w:r>
        <w:rPr>
          <w:rFonts w:ascii="Times New Roman" w:cs="Times New Roman" w:eastAsia="Times New Roman" w:hAnsi="Times New Roman"/>
          <w:sz w:val="19"/>
          <w:szCs w:val="19"/>
          <w:color w:val="auto"/>
        </w:rPr>
        <w:t>If the Administrative Agent determines (which determination shall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conclusive and binding absent manifest error) that the Adjusted Term SOFR Rate cannot be determined pursuant to the definition thereof on or prior to the first day of any Interest Period, the Administrative Agent will promptly so notify the Borrower and each Lender. Upon notice thereof by the Administrative Agent to the Borrower (with a copy to the Paying Agent), (i) any obligation of the Lenders to make or continue an Advance that accrues interest at the Adjusted Term SOFR Rate or to convert an Advance that accrues interest at the Base Rate to an Advance that accrues interest at the Adjusted Term SOFR Rate shall be suspended (to the extent of the affected Interest Periods) until the Administrative Agent revokes such notice and (ii) if such determination affects the calculation of the Base Rate, the Administrative Agent shall during the period of such suspension compute the Base Rate without reference to clause (c) of the definition of Base Rate until the Administrative Agent revokes such notice.</w:t>
      </w:r>
    </w:p>
    <w:p>
      <w:pPr>
        <w:spacing w:after="0" w:line="179" w:lineRule="exact"/>
        <w:rPr>
          <w:sz w:val="20"/>
          <w:szCs w:val="20"/>
          <w:color w:val="auto"/>
        </w:rPr>
      </w:pPr>
    </w:p>
    <w:p>
      <w:pPr>
        <w:ind w:left="340" w:hanging="286"/>
        <w:spacing w:after="0"/>
        <w:tabs>
          <w:tab w:leader="none" w:pos="340"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Effect of Benchmark Transition Event.</w:t>
      </w:r>
    </w:p>
    <w:p>
      <w:pPr>
        <w:spacing w:after="0" w:line="225" w:lineRule="exact"/>
        <w:rPr>
          <w:rFonts w:ascii="Times New Roman" w:cs="Times New Roman" w:eastAsia="Times New Roman" w:hAnsi="Times New Roman"/>
          <w:sz w:val="19"/>
          <w:szCs w:val="19"/>
          <w:color w:val="auto"/>
        </w:rPr>
      </w:pPr>
    </w:p>
    <w:p>
      <w:pPr>
        <w:ind w:left="700" w:right="80" w:firstLine="50"/>
        <w:spacing w:after="0" w:line="254" w:lineRule="auto"/>
        <w:tabs>
          <w:tab w:leader="none" w:pos="976"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Benchmark Replacement. </w:t>
      </w:r>
      <w:r>
        <w:rPr>
          <w:rFonts w:ascii="Times New Roman" w:cs="Times New Roman" w:eastAsia="Times New Roman" w:hAnsi="Times New Roman"/>
          <w:sz w:val="19"/>
          <w:szCs w:val="19"/>
          <w:color w:val="auto"/>
        </w:rPr>
        <w:t>Notwithstanding anything to the contrary herein or in any other Transaction Document, upon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occurrence of a Benchmark Transition Event or an Early Opt-in Election, as applicable,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Any such amendment with respect to an Early Opt-in Election will become effective on the date that Lenders comprising the Required Lenders have delivered to the Administrative Agent written notice that such Required Lenders accept such amendment. No replacement of a Benchmark with a Benchmark Replacement pursuant to this Section 2.11(b)(i) will occur prior to the applicable Benchmark Transition Start Date.</w:t>
      </w:r>
    </w:p>
    <w:p>
      <w:pPr>
        <w:spacing w:after="0" w:line="184" w:lineRule="exact"/>
        <w:rPr>
          <w:rFonts w:ascii="Times New Roman" w:cs="Times New Roman" w:eastAsia="Times New Roman" w:hAnsi="Times New Roman"/>
          <w:sz w:val="19"/>
          <w:szCs w:val="19"/>
          <w:color w:val="auto"/>
        </w:rPr>
      </w:pPr>
    </w:p>
    <w:p>
      <w:pPr>
        <w:ind w:left="700" w:firstLine="50"/>
        <w:spacing w:after="0" w:line="260" w:lineRule="auto"/>
        <w:tabs>
          <w:tab w:leader="none" w:pos="1036"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Benchmark Replacement Conforming Changes. </w:t>
      </w:r>
      <w:r>
        <w:rPr>
          <w:rFonts w:ascii="Times New Roman" w:cs="Times New Roman" w:eastAsia="Times New Roman" w:hAnsi="Times New Roman"/>
          <w:sz w:val="19"/>
          <w:szCs w:val="19"/>
          <w:color w:val="auto"/>
        </w:rPr>
        <w:t>In connection with the implementation of a Benchmark Replacement,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will have the right to make Benchmark Replacement Conforming Changes from time to time and, notwithstanding anything to the contrary herein or in any other Transaction Document, any amendments implementing such Benchmark Replacement Conforming Changes will become effective without any further action or consent of any other party to this Agreement.</w:t>
      </w:r>
    </w:p>
    <w:p>
      <w:pPr>
        <w:spacing w:after="0" w:line="172" w:lineRule="exact"/>
        <w:rPr>
          <w:rFonts w:ascii="Times New Roman" w:cs="Times New Roman" w:eastAsia="Times New Roman" w:hAnsi="Times New Roman"/>
          <w:sz w:val="19"/>
          <w:szCs w:val="19"/>
          <w:color w:val="auto"/>
        </w:rPr>
      </w:pPr>
    </w:p>
    <w:p>
      <w:pPr>
        <w:ind w:left="700" w:right="180" w:firstLine="50"/>
        <w:spacing w:after="0" w:line="263" w:lineRule="auto"/>
        <w:tabs>
          <w:tab w:leader="none" w:pos="1084"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Notices; Standards for Decisions and Determinations. </w:t>
      </w:r>
      <w:r>
        <w:rPr>
          <w:rFonts w:ascii="Times New Roman" w:cs="Times New Roman" w:eastAsia="Times New Roman" w:hAnsi="Times New Roman"/>
          <w:sz w:val="19"/>
          <w:szCs w:val="19"/>
          <w:color w:val="auto"/>
        </w:rPr>
        <w:t>The Administrative Agent will promptly notify the Borrower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Lenders (with a copy to the Paying Agent)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5" w:name="page246"/>
    <w:bookmarkEnd w:id="245"/>
    <w:p>
      <w:pPr>
        <w:spacing w:after="0" w:line="200" w:lineRule="exact"/>
        <w:rPr>
          <w:sz w:val="20"/>
          <w:szCs w:val="20"/>
          <w:color w:val="auto"/>
        </w:rPr>
      </w:pPr>
    </w:p>
    <w:p>
      <w:pPr>
        <w:spacing w:after="0" w:line="285" w:lineRule="exact"/>
        <w:rPr>
          <w:sz w:val="20"/>
          <w:szCs w:val="20"/>
          <w:color w:val="auto"/>
        </w:rPr>
      </w:pPr>
    </w:p>
    <w:p>
      <w:pPr>
        <w:ind w:left="700" w:right="120"/>
        <w:spacing w:after="0" w:line="255" w:lineRule="auto"/>
        <w:rPr>
          <w:sz w:val="20"/>
          <w:szCs w:val="20"/>
          <w:color w:val="auto"/>
        </w:rPr>
      </w:pPr>
      <w:r>
        <w:rPr>
          <w:rFonts w:ascii="Times New Roman" w:cs="Times New Roman" w:eastAsia="Times New Roman" w:hAnsi="Times New Roman"/>
          <w:sz w:val="19"/>
          <w:szCs w:val="19"/>
          <w:color w:val="auto"/>
        </w:rPr>
        <w:t>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2.11(b), including any determination with respect to a tenor, rate or adjustment or of the occurrence or non -occurrence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2.11(b).</w:t>
      </w:r>
    </w:p>
    <w:p>
      <w:pPr>
        <w:spacing w:after="0" w:line="182" w:lineRule="exact"/>
        <w:rPr>
          <w:sz w:val="20"/>
          <w:szCs w:val="20"/>
          <w:color w:val="auto"/>
        </w:rPr>
      </w:pPr>
    </w:p>
    <w:p>
      <w:pPr>
        <w:ind w:left="700" w:firstLine="50"/>
        <w:spacing w:after="0" w:line="253" w:lineRule="auto"/>
        <w:tabs>
          <w:tab w:leader="none" w:pos="1072"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Unavailability of Tenor of Benchmark. </w:t>
      </w:r>
      <w:r>
        <w:rPr>
          <w:rFonts w:ascii="Times New Roman" w:cs="Times New Roman" w:eastAsia="Times New Roman" w:hAnsi="Times New Roman"/>
          <w:sz w:val="19"/>
          <w:szCs w:val="19"/>
          <w:color w:val="auto"/>
        </w:rPr>
        <w:t>Notwithstanding anything to the contrary herein or in any other Transaction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Document, at any time (including in connection with the implementation of a Benchmark Replacement), (i) if any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6" w:lineRule="exact"/>
        <w:rPr>
          <w:rFonts w:ascii="Times New Roman" w:cs="Times New Roman" w:eastAsia="Times New Roman" w:hAnsi="Times New Roman"/>
          <w:sz w:val="19"/>
          <w:szCs w:val="19"/>
          <w:color w:val="auto"/>
        </w:rPr>
      </w:pPr>
    </w:p>
    <w:p>
      <w:pPr>
        <w:ind w:left="700" w:right="120" w:firstLine="50"/>
        <w:spacing w:after="0" w:line="258" w:lineRule="auto"/>
        <w:tabs>
          <w:tab w:leader="none" w:pos="1024" w:val="left"/>
        </w:tabs>
        <w:numPr>
          <w:ilvl w:val="0"/>
          <w:numId w:val="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Benchmark Unavailability Period. </w:t>
      </w:r>
      <w:r>
        <w:rPr>
          <w:rFonts w:ascii="Times New Roman" w:cs="Times New Roman" w:eastAsia="Times New Roman" w:hAnsi="Times New Roman"/>
          <w:sz w:val="19"/>
          <w:szCs w:val="19"/>
          <w:color w:val="auto"/>
        </w:rPr>
        <w:t>Upon the Borrower’s receipt of notice of the commencement of a Benchmark</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Unavailability Period, the Borrower may revoke any request for an Advance of, conversion to or continuation of Term SOFR Loans to be made, converted or continued during any Benchmark Unavailability Period and, failing that, the Borrower will be deemed to have converted any such request into a request for a Borrowing of or conversion to an Advance that accrues interest at the Base Rate. During any Benchmark Unavailability Period, the component of Base Rate based upon the Adjusted Term SOFR Rate will not be used in any determination of Base Rate.</w:t>
      </w:r>
    </w:p>
    <w:p>
      <w:pPr>
        <w:spacing w:after="0" w:line="175" w:lineRule="exact"/>
        <w:rPr>
          <w:sz w:val="20"/>
          <w:szCs w:val="20"/>
          <w:color w:val="auto"/>
        </w:rPr>
      </w:pPr>
    </w:p>
    <w:p>
      <w:pPr>
        <w:ind w:right="4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2.12. Increased Costs; Capital Adequacy; Illegality</w:t>
      </w:r>
      <w:r>
        <w:rPr>
          <w:rFonts w:ascii="Times New Roman" w:cs="Times New Roman" w:eastAsia="Times New Roman" w:hAnsi="Times New Roman"/>
          <w:sz w:val="19"/>
          <w:szCs w:val="19"/>
          <w:color w:val="auto"/>
        </w:rPr>
        <w:t>. (a) If any Managing Agent, Lender or any Affiliate thereof (each of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 </w:t>
      </w:r>
      <w:r>
        <w:rPr>
          <w:rFonts w:ascii="Times New Roman" w:cs="Times New Roman" w:eastAsia="Times New Roman" w:hAnsi="Times New Roman"/>
          <w:sz w:val="19"/>
          <w:szCs w:val="19"/>
          <w:i w:val="1"/>
          <w:iCs w:val="1"/>
          <w:color w:val="auto"/>
        </w:rPr>
        <w:t>“Affected Party”</w:t>
      </w:r>
      <w:r>
        <w:rPr>
          <w:rFonts w:ascii="Times New Roman" w:cs="Times New Roman" w:eastAsia="Times New Roman" w:hAnsi="Times New Roman"/>
          <w:sz w:val="19"/>
          <w:szCs w:val="19"/>
          <w:color w:val="auto"/>
        </w:rPr>
        <w:t>) shall be charged any fee, expense or increased cost on account of a Regulatory Change (including, without limitation, any change by way of imposition or increase of reserve requirements or any internal capital or liquidity charge or other imputed cost assessed upon such Affected Party (including any increase in the cost to any Affected Party that is an Issuer in connection with compensation owed by such Affected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46" w:name="page247"/>
    <w:bookmarkEnd w:id="246"/>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to its Liquidity Provider in connection with this Agreement), which in the reasonable good faith discretion of such Affected Party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allocable to the Borrower or to the transactions contemplated by this Agreement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 that subjects any Lender to any Taxes (other than (1)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Indemnified Taxes, (2) Taxes described in clauses (ii) through (v) of Section 2.13(a), (3) Taxes for which a Lender is not entitled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indemnification under Section 2.13(a) and Section 2.13(b) by virtue of Section 2.13(e) or Section 2.13(m) and (4) Taxes imposed as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result of a present or former connection between any Lender and the jurisdiction imposing such Tax (other than connections arising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Lender having executed, delivered, become a party to, performed its obligations under, received payments under, received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perfected security interest under, engaged in any other transaction pursuant to or enforced any Transaction Document, or sold or assigned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 interest in any Advance or Transaction Document) that are (x) imposed on or measured by net income (however denominated), (y)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franchise Taxes or (z) branch profits Taxes) on its loans, loan principal, letters of credit, commitments, or other obligations, or its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deposits, reserves, other liabilities or capital attributable thereto or (ii) that imposes, modifies or deems applicable any reserve,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assessment, insurance charge, special deposit or similar requirement against assets of, deposits with or for the account of an Affected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or credit extended by an Affected Party pursuant to a Transaction Document (including, without limitation, any internal capital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liquidity charge or other imputed cost assessed upon such Affected Party, which in the sole discretion of such Affected Party is allocable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Borrower or to the transactions contemplated by this Agreement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or (iii) that imposes any other condition (other than Taxes)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result of which is to increase the cost to an Affected Party of performing its obligations under a Transaction Document, or to reduce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rate of return on an Affected Party’s capital as a consequence of its obligations under a Transaction Document, or to reduce the amount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any sum received or receivable by an Affected Party under a Transaction Document or to require any payment calculated by reference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amount of interests or loans held or interest received by it, then, or (iv) in the case of an Affected Party that is an Issuer, that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requires such Affected Party to compensate its Liquidity Provider in connection with this Agreement, not later than thirty (30) days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demand by the applicable Managing Agent, the Borrower shall pay to the Administrative Agent, for payment to the applicable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Managing Agent for the benefit of the relevant Affected Party, such amounts charged to such Affected Party or such amounts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otherwise compensate such Affected Party for such increased cost or such reduction or amounts paid by an Issuer to its Liquidity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Provider;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not be required to compensate an Affected Party pursuant to this clause (a) for any increased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costs or reductions incurred more than one hundred eighty (180) days prior to the date that such Affected Party notifies the Borrower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event or circumstance giving rise to such increased costs or reductions and of such Affected Party’s intention to claim compensation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therefor;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if the request or compliance giving rise to such increased costs or reductions has a retroactive effect, then</w:t>
      </w:r>
    </w:p>
    <w:p>
      <w:pPr>
        <w:spacing w:after="0" w:line="1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the 180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referred to above shall be extended to include the period of retroactive effect thereof. For purposes hereof</w:t>
      </w:r>
    </w:p>
    <w:p>
      <w:pPr>
        <w:spacing w:after="0" w:line="1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Regulatory Change</w:t>
      </w:r>
      <w:r>
        <w:rPr>
          <w:rFonts w:ascii="Times New Roman" w:cs="Times New Roman" w:eastAsia="Times New Roman" w:hAnsi="Times New Roman"/>
          <w:sz w:val="19"/>
          <w:szCs w:val="19"/>
          <w:color w:val="auto"/>
        </w:rPr>
        <w:t>” shall mean, with respect to any Affected Party, (A) the adoption, change, implementation, change in the phase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 commencement of effectiveness of after the date hereof of: (i) any United States Federal or state or foreign law, regulation, treaty 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official directive applicable to such Affected Party, (ii) regulation (including any applicable law, rule or regulation regarding capital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adequacy or liquidity coverage), interpretation, rule, directive, requirement or request (whether or not having the force of law) applicable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such Affected Party of (1) any court or government authority charged with the interpretation or administration of any law referred to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clause (A)(i), or (2) any fiscal, monetary or other authority having jurisdiction over such Affected</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7" w:name="page248"/>
    <w:bookmarkEnd w:id="247"/>
    <w:p>
      <w:pPr>
        <w:spacing w:after="0" w:line="200" w:lineRule="exact"/>
        <w:rPr>
          <w:sz w:val="20"/>
          <w:szCs w:val="20"/>
          <w:color w:val="auto"/>
        </w:rPr>
      </w:pPr>
    </w:p>
    <w:p>
      <w:pPr>
        <w:spacing w:after="0" w:line="285"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19"/>
          <w:szCs w:val="19"/>
          <w:color w:val="auto"/>
        </w:rPr>
        <w:t>Party, or (iii) GAAP or regulatory accounting principles applicable to such Affected Party and affecting the application to such Affected Party of any law, regulation, interpretation, directive, requirement or request referred to in clause (A)(i) or (A)(ii) above; (B) any change in the application to such Affected Party of any existing law, regulation, interpretation, directive, requirement, request or accounting principles referred to in clause (A)(i), (A)(ii) or (A)(iii) above or any change in the interpretation, application or administration thereof by any governmental authority, central bank or comparable agency charged with the interpretation or administration thereof, or compliance with any request or directive (whether or not having the force of law) of any such authority, central bank or comparable agency; or (C) the compliance, whether commenced prior to or after the date hereof, by any Affected Party with the requirements of (i) the final rule titled Risk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Based Capital Guidelines; Capital Adequacy Guidelines; Capital Maintenance: Regulatory Capital; Impact of Modifications to Generally Accepted Accounting Principles; Consolidation of Asset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Backed Commercial Paper Programs; and Other Related Issues, adopted by the United States bank regulatory agencies on December 15, 2009, or any rules, regulations, guidance, interpretations or directives promulgated or issued in connection therewith by such agency (whether or not having force of law), (ii) the Dodd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Frank Wall Street Reform and Consumer Protection Act adopted by Congress on July 21, 2010, or any existing or future rules, regulations, guidance, interpretations or directives from the United States bank regulatory agencies relating thereto (whether or not having the force of law),</w:t>
      </w:r>
    </w:p>
    <w:p>
      <w:pPr>
        <w:spacing w:after="0" w:line="5" w:lineRule="exact"/>
        <w:rPr>
          <w:sz w:val="20"/>
          <w:szCs w:val="20"/>
          <w:color w:val="auto"/>
        </w:rPr>
      </w:pPr>
    </w:p>
    <w:p>
      <w:pPr>
        <w:ind w:right="20" w:firstLine="6"/>
        <w:spacing w:after="0" w:line="252" w:lineRule="auto"/>
        <w:tabs>
          <w:tab w:leader="none" w:pos="33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July 1988 paper or the June 2006 paper prepared by the Basel Committee on Banking Supervision as set out in the publication entitled: “International Convergence of Capital Measurements and Capital Standards: a Revised Framework”, as updated from time to time, or any rules, regulations, guidance, interpretations or directives promulgated or issued in connection therewith by the United States bank regulatory agencies (whether or not having force of law) or any other request, rule, guideline or directive promulgated by the Bank for International Settlements, the Basel Committee on Banking Supervision (or any successor or similar authority) or the United States or foreign regulatory authorities, in each case pursuant to Basel II or Basel III, or (iv) any guideline or request from any central bank or other governmental agency or authority (whether or not having the force of law).</w:t>
      </w:r>
    </w:p>
    <w:p>
      <w:pPr>
        <w:spacing w:after="0" w:line="185" w:lineRule="exact"/>
        <w:rPr>
          <w:sz w:val="20"/>
          <w:szCs w:val="20"/>
          <w:color w:val="auto"/>
        </w:rPr>
      </w:pPr>
    </w:p>
    <w:p>
      <w:pPr>
        <w:ind w:right="20" w:firstLine="54"/>
        <w:spacing w:after="0" w:line="231" w:lineRule="exact"/>
        <w:tabs>
          <w:tab w:leader="none" w:pos="320"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as a result of any event or circumstance described in clause (a) of this Section 2.12, an Affected Party is required to compensate a bank or other financial institution providing liquidity support, credit enhancement or other similar support or financing to such Affected Party in connection with this Agreement or the funding or maintenance of Advances hereunder, then within thirty (30) days after demand by such Affected Party, the Borrower shall pay to such Affected Party such additional amount or amounts as may be necessary to reimburse such Affected Party for any such amounts paid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shall not be required to compensate an Affected Party pursuant to this Section for any increased costs or reductions incurred more than 180 days prior to the date that such Affected Party notifies the Borrower of the event or circumstance similar to those described in clause (a) of this Section 2.12 giving rise to such increased costs or reductions and of such Affected Party’s intention to claim compensation therefor; provided, further, that if the Regulatory Change giving rise to such increased costs or reductions has a retroactive effect, then the 180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referred to above shall be extended to include the period of retroactive effect thereof.</w:t>
      </w:r>
    </w:p>
    <w:p>
      <w:pPr>
        <w:spacing w:after="0" w:line="193" w:lineRule="exact"/>
        <w:rPr>
          <w:rFonts w:ascii="Times New Roman" w:cs="Times New Roman" w:eastAsia="Times New Roman" w:hAnsi="Times New Roman"/>
          <w:sz w:val="19"/>
          <w:szCs w:val="19"/>
          <w:color w:val="auto"/>
        </w:rPr>
      </w:pPr>
    </w:p>
    <w:p>
      <w:pPr>
        <w:ind w:right="680" w:firstLine="54"/>
        <w:spacing w:after="0" w:line="262" w:lineRule="auto"/>
        <w:tabs>
          <w:tab w:leader="none" w:pos="30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determining any amount provided for in this section, the Affected Party shall use any reasonable averaging and attribution methods substantially consistent with methods used for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48" w:name="page249"/>
    <w:bookmarkEnd w:id="248"/>
    <w:p>
      <w:pPr>
        <w:spacing w:after="0" w:line="200" w:lineRule="exact"/>
        <w:rPr>
          <w:sz w:val="20"/>
          <w:szCs w:val="20"/>
          <w:color w:val="auto"/>
        </w:rPr>
      </w:pPr>
    </w:p>
    <w:p>
      <w:pPr>
        <w:spacing w:after="0" w:line="2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other customers of the Affected Party, if any. Any Affected Party making a claim under this section shall submit to the Borrower a certificate as to such additional or increased cost or reduction, which certificate shall calculate in reasonable detail any such charges and shall be conclusive absent demonstrable error.</w:t>
      </w:r>
    </w:p>
    <w:p>
      <w:pPr>
        <w:spacing w:after="0" w:line="168" w:lineRule="exact"/>
        <w:rPr>
          <w:sz w:val="20"/>
          <w:szCs w:val="20"/>
          <w:color w:val="auto"/>
        </w:rPr>
      </w:pPr>
    </w:p>
    <w:p>
      <w:pPr>
        <w:ind w:right="120" w:firstLine="54"/>
        <w:spacing w:after="0" w:line="268" w:lineRule="auto"/>
        <w:tabs>
          <w:tab w:leader="none" w:pos="32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Affected Party shall demand compensation under this Section 2.12, Borrower shall have the right to prepay all Obligations under this Agreement within ninety (90) days of such demand and without the payment of any early termination, breakage or other fees or costs arising solely by reason of such prepayment.</w:t>
      </w:r>
    </w:p>
    <w:p>
      <w:pPr>
        <w:spacing w:after="0" w:line="166" w:lineRule="exact"/>
        <w:rPr>
          <w:sz w:val="20"/>
          <w:szCs w:val="20"/>
          <w:color w:val="auto"/>
        </w:rPr>
      </w:pPr>
    </w:p>
    <w:p>
      <w:pPr>
        <w:ind w:firstLine="48"/>
        <w:spacing w:after="0" w:line="252" w:lineRule="auto"/>
        <w:rPr>
          <w:sz w:val="20"/>
          <w:szCs w:val="20"/>
          <w:color w:val="auto"/>
        </w:rPr>
      </w:pPr>
      <w:r>
        <w:rPr>
          <w:rFonts w:ascii="Times New Roman" w:cs="Times New Roman" w:eastAsia="Times New Roman" w:hAnsi="Times New Roman"/>
          <w:sz w:val="19"/>
          <w:szCs w:val="19"/>
          <w:i w:val="1"/>
          <w:iCs w:val="1"/>
          <w:color w:val="auto"/>
        </w:rPr>
        <w:t>Section 2.13. Taxes</w:t>
      </w:r>
      <w:r>
        <w:rPr>
          <w:rFonts w:ascii="Times New Roman" w:cs="Times New Roman" w:eastAsia="Times New Roman" w:hAnsi="Times New Roman"/>
          <w:sz w:val="19"/>
          <w:szCs w:val="19"/>
          <w:color w:val="auto"/>
        </w:rPr>
        <w:t>. (a) All payments made by the Borrower in respect of any Advance and all payments made by the Borrower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this Agreement will be made free and clear of and without deduction or withholding for or on account of any Taxes, unless such withholding or deduction is required by law (as determined in the good faith discretion of the Borrower) . In such event, the Borrower shall pay to the appropriate taxing authority any such Taxes required to be deducted or withheld and the amount payable to each Lender or the Administrative Agent (as the case may be) will be increased (such increase, the </w:t>
      </w:r>
      <w:r>
        <w:rPr>
          <w:rFonts w:ascii="Times New Roman" w:cs="Times New Roman" w:eastAsia="Times New Roman" w:hAnsi="Times New Roman"/>
          <w:sz w:val="19"/>
          <w:szCs w:val="19"/>
          <w:i w:val="1"/>
          <w:iCs w:val="1"/>
          <w:color w:val="auto"/>
        </w:rPr>
        <w:t>“Additional Amount”</w:t>
      </w:r>
      <w:r>
        <w:rPr>
          <w:rFonts w:ascii="Times New Roman" w:cs="Times New Roman" w:eastAsia="Times New Roman" w:hAnsi="Times New Roman"/>
          <w:sz w:val="19"/>
          <w:szCs w:val="19"/>
          <w:color w:val="auto"/>
        </w:rPr>
        <w:t xml:space="preserve">) such that every net payment made under this Agreement after deduction or withholding for or on account of any Taxes (including, without limitation, any Taxes on such increase) is not less than the amount that would have been paid had no such deduction or withholding been deducted or withheld. The foregoing obligation to pay Additional Amounts, however, will not apply with respect to, and the term “Additional Amount” shall not include, any (i) net income, branch profit or franchise taxes imposed on a Lender, any Managing Agent or the Administrative Agent with respect to payments required to be made by the Borrower under this Agreement, by a taxing jurisdiction in which such Lender, Managing Agent or the Administrative Agent, as the case may be, is organized, conducts business, is otherwise subject to tax without regard to the transactions contemplated by this Agreement, or is paying taxes as of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(ii) withholding taxes imposed with respect to any payments to any Lender, Managing Agent or the Administrative Agent that are applicable and imposed as of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 (iii) withholding taxes imposed with respect to any payments to any Lender, Managing Agent, or the Administrative Agent that are applicable and imposed as of the date that such party becomes a Lender, Managing Agent, or the Administrative Agent under this Agreement; (iv) any withholding taxes imposed under FATCA (including any successor provisions thereof); or (v) any U.S. federal backup withholding tax imposed pursuant to Section 3406 of the Code as in effect on the date of this Agreement. For purposes hereof “</w:t>
      </w:r>
      <w:r>
        <w:rPr>
          <w:rFonts w:ascii="Times New Roman" w:cs="Times New Roman" w:eastAsia="Times New Roman" w:hAnsi="Times New Roman"/>
          <w:sz w:val="19"/>
          <w:szCs w:val="19"/>
          <w:i w:val="1"/>
          <w:iCs w:val="1"/>
          <w:color w:val="auto"/>
        </w:rPr>
        <w:t>Indemnified Taxes</w:t>
      </w:r>
      <w:r>
        <w:rPr>
          <w:rFonts w:ascii="Times New Roman" w:cs="Times New Roman" w:eastAsia="Times New Roman" w:hAnsi="Times New Roman"/>
          <w:sz w:val="19"/>
          <w:szCs w:val="19"/>
          <w:color w:val="auto"/>
        </w:rPr>
        <w:t>” shall mean Taxes imposed on or with respect to any payment made by or on account of any obligation of the Borrower under any Transaction document other than Taxes described in clauses (i) through (v) immediately above.</w:t>
      </w:r>
    </w:p>
    <w:p>
      <w:pPr>
        <w:spacing w:after="0" w:line="191" w:lineRule="exact"/>
        <w:rPr>
          <w:sz w:val="20"/>
          <w:szCs w:val="20"/>
          <w:color w:val="auto"/>
        </w:rPr>
      </w:pPr>
    </w:p>
    <w:p>
      <w:pPr>
        <w:ind w:right="160" w:firstLine="54"/>
        <w:spacing w:after="0" w:line="254" w:lineRule="auto"/>
        <w:tabs>
          <w:tab w:leader="none" w:pos="320"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will indemnify each Lender, each Managing Agent and the Administrative Agent for the full amount of Taxes in respect of which the Borrower is required to pay Additional Amounts (including, without limitation, any Taxes imposed by any jurisdiction on such Additional Amounts) paid by such Lender, Managing Agent or the Administrative Agent (as the case may be) and any liability (including penalties, interest and expenses) arising therefrom or with respect thereto;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such Lender, Managing Agent or the Administrative Agent, as appropriate, making a demand for indemnity payment, shall provide the Borrower, at its address set forth under its name on the signature pages hereof, with a certificate from the relevant</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79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9" w:name="page250"/>
    <w:bookmarkEnd w:id="249"/>
    <w:p>
      <w:pPr>
        <w:spacing w:after="0" w:line="200" w:lineRule="exact"/>
        <w:rPr>
          <w:sz w:val="20"/>
          <w:szCs w:val="20"/>
          <w:color w:val="auto"/>
        </w:rPr>
      </w:pPr>
    </w:p>
    <w:p>
      <w:pPr>
        <w:spacing w:after="0" w:line="28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9"/>
          <w:szCs w:val="19"/>
          <w:color w:val="auto"/>
        </w:rPr>
        <w:t>taxing authority or from a Responsible Officer of such Lender, Managing Agent or the Administrative Agent stating or otherwise evidencing that such Lender, Managing Agent or the Administrative Agent has made payment of such Taxes and will provide a copy of or extract from documentation, if available, furnished by such taxing authority evidencing assertion or payment of such Taxes. This indemnification shall be made within thirty (30) days from the date such Lender, Managing Agent or the Administrative Agent (as the case may be) makes written demand therefor.</w:t>
      </w:r>
    </w:p>
    <w:p>
      <w:pPr>
        <w:spacing w:after="0" w:line="178" w:lineRule="exact"/>
        <w:rPr>
          <w:sz w:val="20"/>
          <w:szCs w:val="20"/>
          <w:color w:val="auto"/>
        </w:rPr>
      </w:pPr>
    </w:p>
    <w:p>
      <w:pPr>
        <w:ind w:right="380" w:firstLine="54"/>
        <w:spacing w:after="0" w:line="268" w:lineRule="auto"/>
        <w:tabs>
          <w:tab w:leader="none" w:pos="309"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reasonably practicable after the date of any payment by the Borrower of any Taxes, the Borrower will furnish to the Administrative Agent, the Managing Agent or the Lender, as applicable, at its address set forth under its name on the signature pages hereof, appropriate evidence of payment thereof.</w:t>
      </w:r>
    </w:p>
    <w:p>
      <w:pPr>
        <w:spacing w:after="0" w:line="168" w:lineRule="exact"/>
        <w:rPr>
          <w:rFonts w:ascii="Times New Roman" w:cs="Times New Roman" w:eastAsia="Times New Roman" w:hAnsi="Times New Roman"/>
          <w:sz w:val="19"/>
          <w:szCs w:val="19"/>
          <w:color w:val="auto"/>
        </w:rPr>
      </w:pPr>
    </w:p>
    <w:p>
      <w:pPr>
        <w:ind w:right="100" w:firstLine="54"/>
        <w:spacing w:after="0" w:line="230" w:lineRule="exact"/>
        <w:tabs>
          <w:tab w:leader="none" w:pos="32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that is a “United States person” (as defined in Section 7701(a)(30) of the Code) shall deliver to the Borrower with a copy to the Administrative Agent within 15 days after the date hereof, or, if later, the date on which such Lender becomes a Lender hereof (and from time to time thereafter upon the reasonable request of the Borrower or the Administrative Agent), two duly completed copies of IRS Form W-9 (or any successor forms) certifying that such Lender is exempt from U.S. federal backup withholding tax. If a Lender is not created or organized under the laws of the United States or a political subdivision thereof, such Lender shall, to the extent that it may then do so under Applicable Laws, deliver to the Borrower with a copy to the Administrative Agent (i) within 15 days after the date hereof, or, if later, the date on which such Lender becomes a Lender hereof two (or such other number as may from time to time be prescribed by Applicable Laws) duly completed copies of IRS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8ECI or Form W</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8BEN-E or any successor forms or other certificates or statements that may be required from time to time by the relevant United States taxing authorities or Applicable Laws, as appropriate, to permit the Borrower to make payments hereunder for the account of such Lender, as the case may be, without deduction or withholding of United States federal income or similar Taxes and (ii) upon the obsolescence of or after the occurrence of any event requiring a change in, any form or certificate previously delivered pursuant to this Section 2.13(d), two copies (or such other number as may from time to time be prescribed by Applicable Laws) of such additional, amended or successor forms, certificates or statements as may be required under Applicable Laws to permit the Borrower to make payments hereunder for the account of such Lender, without deduction or withholding of United States federal income or similar Taxes.</w:t>
      </w:r>
    </w:p>
    <w:p>
      <w:pPr>
        <w:spacing w:after="0" w:line="196" w:lineRule="exact"/>
        <w:rPr>
          <w:rFonts w:ascii="Times New Roman" w:cs="Times New Roman" w:eastAsia="Times New Roman" w:hAnsi="Times New Roman"/>
          <w:sz w:val="19"/>
          <w:szCs w:val="19"/>
          <w:color w:val="auto"/>
        </w:rPr>
      </w:pPr>
    </w:p>
    <w:p>
      <w:pPr>
        <w:ind w:firstLine="54"/>
        <w:spacing w:after="0" w:line="268" w:lineRule="auto"/>
        <w:tabs>
          <w:tab w:leader="none" w:pos="309"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period with respect to which a Lender has failed to provide the Borrower with the appropriate form, certificate or statement described in clause (d) of this section (other than if such failure is due to a change in law occurring after the date of this Agreement), such Lender, as the case may be, shall not be entitled to indemnification under clauses (a) or (b) of this section with respect to any Taxes.</w:t>
      </w:r>
    </w:p>
    <w:p>
      <w:pPr>
        <w:spacing w:after="0" w:line="168" w:lineRule="exact"/>
        <w:rPr>
          <w:rFonts w:ascii="Times New Roman" w:cs="Times New Roman" w:eastAsia="Times New Roman" w:hAnsi="Times New Roman"/>
          <w:sz w:val="19"/>
          <w:szCs w:val="19"/>
          <w:color w:val="auto"/>
        </w:rPr>
      </w:pPr>
    </w:p>
    <w:p>
      <w:pPr>
        <w:ind w:firstLine="54"/>
        <w:spacing w:after="0" w:line="258" w:lineRule="auto"/>
        <w:tabs>
          <w:tab w:leader="none" w:pos="288"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the Administrative Agent shall deliver to the Borrower, and each Lender shall deliver to the Administrative Agent and the Borrower, such other tax forms or other documents as shall be prescribed by applicable law to demonstrate, where applicable, that payments under this Agreement and the other Loan Documents to such Lender or the Administrative Agent are exempt from application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the United States federal withholding taxes</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0" w:name="page251"/>
    <w:bookmarkEnd w:id="250"/>
    <w:p>
      <w:pPr>
        <w:spacing w:after="0" w:line="200" w:lineRule="exact"/>
        <w:rPr>
          <w:sz w:val="20"/>
          <w:szCs w:val="20"/>
          <w:color w:val="auto"/>
        </w:rPr>
      </w:pPr>
    </w:p>
    <w:p>
      <w:pPr>
        <w:spacing w:after="0" w:line="28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9"/>
          <w:szCs w:val="19"/>
          <w:color w:val="auto"/>
        </w:rPr>
        <w:t>imposed pursuant to FATCA (including any successor provisions thereto) and any regulations promulgated thereunder or official interpretations thereof or to determine the amount to deduct and withhold from such payment.</w:t>
      </w:r>
    </w:p>
    <w:p>
      <w:pPr>
        <w:spacing w:after="0" w:line="151" w:lineRule="exact"/>
        <w:rPr>
          <w:sz w:val="20"/>
          <w:szCs w:val="20"/>
          <w:color w:val="auto"/>
        </w:rPr>
      </w:pPr>
    </w:p>
    <w:p>
      <w:pPr>
        <w:ind w:right="120" w:firstLine="54"/>
        <w:spacing w:after="0" w:line="255" w:lineRule="auto"/>
        <w:tabs>
          <w:tab w:leader="none" w:pos="3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Within 30 days of the written request of the Borrower therefor, the Administrative Agent, the Managing Agent or the Lender, as appropriate, shall execute and deliver to the Borrower such certificates, forms or other documents that can be furnished consistent with the facts and that are reasonably necessary to assist the Borrower in applying for refunds of Taxes remitted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Administrative Agent, the Managing Agent and the Lender shall not be required to deliver such certificates forms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other documents if in their respective sole discretion it is determined that the delivery of such certificate, form or other document would have a material adverse effect on the Administrative Agent, the Managing Agent or the Lender and </w:t>
      </w:r>
      <w:r>
        <w:rPr>
          <w:rFonts w:ascii="Times New Roman" w:cs="Times New Roman" w:eastAsia="Times New Roman" w:hAnsi="Times New Roman"/>
          <w:sz w:val="19"/>
          <w:szCs w:val="19"/>
          <w:i w:val="1"/>
          <w:iCs w:val="1"/>
          <w:color w:val="auto"/>
        </w:rPr>
        <w:t>provided further, however</w:t>
      </w:r>
      <w:r>
        <w:rPr>
          <w:rFonts w:ascii="Times New Roman" w:cs="Times New Roman" w:eastAsia="Times New Roman" w:hAnsi="Times New Roman"/>
          <w:sz w:val="19"/>
          <w:szCs w:val="19"/>
          <w:color w:val="auto"/>
        </w:rPr>
        <w:t>, that the Borrower shall reimburse the Administrative Agent, the Managing Agent or the Lender for any reasonable expenses incurred in the delivery of such certificate, form or other document.</w:t>
      </w:r>
    </w:p>
    <w:p>
      <w:pPr>
        <w:spacing w:after="0" w:line="183" w:lineRule="exact"/>
        <w:rPr>
          <w:rFonts w:ascii="Times New Roman" w:cs="Times New Roman" w:eastAsia="Times New Roman" w:hAnsi="Times New Roman"/>
          <w:sz w:val="19"/>
          <w:szCs w:val="19"/>
          <w:color w:val="auto"/>
        </w:rPr>
      </w:pPr>
    </w:p>
    <w:p>
      <w:pPr>
        <w:ind w:right="220" w:firstLine="54"/>
        <w:spacing w:after="0" w:line="259" w:lineRule="auto"/>
        <w:tabs>
          <w:tab w:leader="none" w:pos="3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in connection with an agreement or other document providing liquidity support, credit enhancement or other similar support or financing to the Lenders in connection with this Agreement or the funding or maintenance of Advances hereunder, the Lenders are required to compensate a bank or other financial institution in respect of Taxes under circumstances similar to those described in this section then within ten days after demand by the Lenders, the Borrower shall pay to the Lenders such additional amount or amounts as may be necessary to reimburse the Lenders for any amounts paid by them.</w:t>
      </w:r>
    </w:p>
    <w:p>
      <w:pPr>
        <w:spacing w:after="0" w:line="175" w:lineRule="exact"/>
        <w:rPr>
          <w:rFonts w:ascii="Times New Roman" w:cs="Times New Roman" w:eastAsia="Times New Roman" w:hAnsi="Times New Roman"/>
          <w:sz w:val="19"/>
          <w:szCs w:val="19"/>
          <w:color w:val="auto"/>
        </w:rPr>
      </w:pPr>
    </w:p>
    <w:p>
      <w:pPr>
        <w:ind w:right="40" w:firstLine="54"/>
        <w:spacing w:after="0" w:line="254" w:lineRule="auto"/>
        <w:tabs>
          <w:tab w:leader="none" w:pos="27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 by the Lenders</w:t>
      </w:r>
      <w:r>
        <w:rPr>
          <w:rFonts w:ascii="Times New Roman" w:cs="Times New Roman" w:eastAsia="Times New Roman" w:hAnsi="Times New Roman"/>
          <w:sz w:val="19"/>
          <w:szCs w:val="19"/>
          <w:color w:val="auto"/>
        </w:rPr>
        <w:t>. Each Lender shall severally indemnify the Administrative Agent, within 10 days after demand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therefor, for (i) any Taxes attributable to such Lender (but only to the extent that the Borrower has not already indemnified the Administrative Agent for such Taxes and without limiting the obligation of the Borrower to do so), (ii) any Taxes attributable to such Lender’s failure to comply with the provisions of Section 11.1(f) relating to the maintenance of a Participant Register and (iii)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(i).</w:t>
      </w:r>
    </w:p>
    <w:p>
      <w:pPr>
        <w:spacing w:after="0" w:line="184" w:lineRule="exact"/>
        <w:rPr>
          <w:rFonts w:ascii="Times New Roman" w:cs="Times New Roman" w:eastAsia="Times New Roman" w:hAnsi="Times New Roman"/>
          <w:sz w:val="19"/>
          <w:szCs w:val="19"/>
          <w:color w:val="auto"/>
        </w:rPr>
      </w:pPr>
    </w:p>
    <w:p>
      <w:pPr>
        <w:ind w:firstLine="54"/>
        <w:spacing w:after="0" w:line="269" w:lineRule="auto"/>
        <w:tabs>
          <w:tab w:leader="none" w:pos="276"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Survival</w:t>
      </w:r>
      <w:r>
        <w:rPr>
          <w:rFonts w:ascii="Times New Roman" w:cs="Times New Roman" w:eastAsia="Times New Roman" w:hAnsi="Times New Roman"/>
          <w:sz w:val="19"/>
          <w:szCs w:val="19"/>
          <w:color w:val="auto"/>
        </w:rPr>
        <w:t>. Each party’s obligations under this Section 2.13 shall survive the resignation or replacement of the Administrative Agent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assignment of rights by, or the replacement of, a Lender, the termination of the Commitments and the repayment, satisfaction or discharge of all obligations under any Loan Document.</w:t>
      </w:r>
    </w:p>
    <w:p>
      <w:pPr>
        <w:spacing w:after="0" w:line="167" w:lineRule="exact"/>
        <w:rPr>
          <w:rFonts w:ascii="Times New Roman" w:cs="Times New Roman" w:eastAsia="Times New Roman" w:hAnsi="Times New Roman"/>
          <w:sz w:val="19"/>
          <w:szCs w:val="19"/>
          <w:color w:val="auto"/>
        </w:rPr>
      </w:pPr>
    </w:p>
    <w:p>
      <w:pPr>
        <w:ind w:left="320" w:hanging="266"/>
        <w:spacing w:after="0"/>
        <w:tabs>
          <w:tab w:leader="none" w:pos="32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[Reserved].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1" w:name="page252"/>
    <w:bookmarkEnd w:id="251"/>
    <w:p>
      <w:pPr>
        <w:spacing w:after="0" w:line="200" w:lineRule="exact"/>
        <w:rPr>
          <w:sz w:val="20"/>
          <w:szCs w:val="20"/>
          <w:color w:val="auto"/>
        </w:rPr>
      </w:pPr>
    </w:p>
    <w:p>
      <w:pPr>
        <w:spacing w:after="0" w:line="285" w:lineRule="exact"/>
        <w:rPr>
          <w:sz w:val="20"/>
          <w:szCs w:val="20"/>
          <w:color w:val="auto"/>
        </w:rPr>
      </w:pPr>
    </w:p>
    <w:p>
      <w:pPr>
        <w:ind w:firstLine="54"/>
        <w:spacing w:after="0" w:line="252" w:lineRule="auto"/>
        <w:tabs>
          <w:tab w:leader="none" w:pos="277"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(and any person that becomes a Lender, participant or otherwise acquires an interest in any Transaction Document after the date hereof) that is entitled to an exemption from or reduction of withholding Tax with respect to payments made under any Transaction Document shall deliver to the Borrower and the Administrative Agent, at the time or times prescribed by law and at the time or times reasonably requested by the Borrower or the Administrative Agent or on the date such person becomes a Lender, participant or otherwise acquires an interest in any Transaction Document, such properly completed and executed documentation prescribed by applicable law (including as prescribed by Section 1471(b)(3)(C)(i) of the Code) and such additional documentation reasonably requested by the Borrower or the Administrative Agent as will permit such payments to be made without withholding or at a reduced rate of withholding permitted by law. In addition, any Lender (and any person that becomes a Lender, participant or otherwise acquires an interest in any Transaction Document after the date hereof),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withholding under FATCA, backup withholding or information reporting requirements, and to comply with any information reporting requirements, including under</w:t>
      </w:r>
    </w:p>
    <w:p>
      <w:pPr>
        <w:spacing w:after="0" w:line="5"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FATCA.</w:t>
      </w:r>
    </w:p>
    <w:p>
      <w:pPr>
        <w:spacing w:after="0" w:line="203" w:lineRule="exact"/>
        <w:rPr>
          <w:rFonts w:ascii="Times New Roman" w:cs="Times New Roman" w:eastAsia="Times New Roman" w:hAnsi="Times New Roman"/>
          <w:sz w:val="19"/>
          <w:szCs w:val="19"/>
          <w:color w:val="auto"/>
        </w:rPr>
      </w:pPr>
    </w:p>
    <w:p>
      <w:pPr>
        <w:jc w:val="both"/>
        <w:ind w:right="40" w:firstLine="54"/>
        <w:spacing w:after="0" w:line="262" w:lineRule="auto"/>
        <w:tabs>
          <w:tab w:leader="none" w:pos="373"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herein or in any Transaction Document, the Borrower shall not be required to indemnify, pay additional amounts, gross-up or otherwise compensate any Lender, participant, Administrative Agent, Managing Agent or any other person with an interest in the Transaction Documents as a result of any Tax imposed (i) under FATCA or (ii) as a result of such Person’s failure to provide any form or certification described in clause (l) such Person is legally able to provide.</w:t>
      </w:r>
    </w:p>
    <w:p>
      <w:pPr>
        <w:spacing w:after="0" w:line="174" w:lineRule="exact"/>
        <w:rPr>
          <w:rFonts w:ascii="Times New Roman" w:cs="Times New Roman" w:eastAsia="Times New Roman" w:hAnsi="Times New Roman"/>
          <w:sz w:val="19"/>
          <w:szCs w:val="19"/>
          <w:color w:val="auto"/>
        </w:rPr>
      </w:pPr>
    </w:p>
    <w:p>
      <w:pPr>
        <w:ind w:right="40" w:firstLine="54"/>
        <w:spacing w:after="0" w:line="253" w:lineRule="auto"/>
        <w:tabs>
          <w:tab w:leader="none" w:pos="32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party determines, in its sole discretion exercised in good faith, that it has received a refund of any Taxes (including any Tax credit in lieu of refund) as to which it has been indemnified pursuant to Section 2.13(b) (including by the payment of additional amounts pursuant to this Section 2.13), as soon as practicable after it is determined that such refund pertains to Taxes giving rise to such refund,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taxing authority with respect to such refund). Such indemnifying party, upon the request of such indemnified party, shall repay to such indemnified party the amount paid over pursuant to this Section</w:t>
      </w:r>
    </w:p>
    <w:p>
      <w:pPr>
        <w:spacing w:after="0" w:line="6" w:lineRule="exact"/>
        <w:rPr>
          <w:rFonts w:ascii="Times New Roman" w:cs="Times New Roman" w:eastAsia="Times New Roman" w:hAnsi="Times New Roman"/>
          <w:sz w:val="19"/>
          <w:szCs w:val="19"/>
          <w:color w:val="auto"/>
        </w:rPr>
      </w:pPr>
    </w:p>
    <w:p>
      <w:pPr>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2.13(n) (plus any penalties, interest or other charges imposed by the relevant taxing authority) in the event that such indemnified party is required to repay such refund to such taxing authority. Notwithstanding anything to the contrary in this paragraph (n), in no event will the indemnified party be required to pay any amount to an indemnifying party pursuant to this paragraph (n)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party or any other person.</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2" w:name="page253"/>
    <w:bookmarkEnd w:id="252"/>
    <w:p>
      <w:pPr>
        <w:spacing w:after="0" w:line="200" w:lineRule="exact"/>
        <w:rPr>
          <w:sz w:val="20"/>
          <w:szCs w:val="20"/>
          <w:color w:val="auto"/>
        </w:rPr>
      </w:pPr>
    </w:p>
    <w:p>
      <w:pPr>
        <w:spacing w:after="0" w:line="283" w:lineRule="exact"/>
        <w:rPr>
          <w:sz w:val="20"/>
          <w:szCs w:val="20"/>
          <w:color w:val="auto"/>
        </w:rPr>
      </w:pPr>
    </w:p>
    <w:p>
      <w:pPr>
        <w:ind w:right="10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2.14. Discretionary Sales of Collateral</w:t>
      </w:r>
      <w:r>
        <w:rPr>
          <w:rFonts w:ascii="Times New Roman" w:cs="Times New Roman" w:eastAsia="Times New Roman" w:hAnsi="Times New Roman"/>
          <w:sz w:val="19"/>
          <w:szCs w:val="19"/>
          <w:color w:val="auto"/>
        </w:rPr>
        <w:t>. On any Discretionary Sale Settlement Date, the Borrower shall have the right to sell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assign and the Administrative Agent shall release the Lien granted hereunder over, one or more Loans, in whole or in part (a </w:t>
      </w:r>
      <w:r>
        <w:rPr>
          <w:rFonts w:ascii="Times New Roman" w:cs="Times New Roman" w:eastAsia="Times New Roman" w:hAnsi="Times New Roman"/>
          <w:sz w:val="19"/>
          <w:szCs w:val="19"/>
          <w:i w:val="1"/>
          <w:iCs w:val="1"/>
          <w:color w:val="auto"/>
        </w:rPr>
        <w:t>“Discretionary Sale”</w:t>
      </w:r>
      <w:r>
        <w:rPr>
          <w:rFonts w:ascii="Times New Roman" w:cs="Times New Roman" w:eastAsia="Times New Roman" w:hAnsi="Times New Roman"/>
          <w:sz w:val="19"/>
          <w:szCs w:val="19"/>
          <w:color w:val="auto"/>
        </w:rPr>
        <w:t>), subject to the following terms and conditions and subject to the other restrictions contained herein:</w:t>
      </w:r>
    </w:p>
    <w:p>
      <w:pPr>
        <w:spacing w:after="0" w:line="149" w:lineRule="exact"/>
        <w:rPr>
          <w:sz w:val="20"/>
          <w:szCs w:val="20"/>
          <w:color w:val="auto"/>
        </w:rPr>
      </w:pPr>
    </w:p>
    <w:p>
      <w:pPr>
        <w:ind w:left="700" w:right="20" w:firstLine="50"/>
        <w:spacing w:after="0" w:line="234" w:lineRule="exact"/>
        <w:tabs>
          <w:tab w:leader="none" w:pos="1009"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Discretionary Sale shall be made by the Borrower in a transaction (A) reflecting arm’s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length market terms if to a third party or reflecting carrying value of the Loans subject to such Discretionary Sale if to an Affiliate of the Borrower, (B) in which the Borrower makes no representations, warranties or covenants and provides no indemnification for the benefit of any other party to the Discretionary Sale, (C) of which the Administrative Agent and the Lenders shall have received written notice (such notice, a </w:t>
      </w:r>
      <w:r>
        <w:rPr>
          <w:rFonts w:ascii="Times New Roman" w:cs="Times New Roman" w:eastAsia="Times New Roman" w:hAnsi="Times New Roman"/>
          <w:sz w:val="19"/>
          <w:szCs w:val="19"/>
          <w:i w:val="1"/>
          <w:iCs w:val="1"/>
          <w:color w:val="auto"/>
        </w:rPr>
        <w:t>“Discretionary Sale Notice”</w:t>
      </w:r>
      <w:r>
        <w:rPr>
          <w:rFonts w:ascii="Times New Roman" w:cs="Times New Roman" w:eastAsia="Times New Roman" w:hAnsi="Times New Roman"/>
          <w:sz w:val="19"/>
          <w:szCs w:val="19"/>
          <w:color w:val="auto"/>
        </w:rPr>
        <w:t>) which notice shall provide a description of the terms of the Discretionary Sale and (D) if occurring after the Termination Date or upon the occurrence and during the continuance of an Event of Default, which the Required Lenders shall have approved in writing (in their sole discretion);</w:t>
      </w:r>
    </w:p>
    <w:p>
      <w:pPr>
        <w:spacing w:after="0" w:line="193" w:lineRule="exact"/>
        <w:rPr>
          <w:rFonts w:ascii="Times New Roman" w:cs="Times New Roman" w:eastAsia="Times New Roman" w:hAnsi="Times New Roman"/>
          <w:sz w:val="19"/>
          <w:szCs w:val="19"/>
          <w:color w:val="auto"/>
        </w:rPr>
      </w:pPr>
    </w:p>
    <w:p>
      <w:pPr>
        <w:ind w:left="700" w:firstLine="50"/>
        <w:spacing w:after="0" w:line="259" w:lineRule="auto"/>
        <w:tabs>
          <w:tab w:leader="none" w:pos="10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the Discretionary Sale on the related Discretionary Sale Trade Date and the payment of funds from the sale into the Collection Account required under Section 2.14(d), (A) all representations and warranties of the Borrower contained in Section 4.1 shall be true and correct as of the Discretionary Sale Trade Date, (B) no Event of Default or Unmatured Event of Default shall have occurred and be continuing or result from such Discretionary Sale and (C) the Borrowing Base Test shall have been satisfied, which shall be demonstrated by delivery of an updated Borrowing Base Certificate;</w:t>
      </w:r>
    </w:p>
    <w:p>
      <w:pPr>
        <w:spacing w:after="0" w:line="177" w:lineRule="exact"/>
        <w:rPr>
          <w:rFonts w:ascii="Times New Roman" w:cs="Times New Roman" w:eastAsia="Times New Roman" w:hAnsi="Times New Roman"/>
          <w:sz w:val="19"/>
          <w:szCs w:val="19"/>
          <w:color w:val="auto"/>
        </w:rPr>
      </w:pPr>
    </w:p>
    <w:p>
      <w:pPr>
        <w:ind w:left="700" w:right="220" w:firstLine="50"/>
        <w:spacing w:after="0" w:line="268" w:lineRule="auto"/>
        <w:tabs>
          <w:tab w:leader="none" w:pos="1009"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Discretionary Sale Trade Date, the Borrower shall be deemed to have represented and warranted that the requirements of Section 2.14(b) shall have been satisfied as of the related Discretionary Sale Trade Date after giving effect to the contemplated Discretionary Sale; and</w:t>
      </w:r>
    </w:p>
    <w:p>
      <w:pPr>
        <w:spacing w:after="0" w:line="168" w:lineRule="exact"/>
        <w:rPr>
          <w:rFonts w:ascii="Times New Roman" w:cs="Times New Roman" w:eastAsia="Times New Roman" w:hAnsi="Times New Roman"/>
          <w:sz w:val="19"/>
          <w:szCs w:val="19"/>
          <w:color w:val="auto"/>
        </w:rPr>
      </w:pPr>
    </w:p>
    <w:p>
      <w:pPr>
        <w:ind w:left="700" w:right="160" w:firstLine="50"/>
        <w:spacing w:after="0" w:line="259" w:lineRule="auto"/>
        <w:tabs>
          <w:tab w:leader="none" w:pos="102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related Discretionary Sale Settlement Date, the Administrative Agent shall have received into the Collection Account, in immediately available funds, an amount (i) other than as described in clause (ii) below, equal to the portion of the Advances Outstanding to be prepaid, if any, so that the requirements of Section 2.14(b) shall have been satisfied as of such Discretionary Sale Settlement Date and (ii) in the case of a sale of any Loans following the end of the Revolving Period, equal to the proceeds of such Discretionary Sale.</w:t>
      </w:r>
    </w:p>
    <w:p>
      <w:pPr>
        <w:spacing w:after="0" w:line="178" w:lineRule="exact"/>
        <w:rPr>
          <w:sz w:val="20"/>
          <w:szCs w:val="20"/>
          <w:color w:val="auto"/>
        </w:rPr>
      </w:pPr>
    </w:p>
    <w:p>
      <w:pPr>
        <w:ind w:right="40" w:firstLine="696"/>
        <w:spacing w:after="0" w:line="254" w:lineRule="auto"/>
        <w:rPr>
          <w:sz w:val="20"/>
          <w:szCs w:val="20"/>
          <w:color w:val="auto"/>
        </w:rPr>
      </w:pPr>
      <w:r>
        <w:rPr>
          <w:rFonts w:ascii="Times New Roman" w:cs="Times New Roman" w:eastAsia="Times New Roman" w:hAnsi="Times New Roman"/>
          <w:sz w:val="19"/>
          <w:szCs w:val="19"/>
          <w:color w:val="auto"/>
        </w:rPr>
        <w:t>In connection with any Discretionary Sale, following receipt by the Administrative Agent of the amounts referred to in Section 2.14(d) above (receipt of which shall be confirmed to the Administrative Agent), there shall be released to the Borrower (for further sale to a purchaser) without recourse, representation or warranty of any kind all of the right, title and interest of the Administrative Agent and the Secured Parties in, to and under the portion of the Collateral subject to such Discretionary Sale and such portion of the Collateral so released shall be released from any Lien under the Transaction Documents (subject to the requirements set forth above in this Section 2.14).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3" w:name="page254"/>
    <w:bookmarkEnd w:id="253"/>
    <w:p>
      <w:pPr>
        <w:spacing w:after="0" w:line="200" w:lineRule="exact"/>
        <w:rPr>
          <w:sz w:val="20"/>
          <w:szCs w:val="20"/>
          <w:color w:val="auto"/>
        </w:rPr>
      </w:pPr>
    </w:p>
    <w:p>
      <w:pPr>
        <w:spacing w:after="0" w:line="285" w:lineRule="exact"/>
        <w:rPr>
          <w:sz w:val="20"/>
          <w:szCs w:val="20"/>
          <w:color w:val="auto"/>
        </w:rPr>
      </w:pPr>
    </w:p>
    <w:p>
      <w:pPr>
        <w:ind w:right="60" w:firstLine="696"/>
        <w:spacing w:after="0" w:line="256" w:lineRule="auto"/>
        <w:rPr>
          <w:sz w:val="20"/>
          <w:szCs w:val="20"/>
          <w:color w:val="auto"/>
        </w:rPr>
      </w:pPr>
      <w:r>
        <w:rPr>
          <w:rFonts w:ascii="Times New Roman" w:cs="Times New Roman" w:eastAsia="Times New Roman" w:hAnsi="Times New Roman"/>
          <w:sz w:val="19"/>
          <w:szCs w:val="19"/>
          <w:color w:val="auto"/>
        </w:rPr>
        <w:t>In connection with any Discretionary Sale, on the related Discretionary Sale Settlement Date, the Administrative Agent on behalf of the Secured Parties shall, at the Borrower’s cost and expense, (i) execute such instruments of release with respect to the portion of the Collateral to be released to the Borrower, in recordable form if necessary, in favor of the Borrower as the Borrower may reasonably request, (ii) deliver any portion of the Collateral to be released to the Borrower in its possession to the Borrower and (iii) otherwise take such actions, as are determined by the Borrower to be reasonably necessary and appropriate to release the Lien on the portion of the Collateral to be released to the Borrower and release and deliver to the Borrower such portion of the Collateral to be released to the Borrower.</w:t>
      </w:r>
    </w:p>
    <w:p>
      <w:pPr>
        <w:spacing w:after="0" w:line="181" w:lineRule="exact"/>
        <w:rPr>
          <w:sz w:val="20"/>
          <w:szCs w:val="20"/>
          <w:color w:val="auto"/>
        </w:rPr>
      </w:pPr>
    </w:p>
    <w:p>
      <w:pPr>
        <w:ind w:right="180" w:firstLine="696"/>
        <w:spacing w:after="0" w:line="262" w:lineRule="auto"/>
        <w:rPr>
          <w:sz w:val="20"/>
          <w:szCs w:val="20"/>
          <w:color w:val="auto"/>
        </w:rPr>
      </w:pPr>
      <w:r>
        <w:rPr>
          <w:rFonts w:ascii="Times New Roman" w:cs="Times New Roman" w:eastAsia="Times New Roman" w:hAnsi="Times New Roman"/>
          <w:sz w:val="19"/>
          <w:szCs w:val="19"/>
          <w:color w:val="auto"/>
        </w:rPr>
        <w:t>So long as no Event of Default or Unmatured Event of Default has occurred and is continuing, items of Collateral that are not Loans and are not included in the Borrowing Base shall be automatically released from the lien of this Agreement and the other Transaction Documents, without any action of the Administrative Agent or any other Secured Party, in connection with any disposition of such Collateral that (x) occurs in the ordinary course of the Borrower’s business and (y) is not prohibited hereunder.</w:t>
      </w:r>
    </w:p>
    <w:p>
      <w:pPr>
        <w:spacing w:after="0" w:line="172" w:lineRule="exact"/>
        <w:rPr>
          <w:sz w:val="20"/>
          <w:szCs w:val="20"/>
          <w:color w:val="auto"/>
        </w:rPr>
      </w:pPr>
    </w:p>
    <w:p>
      <w:pPr>
        <w:ind w:right="6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 xml:space="preserve">Section 2.15. </w:t>
      </w:r>
      <w:r>
        <w:rPr>
          <w:rFonts w:ascii="Times New Roman" w:cs="Times New Roman" w:eastAsia="Times New Roman" w:hAnsi="Times New Roman"/>
          <w:sz w:val="19"/>
          <w:szCs w:val="19"/>
          <w:i w:val="1"/>
          <w:iCs w:val="1"/>
          <w:color w:val="FF0000"/>
          <w:strike w:val="1"/>
        </w:rPr>
        <w:t>Reserved</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i w:val="1"/>
          <w:iCs w:val="1"/>
          <w:color w:val="0000FF"/>
        </w:rPr>
        <w:t>Transfers of Collateral to Financing Subsidiaries</w:t>
      </w:r>
      <w:r>
        <w:rPr>
          <w:rFonts w:ascii="Times New Roman" w:cs="Times New Roman" w:eastAsia="Times New Roman" w:hAnsi="Times New Roman"/>
          <w:sz w:val="19"/>
          <w:szCs w:val="19"/>
          <w:color w:val="0000FF"/>
        </w:rPr>
        <w:t>. On any Permitted Transfer Settlement Date,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 xml:space="preserve">and its Subsidiaries shall have the right to sell or assign to any Financing Subsidiary, and the Administrative Agent shall release the Lien granted hereunder over, Portfolio Investments (other than ownership interests in Financing Subsidiaries or Joint Ventures), Cash and Cash Equivalents, in whole or in part (a </w:t>
      </w:r>
      <w:r>
        <w:rPr>
          <w:rFonts w:ascii="Times New Roman" w:cs="Times New Roman" w:eastAsia="Times New Roman" w:hAnsi="Times New Roman"/>
          <w:sz w:val="19"/>
          <w:szCs w:val="19"/>
          <w:i w:val="1"/>
          <w:iCs w:val="1"/>
          <w:color w:val="0000FF"/>
        </w:rPr>
        <w:t>“Permitted Transfer”</w:t>
      </w:r>
      <w:r>
        <w:rPr>
          <w:rFonts w:ascii="Times New Roman" w:cs="Times New Roman" w:eastAsia="Times New Roman" w:hAnsi="Times New Roman"/>
          <w:sz w:val="19"/>
          <w:szCs w:val="19"/>
          <w:color w:val="0000FF"/>
        </w:rPr>
        <w:t>), subject to the following terms and conditions and subject to the other restrictions contained herein:</w:t>
      </w:r>
    </w:p>
    <w:p>
      <w:pPr>
        <w:spacing w:after="0" w:line="175" w:lineRule="exact"/>
        <w:rPr>
          <w:sz w:val="20"/>
          <w:szCs w:val="20"/>
          <w:color w:val="auto"/>
        </w:rPr>
      </w:pPr>
    </w:p>
    <w:p>
      <w:pPr>
        <w:ind w:firstLine="54"/>
        <w:spacing w:after="0" w:line="259" w:lineRule="auto"/>
        <w:tabs>
          <w:tab w:leader="none" w:pos="309" w:val="left"/>
        </w:tabs>
        <w:numPr>
          <w:ilvl w:val="0"/>
          <w:numId w:val="9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after giving effect to the Permitted Transfer on the related Permitted Transfer Trade Date and the payment of funds from the sale into the Collection Account required under Section 2.15(c), (A) all representations and warranties of the Borrower contained in Section 4.1 shall be true and correct as of the Permitted Transfer Trade Date, (B) no Event of Default or Unmatured Event of Default shall have occurred and be continuing or result from such Permitted Transfer and (C) the Borrowing Base Test shall have been satisfied, which shall be demonstrated by delivery of an updated Borrowing Base Certificate;</w:t>
      </w:r>
    </w:p>
    <w:p>
      <w:pPr>
        <w:spacing w:after="0" w:line="177" w:lineRule="exact"/>
        <w:rPr>
          <w:rFonts w:ascii="Times New Roman" w:cs="Times New Roman" w:eastAsia="Times New Roman" w:hAnsi="Times New Roman"/>
          <w:sz w:val="19"/>
          <w:szCs w:val="19"/>
          <w:color w:val="0000FF"/>
        </w:rPr>
      </w:pPr>
    </w:p>
    <w:p>
      <w:pPr>
        <w:ind w:right="40" w:firstLine="54"/>
        <w:spacing w:after="0" w:line="268" w:lineRule="auto"/>
        <w:tabs>
          <w:tab w:leader="none" w:pos="320" w:val="left"/>
        </w:tabs>
        <w:numPr>
          <w:ilvl w:val="0"/>
          <w:numId w:val="9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on the Permitted Transfer Trade Date, the Borrower shall be deemed to have represented and warranted that the requirements of Section 2.15(a) shall have been satisfied as of the related Permitted Transfer Trade Date after giving effect to the contemplated Permitted Transfer; and</w:t>
      </w:r>
    </w:p>
    <w:p>
      <w:pPr>
        <w:spacing w:after="0" w:line="168" w:lineRule="exact"/>
        <w:rPr>
          <w:rFonts w:ascii="Times New Roman" w:cs="Times New Roman" w:eastAsia="Times New Roman" w:hAnsi="Times New Roman"/>
          <w:sz w:val="19"/>
          <w:szCs w:val="19"/>
          <w:color w:val="0000FF"/>
        </w:rPr>
      </w:pPr>
    </w:p>
    <w:p>
      <w:pPr>
        <w:ind w:right="60" w:firstLine="54"/>
        <w:spacing w:after="0" w:line="262" w:lineRule="auto"/>
        <w:tabs>
          <w:tab w:leader="none" w:pos="309" w:val="left"/>
        </w:tabs>
        <w:numPr>
          <w:ilvl w:val="0"/>
          <w:numId w:val="91"/>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on the related Permitted Transfer Settlement Date, the Administrative Agent shall have received into the Collection Account, in immediately available funds, an amount (i) other than as described in clause (ii) below, equal to the portion of the Advances Outstanding to be prepaid, if any, so that the requirements of Section 2.15(a) shall have been satisfied as of such Permitted Transfer Settlement Date and (ii) in the case of a sale of any Loans following the end of the Revolving Period, equal to the proceeds of such Permitted Transfer.</w:t>
      </w:r>
    </w:p>
    <w:p>
      <w:pPr>
        <w:spacing w:after="0" w:line="174" w:lineRule="exact"/>
        <w:rPr>
          <w:sz w:val="20"/>
          <w:szCs w:val="20"/>
          <w:color w:val="auto"/>
        </w:rPr>
      </w:pPr>
    </w:p>
    <w:p>
      <w:pPr>
        <w:ind w:right="160" w:firstLine="48"/>
        <w:spacing w:after="0" w:line="262" w:lineRule="auto"/>
        <w:rPr>
          <w:sz w:val="20"/>
          <w:szCs w:val="20"/>
          <w:color w:val="auto"/>
        </w:rPr>
      </w:pPr>
      <w:r>
        <w:rPr>
          <w:rFonts w:ascii="Times New Roman" w:cs="Times New Roman" w:eastAsia="Times New Roman" w:hAnsi="Times New Roman"/>
          <w:sz w:val="19"/>
          <w:szCs w:val="19"/>
          <w:color w:val="0000FF"/>
        </w:rPr>
        <w:t>In connection with any Permitted Transfer, following receipt by the Administrative Agent of the amounts referred to in Section 2.15(c) above (receipt of which shall be confirmed to the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4" w:name="page255"/>
    <w:bookmarkEnd w:id="254"/>
    <w:p>
      <w:pPr>
        <w:spacing w:after="0" w:line="200" w:lineRule="exact"/>
        <w:rPr>
          <w:sz w:val="20"/>
          <w:szCs w:val="20"/>
          <w:color w:val="auto"/>
        </w:rPr>
      </w:pPr>
    </w:p>
    <w:p>
      <w:pPr>
        <w:spacing w:after="0" w:line="28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0000FF"/>
        </w:rPr>
        <w:t>Administrative Agent), there shall be released to the Borrower (for further sale to a purchaser) without recourse, representation or warranty of any kind all of the right, title and interest of the Administrative Agent and the Secured Parties in, to and under the portion of the Collateral subject to such Permitted Transfer and such portion of the Collateral so released shall be released from any Lien under the Transaction Documents (subject to the requirements set forth above in this Section 2.15).</w:t>
      </w:r>
    </w:p>
    <w:p>
      <w:pPr>
        <w:spacing w:after="0" w:line="174"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9"/>
          <w:szCs w:val="19"/>
          <w:color w:val="0000FF"/>
        </w:rPr>
        <w:t>In connection with any Permitted Transfer, on the related Permitted Transfer Settlement Date, the Administrative Agent on behalf of the Secured Parties shall, at the Borrower’s cost and expense, (i) execute such instruments of release with respect to the portion of the Collateral to be released to the Borrower, in recordable form if necessary, in favor of the Borrower as the Borrower may reasonably request, (ii) deliver any portion of the Collateral to be released to the Borrower in its possession to the Borrower and (iii) otherwise take such actions, as are determined by the Borrower to be reasonably necessary and appropriate to release the Lien on the portion of the Collateral to be released to the Borrower and release and deliver to the Borrower such portion of the Collateral to be released to the Borrower.</w:t>
      </w:r>
    </w:p>
    <w:p>
      <w:pPr>
        <w:spacing w:after="0" w:line="179" w:lineRule="exact"/>
        <w:rPr>
          <w:sz w:val="20"/>
          <w:szCs w:val="20"/>
          <w:color w:val="auto"/>
        </w:rPr>
      </w:pPr>
    </w:p>
    <w:p>
      <w:pPr>
        <w:jc w:val="both"/>
        <w:ind w:right="34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2.16. Defaulting Lenders and Potential Defaulting Lenders</w:t>
      </w:r>
      <w:r>
        <w:rPr>
          <w:rFonts w:ascii="Times New Roman" w:cs="Times New Roman" w:eastAsia="Times New Roman" w:hAnsi="Times New Roman"/>
          <w:sz w:val="19"/>
          <w:szCs w:val="19"/>
          <w:color w:val="auto"/>
        </w:rPr>
        <w:t>. (a) Notwithstanding anything to the contrary contained in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Agreement, if any Lender becomes a Defaulting Lender, then, until such time as that Lender is no longer a Defaulting Lender, to the extent permitted by Applicable Law:</w:t>
      </w:r>
    </w:p>
    <w:p>
      <w:pPr>
        <w:spacing w:after="0" w:line="168" w:lineRule="exact"/>
        <w:rPr>
          <w:sz w:val="20"/>
          <w:szCs w:val="20"/>
          <w:color w:val="auto"/>
        </w:rPr>
      </w:pPr>
    </w:p>
    <w:p>
      <w:pPr>
        <w:ind w:left="700" w:right="140" w:firstLine="50"/>
        <w:spacing w:after="0" w:line="286" w:lineRule="auto"/>
        <w:tabs>
          <w:tab w:leader="none" w:pos="977"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 long as there is one Lender that is not a Defaulting Lender, that Defaulting Lender’s right to approve or disapprove any amendment, waiver or consent with respect to this Agreement shall be restricted as set forth in Section 12.1.</w:t>
      </w:r>
    </w:p>
    <w:p>
      <w:pPr>
        <w:spacing w:after="0" w:line="151" w:lineRule="exact"/>
        <w:rPr>
          <w:rFonts w:ascii="Times New Roman" w:cs="Times New Roman" w:eastAsia="Times New Roman" w:hAnsi="Times New Roman"/>
          <w:sz w:val="19"/>
          <w:szCs w:val="19"/>
          <w:color w:val="auto"/>
        </w:rPr>
      </w:pPr>
    </w:p>
    <w:p>
      <w:pPr>
        <w:ind w:left="700" w:firstLine="50"/>
        <w:spacing w:after="0" w:line="255" w:lineRule="auto"/>
        <w:tabs>
          <w:tab w:leader="none" w:pos="1030" w:val="left"/>
        </w:tabs>
        <w:numPr>
          <w:ilvl w:val="1"/>
          <w:numId w:val="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any period in which there is a Defaulting Lender, for purposes of computing the amount of the obligation of each non-Defaulting Lender to (a) acquire, refinance or fund participations in Swingline Advances pursuant to Section 2.2(g) or (b) make Advances to the Borrower to repay a Swingline Advance pursuant to Section 2.2(g), the ratable share of each Lender Group and the Pro-Rata Share of each non-Defaulting Lender shall be computed without giving effect to the Commitment of such Defaulting Lender; provided that each such reallocation shall be given effect only if the aggregate obligation of each non-Defaulting Lender to acquire, refinance or fund participations in Swingline Advances shall not exceed the positive difference, if any, of (A) the Commitment of that non-Defaulting Lender minus (B) the aggregate outstanding principal amount of the Advances of that Lender.</w:t>
      </w:r>
    </w:p>
    <w:p>
      <w:pPr>
        <w:spacing w:after="0" w:line="183" w:lineRule="exact"/>
        <w:rPr>
          <w:rFonts w:ascii="Times New Roman" w:cs="Times New Roman" w:eastAsia="Times New Roman" w:hAnsi="Times New Roman"/>
          <w:sz w:val="19"/>
          <w:szCs w:val="19"/>
          <w:color w:val="auto"/>
        </w:rPr>
      </w:pPr>
    </w:p>
    <w:p>
      <w:pPr>
        <w:ind w:right="140" w:firstLine="54"/>
        <w:spacing w:after="0" w:line="256" w:lineRule="auto"/>
        <w:tabs>
          <w:tab w:leader="none" w:pos="32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the Administrative Agent and the Swingline Lender agree in writing in their discretion that any Defaulting Lender has ceased to be a Defaulting Lender or any Potential Defaulting Lender has ceased to be a Potential Defaulting Lender, the Administrative Agent will so notify the parties hereto, whereupon as of the effective date specified in such notice, and subject to any conditions set forth therein, such Lender will purchase at par such portion of outstanding Advances of the other Lenders and/or make</w:t>
      </w:r>
    </w:p>
    <w:p>
      <w:pPr>
        <w:spacing w:after="0" w:line="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such other adjustments as the Administrative Agent may determine </w:t>
      </w:r>
      <w:r>
        <w:rPr>
          <w:rFonts w:ascii="Cambria" w:cs="Cambria" w:eastAsia="Cambria" w:hAnsi="Cambria"/>
          <w:sz w:val="19"/>
          <w:szCs w:val="19"/>
          <w:b w:val="1"/>
          <w:bCs w:val="1"/>
          <w:color w:val="auto"/>
        </w:rPr>
        <w:t>to</w:t>
      </w:r>
      <w:r>
        <w:rPr>
          <w:rFonts w:ascii="Times New Roman" w:cs="Times New Roman" w:eastAsia="Times New Roman" w:hAnsi="Times New Roman"/>
          <w:sz w:val="19"/>
          <w:szCs w:val="19"/>
          <w:color w:val="auto"/>
        </w:rPr>
        <w:t xml:space="preserve"> be necessary to cause the Advances Outstanding of the Lenders to be on a pro rata basis in accordance with their respective Commitments, whereupon</w:t>
      </w:r>
    </w:p>
    <w:p>
      <w:pPr>
        <w:jc w:val="center"/>
        <w:ind w:right="-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55" w:name="page256"/>
    <w:bookmarkEnd w:id="255"/>
    <w:p>
      <w:pPr>
        <w:spacing w:after="0" w:line="200" w:lineRule="exact"/>
        <w:rPr>
          <w:sz w:val="20"/>
          <w:szCs w:val="20"/>
          <w:color w:val="auto"/>
        </w:rPr>
      </w:pPr>
    </w:p>
    <w:p>
      <w:pPr>
        <w:spacing w:after="0" w:line="285"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9"/>
          <w:szCs w:val="19"/>
          <w:color w:val="auto"/>
        </w:rPr>
        <w:t xml:space="preserve">such Lender will cease to be a Defaulting Lender or Potential Defaulting Lender, as the case may be, and will be a Non -Defaulting Lender (and such Advances Outstanding of each Lender will automatically be adjusted on a prospective basis to reflect the foregoing);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no adjustments will be made retroactively with respect to fees accrued or payments made by or on behalf of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while such Lender was a Defaulting Lender;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179" w:lineRule="exact"/>
        <w:rPr>
          <w:sz w:val="20"/>
          <w:szCs w:val="20"/>
          <w:color w:val="auto"/>
        </w:rPr>
      </w:pPr>
    </w:p>
    <w:p>
      <w:pPr>
        <w:ind w:right="6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2.17. Replacement of Defaulting and Non-Consenting Lenders</w:t>
      </w:r>
      <w:r>
        <w:rPr>
          <w:rFonts w:ascii="Times New Roman" w:cs="Times New Roman" w:eastAsia="Times New Roman" w:hAnsi="Times New Roman"/>
          <w:sz w:val="19"/>
          <w:szCs w:val="19"/>
          <w:color w:val="auto"/>
        </w:rPr>
        <w:t>. If any Lender (i) is a Defaulting Lender or (ii) is a Non-Consenting Lender, then the Borrower may, at its sole expense and effort, upon notice to such Lender and the Administrative Agent, require such Lender to assign and delegate, without recourse (in accordance with and subject to the restrictions set forth in Section 11.1), all of its interests, rights (other than its existing rights to payments pursuant to Section 2.12) and obligations under this Agreement to an assignee that shall assume such obligations (which assignee may be another Lender) (a “</w:t>
      </w:r>
      <w:r>
        <w:rPr>
          <w:rFonts w:ascii="Times New Roman" w:cs="Times New Roman" w:eastAsia="Times New Roman" w:hAnsi="Times New Roman"/>
          <w:sz w:val="19"/>
          <w:szCs w:val="19"/>
          <w:i w:val="1"/>
          <w:iCs w:val="1"/>
          <w:color w:val="auto"/>
        </w:rPr>
        <w:t>Replacement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Borrower shall have received the prior written consent of the Administrative Agent, which consent shall not be unreasonably withheld,</w:t>
      </w:r>
    </w:p>
    <w:p>
      <w:pPr>
        <w:spacing w:after="0" w:line="5" w:lineRule="exact"/>
        <w:rPr>
          <w:sz w:val="20"/>
          <w:szCs w:val="20"/>
          <w:color w:val="auto"/>
        </w:rPr>
      </w:pPr>
    </w:p>
    <w:p>
      <w:pPr>
        <w:ind w:right="60" w:firstLine="6"/>
        <w:spacing w:after="0" w:line="228" w:lineRule="exact"/>
        <w:tabs>
          <w:tab w:leader="none" w:pos="28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shall have received payment of an amount equal to the outstanding principal amount of all Advances owed to it, accrued interest thereon, accrued fees and all other amounts payable to it hereunder from the assignee (in the case of such outstanding principal and accrued interest) and from the Borrower (in the case of all other amounts), and (iii) in the case of any assignment resulting from a Lender becoming a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Consenting Lender, the applicable assignee shall have consented to the applicable amendment, waiver or consent.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95" w:lineRule="exact"/>
        <w:rPr>
          <w:sz w:val="20"/>
          <w:szCs w:val="20"/>
          <w:color w:val="auto"/>
        </w:rPr>
      </w:pPr>
    </w:p>
    <w:p>
      <w:pPr>
        <w:ind w:right="2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2.18. Commercial Paper and Liquidity/Credit Enhancement</w:t>
      </w:r>
      <w:r>
        <w:rPr>
          <w:rFonts w:ascii="Times New Roman" w:cs="Times New Roman" w:eastAsia="Times New Roman" w:hAnsi="Times New Roman"/>
          <w:sz w:val="19"/>
          <w:szCs w:val="19"/>
          <w:color w:val="auto"/>
        </w:rPr>
        <w:t>. (a) Each party hereto agrees that it will not institute against, or join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other Person in instituting against, any Issuer whose commercial paper was issued to fund Advances advanced hereunder, any proceedings of the type referred to in the definition of Insolvency Event so long as any commercial paper issued by such Issuer shall be outstanding or there shall not have elapsed one year and one day since the last day on which any such commercial paper shall have been outstanding.</w:t>
      </w:r>
    </w:p>
    <w:p>
      <w:pPr>
        <w:spacing w:after="0" w:line="175" w:lineRule="exact"/>
        <w:rPr>
          <w:sz w:val="20"/>
          <w:szCs w:val="20"/>
          <w:color w:val="auto"/>
        </w:rPr>
      </w:pPr>
    </w:p>
    <w:p>
      <w:pPr>
        <w:ind w:firstLine="54"/>
        <w:spacing w:after="0" w:line="253" w:lineRule="auto"/>
        <w:tabs>
          <w:tab w:leader="none" w:pos="320"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other provision to the contrary contained in this Agreement (but subject to the final two sentences of this Section 2.18(b)), the Advances to be advanced by an Issuer hereunder shall be payable by such Issuer solely from (and no recourse shall be had against such Issuer for the payment of any of the foregoing except from) funds obtained through the issuance of commercial paper notes in the United States commercial paper market. Any amount which an Issuer does not pay pursuant to the operation of the preceding sentence shall not constitute a claim as defined in Section 101(5) of the Bankruptcy Code against such Issuer for any such insufficiency. Notwithstanding the foregoing, if an Issuer would (but for the operation of this Section 2.18(b)) be obligated to fund any Advance hereunder, or make any other payment hereunder, it shall cause the Liquidity Provider under its Liquidity Facility to fund such Advances, or make such payments, directly to the Borrower or to the other Persons entitled hereunder to receive such. The provisions of this Section 2.18(b) will survive termination of this Agreement.</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56" w:name="page257"/>
    <w:bookmarkEnd w:id="256"/>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III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3"/>
          <w:szCs w:val="13"/>
          <w:b w:val="1"/>
          <w:bCs w:val="1"/>
          <w:color w:val="auto"/>
        </w:rPr>
        <w:t>ONDITIONS OF</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3"/>
          <w:szCs w:val="13"/>
          <w:b w:val="1"/>
          <w:bCs w:val="1"/>
          <w:color w:val="auto"/>
        </w:rPr>
        <w:t>FFECTIVENESS AND</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DVANCES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3.1.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right="2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3.2. Additional Conditions Precedent to All Advances</w:t>
      </w:r>
      <w:r>
        <w:rPr>
          <w:rFonts w:ascii="Times New Roman" w:cs="Times New Roman" w:eastAsia="Times New Roman" w:hAnsi="Times New Roman"/>
          <w:sz w:val="19"/>
          <w:szCs w:val="19"/>
          <w:color w:val="auto"/>
        </w:rPr>
        <w:t>. Each Advance (including any Swingline Advance) shall be subject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further conditions precedent that:</w:t>
      </w:r>
    </w:p>
    <w:p>
      <w:pPr>
        <w:spacing w:after="0" w:line="150" w:lineRule="exact"/>
        <w:rPr>
          <w:sz w:val="20"/>
          <w:szCs w:val="20"/>
          <w:color w:val="auto"/>
        </w:rPr>
      </w:pPr>
    </w:p>
    <w:p>
      <w:pPr>
        <w:ind w:left="700" w:right="620" w:firstLine="50"/>
        <w:spacing w:after="0" w:line="286" w:lineRule="auto"/>
        <w:tabs>
          <w:tab w:leader="none" w:pos="100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have delivered a Funding Request in accordance with the procedures set forth in Section 2.2 and certified in the related Borrower Notice that:</w:t>
      </w:r>
    </w:p>
    <w:p>
      <w:pPr>
        <w:spacing w:after="0" w:line="151" w:lineRule="exact"/>
        <w:rPr>
          <w:rFonts w:ascii="Times New Roman" w:cs="Times New Roman" w:eastAsia="Times New Roman" w:hAnsi="Times New Roman"/>
          <w:sz w:val="19"/>
          <w:szCs w:val="19"/>
          <w:color w:val="auto"/>
        </w:rPr>
      </w:pPr>
    </w:p>
    <w:p>
      <w:pPr>
        <w:ind w:left="1420" w:firstLine="38"/>
        <w:spacing w:after="0" w:line="259" w:lineRule="auto"/>
        <w:tabs>
          <w:tab w:leader="none" w:pos="1697"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set forth in Section 4.1 are true and correct in all material respects on and as of such date and the related Funding Date, before and after giving effect to such borrowing and to the application of the proceeds therefrom, as though made on and as of such date (except for representations and warranties that are qualified by materiality, a Material Adverse Effect or any similar qualifier, which representations shall be true and correct in all respects as of such date and the related Funding Date); and</w:t>
      </w:r>
    </w:p>
    <w:p>
      <w:pPr>
        <w:spacing w:after="0" w:line="177" w:lineRule="exact"/>
        <w:rPr>
          <w:rFonts w:ascii="Times New Roman" w:cs="Times New Roman" w:eastAsia="Times New Roman" w:hAnsi="Times New Roman"/>
          <w:sz w:val="19"/>
          <w:szCs w:val="19"/>
          <w:color w:val="auto"/>
        </w:rPr>
      </w:pPr>
    </w:p>
    <w:p>
      <w:pPr>
        <w:ind w:left="1420" w:right="60" w:firstLine="38"/>
        <w:spacing w:after="0" w:line="286" w:lineRule="auto"/>
        <w:tabs>
          <w:tab w:leader="none" w:pos="1750" w:val="left"/>
        </w:tabs>
        <w:numPr>
          <w:ilvl w:val="1"/>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has occurred, or would result from such Advance or from the application of the proceeds therefrom, that constitutes an Event of Default or an Unmatured Event of Default;</w:t>
      </w:r>
    </w:p>
    <w:p>
      <w:pPr>
        <w:spacing w:after="0" w:line="151"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Date shall not have occurred;</w:t>
      </w:r>
    </w:p>
    <w:p>
      <w:pPr>
        <w:spacing w:after="0" w:line="225" w:lineRule="exact"/>
        <w:rPr>
          <w:rFonts w:ascii="Times New Roman" w:cs="Times New Roman" w:eastAsia="Times New Roman" w:hAnsi="Times New Roman"/>
          <w:sz w:val="19"/>
          <w:szCs w:val="19"/>
          <w:color w:val="auto"/>
        </w:rPr>
      </w:pPr>
    </w:p>
    <w:p>
      <w:pPr>
        <w:ind w:left="700" w:right="140" w:firstLine="50"/>
        <w:spacing w:after="0" w:line="286" w:lineRule="auto"/>
        <w:tabs>
          <w:tab w:leader="none" w:pos="100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and after giving effect to such Advance and to the application of proceeds therefrom the Borrowing Base Test shall be satisfied, as calculated on such date;</w:t>
      </w:r>
    </w:p>
    <w:p>
      <w:pPr>
        <w:spacing w:after="0" w:line="151" w:lineRule="exact"/>
        <w:rPr>
          <w:rFonts w:ascii="Times New Roman" w:cs="Times New Roman" w:eastAsia="Times New Roman" w:hAnsi="Times New Roman"/>
          <w:sz w:val="19"/>
          <w:szCs w:val="19"/>
          <w:color w:val="auto"/>
        </w:rPr>
      </w:pPr>
    </w:p>
    <w:p>
      <w:pPr>
        <w:ind w:left="700" w:right="200" w:firstLine="50"/>
        <w:spacing w:after="0" w:line="268" w:lineRule="auto"/>
        <w:tabs>
          <w:tab w:leader="none" w:pos="102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claim has been asserted or proceeding commenced challenging the enforceability or validity of any of the Transaction Documents or the Loan Documents, excluding any instruments, certificates or other documents relating to Loans that are no longer outstanding or which are no longer included in the Collateral; and</w:t>
      </w:r>
    </w:p>
    <w:p>
      <w:pPr>
        <w:spacing w:after="0" w:line="168" w:lineRule="exact"/>
        <w:rPr>
          <w:rFonts w:ascii="Times New Roman" w:cs="Times New Roman" w:eastAsia="Times New Roman" w:hAnsi="Times New Roman"/>
          <w:sz w:val="19"/>
          <w:szCs w:val="19"/>
          <w:color w:val="auto"/>
        </w:rPr>
      </w:pPr>
    </w:p>
    <w:p>
      <w:pPr>
        <w:ind w:left="700" w:right="500" w:firstLine="50"/>
        <w:spacing w:after="0" w:line="286" w:lineRule="auto"/>
        <w:tabs>
          <w:tab w:leader="none" w:pos="100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shall have been no Material Adverse Change with respect to the Borrower since the preceding Advance and the acquisition of the Loan, if applicable, will not have a Material Adverse Effect on such Loan.</w:t>
      </w:r>
    </w:p>
    <w:p>
      <w:pPr>
        <w:spacing w:after="0" w:line="149" w:lineRule="exact"/>
        <w:rPr>
          <w:sz w:val="20"/>
          <w:szCs w:val="20"/>
          <w:color w:val="auto"/>
        </w:rPr>
      </w:pPr>
    </w:p>
    <w:p>
      <w:pPr>
        <w:ind w:right="40"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3.3. Conditions Precedent for Restatement Effective Date</w:t>
      </w:r>
      <w:r>
        <w:rPr>
          <w:rFonts w:ascii="Times New Roman" w:cs="Times New Roman" w:eastAsia="Times New Roman" w:hAnsi="Times New Roman"/>
          <w:sz w:val="19"/>
          <w:szCs w:val="19"/>
          <w:color w:val="auto"/>
        </w:rPr>
        <w:t>. This Agreement shall become effective as of the Restatement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Effective Date when (a) the Administrative Agent shall have received each of the documents, agreements (in fully executed form), opinions of counsel, lien search results, UCC filings, certificates and other deliverables listed on the closing memorandum attached as Schedule I-2 hereto, in each case, in form and substance acceptable to the Administrative Agent and (b) all fees and expenses payable by the Borrower on the Restatement Effective Date to the Lenders have been paid in full in accordance with the terms of the Transaction Documents.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57" w:name="page258"/>
    <w:bookmarkEnd w:id="257"/>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IV</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EPRESENTATIONS AND</w:t>
      </w:r>
      <w:r>
        <w:rPr>
          <w:rFonts w:ascii="Times New Roman" w:cs="Times New Roman" w:eastAsia="Times New Roman" w:hAnsi="Times New Roman"/>
          <w:sz w:val="19"/>
          <w:szCs w:val="19"/>
          <w:b w:val="1"/>
          <w:bCs w:val="1"/>
          <w:color w:val="auto"/>
        </w:rPr>
        <w:t xml:space="preserve"> W</w:t>
      </w:r>
      <w:r>
        <w:rPr>
          <w:rFonts w:ascii="Times New Roman" w:cs="Times New Roman" w:eastAsia="Times New Roman" w:hAnsi="Times New Roman"/>
          <w:sz w:val="13"/>
          <w:szCs w:val="13"/>
          <w:b w:val="1"/>
          <w:bCs w:val="1"/>
          <w:color w:val="auto"/>
        </w:rPr>
        <w:t>ARRANTIES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4.1. Representations and Warranties of the Borrower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represents and warrants as follows:</w:t>
      </w:r>
    </w:p>
    <w:p>
      <w:pPr>
        <w:spacing w:after="0" w:line="226" w:lineRule="exact"/>
        <w:rPr>
          <w:sz w:val="20"/>
          <w:szCs w:val="20"/>
          <w:color w:val="auto"/>
        </w:rPr>
      </w:pPr>
    </w:p>
    <w:p>
      <w:pPr>
        <w:ind w:left="640" w:right="20" w:firstLine="50"/>
        <w:spacing w:after="0" w:line="263" w:lineRule="auto"/>
        <w:tabs>
          <w:tab w:leader="none" w:pos="95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Organization and Good Standing</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 is a Maryland corporation</w:t>
      </w:r>
      <w:r>
        <w:rPr>
          <w:rFonts w:ascii="Times New Roman" w:cs="Times New Roman" w:eastAsia="Times New Roman" w:hAnsi="Times New Roman"/>
          <w:sz w:val="19"/>
          <w:szCs w:val="19"/>
          <w:color w:val="0000FF"/>
        </w:rPr>
        <w:t>Each Loan Party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duly organized, validly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existing, and in good standing under the laws of the jurisdiction of its formation, and has full power, authority and legal right to own or lease its properties and conduct its business as such business is presently conducted and had at all relevant times, and now has all necessary power, authority and legal right to acquire, own and pledge the Collateral.</w:t>
      </w:r>
    </w:p>
    <w:p>
      <w:pPr>
        <w:spacing w:after="0" w:line="170" w:lineRule="exact"/>
        <w:rPr>
          <w:rFonts w:ascii="Times New Roman" w:cs="Times New Roman" w:eastAsia="Times New Roman" w:hAnsi="Times New Roman"/>
          <w:sz w:val="19"/>
          <w:szCs w:val="19"/>
          <w:color w:val="auto"/>
        </w:rPr>
      </w:pPr>
    </w:p>
    <w:p>
      <w:pPr>
        <w:ind w:left="640" w:firstLine="50"/>
        <w:spacing w:after="0" w:line="255" w:lineRule="auto"/>
        <w:tabs>
          <w:tab w:leader="none" w:pos="96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Qualification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 is qualified to do business as a Maryland corporation,</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in good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standing, and has obtained all licenses and approvals as required under the laws of all jurisdictions in which the ownership or lease of its property and or the conduct of its business (other than the performance of its obligations hereunder) requires such qualification, standing, license or approval, except to the extent that the failure to so qualify, maintain such standing or be so licensed or approved would not have a Material Adverse Effect.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auto"/>
        </w:rPr>
        <w:t xml:space="preserve"> is qualified to do business </w:t>
      </w:r>
      <w:r>
        <w:rPr>
          <w:rFonts w:ascii="Times New Roman" w:cs="Times New Roman" w:eastAsia="Times New Roman" w:hAnsi="Times New Roman"/>
          <w:sz w:val="19"/>
          <w:szCs w:val="19"/>
          <w:color w:val="FF0000"/>
        </w:rPr>
        <w:t>as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corporation</w:t>
      </w:r>
      <w:r>
        <w:rPr>
          <w:rFonts w:ascii="Times New Roman" w:cs="Times New Roman" w:eastAsia="Times New Roman" w:hAnsi="Times New Roman"/>
          <w:sz w:val="19"/>
          <w:szCs w:val="19"/>
          <w:color w:val="000000"/>
        </w:rPr>
        <w:t>, is in good standing, and has obtained all licenses and approvals as are required under the laws of all states in which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performance of its obligations pursuant to this Agreement requires such qualification, standing, license or approval and where the failure to qualify or obtain such license or approval would have a material adverse effect on its ability to perform hereunder or a Material Adverse Effect.</w:t>
      </w:r>
    </w:p>
    <w:p>
      <w:pPr>
        <w:spacing w:after="0" w:line="179" w:lineRule="exact"/>
        <w:rPr>
          <w:rFonts w:ascii="Times New Roman" w:cs="Times New Roman" w:eastAsia="Times New Roman" w:hAnsi="Times New Roman"/>
          <w:sz w:val="19"/>
          <w:szCs w:val="19"/>
          <w:color w:val="auto"/>
        </w:rPr>
      </w:pPr>
    </w:p>
    <w:p>
      <w:pPr>
        <w:ind w:left="640" w:right="20" w:firstLine="50"/>
        <w:spacing w:after="0" w:line="256" w:lineRule="auto"/>
        <w:tabs>
          <w:tab w:leader="none" w:pos="95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Due Authorization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 has all necessary power and authority and legal right to (A) execute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and deliver this Agreement and the other Transaction Documents to which it is a party, (B) carry out the terms of the Transaction Documents to which it is a party, (C) grant Liens in the Collateral, and (D) receive Advances on the terms and conditions provided herein, and (ii) has duly authorized by all necessary </w:t>
      </w:r>
      <w:r>
        <w:rPr>
          <w:rFonts w:ascii="Times New Roman" w:cs="Times New Roman" w:eastAsia="Times New Roman" w:hAnsi="Times New Roman"/>
          <w:sz w:val="19"/>
          <w:szCs w:val="19"/>
          <w:color w:val="FF0000"/>
          <w:strike w:val="1"/>
        </w:rPr>
        <w:t>corporate</w:t>
      </w:r>
      <w:r>
        <w:rPr>
          <w:rFonts w:ascii="Times New Roman" w:cs="Times New Roman" w:eastAsia="Times New Roman" w:hAnsi="Times New Roman"/>
          <w:sz w:val="19"/>
          <w:szCs w:val="19"/>
          <w:color w:val="0000FF"/>
        </w:rPr>
        <w:t>organizational</w:t>
      </w:r>
      <w:r>
        <w:rPr>
          <w:rFonts w:ascii="Times New Roman" w:cs="Times New Roman" w:eastAsia="Times New Roman" w:hAnsi="Times New Roman"/>
          <w:sz w:val="19"/>
          <w:szCs w:val="19"/>
          <w:color w:val="auto"/>
        </w:rPr>
        <w:t xml:space="preserve"> action the execution, delivery and performance of this Agreement and the other Transaction Documents to which it is a party and the Lien in the Collateral on the terms and conditions herein provided. This Agreement and each other Transaction Document to which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Party </w:t>
      </w:r>
      <w:r>
        <w:rPr>
          <w:rFonts w:ascii="Times New Roman" w:cs="Times New Roman" w:eastAsia="Times New Roman" w:hAnsi="Times New Roman"/>
          <w:sz w:val="19"/>
          <w:szCs w:val="19"/>
          <w:color w:val="000000"/>
        </w:rPr>
        <w:t>is a party have been duly executed and delivered by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000000"/>
        </w:rPr>
        <w:t>.</w:t>
      </w:r>
    </w:p>
    <w:p>
      <w:pPr>
        <w:spacing w:after="0" w:line="181" w:lineRule="exact"/>
        <w:rPr>
          <w:rFonts w:ascii="Times New Roman" w:cs="Times New Roman" w:eastAsia="Times New Roman" w:hAnsi="Times New Roman"/>
          <w:sz w:val="19"/>
          <w:szCs w:val="19"/>
          <w:color w:val="auto"/>
        </w:rPr>
      </w:pPr>
    </w:p>
    <w:p>
      <w:pPr>
        <w:ind w:left="640" w:firstLine="50"/>
        <w:spacing w:after="0" w:line="255" w:lineRule="auto"/>
        <w:tabs>
          <w:tab w:leader="none" w:pos="96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Conflict</w:t>
      </w:r>
      <w:r>
        <w:rPr>
          <w:rFonts w:ascii="Times New Roman" w:cs="Times New Roman" w:eastAsia="Times New Roman" w:hAnsi="Times New Roman"/>
          <w:sz w:val="19"/>
          <w:szCs w:val="19"/>
          <w:color w:val="auto"/>
        </w:rPr>
        <w:t>. The execution and delivery of this Agreement and each Transaction Document to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 xml:space="preserve">Party </w:t>
      </w:r>
      <w:r>
        <w:rPr>
          <w:rFonts w:ascii="Times New Roman" w:cs="Times New Roman" w:eastAsia="Times New Roman" w:hAnsi="Times New Roman"/>
          <w:sz w:val="19"/>
          <w:szCs w:val="19"/>
          <w:color w:val="000000"/>
        </w:rPr>
        <w:t>is a party, the performance by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 xml:space="preserve">such Loan Party </w:t>
      </w:r>
      <w:r>
        <w:rPr>
          <w:rFonts w:ascii="Times New Roman" w:cs="Times New Roman" w:eastAsia="Times New Roman" w:hAnsi="Times New Roman"/>
          <w:sz w:val="19"/>
          <w:szCs w:val="19"/>
          <w:color w:val="000000"/>
        </w:rPr>
        <w:t>of the transactions contemplated hereby and thereby and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fulfillment of the terms hereof and thereof will not violate or result in any breach of any of the terms and provisions of, and will not constitute (with or without notice or lapse of time or both) a default under, </w:t>
      </w:r>
      <w:r>
        <w:rPr>
          <w:rFonts w:ascii="Times New Roman" w:cs="Times New Roman" w:eastAsia="Times New Roman" w:hAnsi="Times New Roman"/>
          <w:sz w:val="19"/>
          <w:szCs w:val="19"/>
          <w:color w:val="FF0000"/>
          <w:strike w:val="1"/>
        </w:rPr>
        <w:t>the Borrower’s</w:t>
      </w:r>
      <w:r>
        <w:rPr>
          <w:rFonts w:ascii="Times New Roman" w:cs="Times New Roman" w:eastAsia="Times New Roman" w:hAnsi="Times New Roman"/>
          <w:sz w:val="19"/>
          <w:szCs w:val="19"/>
          <w:color w:val="0000FF"/>
        </w:rPr>
        <w:t>such Loan Parties</w:t>
      </w:r>
      <w:r>
        <w:rPr>
          <w:rFonts w:ascii="Times New Roman" w:cs="Times New Roman" w:eastAsia="Times New Roman" w:hAnsi="Times New Roman"/>
          <w:sz w:val="19"/>
          <w:szCs w:val="19"/>
          <w:color w:val="000000"/>
        </w:rPr>
        <w:t xml:space="preserve"> bylaws </w:t>
      </w:r>
      <w:r>
        <w:rPr>
          <w:rFonts w:ascii="Times New Roman" w:cs="Times New Roman" w:eastAsia="Times New Roman" w:hAnsi="Times New Roman"/>
          <w:sz w:val="19"/>
          <w:szCs w:val="19"/>
          <w:color w:val="0000FF"/>
        </w:rPr>
        <w:t>(or</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 xml:space="preserve">equivalent governing document) </w:t>
      </w:r>
      <w:r>
        <w:rPr>
          <w:rFonts w:ascii="Times New Roman" w:cs="Times New Roman" w:eastAsia="Times New Roman" w:hAnsi="Times New Roman"/>
          <w:sz w:val="19"/>
          <w:szCs w:val="19"/>
          <w:color w:val="000000"/>
        </w:rPr>
        <w:t>or any material Contractual Obligation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the Borrower. The Borrower</w:t>
      </w:r>
      <w:r>
        <w:rPr>
          <w:rFonts w:ascii="Times New Roman" w:cs="Times New Roman" w:eastAsia="Times New Roman" w:hAnsi="Times New Roman"/>
          <w:sz w:val="19"/>
          <w:szCs w:val="19"/>
          <w:color w:val="0000FF"/>
        </w:rPr>
        <w:t>such Loan Party.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-2662555</wp:posOffset>
            </wp:positionV>
            <wp:extent cx="21336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0">
                      <a:extLst>
                        <a:ext uri="{28A0092B-C50C-407E-A947-70E740481C1C}"/>
                      </a:extLst>
                    </a:blip>
                    <a:srcRect/>
                    <a:stretch>
                      <a:fillRect/>
                    </a:stretch>
                  </pic:blipFill>
                  <pic:spPr bwMode="auto">
                    <a:xfrm>
                      <a:off x="0" y="0"/>
                      <a:ext cx="213360" cy="762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9"/>
          <w:szCs w:val="19"/>
          <w:color w:val="0000FF"/>
        </w:rPr>
        <w:t xml:space="preserve">Loan Party </w:t>
      </w:r>
      <w:r>
        <w:rPr>
          <w:rFonts w:ascii="Times New Roman" w:cs="Times New Roman" w:eastAsia="Times New Roman" w:hAnsi="Times New Roman"/>
          <w:sz w:val="19"/>
          <w:szCs w:val="19"/>
          <w:color w:val="000000"/>
        </w:rPr>
        <w:t>is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party to any agreement or instrument or subject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-67310</wp:posOffset>
            </wp:positionV>
            <wp:extent cx="18288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1">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635635</wp:posOffset>
            </wp:positionV>
            <wp:extent cx="673290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20" w:top="1440" w:right="720" w:bottom="1440" w:gutter="0" w:footer="0" w:header="0"/>
        </w:sectPr>
      </w:pPr>
    </w:p>
    <w:bookmarkStart w:id="258" w:name="page259"/>
    <w:bookmarkEnd w:id="258"/>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corporate restriction that has resulted or could reasonably be expected to result in a Material Adverse Effect.</w:t>
      </w:r>
    </w:p>
    <w:p>
      <w:pPr>
        <w:spacing w:after="0" w:line="224" w:lineRule="exact"/>
        <w:rPr>
          <w:sz w:val="20"/>
          <w:szCs w:val="20"/>
          <w:color w:val="auto"/>
        </w:rPr>
      </w:pPr>
    </w:p>
    <w:p>
      <w:pPr>
        <w:ind w:right="60" w:firstLine="50"/>
        <w:spacing w:after="0" w:line="269" w:lineRule="auto"/>
        <w:tabs>
          <w:tab w:leader="none" w:pos="312"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Violation</w:t>
      </w:r>
      <w:r>
        <w:rPr>
          <w:rFonts w:ascii="Times New Roman" w:cs="Times New Roman" w:eastAsia="Times New Roman" w:hAnsi="Times New Roman"/>
          <w:sz w:val="19"/>
          <w:szCs w:val="19"/>
          <w:color w:val="auto"/>
        </w:rPr>
        <w:t>. The execution and delivery of this Agreement and each Transaction Document to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 xml:space="preserve">Party </w:t>
      </w:r>
      <w:r>
        <w:rPr>
          <w:rFonts w:ascii="Times New Roman" w:cs="Times New Roman" w:eastAsia="Times New Roman" w:hAnsi="Times New Roman"/>
          <w:sz w:val="19"/>
          <w:szCs w:val="19"/>
          <w:color w:val="000000"/>
        </w:rPr>
        <w:t>is a party, the performance of the transactions contemplated hereby and thereby and the fulfillment of the terms hereof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and thereof will not violate, in any material respect, any Applicable Law.</w:t>
      </w:r>
    </w:p>
    <w:p>
      <w:pPr>
        <w:spacing w:after="0" w:line="165" w:lineRule="exact"/>
        <w:rPr>
          <w:rFonts w:ascii="Times New Roman" w:cs="Times New Roman" w:eastAsia="Times New Roman" w:hAnsi="Times New Roman"/>
          <w:sz w:val="19"/>
          <w:szCs w:val="19"/>
          <w:color w:val="auto"/>
        </w:rPr>
      </w:pPr>
    </w:p>
    <w:p>
      <w:pPr>
        <w:ind w:firstLine="50"/>
        <w:spacing w:after="0" w:line="257" w:lineRule="auto"/>
        <w:tabs>
          <w:tab w:leader="none" w:pos="288"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Proceedings</w:t>
      </w:r>
      <w:r>
        <w:rPr>
          <w:rFonts w:ascii="Times New Roman" w:cs="Times New Roman" w:eastAsia="Times New Roman" w:hAnsi="Times New Roman"/>
          <w:sz w:val="19"/>
          <w:szCs w:val="19"/>
          <w:color w:val="auto"/>
        </w:rPr>
        <w:t>. There are no proceedings or investigations pending against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to the best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knowledge of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xml:space="preserve">, pending against any of its Subsidiaries or threatened in writing against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any such Subsidiary before any Governmental Authority (i) asserting the invalidity of this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Agreement or any Transaction Document to which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 Loan Party</w:t>
      </w:r>
      <w:r>
        <w:rPr>
          <w:rFonts w:ascii="Times New Roman" w:cs="Times New Roman" w:eastAsia="Times New Roman" w:hAnsi="Times New Roman"/>
          <w:sz w:val="19"/>
          <w:szCs w:val="19"/>
          <w:color w:val="000000"/>
        </w:rPr>
        <w:t xml:space="preserve"> is a party, (ii) seeking to prevent the consummation of any of the transactions contemplated by this Agreement or any Transaction Document to which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 xml:space="preserve">Loan Party </w:t>
      </w:r>
      <w:r>
        <w:rPr>
          <w:rFonts w:ascii="Times New Roman" w:cs="Times New Roman" w:eastAsia="Times New Roman" w:hAnsi="Times New Roman"/>
          <w:sz w:val="19"/>
          <w:szCs w:val="19"/>
          <w:color w:val="000000"/>
        </w:rPr>
        <w:t>is a party or (iii) seeking any determination or ruling that could reasonably be expected to have a Material Adverse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Effect.</w:t>
      </w:r>
    </w:p>
    <w:p>
      <w:pPr>
        <w:spacing w:after="0" w:line="200" w:lineRule="exact"/>
        <w:rPr>
          <w:rFonts w:ascii="Times New Roman" w:cs="Times New Roman" w:eastAsia="Times New Roman" w:hAnsi="Times New Roman"/>
          <w:sz w:val="19"/>
          <w:szCs w:val="19"/>
          <w:color w:val="auto"/>
        </w:rPr>
      </w:pPr>
    </w:p>
    <w:p>
      <w:pPr>
        <w:spacing w:after="0" w:line="208" w:lineRule="exact"/>
        <w:rPr>
          <w:rFonts w:ascii="Times New Roman" w:cs="Times New Roman" w:eastAsia="Times New Roman" w:hAnsi="Times New Roman"/>
          <w:sz w:val="19"/>
          <w:szCs w:val="19"/>
          <w:color w:val="auto"/>
        </w:rPr>
      </w:pPr>
    </w:p>
    <w:p>
      <w:pPr>
        <w:ind w:right="160" w:firstLine="50"/>
        <w:spacing w:after="0" w:line="258" w:lineRule="auto"/>
        <w:tabs>
          <w:tab w:leader="none" w:pos="32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All Consents Required</w:t>
      </w:r>
      <w:r>
        <w:rPr>
          <w:rFonts w:ascii="Times New Roman" w:cs="Times New Roman" w:eastAsia="Times New Roman" w:hAnsi="Times New Roman"/>
          <w:sz w:val="19"/>
          <w:szCs w:val="19"/>
          <w:color w:val="auto"/>
        </w:rPr>
        <w:t>. All material approvals, authorizations, consents, licenses, orders or other actions of any Person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of any Governmental Authority (if any) required in connection with the due execution, delivery and performance by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of this Agreement and any Transaction Document to which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 a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have been obtained.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000000"/>
        </w:rPr>
        <w:t xml:space="preserve"> has received all consents and approvals required by the terms of the Loan Documents in respect of such Collateral to the pledge hereunder to the Administrative Agent of its interest and rights in such Collateral.</w:t>
      </w:r>
    </w:p>
    <w:p>
      <w:pPr>
        <w:spacing w:after="0" w:line="175" w:lineRule="exact"/>
        <w:rPr>
          <w:rFonts w:ascii="Times New Roman" w:cs="Times New Roman" w:eastAsia="Times New Roman" w:hAnsi="Times New Roman"/>
          <w:sz w:val="19"/>
          <w:szCs w:val="19"/>
          <w:color w:val="auto"/>
        </w:rPr>
      </w:pPr>
    </w:p>
    <w:p>
      <w:pPr>
        <w:ind w:right="20" w:firstLine="50"/>
        <w:spacing w:after="0" w:line="252" w:lineRule="auto"/>
        <w:tabs>
          <w:tab w:leader="none" w:pos="324"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Reports Accurate</w:t>
      </w:r>
      <w:r>
        <w:rPr>
          <w:rFonts w:ascii="Times New Roman" w:cs="Times New Roman" w:eastAsia="Times New Roman" w:hAnsi="Times New Roman"/>
          <w:sz w:val="19"/>
          <w:szCs w:val="19"/>
          <w:color w:val="auto"/>
        </w:rPr>
        <w:t>. All Monthly Reports, Borrowing Base Certificates, information, exhibits, financial statements,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documents, books, records, reports or other document furnished or to be furnished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xml:space="preserve"> (but excluding information identified as provided by a third party) to the Administrative Agent, the Bank Parties, any Managing Agent or any Lender in connection with this Agreement or any other Transaction Document or in connection with the negotiation thereof are true, complete and accurate in all material respects to the best knowledge of the Person so delivering such items; provided that all financial projections, pro forma financial information, and other forward-looking information which has been delivered to the Administrative Agent, the Bank Parties, any Managing Agent or any Lender in connection with this Agreement or any other Transaction Document are based upon good faith assumptions and, in the case of financial projections and pro forma financial information, good faith estimates and assumptions, in each case, believed to be reasonable at the time made, it being recognized that (i) such financial information as it relates to future events is subject to significant uncertainty and contingencies (many of which are beyond the control of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and are therefore not to be viewed as fact, and (ii) actual results during the period or periods covered by such financial information may differ materially and adversely from the results set forth</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therein.</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89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59" w:name="page260"/>
    <w:bookmarkEnd w:id="259"/>
    <w:p>
      <w:pPr>
        <w:spacing w:after="0" w:line="200" w:lineRule="exact"/>
        <w:rPr>
          <w:sz w:val="20"/>
          <w:szCs w:val="20"/>
          <w:color w:val="auto"/>
        </w:rPr>
      </w:pPr>
    </w:p>
    <w:p>
      <w:pPr>
        <w:spacing w:after="0" w:line="283" w:lineRule="exact"/>
        <w:rPr>
          <w:sz w:val="20"/>
          <w:szCs w:val="20"/>
          <w:color w:val="auto"/>
        </w:rPr>
      </w:pPr>
    </w:p>
    <w:p>
      <w:pPr>
        <w:ind w:right="140" w:firstLine="50"/>
        <w:spacing w:after="0" w:line="269" w:lineRule="auto"/>
        <w:tabs>
          <w:tab w:leader="none" w:pos="27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Solvency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subject of any Insolvency Proceeding or Insolvency Event.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transactions contemplated under this Agreement and each Transaction Document to which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 Loan Party</w:t>
      </w:r>
      <w:r>
        <w:rPr>
          <w:rFonts w:ascii="Times New Roman" w:cs="Times New Roman" w:eastAsia="Times New Roman" w:hAnsi="Times New Roman"/>
          <w:sz w:val="19"/>
          <w:szCs w:val="19"/>
          <w:color w:val="auto"/>
        </w:rPr>
        <w:t xml:space="preserve"> is a party do not and will not render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auto"/>
        </w:rPr>
        <w:t xml:space="preserve"> not Solvent.</w:t>
      </w:r>
    </w:p>
    <w:p>
      <w:pPr>
        <w:spacing w:after="0" w:line="165" w:lineRule="exact"/>
        <w:rPr>
          <w:rFonts w:ascii="Times New Roman" w:cs="Times New Roman" w:eastAsia="Times New Roman" w:hAnsi="Times New Roman"/>
          <w:sz w:val="19"/>
          <w:szCs w:val="19"/>
          <w:color w:val="auto"/>
        </w:rPr>
      </w:pPr>
    </w:p>
    <w:p>
      <w:pPr>
        <w:ind w:right="420" w:firstLine="50"/>
        <w:spacing w:after="0" w:line="263" w:lineRule="auto"/>
        <w:tabs>
          <w:tab w:leader="none" w:pos="27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No Default.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default under or with respect to any Existing Indebtedness or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obligation that, either individually or in the aggregate, could reasonably be expected to have a Material Adverse Effect. No Default has occurred and is continuing or would result from the consummation of the transactions contemplated by this Agreement or any other Loan Document.</w:t>
      </w:r>
    </w:p>
    <w:p>
      <w:pPr>
        <w:spacing w:after="0" w:line="170" w:lineRule="exact"/>
        <w:rPr>
          <w:rFonts w:ascii="Times New Roman" w:cs="Times New Roman" w:eastAsia="Times New Roman" w:hAnsi="Times New Roman"/>
          <w:sz w:val="19"/>
          <w:szCs w:val="19"/>
          <w:color w:val="auto"/>
        </w:rPr>
      </w:pPr>
    </w:p>
    <w:p>
      <w:pPr>
        <w:ind w:firstLine="50"/>
        <w:spacing w:after="0" w:line="256" w:lineRule="auto"/>
        <w:tabs>
          <w:tab w:leader="none" w:pos="32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has filed or caused to be filed all federal and material state Tax returns required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filed by it.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auto"/>
        </w:rPr>
        <w:t xml:space="preserve"> has paid all federal and state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Loan Party </w:t>
      </w:r>
      <w:r>
        <w:rPr>
          <w:rFonts w:ascii="Times New Roman" w:cs="Times New Roman" w:eastAsia="Times New Roman" w:hAnsi="Times New Roman"/>
          <w:sz w:val="19"/>
          <w:szCs w:val="19"/>
          <w:color w:val="000000"/>
        </w:rPr>
        <w:t>and to the extent that the failure to do so could not reasonably be expected to have a Material Adverse Effect),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no Tax lien has been filed and, to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000000"/>
        </w:rPr>
        <w:t>’s knowledge, no claim is being asserted, with respect to any such federal or material state Tax, fee or other charge.</w:t>
      </w:r>
    </w:p>
    <w:p>
      <w:pPr>
        <w:spacing w:after="0" w:line="181" w:lineRule="exact"/>
        <w:rPr>
          <w:rFonts w:ascii="Times New Roman" w:cs="Times New Roman" w:eastAsia="Times New Roman" w:hAnsi="Times New Roman"/>
          <w:sz w:val="19"/>
          <w:szCs w:val="19"/>
          <w:color w:val="auto"/>
        </w:rPr>
      </w:pPr>
    </w:p>
    <w:p>
      <w:pPr>
        <w:jc w:val="both"/>
        <w:ind w:right="100" w:firstLine="50"/>
        <w:spacing w:after="0" w:line="263" w:lineRule="auto"/>
        <w:tabs>
          <w:tab w:leader="none" w:pos="276"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Agreements Enforceable</w:t>
      </w:r>
      <w:r>
        <w:rPr>
          <w:rFonts w:ascii="Times New Roman" w:cs="Times New Roman" w:eastAsia="Times New Roman" w:hAnsi="Times New Roman"/>
          <w:sz w:val="19"/>
          <w:szCs w:val="19"/>
          <w:color w:val="auto"/>
        </w:rPr>
        <w:t>. This Agreement and each Transaction Document to which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a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constitute the legal, valid and binding obligation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auto"/>
        </w:rPr>
        <w:t xml:space="preserve"> enforceable against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Party </w:t>
      </w:r>
      <w:r>
        <w:rPr>
          <w:rFonts w:ascii="Times New Roman" w:cs="Times New Roman" w:eastAsia="Times New Roman" w:hAnsi="Times New Roman"/>
          <w:sz w:val="19"/>
          <w:szCs w:val="19"/>
          <w:color w:val="000000"/>
        </w:rPr>
        <w:t>in accordance with their respective terms, except as such enforceability may be limited by Insolvency Laws and except as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such enforceability may be limited by general principles of equity (whether considered in a suit at law or in equity).</w:t>
      </w:r>
    </w:p>
    <w:p>
      <w:pPr>
        <w:spacing w:after="0" w:line="170" w:lineRule="exact"/>
        <w:rPr>
          <w:rFonts w:ascii="Times New Roman" w:cs="Times New Roman" w:eastAsia="Times New Roman" w:hAnsi="Times New Roman"/>
          <w:sz w:val="19"/>
          <w:szCs w:val="19"/>
          <w:color w:val="auto"/>
        </w:rPr>
      </w:pPr>
    </w:p>
    <w:p>
      <w:pPr>
        <w:ind w:right="160" w:firstLine="50"/>
        <w:spacing w:after="0" w:line="256" w:lineRule="auto"/>
        <w:tabs>
          <w:tab w:leader="none" w:pos="372"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Liens</w:t>
      </w:r>
      <w:r>
        <w:rPr>
          <w:rFonts w:ascii="Times New Roman" w:cs="Times New Roman" w:eastAsia="Times New Roman" w:hAnsi="Times New Roman"/>
          <w:sz w:val="19"/>
          <w:szCs w:val="19"/>
          <w:color w:val="auto"/>
        </w:rPr>
        <w:t>. The Collateral is owned by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free and clear of any Lien (except for Permitted Liens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provided herein), claim or encumbrance of any Person, and the Administrative Agent, as agent for the Secured Parties, has a valid and perfected first priority security interest in the Collateral then existing or thereafter arising, free and clear of any Liens except for Permitted Liens. No effective financing statement or other instrument similar in effect covering any Collateral is on file in any recording office except such as may be filed in favor of the Administrative Agent relating to this Agreement.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not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aware of the filing of any judgment, ERISA or tax lien filings against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Party</w:t>
      </w:r>
      <w:r>
        <w:rPr>
          <w:rFonts w:ascii="Times New Roman" w:cs="Times New Roman" w:eastAsia="Times New Roman" w:hAnsi="Times New Roman"/>
          <w:sz w:val="19"/>
          <w:szCs w:val="19"/>
          <w:color w:val="000000"/>
        </w:rPr>
        <w:t>.</w:t>
      </w:r>
    </w:p>
    <w:p>
      <w:pPr>
        <w:spacing w:after="0" w:line="181" w:lineRule="exact"/>
        <w:rPr>
          <w:rFonts w:ascii="Times New Roman" w:cs="Times New Roman" w:eastAsia="Times New Roman" w:hAnsi="Times New Roman"/>
          <w:sz w:val="19"/>
          <w:szCs w:val="19"/>
          <w:color w:val="auto"/>
        </w:rPr>
      </w:pPr>
    </w:p>
    <w:p>
      <w:pPr>
        <w:ind w:right="240" w:firstLine="50"/>
        <w:spacing w:after="0" w:line="263" w:lineRule="auto"/>
        <w:tabs>
          <w:tab w:leader="none" w:pos="324" w:val="left"/>
        </w:tabs>
        <w:numPr>
          <w:ilvl w:val="0"/>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Security Interest</w:t>
      </w:r>
      <w:r>
        <w:rPr>
          <w:rFonts w:ascii="Times New Roman" w:cs="Times New Roman" w:eastAsia="Times New Roman" w:hAnsi="Times New Roman"/>
          <w:sz w:val="19"/>
          <w:szCs w:val="19"/>
          <w:color w:val="auto"/>
        </w:rPr>
        <w:t>. This Agreement creates a valid and continuing security interest (as defined in the applicable UCC)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favor of the Administrative Agent, on behalf of the Secured Parties, in the Collateral, which is enforceable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-4524375</wp:posOffset>
            </wp:positionV>
            <wp:extent cx="18288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4">
                      <a:extLst>
                        <a:ext uri="{28A0092B-C50C-407E-A947-70E740481C1C}"/>
                      </a:extLst>
                    </a:blip>
                    <a:srcRect/>
                    <a:stretch>
                      <a:fillRect/>
                    </a:stretch>
                  </pic:blipFill>
                  <pic:spPr bwMode="auto">
                    <a:xfrm>
                      <a:off x="0" y="0"/>
                      <a:ext cx="182880" cy="7620"/>
                    </a:xfrm>
                    <a:prstGeom prst="rect">
                      <a:avLst/>
                    </a:prstGeom>
                    <a:noFill/>
                  </pic:spPr>
                </pic:pic>
              </a:graphicData>
            </a:graphic>
          </wp:anchor>
        </w:drawing>
        <w:drawing>
          <wp:anchor simplePos="0" relativeHeight="251657728" behindDoc="1" locked="0" layoutInCell="0" allowOverlap="1">
            <wp:simplePos x="0" y="0"/>
            <wp:positionH relativeFrom="column">
              <wp:posOffset>2326005</wp:posOffset>
            </wp:positionH>
            <wp:positionV relativeFrom="paragraph">
              <wp:posOffset>-3952240</wp:posOffset>
            </wp:positionV>
            <wp:extent cx="18288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5">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jc w:val="both"/>
        <w:ind w:right="20"/>
        <w:spacing w:after="0" w:line="250" w:lineRule="auto"/>
        <w:rPr>
          <w:sz w:val="20"/>
          <w:szCs w:val="20"/>
          <w:color w:val="auto"/>
        </w:rPr>
      </w:pPr>
      <w:r>
        <w:rPr>
          <w:rFonts w:ascii="Times New Roman" w:cs="Times New Roman" w:eastAsia="Times New Roman" w:hAnsi="Times New Roman"/>
          <w:sz w:val="19"/>
          <w:szCs w:val="19"/>
          <w:color w:val="auto"/>
        </w:rPr>
        <w:t xml:space="preserve">Applicable Law, is prior to all other Liens and is enforceable as such against creditors of and purchasers from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Parties</w:t>
      </w:r>
      <w:r>
        <w:rPr>
          <w:rFonts w:ascii="Times New Roman" w:cs="Times New Roman" w:eastAsia="Times New Roman" w:hAnsi="Times New Roman"/>
          <w:sz w:val="19"/>
          <w:szCs w:val="19"/>
          <w:color w:val="000000"/>
        </w:rPr>
        <w:t>. All filings (including, without limitation, such UCC filings) as are necessary in any jurisdiction to perfect the interest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260" w:name="page261"/>
    <w:bookmarkEnd w:id="260"/>
    <w:p>
      <w:pPr>
        <w:spacing w:after="0" w:line="200" w:lineRule="exact"/>
        <w:rPr>
          <w:sz w:val="20"/>
          <w:szCs w:val="20"/>
          <w:color w:val="auto"/>
        </w:rPr>
      </w:pPr>
    </w:p>
    <w:p>
      <w:pPr>
        <w:spacing w:after="0" w:line="28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9"/>
          <w:szCs w:val="19"/>
          <w:color w:val="auto"/>
        </w:rPr>
        <w:t>Administrative Agent on behalf of the Secured Parties, in the Collateral have been made and are effective or will be made on the Effective Date.</w:t>
      </w:r>
    </w:p>
    <w:p>
      <w:pPr>
        <w:spacing w:after="0" w:line="151" w:lineRule="exact"/>
        <w:rPr>
          <w:sz w:val="20"/>
          <w:szCs w:val="20"/>
          <w:color w:val="auto"/>
        </w:rPr>
      </w:pPr>
    </w:p>
    <w:p>
      <w:pPr>
        <w:ind w:left="720" w:right="440" w:firstLine="38"/>
        <w:spacing w:after="0" w:line="286" w:lineRule="auto"/>
        <w:tabs>
          <w:tab w:leader="none" w:pos="997"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constitutes a security agreement within the meaning of Section 9-102(a)(73) of the UCC as in effect from time to time in the State of New York.</w:t>
      </w:r>
    </w:p>
    <w:p>
      <w:pPr>
        <w:spacing w:after="0" w:line="151" w:lineRule="exact"/>
        <w:rPr>
          <w:rFonts w:ascii="Times New Roman" w:cs="Times New Roman" w:eastAsia="Times New Roman" w:hAnsi="Times New Roman"/>
          <w:sz w:val="19"/>
          <w:szCs w:val="19"/>
          <w:color w:val="auto"/>
        </w:rPr>
      </w:pPr>
    </w:p>
    <w:p>
      <w:pPr>
        <w:ind w:left="720" w:right="80" w:firstLine="38"/>
        <w:spacing w:after="0" w:line="268" w:lineRule="auto"/>
        <w:tabs>
          <w:tab w:leader="none" w:pos="105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Collateral is comprised of “instruments”, “general intangibles”, “deposit accounts”, “investment property” and “proceeds” (each as defined in the applicable UCC) and such other categories of collateral under the applicable UCC as to which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Party</w:t>
      </w:r>
      <w:r>
        <w:rPr>
          <w:rFonts w:ascii="Times New Roman" w:cs="Times New Roman" w:eastAsia="Times New Roman" w:hAnsi="Times New Roman"/>
          <w:sz w:val="19"/>
          <w:szCs w:val="19"/>
          <w:color w:val="auto"/>
        </w:rPr>
        <w:t xml:space="preserve"> has complied with its obligations under Section 4.1(n).</w:t>
      </w:r>
    </w:p>
    <w:p>
      <w:pPr>
        <w:spacing w:after="0" w:line="168" w:lineRule="exact"/>
        <w:rPr>
          <w:rFonts w:ascii="Times New Roman" w:cs="Times New Roman" w:eastAsia="Times New Roman" w:hAnsi="Times New Roman"/>
          <w:sz w:val="19"/>
          <w:szCs w:val="19"/>
          <w:color w:val="auto"/>
        </w:rPr>
      </w:pPr>
    </w:p>
    <w:p>
      <w:pPr>
        <w:ind w:left="720" w:right="80" w:firstLine="38"/>
        <w:spacing w:after="0" w:line="286" w:lineRule="auto"/>
        <w:tabs>
          <w:tab w:leader="none" w:pos="1104"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Collateral that constitutes “deposit accounts” or “securities accounts” as defined in Sections 9-102 and 8-501(a), respectively, of the UCC as in effect from time-to-time in the State of New York:</w:t>
      </w:r>
    </w:p>
    <w:p>
      <w:pPr>
        <w:spacing w:after="0" w:line="151" w:lineRule="exact"/>
        <w:rPr>
          <w:rFonts w:ascii="Times New Roman" w:cs="Times New Roman" w:eastAsia="Times New Roman" w:hAnsi="Times New Roman"/>
          <w:sz w:val="19"/>
          <w:szCs w:val="19"/>
          <w:color w:val="auto"/>
        </w:rPr>
      </w:pPr>
    </w:p>
    <w:p>
      <w:pPr>
        <w:ind w:left="1420" w:right="80" w:firstLine="47"/>
        <w:spacing w:after="0" w:line="268" w:lineRule="auto"/>
        <w:tabs>
          <w:tab w:leader="none" w:pos="174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taken all steps necessary to enable the Administrative Agent to obtain “control” (within the meaning of the UCC as in effect from time-to-time in the State of New York) with respect to the CIBC Account (from and after the date of the initial Advance hereunder) and each such Collection Account; and</w:t>
      </w:r>
    </w:p>
    <w:p>
      <w:pPr>
        <w:spacing w:after="0" w:line="168" w:lineRule="exact"/>
        <w:rPr>
          <w:rFonts w:ascii="Times New Roman" w:cs="Times New Roman" w:eastAsia="Times New Roman" w:hAnsi="Times New Roman"/>
          <w:sz w:val="19"/>
          <w:szCs w:val="19"/>
          <w:color w:val="auto"/>
        </w:rPr>
      </w:pPr>
    </w:p>
    <w:p>
      <w:pPr>
        <w:ind w:left="1420" w:firstLine="47"/>
        <w:spacing w:after="0" w:line="253" w:lineRule="auto"/>
        <w:tabs>
          <w:tab w:leader="none" w:pos="1740" w:val="left"/>
        </w:tabs>
        <w:numPr>
          <w:ilvl w:val="1"/>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CIBC Account and such Collection Accounts are not in the name of any Person other than the Borrower, and are subject to the Lien of the Administrative Agent (it being understood that the CIBC Account shall be subject to the Lien of the Administrative Agent at all times on and after the date of the initial Advance hereunder). The Borrower has not instructed the securities intermediary of any Collection Account to comply with the instructions of any Person other than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until the Administrative Agent delivers a notice of exclusive control, the Borrower may cause cash in such Collection Accounts to be invested in Permitted Investments, and the proceeds thereof to be distributed in accordance with this Agreement. At all times on and after the date of the initial Advance hereunder, the Borrower has not instructed the depository bank of the CIBC Account to comply with the instructions of any Person other than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until the Administrative Agent delivers a notice of exclusive control, the Borrower may cause cash in the CIBC Account to be invested in Permitted Investments, and the proceeds thereof to be distributed in accordance with this Agreement.</w:t>
      </w:r>
    </w:p>
    <w:p>
      <w:pPr>
        <w:spacing w:after="0" w:line="169" w:lineRule="exact"/>
        <w:rPr>
          <w:rFonts w:ascii="Times New Roman" w:cs="Times New Roman" w:eastAsia="Times New Roman" w:hAnsi="Times New Roman"/>
          <w:sz w:val="19"/>
          <w:szCs w:val="19"/>
          <w:color w:val="auto"/>
        </w:rPr>
      </w:pPr>
    </w:p>
    <w:p>
      <w:pPr>
        <w:ind w:left="1080" w:hanging="322"/>
        <w:spacing w:after="0" w:line="219" w:lineRule="exact"/>
        <w:tabs>
          <w:tab w:leader="none" w:pos="108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Collection Account constitutes a “securities account” as defined in Section 8</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501(a) of the UCC as in effect</w:t>
      </w:r>
    </w:p>
    <w:p>
      <w:pPr>
        <w:spacing w:after="0" w:line="51" w:lineRule="exact"/>
        <w:rPr>
          <w:sz w:val="20"/>
          <w:szCs w:val="20"/>
          <w:color w:val="auto"/>
        </w:rPr>
      </w:pPr>
    </w:p>
    <w:p>
      <w:pPr>
        <w:ind w:left="720" w:right="580"/>
        <w:spacing w:after="0" w:line="228" w:lineRule="exact"/>
        <w:rPr>
          <w:sz w:val="20"/>
          <w:szCs w:val="20"/>
          <w:color w:val="auto"/>
        </w:rPr>
      </w:pPr>
      <w:r>
        <w:rPr>
          <w:rFonts w:ascii="Times New Roman" w:cs="Times New Roman" w:eastAsia="Times New Roman" w:hAnsi="Times New Roman"/>
          <w:sz w:val="19"/>
          <w:szCs w:val="19"/>
          <w:color w:val="auto"/>
        </w:rPr>
        <w:t>from time-to-time in the State of New York and the CIBC Account constitutes a “deposit account” as defined in Section 9</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102 of the UCC as in effect from time-to-time in the State of New York.</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261" w:name="page262"/>
    <w:bookmarkEnd w:id="261"/>
    <w:p>
      <w:pPr>
        <w:spacing w:after="0" w:line="200" w:lineRule="exact"/>
        <w:rPr>
          <w:sz w:val="20"/>
          <w:szCs w:val="20"/>
          <w:color w:val="auto"/>
        </w:rPr>
      </w:pPr>
    </w:p>
    <w:p>
      <w:pPr>
        <w:spacing w:after="0" w:line="285" w:lineRule="exact"/>
        <w:rPr>
          <w:sz w:val="20"/>
          <w:szCs w:val="20"/>
          <w:color w:val="auto"/>
        </w:rPr>
      </w:pPr>
    </w:p>
    <w:p>
      <w:pPr>
        <w:ind w:left="720" w:right="500" w:firstLine="38"/>
        <w:spacing w:after="0" w:line="286" w:lineRule="auto"/>
        <w:tabs>
          <w:tab w:leader="none" w:pos="1040"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has received all consents and approvals required by the terms of any Loan to the granting of a security interest in the Collateral hereunder to the Administrative Agent, on behalf of the Secured Parties.</w:t>
      </w:r>
    </w:p>
    <w:p>
      <w:pPr>
        <w:spacing w:after="0" w:line="151" w:lineRule="exact"/>
        <w:rPr>
          <w:rFonts w:ascii="Times New Roman" w:cs="Times New Roman" w:eastAsia="Times New Roman" w:hAnsi="Times New Roman"/>
          <w:sz w:val="19"/>
          <w:szCs w:val="19"/>
          <w:color w:val="auto"/>
        </w:rPr>
      </w:pPr>
    </w:p>
    <w:p>
      <w:pPr>
        <w:ind w:left="1080" w:hanging="322"/>
        <w:spacing w:after="0"/>
        <w:tabs>
          <w:tab w:leader="none" w:pos="1080"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the delivery to the Collateral Custodian or the Document Custodian, as applicable, of all Collateral</w:t>
      </w:r>
    </w:p>
    <w:p>
      <w:pPr>
        <w:spacing w:after="0" w:line="31" w:lineRule="exact"/>
        <w:rPr>
          <w:rFonts w:ascii="Times New Roman" w:cs="Times New Roman" w:eastAsia="Times New Roman" w:hAnsi="Times New Roman"/>
          <w:sz w:val="19"/>
          <w:szCs w:val="19"/>
          <w:color w:val="auto"/>
        </w:rPr>
      </w:pPr>
    </w:p>
    <w:p>
      <w:pPr>
        <w:ind w:left="720" w:right="4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constituting “instruments” and “certificated securities” (as defined in the UCC as in effect from time to time in the jurisdiction where the Collateral Custodian’s or the Document Custodian’s corporate trust office is located), the crediting of all Collateral that constitutes “financial assets” (as defined in the UCC as in effect from time to time in the State of New York) to an account and the filing of the financing statements in the jurisdiction in which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applicable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 located, such security interest shall be a valid and first priority perfected security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interest in all of the Collateral in that portion of the Collateral in which a security interest may be created under Article 9 of the UCC as in effect from time to time in the State of New York.</w:t>
      </w:r>
    </w:p>
    <w:p>
      <w:pPr>
        <w:spacing w:after="0" w:line="184" w:lineRule="exact"/>
        <w:rPr>
          <w:rFonts w:ascii="Times New Roman" w:cs="Times New Roman" w:eastAsia="Times New Roman" w:hAnsi="Times New Roman"/>
          <w:sz w:val="19"/>
          <w:szCs w:val="19"/>
          <w:color w:val="auto"/>
        </w:rPr>
      </w:pPr>
    </w:p>
    <w:p>
      <w:pPr>
        <w:ind w:left="720" w:right="160" w:firstLine="38"/>
        <w:spacing w:after="0" w:line="286" w:lineRule="auto"/>
        <w:tabs>
          <w:tab w:leader="none" w:pos="1147"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original executed copies of each underlying promissory note that constitute or evidence each Loan has been or, subject to the delivery requirements contained herein, will be delivered to the Document Custodian.</w:t>
      </w:r>
    </w:p>
    <w:p>
      <w:pPr>
        <w:spacing w:after="0" w:line="151" w:lineRule="exact"/>
        <w:rPr>
          <w:rFonts w:ascii="Times New Roman" w:cs="Times New Roman" w:eastAsia="Times New Roman" w:hAnsi="Times New Roman"/>
          <w:sz w:val="19"/>
          <w:szCs w:val="19"/>
          <w:color w:val="auto"/>
        </w:rPr>
      </w:pPr>
    </w:p>
    <w:p>
      <w:pPr>
        <w:ind w:left="720" w:right="260" w:firstLine="38"/>
        <w:spacing w:after="0" w:line="268" w:lineRule="auto"/>
        <w:tabs>
          <w:tab w:leader="none" w:pos="1200"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underlying promissory notes that constitute or evidence the Loans has any marks or notations indicating that they have been pledged, assigned or otherwise conveyed to any Person other than the Administrative Agent on behalf of the Secured Parties.</w:t>
      </w:r>
    </w:p>
    <w:p>
      <w:pPr>
        <w:spacing w:after="0" w:line="168" w:lineRule="exact"/>
        <w:rPr>
          <w:rFonts w:ascii="Times New Roman" w:cs="Times New Roman" w:eastAsia="Times New Roman" w:hAnsi="Times New Roman"/>
          <w:sz w:val="19"/>
          <w:szCs w:val="19"/>
          <w:color w:val="auto"/>
        </w:rPr>
      </w:pPr>
    </w:p>
    <w:p>
      <w:pPr>
        <w:ind w:left="720" w:right="40" w:firstLine="38"/>
        <w:spacing w:after="0" w:line="259" w:lineRule="auto"/>
        <w:tabs>
          <w:tab w:leader="none" w:pos="1093"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Collateral that constitutes a “certificated security,” such certificated security has been delivered to the Collateral Custodian on behalf of the Administrative Agent and, if in registered form, has been specially Indorsed to the Collateral Custodian or in blank by an effective Indorsement or has been registered in the name of the Administrative Agent upon original issue or registration of transfer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applicable Loan Party</w:t>
      </w:r>
      <w:r>
        <w:rPr>
          <w:rFonts w:ascii="Times New Roman" w:cs="Times New Roman" w:eastAsia="Times New Roman" w:hAnsi="Times New Roman"/>
          <w:sz w:val="19"/>
          <w:szCs w:val="19"/>
          <w:color w:val="auto"/>
        </w:rPr>
        <w:t xml:space="preserve"> of such certificated security.</w:t>
      </w:r>
    </w:p>
    <w:p>
      <w:pPr>
        <w:spacing w:after="0" w:line="175" w:lineRule="exact"/>
        <w:rPr>
          <w:rFonts w:ascii="Times New Roman" w:cs="Times New Roman" w:eastAsia="Times New Roman" w:hAnsi="Times New Roman"/>
          <w:sz w:val="19"/>
          <w:szCs w:val="19"/>
          <w:color w:val="auto"/>
        </w:rPr>
      </w:pPr>
    </w:p>
    <w:p>
      <w:pPr>
        <w:ind w:firstLine="50"/>
        <w:spacing w:after="0" w:line="254" w:lineRule="auto"/>
        <w:tabs>
          <w:tab w:leader="none" w:pos="324"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Location of Offices</w:t>
      </w:r>
      <w:r>
        <w:rPr>
          <w:rFonts w:ascii="Times New Roman" w:cs="Times New Roman" w:eastAsia="Times New Roman" w:hAnsi="Times New Roman"/>
          <w:sz w:val="19"/>
          <w:szCs w:val="19"/>
          <w:color w:val="auto"/>
        </w:rPr>
        <w:t>. The Borrower’s location (within the meaning of Article 9 of the UCC) is Maryland</w:t>
      </w:r>
      <w:r>
        <w:rPr>
          <w:rFonts w:ascii="Times New Roman" w:cs="Times New Roman" w:eastAsia="Times New Roman" w:hAnsi="Times New Roman"/>
          <w:sz w:val="19"/>
          <w:szCs w:val="19"/>
          <w:color w:val="FF0000"/>
          <w:strike w:val="1"/>
        </w:rPr>
        <w:t>.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each Loan Party’s location is the state of its organization. Each Loan Party</w:t>
      </w:r>
      <w:r>
        <w:rPr>
          <w:rFonts w:ascii="Times New Roman" w:cs="Times New Roman" w:eastAsia="Times New Roman" w:hAnsi="Times New Roman"/>
          <w:sz w:val="19"/>
          <w:szCs w:val="19"/>
          <w:color w:val="000000"/>
        </w:rPr>
        <w:t>’s principal place of business and chief executive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office and the office where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000000"/>
        </w:rPr>
        <w:t xml:space="preserve"> keeps all the Records not held by the Document Custodian is located at the address of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Party</w:t>
      </w:r>
      <w:r>
        <w:rPr>
          <w:rFonts w:ascii="Times New Roman" w:cs="Times New Roman" w:eastAsia="Times New Roman" w:hAnsi="Times New Roman"/>
          <w:sz w:val="19"/>
          <w:szCs w:val="19"/>
          <w:color w:val="000000"/>
        </w:rPr>
        <w:t xml:space="preserve"> referred to in Schedule IV hereof (or at such other locations as to which the notice and other requirements specified in Section 5.1(m) shall have been satisfied). Other than the change in the Borrower’s name from GSV Growth Credit Fund Inc. to Runway Growth Finance Corp.,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color w:val="000000"/>
        </w:rPr>
        <w:t xml:space="preserve"> has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color w:val="000000"/>
        </w:rPr>
        <w:t xml:space="preserve"> changed its name, whether by amendment of its certificate of formation, by reorganization or otherwise, or its jurisdiction of organization and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-217170</wp:posOffset>
            </wp:positionV>
            <wp:extent cx="18288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8">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ind w:right="60"/>
        <w:spacing w:after="0" w:line="250" w:lineRule="auto"/>
        <w:rPr>
          <w:sz w:val="20"/>
          <w:szCs w:val="20"/>
          <w:color w:val="auto"/>
        </w:rPr>
      </w:pPr>
      <w:r>
        <w:rPr>
          <w:rFonts w:ascii="Times New Roman" w:cs="Times New Roman" w:eastAsia="Times New Roman" w:hAnsi="Times New Roman"/>
          <w:sz w:val="19"/>
          <w:szCs w:val="19"/>
          <w:color w:val="auto"/>
        </w:rPr>
        <w:t xml:space="preserve">not changed its location within the period commencing on the date of formation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auto"/>
        </w:rPr>
        <w:t xml:space="preserve"> and ending on the </w:t>
      </w:r>
      <w:r>
        <w:rPr>
          <w:rFonts w:ascii="Times New Roman" w:cs="Times New Roman" w:eastAsia="Times New Roman" w:hAnsi="Times New Roman"/>
          <w:sz w:val="19"/>
          <w:szCs w:val="19"/>
          <w:color w:val="0000FF"/>
        </w:rPr>
        <w:t>Sixth Amendment</w:t>
      </w:r>
      <w:r>
        <w:rPr>
          <w:rFonts w:ascii="Times New Roman" w:cs="Times New Roman" w:eastAsia="Times New Roman" w:hAnsi="Times New Roman"/>
          <w:sz w:val="19"/>
          <w:szCs w:val="19"/>
          <w:color w:val="auto"/>
        </w:rPr>
        <w:t xml:space="preserve"> Effective Date.</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62" w:name="page263"/>
    <w:bookmarkEnd w:id="262"/>
    <w:p>
      <w:pPr>
        <w:spacing w:after="0" w:line="200" w:lineRule="exact"/>
        <w:rPr>
          <w:sz w:val="20"/>
          <w:szCs w:val="20"/>
          <w:color w:val="auto"/>
        </w:rPr>
      </w:pPr>
    </w:p>
    <w:p>
      <w:pPr>
        <w:spacing w:after="0" w:line="283" w:lineRule="exact"/>
        <w:rPr>
          <w:sz w:val="20"/>
          <w:szCs w:val="20"/>
          <w:color w:val="auto"/>
        </w:rPr>
      </w:pPr>
    </w:p>
    <w:p>
      <w:pPr>
        <w:ind w:right="60" w:firstLine="50"/>
        <w:spacing w:after="0" w:line="288" w:lineRule="auto"/>
        <w:tabs>
          <w:tab w:leader="none" w:pos="32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Tradenames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no</w:t>
      </w:r>
      <w:r>
        <w:rPr>
          <w:rFonts w:ascii="Times New Roman" w:cs="Times New Roman" w:eastAsia="Times New Roman" w:hAnsi="Times New Roman"/>
          <w:sz w:val="19"/>
          <w:szCs w:val="19"/>
          <w:color w:val="0000FF"/>
        </w:rPr>
        <w:t>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trade names, fictitious names, assumed names or “doing business 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names or other names under which it has done or is doing business.</w:t>
      </w:r>
    </w:p>
    <w:p>
      <w:pPr>
        <w:spacing w:after="0" w:line="147"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p>
    <w:p>
      <w:pPr>
        <w:spacing w:after="0" w:line="225" w:lineRule="exact"/>
        <w:rPr>
          <w:rFonts w:ascii="Times New Roman" w:cs="Times New Roman" w:eastAsia="Times New Roman" w:hAnsi="Times New Roman"/>
          <w:sz w:val="19"/>
          <w:szCs w:val="19"/>
          <w:color w:val="auto"/>
        </w:rPr>
      </w:pPr>
    </w:p>
    <w:p>
      <w:pPr>
        <w:jc w:val="both"/>
        <w:ind w:right="160" w:firstLine="50"/>
        <w:spacing w:after="0" w:line="269" w:lineRule="auto"/>
        <w:tabs>
          <w:tab w:leader="none" w:pos="288"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Business. </w:t>
      </w:r>
      <w:r>
        <w:rPr>
          <w:rFonts w:ascii="Times New Roman" w:cs="Times New Roman" w:eastAsia="Times New Roman" w:hAnsi="Times New Roman"/>
          <w:sz w:val="19"/>
          <w:szCs w:val="19"/>
          <w:color w:val="auto"/>
        </w:rPr>
        <w:t>The Borrower is in compliance in all material respects with the Investment Policies. Since the date of the most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recent audited financial statements delivered in accordance with this Agreement, there has been no event or circumstance that, either individually or in the aggregate, has had or could reasonably be expected to have a Material Adverse Effect.</w:t>
      </w:r>
    </w:p>
    <w:p>
      <w:pPr>
        <w:spacing w:after="0" w:line="165" w:lineRule="exact"/>
        <w:rPr>
          <w:rFonts w:ascii="Times New Roman" w:cs="Times New Roman" w:eastAsia="Times New Roman" w:hAnsi="Times New Roman"/>
          <w:sz w:val="19"/>
          <w:szCs w:val="19"/>
          <w:color w:val="auto"/>
        </w:rPr>
      </w:pPr>
    </w:p>
    <w:p>
      <w:pPr>
        <w:ind w:right="120" w:firstLine="50"/>
        <w:spacing w:after="0" w:line="269" w:lineRule="auto"/>
        <w:tabs>
          <w:tab w:leader="none" w:pos="300"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is in compliance in all material respects with ERISA and has not incurred and does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 expect to incur any liabilities (except for premium payments arising in the ordinary course of business) payable to the Pension Benefit Guaranty Corporation under ERISA.</w:t>
      </w:r>
    </w:p>
    <w:p>
      <w:pPr>
        <w:spacing w:after="0" w:line="165" w:lineRule="exact"/>
        <w:rPr>
          <w:rFonts w:ascii="Times New Roman" w:cs="Times New Roman" w:eastAsia="Times New Roman" w:hAnsi="Times New Roman"/>
          <w:sz w:val="19"/>
          <w:szCs w:val="19"/>
          <w:color w:val="auto"/>
        </w:rPr>
      </w:pPr>
    </w:p>
    <w:p>
      <w:pPr>
        <w:ind w:right="60" w:firstLine="50"/>
        <w:spacing w:after="0" w:line="260" w:lineRule="auto"/>
        <w:tabs>
          <w:tab w:leader="none" w:pos="276"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Company Act</w:t>
      </w:r>
      <w:r>
        <w:rPr>
          <w:rFonts w:ascii="Times New Roman" w:cs="Times New Roman" w:eastAsia="Times New Roman" w:hAnsi="Times New Roman"/>
          <w:sz w:val="19"/>
          <w:szCs w:val="19"/>
          <w:color w:val="auto"/>
        </w:rPr>
        <w:t>. The Borrower represents and warrants that (A) Advances do not constitute ownership interests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Borrower and (B) the Borrower is not, and after giving effect to the transactions contemplated hereby, will not be, required to register as an “investment company” within the meaning of the 1940 Act. For purposes of this subclause (x), </w:t>
      </w:r>
      <w:r>
        <w:rPr>
          <w:rFonts w:ascii="Times New Roman" w:cs="Times New Roman" w:eastAsia="Times New Roman" w:hAnsi="Times New Roman"/>
          <w:sz w:val="19"/>
          <w:szCs w:val="19"/>
          <w:i w:val="1"/>
          <w:iCs w:val="1"/>
          <w:color w:val="auto"/>
        </w:rPr>
        <w:t>“ownership</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interest” </w:t>
      </w:r>
      <w:r>
        <w:rPr>
          <w:rFonts w:ascii="Times New Roman" w:cs="Times New Roman" w:eastAsia="Times New Roman" w:hAnsi="Times New Roman"/>
          <w:sz w:val="19"/>
          <w:szCs w:val="19"/>
          <w:color w:val="auto"/>
        </w:rPr>
        <w:t>has the meaning set forth in §248.10(d)(6) of the common rule entitled “Proprietary Trading and Certain Interests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Relationships with Covered Funds” (commonly known as the </w:t>
      </w:r>
      <w:r>
        <w:rPr>
          <w:rFonts w:ascii="Times New Roman" w:cs="Times New Roman" w:eastAsia="Times New Roman" w:hAnsi="Times New Roman"/>
          <w:sz w:val="19"/>
          <w:szCs w:val="19"/>
          <w:i w:val="1"/>
          <w:iCs w:val="1"/>
          <w:color w:val="auto"/>
        </w:rPr>
        <w:t>“Volcker Rule”</w:t>
      </w:r>
      <w:r>
        <w:rPr>
          <w:rFonts w:ascii="Times New Roman" w:cs="Times New Roman" w:eastAsia="Times New Roman" w:hAnsi="Times New Roman"/>
          <w:sz w:val="19"/>
          <w:szCs w:val="19"/>
          <w:color w:val="auto"/>
        </w:rPr>
        <w:t>) published at 79 Fed. Reg. 5779 et seq.</w:t>
      </w:r>
    </w:p>
    <w:p>
      <w:pPr>
        <w:spacing w:after="0" w:line="172" w:lineRule="exact"/>
        <w:rPr>
          <w:rFonts w:ascii="Times New Roman" w:cs="Times New Roman" w:eastAsia="Times New Roman" w:hAnsi="Times New Roman"/>
          <w:sz w:val="19"/>
          <w:szCs w:val="19"/>
          <w:color w:val="auto"/>
        </w:rPr>
      </w:pPr>
    </w:p>
    <w:p>
      <w:pPr>
        <w:ind w:firstLine="50"/>
        <w:spacing w:after="0" w:line="255" w:lineRule="auto"/>
        <w:tabs>
          <w:tab w:leader="none" w:pos="32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Government Regulations</w:t>
      </w:r>
      <w:r>
        <w:rPr>
          <w:rFonts w:ascii="Times New Roman" w:cs="Times New Roman" w:eastAsia="Times New Roman" w:hAnsi="Times New Roman"/>
          <w:sz w:val="19"/>
          <w:szCs w:val="19"/>
          <w:color w:val="auto"/>
        </w:rPr>
        <w:t>. The Borrower is not engaged in the business of extending credit for the purpose of “purchasing”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“carrying” any “margin security,” as such terms are defined in Regulation U of the Federal Reserve Board as now and from time to time hereafter in effect (such securities being referred to herein as </w:t>
      </w:r>
      <w:r>
        <w:rPr>
          <w:rFonts w:ascii="Times New Roman" w:cs="Times New Roman" w:eastAsia="Times New Roman" w:hAnsi="Times New Roman"/>
          <w:sz w:val="19"/>
          <w:szCs w:val="19"/>
          <w:i w:val="1"/>
          <w:iCs w:val="1"/>
          <w:color w:val="auto"/>
        </w:rPr>
        <w:t>“Margin Stock”</w:t>
      </w:r>
      <w:r>
        <w:rPr>
          <w:rFonts w:ascii="Times New Roman" w:cs="Times New Roman" w:eastAsia="Times New Roman" w:hAnsi="Times New Roman"/>
          <w:sz w:val="19"/>
          <w:szCs w:val="19"/>
          <w:color w:val="auto"/>
        </w:rPr>
        <w:t xml:space="preserve">). The Borrower owns no Margin Stock, and no portion of the proceeds of any Advance hereunder will be used, directly or indirectly, for the purpose of purchasing or carrying any Margin Stock, for the purpose of reducing or retiring any Indebtedness that was originally incurred to purchase or carry any Margin Stock or for any other purpose that might cause any portion of such proceeds to be considered a “purpose credit” within the meaning of Regulation T, U or X of the Federal Reserve Board.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color w:val="auto"/>
        </w:rPr>
        <w:t xml:space="preserve"> will </w:t>
      </w:r>
      <w:r>
        <w:rPr>
          <w:rFonts w:ascii="Times New Roman" w:cs="Times New Roman" w:eastAsia="Times New Roman" w:hAnsi="Times New Roman"/>
          <w:sz w:val="19"/>
          <w:szCs w:val="19"/>
          <w:color w:val="FF0000"/>
          <w:strike w:val="1"/>
        </w:rPr>
        <w:t>not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take or permit to be taken any action that might cause any Loan Document or any Transaction Document to violate any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regulation of the Federal Reserve Board.</w:t>
      </w:r>
    </w:p>
    <w:p>
      <w:pPr>
        <w:spacing w:after="0" w:line="179" w:lineRule="exact"/>
        <w:rPr>
          <w:rFonts w:ascii="Times New Roman" w:cs="Times New Roman" w:eastAsia="Times New Roman" w:hAnsi="Times New Roman"/>
          <w:sz w:val="19"/>
          <w:szCs w:val="19"/>
          <w:color w:val="auto"/>
        </w:rPr>
      </w:pPr>
    </w:p>
    <w:p>
      <w:pPr>
        <w:ind w:right="80" w:firstLine="50"/>
        <w:spacing w:after="0" w:line="257" w:lineRule="auto"/>
        <w:tabs>
          <w:tab w:leader="none" w:pos="324"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Eligibility of Loans</w:t>
      </w:r>
      <w:r>
        <w:rPr>
          <w:rFonts w:ascii="Times New Roman" w:cs="Times New Roman" w:eastAsia="Times New Roman" w:hAnsi="Times New Roman"/>
          <w:sz w:val="19"/>
          <w:szCs w:val="19"/>
          <w:color w:val="auto"/>
        </w:rPr>
        <w:t>. As of the Effective Date and each Funding Date thereafter, (i) each Loan referenced on the related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Notice and included in the Borrowing Base is an Eligible Loan on such date, (ii) each Loan included in the Collateral is free and clear of any Lien of any Person (other than Permitted Liens) and in compliance with Applicable Laws and (iii) with respect to each such Loan included in the Collateral, all consents, licenses, approvals or authorizations of or registrations or</w:t>
      </w:r>
    </w:p>
    <w:p>
      <w:pPr>
        <w:spacing w:after="0"/>
        <w:rPr>
          <w:sz w:val="20"/>
          <w:szCs w:val="20"/>
          <w:color w:val="auto"/>
        </w:rPr>
      </w:pPr>
      <w:r>
        <w:rPr>
          <w:rFonts w:ascii="Times New Roman" w:cs="Times New Roman" w:eastAsia="Times New Roman" w:hAnsi="Times New Roman"/>
          <w:sz w:val="19"/>
          <w:szCs w:val="19"/>
          <w:color w:val="auto"/>
        </w:rPr>
        <w:t>declarations of any Governmental Authority required to be obtained, effected or given by the Borrower in</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63" w:name="page264"/>
    <w:bookmarkEnd w:id="263"/>
    <w:p>
      <w:pPr>
        <w:spacing w:after="0" w:line="200" w:lineRule="exact"/>
        <w:rPr>
          <w:sz w:val="20"/>
          <w:szCs w:val="20"/>
          <w:color w:val="auto"/>
        </w:rPr>
      </w:pPr>
    </w:p>
    <w:p>
      <w:pPr>
        <w:spacing w:after="0" w:line="2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connection with the transfer of a Lien in such Loans and the Borrower’s interests in the Related Property to the Administrative Agent for the benefit of the Secured Parties have been duly obtained, effected or given and are in full force and effect. As of the most recent Reporting Date, the Loan List delivered with the most recent Monthly Report, and as of each Funding Date, the Loan List and the information contained in the Borrower Notice delivered pursuant to Sections 2.1 and 2.2, is a true, complete and correct listing in all material respects of all the Loans that are part of the Collateral as of the such date, and the information contained therein with respect to the identity of such Loans and the amounts owing thereunder is true, complete and correct in all material respects as of such date.</w:t>
      </w:r>
    </w:p>
    <w:p>
      <w:pPr>
        <w:spacing w:after="0" w:line="179" w:lineRule="exact"/>
        <w:rPr>
          <w:sz w:val="20"/>
          <w:szCs w:val="20"/>
          <w:color w:val="auto"/>
        </w:rPr>
      </w:pPr>
    </w:p>
    <w:p>
      <w:pPr>
        <w:ind w:right="20" w:firstLine="50"/>
        <w:spacing w:after="0" w:line="231" w:lineRule="exact"/>
        <w:tabs>
          <w:tab w:leader="none" w:pos="36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USA Patriot Act</w:t>
      </w:r>
      <w:r>
        <w:rPr>
          <w:rFonts w:ascii="Times New Roman" w:cs="Times New Roman" w:eastAsia="Times New Roman" w:hAnsi="Times New Roman"/>
          <w:sz w:val="19"/>
          <w:szCs w:val="19"/>
          <w:color w:val="auto"/>
        </w:rPr>
        <w:t>. None of the Borrower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or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Investment Adviser or any of their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Controlled Affiliates, or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 xml:space="preserve">knowledge of the Borrower, any of their </w:t>
      </w:r>
      <w:r>
        <w:rPr>
          <w:rFonts w:ascii="Times New Roman" w:cs="Times New Roman" w:eastAsia="Times New Roman" w:hAnsi="Times New Roman"/>
          <w:sz w:val="19"/>
          <w:szCs w:val="19"/>
          <w:color w:val="000000"/>
        </w:rPr>
        <w:t>respective Affiliates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rPr>
        <w:t>is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(1) a country, territory, organization, person or entity named on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an OFAC list; (2) a Person that resides or has a place of business in a country or territory named on such lists or which is designated as a Non</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 xml:space="preserve">Cooperative Jurisdiction by the Financial Action Task Force on Money Laundering, or whose subscription funds are transferred from or through such a jurisdiction; (3) a “Foreign Shell Bank” within the meaning of the USA Patriot Act, </w:t>
      </w:r>
      <w:r>
        <w:rPr>
          <w:rFonts w:ascii="Times New Roman" w:cs="Times New Roman" w:eastAsia="Times New Roman" w:hAnsi="Times New Roman"/>
          <w:sz w:val="19"/>
          <w:szCs w:val="19"/>
          <w:i w:val="1"/>
          <w:iCs w:val="1"/>
          <w:color w:val="000000"/>
        </w:rPr>
        <w:t>i.e.,</w:t>
      </w:r>
      <w:r>
        <w:rPr>
          <w:rFonts w:ascii="Times New Roman" w:cs="Times New Roman" w:eastAsia="Times New Roman" w:hAnsi="Times New Roman"/>
          <w:sz w:val="19"/>
          <w:szCs w:val="19"/>
          <w:color w:val="000000"/>
        </w:rPr>
        <w:t xml:space="preserve"> a foreign bank that does not have a physical presence in any country and that is not affiliated with a bank that has a physical presence and an acceptable level of regulation and supervision; or (4) a person or entity that resides in or is organized under the laws of a jurisdiction designated by the United States Secretary of the Treasury under Section 311 or 312 of the USA Patriot Act as warranting special measures due to money laundering concerns.</w:t>
      </w:r>
    </w:p>
    <w:p>
      <w:pPr>
        <w:spacing w:after="0" w:line="195" w:lineRule="exact"/>
        <w:rPr>
          <w:rFonts w:ascii="Times New Roman" w:cs="Times New Roman" w:eastAsia="Times New Roman" w:hAnsi="Times New Roman"/>
          <w:sz w:val="19"/>
          <w:szCs w:val="19"/>
          <w:color w:val="auto"/>
        </w:rPr>
      </w:pPr>
    </w:p>
    <w:p>
      <w:pPr>
        <w:ind w:right="20" w:firstLine="50"/>
        <w:spacing w:after="0" w:line="288" w:lineRule="auto"/>
        <w:tabs>
          <w:tab w:leader="none" w:pos="32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No Fraud</w:t>
      </w:r>
      <w:r>
        <w:rPr>
          <w:rFonts w:ascii="Times New Roman" w:cs="Times New Roman" w:eastAsia="Times New Roman" w:hAnsi="Times New Roman"/>
          <w:sz w:val="19"/>
          <w:szCs w:val="19"/>
          <w:color w:val="auto"/>
        </w:rPr>
        <w:t>. Each Loan was originated without any fraud or material misrepresentation, to the Borrower’s knowledge, on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 of the Obligor.</w:t>
      </w:r>
    </w:p>
    <w:p>
      <w:pPr>
        <w:spacing w:after="0" w:line="147" w:lineRule="exact"/>
        <w:rPr>
          <w:rFonts w:ascii="Times New Roman" w:cs="Times New Roman" w:eastAsia="Times New Roman" w:hAnsi="Times New Roman"/>
          <w:sz w:val="19"/>
          <w:szCs w:val="19"/>
          <w:color w:val="auto"/>
        </w:rPr>
      </w:pPr>
    </w:p>
    <w:p>
      <w:pPr>
        <w:ind w:right="80" w:firstLine="50"/>
        <w:spacing w:after="0" w:line="254" w:lineRule="auto"/>
        <w:tabs>
          <w:tab w:leader="none" w:pos="324"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Law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has complied in all respects with all Applicable Laws to which it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may be subject, except where the failure to do so, individually or in the aggregate, could not reasonably be expected to result in a Material Adverse Effect and no item of Collateral contravenes any Applicable Law (including, without limitation, all applicable Credit Protection Laws), except where the failure to do so, individually or in the aggregate, could not reasonably be expected to result in a Material Adverse Effect. Without limiting the foregoing, (x) to the extent applicable,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Loan Party </w:t>
      </w:r>
      <w:r>
        <w:rPr>
          <w:rFonts w:ascii="Times New Roman" w:cs="Times New Roman" w:eastAsia="Times New Roman" w:hAnsi="Times New Roman"/>
          <w:sz w:val="19"/>
          <w:szCs w:val="19"/>
          <w:color w:val="000000"/>
        </w:rPr>
        <w:t>is in compliance in all material respects with the regulations and rules promulgated by OFAC including U.S.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Executive Order No. 13224 and other related statutes, laws, and regulations (collectively, the </w:t>
      </w:r>
      <w:r>
        <w:rPr>
          <w:rFonts w:ascii="Times New Roman" w:cs="Times New Roman" w:eastAsia="Times New Roman" w:hAnsi="Times New Roman"/>
          <w:sz w:val="19"/>
          <w:szCs w:val="19"/>
          <w:i w:val="1"/>
          <w:iCs w:val="1"/>
          <w:color w:val="000000"/>
        </w:rPr>
        <w:t>“Subject Laws”</w:t>
      </w:r>
      <w:r>
        <w:rPr>
          <w:rFonts w:ascii="Times New Roman" w:cs="Times New Roman" w:eastAsia="Times New Roman" w:hAnsi="Times New Roman"/>
          <w:sz w:val="19"/>
          <w:szCs w:val="19"/>
          <w:color w:val="000000"/>
        </w:rPr>
        <w:t xml:space="preserve">), and (y)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has adopted internal controls and procedures designed to ensure its continued compliance in all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material respects with the applicable provisions of the Subject Laws and to the extent applicable, will adopt procedures consistent in all material respects with the USA Patriot Act and implementing regulations.</w:t>
      </w:r>
    </w:p>
    <w:p>
      <w:pPr>
        <w:spacing w:after="0" w:line="184"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 Status</w:t>
      </w:r>
      <w:r>
        <w:rPr>
          <w:rFonts w:ascii="Times New Roman" w:cs="Times New Roman" w:eastAsia="Times New Roman" w:hAnsi="Times New Roman"/>
          <w:sz w:val="19"/>
          <w:szCs w:val="19"/>
          <w:color w:val="auto"/>
        </w:rPr>
        <w:t>. For U.S. federal income tax purposes the Borrower is a 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-3505200</wp:posOffset>
            </wp:positionV>
            <wp:extent cx="12954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1">
                      <a:extLst>
                        <a:ext uri="{28A0092B-C50C-407E-A947-70E740481C1C}"/>
                      </a:extLst>
                    </a:blip>
                    <a:srcRect/>
                    <a:stretch>
                      <a:fillRect/>
                    </a:stretch>
                  </pic:blipFill>
                  <pic:spPr bwMode="auto">
                    <a:xfrm>
                      <a:off x="0" y="0"/>
                      <a:ext cx="129540" cy="7620"/>
                    </a:xfrm>
                    <a:prstGeom prst="rect">
                      <a:avLst/>
                    </a:prstGeom>
                    <a:noFill/>
                  </pic:spPr>
                </pic:pic>
              </a:graphicData>
            </a:graphic>
          </wp:anchor>
        </w:drawing>
        <w:drawing>
          <wp:anchor simplePos="0" relativeHeight="251657728" behindDoc="1" locked="0" layoutInCell="0" allowOverlap="1">
            <wp:simplePos x="0" y="0"/>
            <wp:positionH relativeFrom="column">
              <wp:posOffset>2981960</wp:posOffset>
            </wp:positionH>
            <wp:positionV relativeFrom="paragraph">
              <wp:posOffset>-3360420</wp:posOffset>
            </wp:positionV>
            <wp:extent cx="11430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2">
                      <a:extLst>
                        <a:ext uri="{28A0092B-C50C-407E-A947-70E740481C1C}"/>
                      </a:extLst>
                    </a:blip>
                    <a:srcRect/>
                    <a:stretch>
                      <a:fillRect/>
                    </a:stretch>
                  </pic:blipFill>
                  <pic:spPr bwMode="auto">
                    <a:xfrm>
                      <a:off x="0" y="0"/>
                      <a:ext cx="114300" cy="7620"/>
                    </a:xfrm>
                    <a:prstGeom prst="rect">
                      <a:avLst/>
                    </a:prstGeom>
                    <a:noFill/>
                  </pic:spPr>
                </pic:pic>
              </a:graphicData>
            </a:graphic>
          </wp:anchor>
        </w:drawing>
      </w:r>
    </w:p>
    <w:p>
      <w:pPr>
        <w:spacing w:after="0" w:line="206" w:lineRule="exact"/>
        <w:rPr>
          <w:sz w:val="20"/>
          <w:szCs w:val="20"/>
          <w:color w:val="auto"/>
        </w:rPr>
      </w:pPr>
    </w:p>
    <w:p>
      <w:pPr>
        <w:ind w:right="500" w:firstLine="50"/>
        <w:spacing w:after="0" w:line="263" w:lineRule="auto"/>
        <w:tabs>
          <w:tab w:leader="none" w:pos="39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Plan Assets</w:t>
      </w:r>
      <w:r>
        <w:rPr>
          <w:rFonts w:ascii="Times New Roman" w:cs="Times New Roman" w:eastAsia="Times New Roman" w:hAnsi="Times New Roman"/>
          <w:sz w:val="19"/>
          <w:szCs w:val="19"/>
          <w:color w:val="auto"/>
        </w:rPr>
        <w:t>. The assets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are not treated as “plan assets” for purposes of Section 3(42)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ERISA and the Collateral is not deemed to be “plan</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64" w:name="page265"/>
    <w:bookmarkEnd w:id="264"/>
    <w:p>
      <w:pPr>
        <w:spacing w:after="0" w:line="200" w:lineRule="exact"/>
        <w:rPr>
          <w:sz w:val="20"/>
          <w:szCs w:val="20"/>
          <w:color w:val="auto"/>
        </w:rPr>
      </w:pPr>
    </w:p>
    <w:p>
      <w:pPr>
        <w:spacing w:after="0" w:line="285"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9"/>
          <w:szCs w:val="19"/>
          <w:color w:val="auto"/>
        </w:rPr>
        <w:t xml:space="preserve">assets” for purposes of Section 3(42) of ERISA.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color w:val="auto"/>
        </w:rPr>
        <w:t xml:space="preserve"> has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color w:val="auto"/>
        </w:rPr>
        <w:t xml:space="preserve"> taken, or omitted to take, any action which would result in any of the Collateral being treated as “plan assets” for purposes of Section 3(42) of ERISA or the occurrence of any Prohibited Transaction in connection with the transactions contemplated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4003040</wp:posOffset>
            </wp:positionH>
            <wp:positionV relativeFrom="paragraph">
              <wp:posOffset>-379730</wp:posOffset>
            </wp:positionV>
            <wp:extent cx="18288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4">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line="146" w:lineRule="exact"/>
        <w:rPr>
          <w:sz w:val="20"/>
          <w:szCs w:val="20"/>
          <w:color w:val="auto"/>
        </w:rPr>
      </w:pPr>
    </w:p>
    <w:p>
      <w:pPr>
        <w:ind w:right="160" w:firstLine="50"/>
        <w:spacing w:after="0" w:line="288" w:lineRule="auto"/>
        <w:tabs>
          <w:tab w:leader="none" w:pos="42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Amendments</w:t>
      </w:r>
      <w:r>
        <w:rPr>
          <w:rFonts w:ascii="Times New Roman" w:cs="Times New Roman" w:eastAsia="Times New Roman" w:hAnsi="Times New Roman"/>
          <w:sz w:val="19"/>
          <w:szCs w:val="19"/>
          <w:color w:val="auto"/>
        </w:rPr>
        <w:t>. No Loan has been amended, modified or waived, except for amendments, modification or waivers, if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such Loan otherwise permitted under Section 7.4(a) and in accordance with the Investment Policy.</w:t>
      </w:r>
    </w:p>
    <w:p>
      <w:pPr>
        <w:spacing w:after="0" w:line="147" w:lineRule="exact"/>
        <w:rPr>
          <w:rFonts w:ascii="Times New Roman" w:cs="Times New Roman" w:eastAsia="Times New Roman" w:hAnsi="Times New Roman"/>
          <w:sz w:val="19"/>
          <w:szCs w:val="19"/>
          <w:color w:val="auto"/>
        </w:rPr>
      </w:pPr>
    </w:p>
    <w:p>
      <w:pPr>
        <w:ind w:right="100" w:firstLine="50"/>
        <w:spacing w:after="0" w:line="288" w:lineRule="auto"/>
        <w:tabs>
          <w:tab w:leader="none" w:pos="39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Full Payment</w:t>
      </w:r>
      <w:r>
        <w:rPr>
          <w:rFonts w:ascii="Times New Roman" w:cs="Times New Roman" w:eastAsia="Times New Roman" w:hAnsi="Times New Roman"/>
          <w:sz w:val="19"/>
          <w:szCs w:val="19"/>
          <w:color w:val="auto"/>
        </w:rPr>
        <w:t>. As of the date of the Borrower’s origination or acquisition thereof, the Borrower has no knowledge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fact which should lead it to expect that any Loan will not be repaid by the relevant Obligor in full.</w:t>
      </w:r>
    </w:p>
    <w:p>
      <w:pPr>
        <w:spacing w:after="0" w:line="147" w:lineRule="exact"/>
        <w:rPr>
          <w:rFonts w:ascii="Times New Roman" w:cs="Times New Roman" w:eastAsia="Times New Roman" w:hAnsi="Times New Roman"/>
          <w:sz w:val="19"/>
          <w:szCs w:val="19"/>
          <w:color w:val="auto"/>
        </w:rPr>
      </w:pPr>
    </w:p>
    <w:p>
      <w:pPr>
        <w:ind w:left="420" w:hanging="370"/>
        <w:spacing w:after="0"/>
        <w:tabs>
          <w:tab w:leader="none" w:pos="42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ind w:left="400" w:hanging="350"/>
        <w:spacing w:after="0"/>
        <w:tabs>
          <w:tab w:leader="none" w:pos="40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p>
    <w:p>
      <w:pPr>
        <w:spacing w:after="0" w:line="225" w:lineRule="exact"/>
        <w:rPr>
          <w:rFonts w:ascii="Times New Roman" w:cs="Times New Roman" w:eastAsia="Times New Roman" w:hAnsi="Times New Roman"/>
          <w:sz w:val="19"/>
          <w:szCs w:val="19"/>
          <w:color w:val="auto"/>
        </w:rPr>
      </w:pPr>
    </w:p>
    <w:p>
      <w:pPr>
        <w:ind w:right="60" w:firstLine="50"/>
        <w:spacing w:after="0" w:line="254" w:lineRule="auto"/>
        <w:tabs>
          <w:tab w:leader="none" w:pos="348"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Environmental Matters</w:t>
      </w:r>
      <w:r>
        <w:rPr>
          <w:rFonts w:ascii="Times New Roman" w:cs="Times New Roman" w:eastAsia="Times New Roman" w:hAnsi="Times New Roman"/>
          <w:sz w:val="19"/>
          <w:szCs w:val="19"/>
          <w:color w:val="auto"/>
        </w:rPr>
        <w:t>. Except with respect to any matters that, either individually or in the aggregate, could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reasonably be expected to have a Material Adverse Effect,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color w:val="auto"/>
        </w:rPr>
        <w:t xml:space="preserve"> (a) has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color w:val="auto"/>
        </w:rPr>
        <w:t xml:space="preserve"> failed to comply with any Environmental Law or to obtain, maintain or comply with any permit, license or other approval required under any Environmental Law, (b) </w:t>
      </w:r>
      <w:r>
        <w:rPr>
          <w:rFonts w:ascii="Times New Roman" w:cs="Times New Roman" w:eastAsia="Times New Roman" w:hAnsi="Times New Roman"/>
          <w:sz w:val="19"/>
          <w:szCs w:val="19"/>
          <w:color w:val="FF0000"/>
          <w:strike w:val="1"/>
        </w:rPr>
        <w:t>does not know</w:t>
      </w:r>
      <w:r>
        <w:rPr>
          <w:rFonts w:ascii="Times New Roman" w:cs="Times New Roman" w:eastAsia="Times New Roman" w:hAnsi="Times New Roman"/>
          <w:sz w:val="19"/>
          <w:szCs w:val="19"/>
          <w:color w:val="0000FF"/>
        </w:rPr>
        <w:t>knows</w:t>
      </w:r>
      <w:r>
        <w:rPr>
          <w:rFonts w:ascii="Times New Roman" w:cs="Times New Roman" w:eastAsia="Times New Roman" w:hAnsi="Times New Roman"/>
          <w:sz w:val="19"/>
          <w:szCs w:val="19"/>
          <w:color w:val="auto"/>
        </w:rPr>
        <w:t xml:space="preserve"> of any basis for any permit, license or other approval required under any Environmental Law to be revoked, canceled, limited, terminated, modified, appealed or otherwise challenged, (c) has </w:t>
      </w:r>
      <w:r>
        <w:rPr>
          <w:rFonts w:ascii="Times New Roman" w:cs="Times New Roman" w:eastAsia="Times New Roman" w:hAnsi="Times New Roman"/>
          <w:sz w:val="19"/>
          <w:szCs w:val="19"/>
          <w:color w:val="FF0000"/>
          <w:strike w:val="1"/>
        </w:rPr>
        <w:t>not</w:t>
      </w:r>
      <w:r>
        <w:rPr>
          <w:rFonts w:ascii="Times New Roman" w:cs="Times New Roman" w:eastAsia="Times New Roman" w:hAnsi="Times New Roman"/>
          <w:sz w:val="19"/>
          <w:szCs w:val="19"/>
          <w:color w:val="auto"/>
        </w:rPr>
        <w:t xml:space="preserve"> or could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color w:val="auto"/>
        </w:rPr>
        <w:t xml:space="preserve"> reasonably be expected to become subject to any Environmental Liability, (d) has received notice of any claim, complaint, proceeding, investigation or inquiry with respect to any Environmental Liability (and no such claim, complaint, proceeding, investigation or inquiry is pending or, to the knowledge of the Borrower, is threatened or contemplated) or (e) </w:t>
      </w:r>
      <w:r>
        <w:rPr>
          <w:rFonts w:ascii="Times New Roman" w:cs="Times New Roman" w:eastAsia="Times New Roman" w:hAnsi="Times New Roman"/>
          <w:sz w:val="19"/>
          <w:szCs w:val="19"/>
          <w:color w:val="FF0000"/>
          <w:strike w:val="1"/>
        </w:rPr>
        <w:t>does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not know</w:t>
      </w:r>
      <w:r>
        <w:rPr>
          <w:rFonts w:ascii="Times New Roman" w:cs="Times New Roman" w:eastAsia="Times New Roman" w:hAnsi="Times New Roman"/>
          <w:sz w:val="19"/>
          <w:szCs w:val="19"/>
          <w:color w:val="0000FF"/>
        </w:rPr>
        <w:t>knows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of any facts, events or circumstances that could give rise to any basis for any Environmental Liability of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000000"/>
        </w:rPr>
        <w:t>.</w:t>
      </w:r>
    </w:p>
    <w:p>
      <w:pPr>
        <w:spacing w:after="0" w:line="184" w:lineRule="exact"/>
        <w:rPr>
          <w:rFonts w:ascii="Times New Roman" w:cs="Times New Roman" w:eastAsia="Times New Roman" w:hAnsi="Times New Roman"/>
          <w:sz w:val="19"/>
          <w:szCs w:val="19"/>
          <w:color w:val="auto"/>
        </w:rPr>
      </w:pPr>
    </w:p>
    <w:p>
      <w:pPr>
        <w:ind w:right="40" w:firstLine="50"/>
        <w:spacing w:after="0" w:line="254" w:lineRule="auto"/>
        <w:tabs>
          <w:tab w:leader="none" w:pos="42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Intellectual Property</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owns, licenses or possesses the right to use all of the trademarks,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tradenames, service marks, trade names, copyrights, patents, franchises, licenses and other intellectual property rights that are necessary for the operation of their respective businesses, as currently conducted, business, and the use thereof by the Borrower does not conflict with the rights of any other Person, except to the extent that such failure to own, license or possess or such conflicts, either individually or in the aggregate, could not reasonably be expected to have a Material Adverse Effect. The conduct of the business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auto"/>
        </w:rPr>
        <w:t xml:space="preserve"> as currently conducted or as contemplated to be conducted does not infringe upon or violate any rights held by any other Person, except to the extent that such infringements and violations,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-2381885</wp:posOffset>
            </wp:positionV>
            <wp:extent cx="18288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5">
                      <a:extLst>
                        <a:ext uri="{28A0092B-C50C-407E-A947-70E740481C1C}"/>
                      </a:extLst>
                    </a:blip>
                    <a:srcRect/>
                    <a:stretch>
                      <a:fillRect/>
                    </a:stretch>
                  </pic:blipFill>
                  <pic:spPr bwMode="auto">
                    <a:xfrm>
                      <a:off x="0" y="0"/>
                      <a:ext cx="182880" cy="762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-1802765</wp:posOffset>
            </wp:positionV>
            <wp:extent cx="18288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6">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line="250" w:lineRule="auto"/>
        <w:rPr>
          <w:sz w:val="20"/>
          <w:szCs w:val="20"/>
          <w:color w:val="auto"/>
        </w:rPr>
      </w:pPr>
      <w:r>
        <w:rPr>
          <w:rFonts w:ascii="Times New Roman" w:cs="Times New Roman" w:eastAsia="Times New Roman" w:hAnsi="Times New Roman"/>
          <w:sz w:val="19"/>
          <w:szCs w:val="19"/>
          <w:color w:val="auto"/>
        </w:rPr>
        <w:t xml:space="preserve">individually or in the aggregate, could not reasonably be expected to have a Material Adverse Effect. No claim or litigation regarding any of the foregoing is pending or, to the knowledge of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threatened that could reasonably be expected to be adversely determined, and, if so determined, could reasonably be expected to have a Material Adverse Effect.</w:t>
      </w:r>
    </w:p>
    <w:p>
      <w:pPr>
        <w:spacing w:after="0" w:line="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40"/>
          </w:cols>
          <w:pgMar w:left="1360" w:top="1440" w:right="700" w:bottom="1440" w:gutter="0" w:footer="0" w:header="0"/>
        </w:sectPr>
      </w:pPr>
    </w:p>
    <w:bookmarkStart w:id="265" w:name="page266"/>
    <w:bookmarkEnd w:id="265"/>
    <w:p>
      <w:pPr>
        <w:spacing w:after="0" w:line="200" w:lineRule="exact"/>
        <w:rPr>
          <w:sz w:val="20"/>
          <w:szCs w:val="20"/>
          <w:color w:val="auto"/>
        </w:rPr>
      </w:pPr>
    </w:p>
    <w:p>
      <w:pPr>
        <w:spacing w:after="0" w:line="283" w:lineRule="exact"/>
        <w:rPr>
          <w:sz w:val="20"/>
          <w:szCs w:val="20"/>
          <w:color w:val="auto"/>
        </w:rPr>
      </w:pPr>
    </w:p>
    <w:p>
      <w:pPr>
        <w:ind w:left="640" w:firstLine="50"/>
        <w:spacing w:after="0" w:line="263" w:lineRule="auto"/>
        <w:tabs>
          <w:tab w:leader="none" w:pos="106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Certificate of Beneficial Ownership. </w:t>
      </w:r>
      <w:r>
        <w:rPr>
          <w:rFonts w:ascii="Times New Roman" w:cs="Times New Roman" w:eastAsia="Times New Roman" w:hAnsi="Times New Roman"/>
          <w:sz w:val="19"/>
          <w:szCs w:val="19"/>
          <w:color w:val="auto"/>
        </w:rPr>
        <w:t>The Certificate of Beneficial Ownership executed and delivered to the Administrative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and Lenders on or prior to the Restatement Effective Date, as updated from time to time in accordance with this Agreement, is accurate, complete and correct as of the Restatement Effective Date and as of the date any such update is delivered.</w:t>
      </w:r>
    </w:p>
    <w:p>
      <w:pPr>
        <w:spacing w:after="0" w:line="170" w:lineRule="exact"/>
        <w:rPr>
          <w:rFonts w:ascii="Times New Roman" w:cs="Times New Roman" w:eastAsia="Times New Roman" w:hAnsi="Times New Roman"/>
          <w:sz w:val="19"/>
          <w:szCs w:val="19"/>
          <w:color w:val="auto"/>
        </w:rPr>
      </w:pPr>
    </w:p>
    <w:p>
      <w:pPr>
        <w:ind w:left="640" w:right="40" w:firstLine="50"/>
        <w:spacing w:after="0" w:line="231" w:lineRule="exact"/>
        <w:tabs>
          <w:tab w:leader="none" w:pos="976"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Commercial Paper Ratings</w:t>
      </w:r>
      <w:r>
        <w:rPr>
          <w:rFonts w:ascii="Times New Roman" w:cs="Times New Roman" w:eastAsia="Times New Roman" w:hAnsi="Times New Roman"/>
          <w:sz w:val="19"/>
          <w:szCs w:val="19"/>
          <w:color w:val="auto"/>
        </w:rPr>
        <w:t>. None of the Borrower, the Investment Adviser or any of their respective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Controlled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Affiliates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to the actual knowledge of a Responsible Officer of the Borrower or the Investment Adviser, any third party with which the Borrower, the Investment Adviser or any of their respective Affiliates has contracted, has delivered, in writing or orally, to any nationally recognized statistical rating organization providing or proposing to provide a rating to, or monitoring the rating of, an Issuer’s commercial paper (including the related Liquidity Facility), any Transaction Information without providing such Transaction Information to the related Liquidity Provider prior to delivery to such nationally recognized statistical rating organization and has not participated in any oral communications with respect to Transaction Information with such nationally recognized statistical rating organizations without the participation of a 17g</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Representative of the applicable Liquidity Provider.</w:t>
      </w: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V</w:t>
      </w:r>
    </w:p>
    <w:p>
      <w:pPr>
        <w:spacing w:after="0" w:line="2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19"/>
          <w:szCs w:val="19"/>
          <w:b w:val="1"/>
          <w:bCs w:val="1"/>
          <w:color w:val="auto"/>
        </w:rPr>
        <w:t xml:space="preserve"> B</w:t>
      </w:r>
      <w:r>
        <w:rPr>
          <w:rFonts w:ascii="Times New Roman" w:cs="Times New Roman" w:eastAsia="Times New Roman" w:hAnsi="Times New Roman"/>
          <w:sz w:val="13"/>
          <w:szCs w:val="13"/>
          <w:b w:val="1"/>
          <w:bCs w:val="1"/>
          <w:color w:val="auto"/>
        </w:rPr>
        <w:t>ORROWER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 xml:space="preserve">Section 5.1. Covenants of the </w:t>
      </w:r>
      <w:r>
        <w:rPr>
          <w:rFonts w:ascii="Times New Roman" w:cs="Times New Roman" w:eastAsia="Times New Roman" w:hAnsi="Times New Roman"/>
          <w:sz w:val="19"/>
          <w:szCs w:val="19"/>
          <w:i w:val="1"/>
          <w:iCs w:val="1"/>
          <w:color w:val="FF0000"/>
          <w:strike w:val="1"/>
        </w:rPr>
        <w:t>Borrower</w:t>
      </w:r>
      <w:r>
        <w:rPr>
          <w:rFonts w:ascii="Times New Roman" w:cs="Times New Roman" w:eastAsia="Times New Roman" w:hAnsi="Times New Roman"/>
          <w:sz w:val="19"/>
          <w:szCs w:val="19"/>
          <w:color w:val="FF0000"/>
          <w:strike w:val="1"/>
        </w:rPr>
        <w:t>. The Borrower</w:t>
      </w:r>
      <w:r>
        <w:rPr>
          <w:rFonts w:ascii="Times New Roman" w:cs="Times New Roman" w:eastAsia="Times New Roman" w:hAnsi="Times New Roman"/>
          <w:sz w:val="19"/>
          <w:szCs w:val="19"/>
          <w:i w:val="1"/>
          <w:iCs w:val="1"/>
          <w:color w:val="0000FF"/>
        </w:rPr>
        <w:t>Loan Parties</w:t>
      </w:r>
      <w:r>
        <w:rPr>
          <w:rFonts w:ascii="Times New Roman" w:cs="Times New Roman" w:eastAsia="Times New Roman" w:hAnsi="Times New Roman"/>
          <w:sz w:val="19"/>
          <w:szCs w:val="19"/>
          <w:color w:val="0000FF"/>
        </w:rPr>
        <w:t>. 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hereby covenants that:</w:t>
      </w:r>
    </w:p>
    <w:p>
      <w:pPr>
        <w:spacing w:after="0" w:line="226" w:lineRule="exact"/>
        <w:rPr>
          <w:sz w:val="20"/>
          <w:szCs w:val="20"/>
          <w:color w:val="auto"/>
        </w:rPr>
      </w:pPr>
    </w:p>
    <w:p>
      <w:pPr>
        <w:ind w:left="640" w:right="80" w:firstLine="50"/>
        <w:spacing w:after="0" w:line="260" w:lineRule="auto"/>
        <w:tabs>
          <w:tab w:leader="none" w:pos="95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Compliance with Laws and Transaction Documents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comply with all Applicable Laws,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including those with respect to the Loans in the Collateral and any Related Property, and all material Contractual Obligations, except where the failure to do so, individually or in the aggregate, could not reasonably be expected to result in a Material Adverse Effect.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auto"/>
        </w:rPr>
        <w:t xml:space="preserve"> shall comply with the terms and conditions of each Transaction Document to which it is a party.</w:t>
      </w:r>
    </w:p>
    <w:p>
      <w:pPr>
        <w:spacing w:after="0" w:line="172" w:lineRule="exact"/>
        <w:rPr>
          <w:rFonts w:ascii="Times New Roman" w:cs="Times New Roman" w:eastAsia="Times New Roman" w:hAnsi="Times New Roman"/>
          <w:sz w:val="19"/>
          <w:szCs w:val="19"/>
          <w:color w:val="auto"/>
        </w:rPr>
      </w:pPr>
    </w:p>
    <w:p>
      <w:pPr>
        <w:jc w:val="both"/>
        <w:ind w:left="640" w:right="240" w:firstLine="50"/>
        <w:spacing w:after="0" w:line="263" w:lineRule="auto"/>
        <w:tabs>
          <w:tab w:leader="none" w:pos="96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Preservation of Existence</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preserve and maintain its existence, rights, franchises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privileges in the jurisdiction of its formation, and qualify and remain qualified in good standing in each jurisdiction where the failure to maintain such existence, rights, franchises, privileges and qualification has had, or could reasonably be expected to have, a Material Adverse Effect.</w:t>
      </w:r>
    </w:p>
    <w:p>
      <w:pPr>
        <w:spacing w:after="0" w:line="170" w:lineRule="exact"/>
        <w:rPr>
          <w:rFonts w:ascii="Times New Roman" w:cs="Times New Roman" w:eastAsia="Times New Roman" w:hAnsi="Times New Roman"/>
          <w:sz w:val="19"/>
          <w:szCs w:val="19"/>
          <w:color w:val="auto"/>
        </w:rPr>
      </w:pPr>
    </w:p>
    <w:p>
      <w:pPr>
        <w:ind w:left="640" w:right="20" w:firstLine="50"/>
        <w:spacing w:after="0" w:line="257" w:lineRule="auto"/>
        <w:tabs>
          <w:tab w:leader="none" w:pos="952"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Security Interests</w:t>
      </w:r>
      <w:r>
        <w:rPr>
          <w:rFonts w:ascii="Times New Roman" w:cs="Times New Roman" w:eastAsia="Times New Roman" w:hAnsi="Times New Roman"/>
          <w:sz w:val="19"/>
          <w:szCs w:val="19"/>
          <w:color w:val="auto"/>
        </w:rPr>
        <w:t>. Except as contemplated in this Agreement, including in connection with any Discretionary Sale</w:t>
      </w:r>
      <w:r>
        <w:rPr>
          <w:rFonts w:ascii="Times New Roman" w:cs="Times New Roman" w:eastAsia="Times New Roman" w:hAnsi="Times New Roman"/>
          <w:sz w:val="19"/>
          <w:szCs w:val="19"/>
          <w:color w:val="FF0000"/>
          <w:strike w:val="1"/>
        </w:rPr>
        <w: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and a Permitted Transfer, no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will</w:t>
      </w:r>
      <w:r>
        <w:rPr>
          <w:rFonts w:ascii="Times New Roman" w:cs="Times New Roman" w:eastAsia="Times New Roman" w:hAnsi="Times New Roman"/>
          <w:sz w:val="19"/>
          <w:szCs w:val="19"/>
          <w:color w:val="FF0000"/>
        </w:rPr>
        <w:t xml:space="preserve"> not </w:t>
      </w:r>
      <w:r>
        <w:rPr>
          <w:rFonts w:ascii="Times New Roman" w:cs="Times New Roman" w:eastAsia="Times New Roman" w:hAnsi="Times New Roman"/>
          <w:sz w:val="19"/>
          <w:szCs w:val="19"/>
          <w:color w:val="000000"/>
        </w:rPr>
        <w:t>sell, pledge, assign or transfer to any other Person, or grant, create,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incur, assume or suffer to exist any Lien on any Loan, Collections, Related Property, Portfolio Investment or other asset, in each case, that is part of the Collateral, whether now existing or hereafter transferred hereunder, or any interest therein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-363220</wp:posOffset>
            </wp:positionV>
            <wp:extent cx="18288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8">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9"/>
          <w:szCs w:val="19"/>
          <w:color w:val="auto"/>
        </w:rPr>
        <w:t>Permitted Liens; provided that so long as no Event of Default or Unmatured Event of Default has occurred</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635635</wp:posOffset>
            </wp:positionV>
            <wp:extent cx="673290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20" w:top="1440" w:right="660" w:bottom="1440" w:gutter="0" w:footer="0" w:header="0"/>
        </w:sectPr>
      </w:pPr>
    </w:p>
    <w:bookmarkStart w:id="266" w:name="page267"/>
    <w:bookmarkEnd w:id="266"/>
    <w:p>
      <w:pPr>
        <w:spacing w:after="0" w:line="200" w:lineRule="exact"/>
        <w:rPr>
          <w:sz w:val="20"/>
          <w:szCs w:val="20"/>
          <w:color w:val="auto"/>
        </w:rPr>
      </w:pPr>
    </w:p>
    <w:p>
      <w:pPr>
        <w:spacing w:after="0" w:line="2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and is continuing, items of Collateral that are not Loans and are not included in the Borrowing Base shall be automatically released from the lien of this Agreement and the other Transaction Documents, without any action of the Administrative Agent or any other Secured Party, in connection with any disposition of such Collateral that occurs in the ordinary course of the Borrower’s business.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auto"/>
        </w:rPr>
        <w:t xml:space="preserve"> will promptly notify the Administrative Agent of the existence of any Lien on any Loan, Collections, Related Property, Portfolio Investment or other asset, in each case, that is part of the Collateral, and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shall defend the right, title and interest of the Administrative Agent as agent for the Secured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Parties in, to and under any Loan, Collections and the Related Property or other asset that is part of the Collateral, against all claims of third parties; </w:t>
      </w:r>
      <w:r>
        <w:rPr>
          <w:rFonts w:ascii="Times New Roman" w:cs="Times New Roman" w:eastAsia="Times New Roman" w:hAnsi="Times New Roman"/>
          <w:sz w:val="19"/>
          <w:szCs w:val="19"/>
          <w:i w:val="1"/>
          <w:iCs w:val="1"/>
          <w:color w:val="000000"/>
        </w:rPr>
        <w:t>provided, however</w:t>
      </w:r>
      <w:r>
        <w:rPr>
          <w:rFonts w:ascii="Times New Roman" w:cs="Times New Roman" w:eastAsia="Times New Roman" w:hAnsi="Times New Roman"/>
          <w:sz w:val="19"/>
          <w:szCs w:val="19"/>
          <w:color w:val="000000"/>
        </w:rPr>
        <w:t xml:space="preserve">, that nothing in this Section 5.1(c) shall prevent or be deemed to prohibit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from suffering to exist Permitted Liens upon any Loan or any Related Property, any Portfolio Investment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or other asset that is part of the Collateral. The Borrower will not create, or participate in the creation of, or permit to exist, any Lien on the Collection Account other than the Lien of the Administrative Agent on behalf of the Secured Parties and any Lien expressly permitted by the Account Control Agreement. On or after the date of the initial Advance hereunder, the Borrower will not create, or participate in the creation of, or permit to exist, any Lien on </w:t>
      </w:r>
      <w:r>
        <w:rPr>
          <w:rFonts w:ascii="Times New Roman" w:cs="Times New Roman" w:eastAsia="Times New Roman" w:hAnsi="Times New Roman"/>
          <w:sz w:val="19"/>
          <w:szCs w:val="19"/>
          <w:color w:val="FF0000"/>
        </w:rPr>
        <w:t>the</w:t>
      </w:r>
      <w:r>
        <w:rPr>
          <w:rFonts w:ascii="Times New Roman" w:cs="Times New Roman" w:eastAsia="Times New Roman" w:hAnsi="Times New Roman"/>
          <w:sz w:val="19"/>
          <w:szCs w:val="19"/>
          <w:color w:val="000000"/>
        </w:rPr>
        <w:t xml:space="preserve"> the CIBC Account other than the Lien of the Administrative Agent on behalf of the Secured Parties and any Lien expressly permitted by the Account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3804920</wp:posOffset>
            </wp:positionH>
            <wp:positionV relativeFrom="paragraph">
              <wp:posOffset>-224155</wp:posOffset>
            </wp:positionV>
            <wp:extent cx="18288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0">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line="163" w:lineRule="exact"/>
        <w:rPr>
          <w:sz w:val="20"/>
          <w:szCs w:val="20"/>
          <w:color w:val="auto"/>
        </w:rPr>
      </w:pPr>
    </w:p>
    <w:p>
      <w:pPr>
        <w:ind w:right="160" w:firstLine="50"/>
        <w:spacing w:after="0" w:line="269" w:lineRule="auto"/>
        <w:tabs>
          <w:tab w:leader="none" w:pos="324"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Delivery of Collections</w:t>
      </w:r>
      <w:r>
        <w:rPr>
          <w:rFonts w:ascii="Times New Roman" w:cs="Times New Roman" w:eastAsia="Times New Roman" w:hAnsi="Times New Roman"/>
          <w:sz w:val="19"/>
          <w:szCs w:val="19"/>
          <w:color w:val="auto"/>
        </w:rPr>
        <w:t>. The Borrower agrees to cause the delivery to the Collection Account promptly (but in no event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later than two (2) Business Days after receipt) all Collections deposited into the CIBC Account or received by the Borrower in respect of the Loans that are part of the Collateral.</w:t>
      </w:r>
    </w:p>
    <w:p>
      <w:pPr>
        <w:spacing w:after="0" w:line="165" w:lineRule="exact"/>
        <w:rPr>
          <w:rFonts w:ascii="Times New Roman" w:cs="Times New Roman" w:eastAsia="Times New Roman" w:hAnsi="Times New Roman"/>
          <w:sz w:val="19"/>
          <w:szCs w:val="19"/>
          <w:color w:val="auto"/>
        </w:rPr>
      </w:pPr>
    </w:p>
    <w:p>
      <w:pPr>
        <w:ind w:right="120" w:firstLine="50"/>
        <w:spacing w:after="0" w:line="269" w:lineRule="auto"/>
        <w:tabs>
          <w:tab w:leader="none" w:pos="312"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Activities of Borrower</w:t>
      </w:r>
      <w:r>
        <w:rPr>
          <w:rFonts w:ascii="Times New Roman" w:cs="Times New Roman" w:eastAsia="Times New Roman" w:hAnsi="Times New Roman"/>
          <w:sz w:val="19"/>
          <w:szCs w:val="19"/>
          <w:color w:val="auto"/>
        </w:rPr>
        <w:t>. The Borrower shall not engage in any business or activity of any kind, other than the businesses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engaged in on the date hereof, including originating or acquiring Loans the Obligors of which are fast-growing companies, and businesses reasonably related, complementary or incidental thereto in accordance with the Investment Policy.</w:t>
      </w:r>
    </w:p>
    <w:p>
      <w:pPr>
        <w:spacing w:after="0" w:line="165" w:lineRule="exact"/>
        <w:rPr>
          <w:rFonts w:ascii="Times New Roman" w:cs="Times New Roman" w:eastAsia="Times New Roman" w:hAnsi="Times New Roman"/>
          <w:sz w:val="19"/>
          <w:szCs w:val="19"/>
          <w:color w:val="auto"/>
        </w:rPr>
      </w:pPr>
    </w:p>
    <w:p>
      <w:pPr>
        <w:ind w:right="40" w:firstLine="50"/>
        <w:spacing w:after="0" w:line="253" w:lineRule="auto"/>
        <w:tabs>
          <w:tab w:leader="none" w:pos="288" w:val="left"/>
        </w:tabs>
        <w:numPr>
          <w:ilvl w:val="0"/>
          <w:numId w:val="1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Indebtedness</w:t>
      </w:r>
      <w:r>
        <w:rPr>
          <w:rFonts w:ascii="Times New Roman" w:cs="Times New Roman" w:eastAsia="Times New Roman" w:hAnsi="Times New Roman"/>
          <w:sz w:val="19"/>
          <w:szCs w:val="19"/>
          <w:color w:val="auto"/>
        </w:rPr>
        <w:t>. Without the prior written consent of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create,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incur, assume or suffer to exist any Indebtedness or other liability whatsoever, except (i) obligations incurred under this Agreement, (ii) liabilities incident to the maintenance of its existence in good standing, (iii) indebtedness in respect of endorsement of instruments or other payment items for deposit or collection in the ordinary course of business, (iv) the Existing Indebtedness so long as no Loan or any other Collateral shall secure any Existing Indebtedness, (v) obligations payable to clearing agencies, brokers or dealers in connection with the purchase or sale of securities in the ordinary course of business, (vi) Indebtedness in respect of judgments or awards that have been in force for less than the applicable period for taking an appeal, so long as such judgments or awards do not constitute an Event of Default, (vii) the Permitted Indebtedness,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(viii) Permitted SBIC Guarantees</w:t>
      </w:r>
      <w:r>
        <w:rPr>
          <w:rFonts w:ascii="Times New Roman" w:cs="Times New Roman" w:eastAsia="Times New Roman" w:hAnsi="Times New Roman"/>
          <w:sz w:val="19"/>
          <w:szCs w:val="19"/>
          <w:color w:val="0000FF"/>
        </w:rPr>
        <w:t>, (ix) Indebtedness of the Borrower to a Financing Subsidiary to the extent a court determines a transfer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-1229995</wp:posOffset>
            </wp:positionV>
            <wp:extent cx="18288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1">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0000FF"/>
        </w:rPr>
        <w:t>assets (including participations) from the Borrower to such Financing Subsidiary did not constitute a true</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67" w:name="page268"/>
    <w:bookmarkEnd w:id="267"/>
    <w:p>
      <w:pPr>
        <w:spacing w:after="0" w:line="200" w:lineRule="exact"/>
        <w:rPr>
          <w:sz w:val="20"/>
          <w:szCs w:val="20"/>
          <w:color w:val="auto"/>
        </w:rPr>
      </w:pPr>
    </w:p>
    <w:p>
      <w:pPr>
        <w:spacing w:after="0" w:line="2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0000FF"/>
        </w:rPr>
        <w:t>sale, provided, that with respect to this clause (ix), the holders of such Indebtedness have recourse only to the assets purported to be transferred (or in the case of participations, the portfolio investments that such participation interest relates to) to such Financing Subsidiary and to no other assets of the Borrower in connection with such Indebtedness, (x) Hedging Liability, and (xi) obligations (including guarantees) in respect of Standard Securitization Undertakings</w:t>
      </w:r>
      <w:r>
        <w:rPr>
          <w:rFonts w:ascii="Times New Roman" w:cs="Times New Roman" w:eastAsia="Times New Roman" w:hAnsi="Times New Roman"/>
          <w:sz w:val="19"/>
          <w:szCs w:val="19"/>
          <w:color w:val="000000"/>
        </w:rPr>
        <w:t>.</w:t>
      </w:r>
    </w:p>
    <w:p>
      <w:pPr>
        <w:spacing w:after="0" w:line="172" w:lineRule="exact"/>
        <w:rPr>
          <w:sz w:val="20"/>
          <w:szCs w:val="20"/>
          <w:color w:val="auto"/>
        </w:rPr>
      </w:pPr>
    </w:p>
    <w:p>
      <w:pPr>
        <w:jc w:val="both"/>
        <w:ind w:right="100" w:firstLine="50"/>
        <w:spacing w:after="0" w:line="263" w:lineRule="auto"/>
        <w:tabs>
          <w:tab w:leader="none" w:pos="32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Guarantees</w:t>
      </w:r>
      <w:r>
        <w:rPr>
          <w:rFonts w:ascii="Times New Roman" w:cs="Times New Roman" w:eastAsia="Times New Roman" w:hAnsi="Times New Roman"/>
          <w:sz w:val="19"/>
          <w:szCs w:val="19"/>
          <w:color w:val="auto"/>
        </w:rPr>
        <w:t>. Except as set forth in Section 5.1(f),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become or remain liable, directly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indirectly, in connection with any Indebtedness or other liability of any other Person, whether by guarantee, endorsement (other than endorsements of negotiable instruments or other payment items for deposit or collection in the ordinary course of business), agreement to purchase or repurchase, agreement to supply or advance funds, or otherwise.</w:t>
      </w:r>
    </w:p>
    <w:p>
      <w:pPr>
        <w:spacing w:after="0" w:line="170" w:lineRule="exact"/>
        <w:rPr>
          <w:rFonts w:ascii="Times New Roman" w:cs="Times New Roman" w:eastAsia="Times New Roman" w:hAnsi="Times New Roman"/>
          <w:sz w:val="19"/>
          <w:szCs w:val="19"/>
          <w:color w:val="auto"/>
        </w:rPr>
      </w:pPr>
    </w:p>
    <w:p>
      <w:pPr>
        <w:ind w:firstLine="50"/>
        <w:spacing w:after="0" w:line="255" w:lineRule="auto"/>
        <w:tabs>
          <w:tab w:leader="none" w:pos="324"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make or suffer to exist any loans or advances to, or extend any credit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or make any investments (by way of transfer of property, contributions to capital, purchase of stock or securities or evidences of indebtedness, acquisition of the business or assets, or otherwise) in, any Person except for (i) purchases of Loans pursuant to this Agreement, (ii) investments in Permitted Investments in accordance with the terms of this Agreement, (iii) Portfolio Investments by the Borrower to the extent such Portfolio Investments are permitted under the 1940 Act and the Investment Policies; provided, that any investment into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auto"/>
        </w:rPr>
        <w:t xml:space="preserve"> Joint </w:t>
      </w:r>
      <w:r>
        <w:rPr>
          <w:rFonts w:ascii="Times New Roman" w:cs="Times New Roman" w:eastAsia="Times New Roman" w:hAnsi="Times New Roman"/>
          <w:sz w:val="19"/>
          <w:szCs w:val="19"/>
          <w:color w:val="FF0000"/>
          <w:strike w:val="1"/>
        </w:rPr>
        <w:t>Venture</w:t>
      </w:r>
      <w:r>
        <w:rPr>
          <w:rFonts w:ascii="Times New Roman" w:cs="Times New Roman" w:eastAsia="Times New Roman" w:hAnsi="Times New Roman"/>
          <w:sz w:val="19"/>
          <w:szCs w:val="19"/>
          <w:color w:val="0000FF"/>
        </w:rPr>
        <w:t>Ventures</w:t>
      </w:r>
      <w:r>
        <w:rPr>
          <w:rFonts w:ascii="Times New Roman" w:cs="Times New Roman" w:eastAsia="Times New Roman" w:hAnsi="Times New Roman"/>
          <w:sz w:val="19"/>
          <w:szCs w:val="19"/>
          <w:color w:val="auto"/>
        </w:rPr>
        <w:t xml:space="preserve"> permitted under this clause (iii) shall not exceed $70,000,000 at any one time outstanding without the prior written consent of the Required Lenders, </w:t>
      </w:r>
      <w:r>
        <w:rPr>
          <w:rFonts w:ascii="Times New Roman" w:cs="Times New Roman" w:eastAsia="Times New Roman" w:hAnsi="Times New Roman"/>
          <w:sz w:val="19"/>
          <w:szCs w:val="19"/>
          <w:color w:val="FF0000"/>
          <w:strike w:val="1"/>
        </w:rPr>
        <w:t>and</w:t>
      </w:r>
      <w:r>
        <w:rPr>
          <w:rFonts w:ascii="Times New Roman" w:cs="Times New Roman" w:eastAsia="Times New Roman" w:hAnsi="Times New Roman"/>
          <w:sz w:val="19"/>
          <w:szCs w:val="19"/>
          <w:color w:val="auto"/>
        </w:rPr>
        <w:t xml:space="preserve"> (iv) Investments by the Borrower in any </w:t>
      </w:r>
      <w:r>
        <w:rPr>
          <w:rFonts w:ascii="Times New Roman" w:cs="Times New Roman" w:eastAsia="Times New Roman" w:hAnsi="Times New Roman"/>
          <w:sz w:val="19"/>
          <w:szCs w:val="19"/>
          <w:color w:val="0000FF"/>
        </w:rPr>
        <w:t>Guarantor, and (v) Investments that qualify as Permitted Transfers to Financing</w:t>
      </w:r>
      <w:r>
        <w:rPr>
          <w:rFonts w:ascii="Times New Roman" w:cs="Times New Roman" w:eastAsia="Times New Roman" w:hAnsi="Times New Roman"/>
          <w:sz w:val="19"/>
          <w:szCs w:val="19"/>
          <w:color w:val="auto"/>
        </w:rPr>
        <w:t xml:space="preserve"> Subsidiaries </w:t>
      </w:r>
      <w:r>
        <w:rPr>
          <w:rFonts w:ascii="Times New Roman" w:cs="Times New Roman" w:eastAsia="Times New Roman" w:hAnsi="Times New Roman"/>
          <w:sz w:val="19"/>
          <w:szCs w:val="19"/>
          <w:color w:val="0000FF"/>
        </w:rPr>
        <w:t>under and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accordance with the terms of Section 2.15</w:t>
      </w:r>
      <w:r>
        <w:rPr>
          <w:rFonts w:ascii="Times New Roman" w:cs="Times New Roman" w:eastAsia="Times New Roman" w:hAnsi="Times New Roman"/>
          <w:sz w:val="19"/>
          <w:szCs w:val="19"/>
          <w:color w:val="000000"/>
        </w:rPr>
        <w:t>.</w:t>
      </w:r>
    </w:p>
    <w:p>
      <w:pPr>
        <w:spacing w:after="0" w:line="179" w:lineRule="exact"/>
        <w:rPr>
          <w:rFonts w:ascii="Times New Roman" w:cs="Times New Roman" w:eastAsia="Times New Roman" w:hAnsi="Times New Roman"/>
          <w:sz w:val="19"/>
          <w:szCs w:val="19"/>
          <w:color w:val="auto"/>
        </w:rPr>
      </w:pPr>
    </w:p>
    <w:p>
      <w:pPr>
        <w:jc w:val="both"/>
        <w:ind w:right="120" w:firstLine="50"/>
        <w:spacing w:after="0" w:line="263" w:lineRule="auto"/>
        <w:tabs>
          <w:tab w:leader="none" w:pos="27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Merger; Sales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not enter into any transaction of merger, reorganization, recapitalization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consolidation, or liquidate, wind-up or dissolve itself (or suffer any liquidation, winding up or dissolution), or acquire or be acquired by any Person, or convey, sell, lease, license, assign, transfer, loan or otherwise dispose of all or substantially all of its property or business, without in each case first obtaining the consent of the Administrative Agent.</w:t>
      </w:r>
    </w:p>
    <w:p>
      <w:pPr>
        <w:spacing w:after="0" w:line="170" w:lineRule="exact"/>
        <w:rPr>
          <w:rFonts w:ascii="Times New Roman" w:cs="Times New Roman" w:eastAsia="Times New Roman" w:hAnsi="Times New Roman"/>
          <w:sz w:val="19"/>
          <w:szCs w:val="19"/>
          <w:color w:val="auto"/>
        </w:rPr>
      </w:pPr>
    </w:p>
    <w:p>
      <w:pPr>
        <w:ind w:right="120" w:firstLine="50"/>
        <w:spacing w:after="0" w:line="253" w:lineRule="auto"/>
        <w:tabs>
          <w:tab w:leader="none" w:pos="276"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Distributions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 may not</w:t>
      </w:r>
      <w:r>
        <w:rPr>
          <w:rFonts w:ascii="Times New Roman" w:cs="Times New Roman" w:eastAsia="Times New Roman" w:hAnsi="Times New Roman"/>
          <w:sz w:val="19"/>
          <w:szCs w:val="19"/>
          <w:color w:val="0000FF"/>
        </w:rPr>
        <w:t>No Loan Party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declare or pay or make, directly or indirectly, any distribution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(whether in cash or other property) with respect to any Person’s equity interest in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auto"/>
        </w:rPr>
        <w:t xml:space="preserve"> (collectively, a “</w:t>
      </w:r>
      <w:r>
        <w:rPr>
          <w:rFonts w:ascii="Times New Roman" w:cs="Times New Roman" w:eastAsia="Times New Roman" w:hAnsi="Times New Roman"/>
          <w:sz w:val="19"/>
          <w:szCs w:val="19"/>
          <w:i w:val="1"/>
          <w:iCs w:val="1"/>
          <w:color w:val="auto"/>
        </w:rPr>
        <w:t>Distribution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(i) </w:t>
      </w:r>
      <w:r>
        <w:rPr>
          <w:rFonts w:ascii="Times New Roman" w:cs="Times New Roman" w:eastAsia="Times New Roman" w:hAnsi="Times New Roman"/>
          <w:sz w:val="19"/>
          <w:szCs w:val="19"/>
          <w:color w:val="0000FF"/>
        </w:rPr>
        <w:t>any Guarantor may make Distributions to the Borrower, (ii)</w:t>
      </w:r>
      <w:r>
        <w:rPr>
          <w:rFonts w:ascii="Times New Roman" w:cs="Times New Roman" w:eastAsia="Times New Roman" w:hAnsi="Times New Roman"/>
          <w:sz w:val="19"/>
          <w:szCs w:val="19"/>
          <w:color w:val="auto"/>
        </w:rPr>
        <w:t xml:space="preserve"> if no Event of Default or Unmatured Event of Default has occurred and is continuing, or will </w:t>
      </w:r>
      <w:r>
        <w:rPr>
          <w:rFonts w:ascii="Times New Roman" w:cs="Times New Roman" w:eastAsia="Times New Roman" w:hAnsi="Times New Roman"/>
          <w:sz w:val="19"/>
          <w:szCs w:val="19"/>
          <w:color w:val="0000FF"/>
        </w:rPr>
        <w:t>immediately</w:t>
      </w:r>
      <w:r>
        <w:rPr>
          <w:rFonts w:ascii="Times New Roman" w:cs="Times New Roman" w:eastAsia="Times New Roman" w:hAnsi="Times New Roman"/>
          <w:sz w:val="19"/>
          <w:szCs w:val="19"/>
          <w:color w:val="auto"/>
        </w:rPr>
        <w:t xml:space="preserve"> occur as a result thereof, the Borrower may make a Distribution from funds that are made available to the Borrower pursuant to Section 2.8 hereof, (</w:t>
      </w:r>
      <w:r>
        <w:rPr>
          <w:rFonts w:ascii="Times New Roman" w:cs="Times New Roman" w:eastAsia="Times New Roman" w:hAnsi="Times New Roman"/>
          <w:sz w:val="19"/>
          <w:szCs w:val="19"/>
          <w:color w:val="FF0000"/>
          <w:strike w:val="1"/>
        </w:rPr>
        <w:t>ii</w:t>
      </w:r>
      <w:r>
        <w:rPr>
          <w:rFonts w:ascii="Times New Roman" w:cs="Times New Roman" w:eastAsia="Times New Roman" w:hAnsi="Times New Roman"/>
          <w:sz w:val="19"/>
          <w:szCs w:val="19"/>
          <w:color w:val="0000FF"/>
        </w:rPr>
        <w:t>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Loan Party </w:t>
      </w:r>
      <w:r>
        <w:rPr>
          <w:rFonts w:ascii="Times New Roman" w:cs="Times New Roman" w:eastAsia="Times New Roman" w:hAnsi="Times New Roman"/>
          <w:sz w:val="19"/>
          <w:szCs w:val="19"/>
          <w:color w:val="000000"/>
        </w:rPr>
        <w:t>shall be permitted to make Distributions payable solely in additional shares of common stock in</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000000"/>
        </w:rPr>
        <w:t>, (</w:t>
      </w:r>
      <w:r>
        <w:rPr>
          <w:rFonts w:ascii="Times New Roman" w:cs="Times New Roman" w:eastAsia="Times New Roman" w:hAnsi="Times New Roman"/>
          <w:sz w:val="19"/>
          <w:szCs w:val="19"/>
          <w:color w:val="FF0000"/>
          <w:strike w:val="1"/>
        </w:rPr>
        <w:t>iii</w:t>
      </w:r>
      <w:r>
        <w:rPr>
          <w:rFonts w:ascii="Times New Roman" w:cs="Times New Roman" w:eastAsia="Times New Roman" w:hAnsi="Times New Roman"/>
          <w:sz w:val="19"/>
          <w:szCs w:val="19"/>
          <w:color w:val="0000FF"/>
        </w:rPr>
        <w:t>iv</w:t>
      </w:r>
      <w:r>
        <w:rPr>
          <w:rFonts w:ascii="Times New Roman" w:cs="Times New Roman" w:eastAsia="Times New Roman" w:hAnsi="Times New Roman"/>
          <w:sz w:val="19"/>
          <w:szCs w:val="19"/>
          <w:color w:val="000000"/>
        </w:rPr>
        <w:t>) if no Event of Default or Unmatured Event of Default has occurred and is continuing at the time of such</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Distribution</w:t>
      </w:r>
      <w:r>
        <w:rPr>
          <w:rFonts w:ascii="Times New Roman" w:cs="Times New Roman" w:eastAsia="Times New Roman" w:hAnsi="Times New Roman"/>
          <w:sz w:val="19"/>
          <w:szCs w:val="19"/>
          <w:color w:val="0000FF"/>
        </w:rPr>
        <w:t>, or will immediately occur as a result thereof</w:t>
      </w:r>
      <w:r>
        <w:rPr>
          <w:rFonts w:ascii="Times New Roman" w:cs="Times New Roman" w:eastAsia="Times New Roman" w:hAnsi="Times New Roman"/>
          <w:sz w:val="19"/>
          <w:szCs w:val="19"/>
          <w:color w:val="000000"/>
        </w:rPr>
        <w:t>, the Borrower shall be permitted to repurchase shares of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-3957320</wp:posOffset>
            </wp:positionV>
            <wp:extent cx="18288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3">
                      <a:extLst>
                        <a:ext uri="{28A0092B-C50C-407E-A947-70E740481C1C}"/>
                      </a:extLst>
                    </a:blip>
                    <a:srcRect/>
                    <a:stretch>
                      <a:fillRect/>
                    </a:stretch>
                  </pic:blipFill>
                  <pic:spPr bwMode="auto">
                    <a:xfrm>
                      <a:off x="0" y="0"/>
                      <a:ext cx="182880" cy="762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-3240405</wp:posOffset>
            </wp:positionV>
            <wp:extent cx="18288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4">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stock in the Borrower in an amount not</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268" w:name="page269"/>
    <w:bookmarkEnd w:id="268"/>
    <w:p>
      <w:pPr>
        <w:spacing w:after="0" w:line="200" w:lineRule="exact"/>
        <w:rPr>
          <w:sz w:val="20"/>
          <w:szCs w:val="20"/>
          <w:color w:val="auto"/>
        </w:rPr>
      </w:pPr>
    </w:p>
    <w:p>
      <w:pPr>
        <w:spacing w:after="0" w:line="2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9"/>
          <w:szCs w:val="19"/>
          <w:color w:val="auto"/>
        </w:rPr>
        <w:t xml:space="preserve">to exceed </w:t>
      </w:r>
      <w:r>
        <w:rPr>
          <w:rFonts w:ascii="Times New Roman" w:cs="Times New Roman" w:eastAsia="Times New Roman" w:hAnsi="Times New Roman"/>
          <w:sz w:val="19"/>
          <w:szCs w:val="19"/>
          <w:color w:val="FF0000"/>
          <w:strike w:val="1"/>
        </w:rPr>
        <w:t>$50,000,000</w:t>
      </w:r>
      <w:r>
        <w:rPr>
          <w:rFonts w:ascii="Times New Roman" w:cs="Times New Roman" w:eastAsia="Times New Roman" w:hAnsi="Times New Roman"/>
          <w:sz w:val="19"/>
          <w:szCs w:val="19"/>
          <w:color w:val="0000FF"/>
        </w:rPr>
        <w:t>such amount approved by the board of directors of the Borrower under any share repurchase program 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such time</w:t>
      </w:r>
      <w:r>
        <w:rPr>
          <w:rFonts w:ascii="Times New Roman" w:cs="Times New Roman" w:eastAsia="Times New Roman" w:hAnsi="Times New Roman"/>
          <w:sz w:val="19"/>
          <w:szCs w:val="19"/>
          <w:color w:val="000000"/>
        </w:rPr>
        <w:t>, and (</w:t>
      </w:r>
      <w:r>
        <w:rPr>
          <w:rFonts w:ascii="Times New Roman" w:cs="Times New Roman" w:eastAsia="Times New Roman" w:hAnsi="Times New Roman"/>
          <w:sz w:val="19"/>
          <w:szCs w:val="19"/>
          <w:color w:val="FF0000"/>
          <w:strike w:val="1"/>
        </w:rPr>
        <w:t>iv</w:t>
      </w:r>
      <w:r>
        <w:rPr>
          <w:rFonts w:ascii="Times New Roman" w:cs="Times New Roman" w:eastAsia="Times New Roman" w:hAnsi="Times New Roman"/>
          <w:sz w:val="19"/>
          <w:szCs w:val="19"/>
          <w:color w:val="0000FF"/>
        </w:rPr>
        <w:t>v</w:t>
      </w:r>
      <w:r>
        <w:rPr>
          <w:rFonts w:ascii="Times New Roman" w:cs="Times New Roman" w:eastAsia="Times New Roman" w:hAnsi="Times New Roman"/>
          <w:sz w:val="19"/>
          <w:szCs w:val="19"/>
          <w:color w:val="000000"/>
        </w:rPr>
        <w:t>) the Borrower shall be permitted to make Distributions in or with respect to any taxable year of the Borrower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(or any calendar year, as relevant) in amounts not to exceed the higher of (x) the net investment income of the Borrower for the applicable fiscal year determined in accordance with GAAP and as specified in the annual financial statements most recently delivered pursuant to Section 7.11 and (y) 110% of the amount that is required by the Borrower to be distributed to: (i) allow the Borrower to satisfy the minimum distribution requirements imposed by Section 852(a) of the Code (or any successor thereto) to maintain its eligibility to be taxed as a RIC for any such taxable year, (ii) reduce to zero for any such taxable year its liability for federal income taxes imposed on (A) its investment company taxable income pursuant to Section 852(b)(1) of the Code (or any successor thereto), or (B) its net capital gain pursuant to Section 852(b)(3) of the Code (or any successor thereto), and (iii) reduce to zero its liability for federal excise taxes for any such calendar year imposed pursuant to Section 4982 of the Code (or any successor thereto).</w:t>
      </w:r>
    </w:p>
    <w:p>
      <w:pPr>
        <w:spacing w:after="0" w:line="179" w:lineRule="exact"/>
        <w:rPr>
          <w:sz w:val="20"/>
          <w:szCs w:val="20"/>
          <w:color w:val="auto"/>
        </w:rPr>
      </w:pPr>
    </w:p>
    <w:p>
      <w:pPr>
        <w:ind w:right="660" w:firstLine="50"/>
        <w:spacing w:after="0" w:line="288" w:lineRule="auto"/>
        <w:tabs>
          <w:tab w:leader="none" w:pos="324"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Agreements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 or modify the provisions of its certificate of formation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organizational documents in each case that could reasonably be expected to have a Material Adverse Effect.</w:t>
      </w:r>
    </w:p>
    <w:p>
      <w:pPr>
        <w:spacing w:after="0" w:line="147" w:lineRule="exact"/>
        <w:rPr>
          <w:rFonts w:ascii="Times New Roman" w:cs="Times New Roman" w:eastAsia="Times New Roman" w:hAnsi="Times New Roman"/>
          <w:sz w:val="19"/>
          <w:szCs w:val="19"/>
          <w:color w:val="auto"/>
        </w:rPr>
      </w:pPr>
    </w:p>
    <w:p>
      <w:pPr>
        <w:ind w:right="20" w:firstLine="50"/>
        <w:spacing w:after="0" w:line="255" w:lineRule="auto"/>
        <w:tabs>
          <w:tab w:leader="none" w:pos="276"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Restrictive Agreements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use commercially reasonable efforts to avoid entering</w:t>
      </w:r>
      <w:r>
        <w:rPr>
          <w:rFonts w:ascii="Times New Roman" w:cs="Times New Roman" w:eastAsia="Times New Roman" w:hAnsi="Times New Roman"/>
          <w:sz w:val="19"/>
          <w:szCs w:val="19"/>
          <w:color w:val="0000FF"/>
        </w:rPr>
        <w:t>enter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any Restrictive Agreement, excluding </w:t>
      </w:r>
      <w:r>
        <w:rPr>
          <w:rFonts w:ascii="Times New Roman" w:cs="Times New Roman" w:eastAsia="Times New Roman" w:hAnsi="Times New Roman"/>
          <w:sz w:val="19"/>
          <w:szCs w:val="19"/>
          <w:color w:val="0000FF"/>
        </w:rPr>
        <w:t>(a) this Agreement and the other Transaction Documents, (b)</w:t>
      </w:r>
      <w:r>
        <w:rPr>
          <w:rFonts w:ascii="Times New Roman" w:cs="Times New Roman" w:eastAsia="Times New Roman" w:hAnsi="Times New Roman"/>
          <w:sz w:val="19"/>
          <w:szCs w:val="19"/>
          <w:color w:val="auto"/>
        </w:rPr>
        <w:t xml:space="preserve"> any Restrictive Agreement </w:t>
      </w:r>
      <w:r>
        <w:rPr>
          <w:rFonts w:ascii="Times New Roman" w:cs="Times New Roman" w:eastAsia="Times New Roman" w:hAnsi="Times New Roman"/>
          <w:sz w:val="19"/>
          <w:szCs w:val="19"/>
          <w:color w:val="FF0000"/>
          <w:strike w:val="1"/>
        </w:rPr>
        <w:t>related to the</w:t>
      </w:r>
      <w:r>
        <w:rPr>
          <w:rFonts w:ascii="Times New Roman" w:cs="Times New Roman" w:eastAsia="Times New Roman" w:hAnsi="Times New Roman"/>
          <w:sz w:val="19"/>
          <w:szCs w:val="19"/>
          <w:color w:val="0000FF"/>
        </w:rPr>
        <w:t>that imposes such restrictions only on equity interests in a Joint Venture or Financing Subsidiary; (c)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 xml:space="preserve">underlying governing agreements of any </w:t>
      </w:r>
      <w:r>
        <w:rPr>
          <w:rFonts w:ascii="Times New Roman" w:cs="Times New Roman" w:eastAsia="Times New Roman" w:hAnsi="Times New Roman"/>
          <w:sz w:val="19"/>
          <w:szCs w:val="19"/>
          <w:color w:val="000000"/>
        </w:rPr>
        <w:t>Joint Venture</w:t>
      </w:r>
      <w:r>
        <w:rPr>
          <w:rFonts w:ascii="Times New Roman" w:cs="Times New Roman" w:eastAsia="Times New Roman" w:hAnsi="Times New Roman"/>
          <w:sz w:val="19"/>
          <w:szCs w:val="19"/>
          <w:color w:val="0000FF"/>
        </w:rPr>
        <w:t xml:space="preserve"> that impose such restrictions only on such equity interest; (d) any agreement with a lender to a Financing Subsidiary that imposes such restrictions only on ownership and economic interests in such Financing Subsidiary; and (e) any other agreement that does not restrict in any manner (directly or indirectly) Liens created pursuant to the Loan Documents on any Collateral and does not require the direct or indirect granting of any Lien securing any Indebtedness or other obligation by virtue of the granting of Liens on or pledge of property of any Loan Party to secure the Loans or any Hedging Agreement</w:t>
      </w:r>
      <w:r>
        <w:rPr>
          <w:rFonts w:ascii="Times New Roman" w:cs="Times New Roman" w:eastAsia="Times New Roman" w:hAnsi="Times New Roman"/>
          <w:sz w:val="19"/>
          <w:szCs w:val="19"/>
          <w:color w:val="000000"/>
        </w:rPr>
        <w:t>.</w:t>
      </w:r>
    </w:p>
    <w:p>
      <w:pPr>
        <w:spacing w:after="0" w:line="179" w:lineRule="exact"/>
        <w:rPr>
          <w:rFonts w:ascii="Times New Roman" w:cs="Times New Roman" w:eastAsia="Times New Roman" w:hAnsi="Times New Roman"/>
          <w:sz w:val="19"/>
          <w:szCs w:val="19"/>
          <w:color w:val="auto"/>
        </w:rPr>
      </w:pPr>
    </w:p>
    <w:p>
      <w:pPr>
        <w:ind w:right="40" w:firstLine="50"/>
        <w:spacing w:after="0" w:line="256" w:lineRule="auto"/>
        <w:tabs>
          <w:tab w:leader="none" w:pos="372"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Change of Name or Jurisdiction of Borrower; Records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(x)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change its name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jurisdiction of organization, without 30 days’ prior written notice to the Administrative Agent and (y) shall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color w:val="auto"/>
        </w:rPr>
        <w:t xml:space="preserve"> move, or consent to the Investment Adviser or Document Custodian moving, any original Loan Documents without thirty (30) days’ prior written notice to the Administrative Agent </w:t>
      </w:r>
      <w:r>
        <w:rPr>
          <w:rFonts w:ascii="Times New Roman" w:cs="Times New Roman" w:eastAsia="Times New Roman" w:hAnsi="Times New Roman"/>
          <w:sz w:val="19"/>
          <w:szCs w:val="19"/>
          <w:color w:val="FF0000"/>
        </w:rPr>
        <w:t>and (z)</w:t>
      </w:r>
      <w:r>
        <w:rPr>
          <w:rFonts w:ascii="Times New Roman" w:cs="Times New Roman" w:eastAsia="Times New Roman" w:hAnsi="Times New Roman"/>
          <w:sz w:val="19"/>
          <w:szCs w:val="19"/>
          <w:color w:val="0000FF"/>
        </w:rPr>
        <w:t>. Each Loan Party</w:t>
      </w:r>
      <w:r>
        <w:rPr>
          <w:rFonts w:ascii="Times New Roman" w:cs="Times New Roman" w:eastAsia="Times New Roman" w:hAnsi="Times New Roman"/>
          <w:sz w:val="19"/>
          <w:szCs w:val="19"/>
          <w:color w:val="auto"/>
        </w:rPr>
        <w:t xml:space="preserve"> will promptly take all actions required of each relevant jurisdiction in order to continue the first priority perfected security interest of the Administrative Agent as agent for the Secured Parties (except for Permitted Liens) in all Collateral, and such other actions as the Administrative Agent may reasonably request, including but not limited to delivery of an Opinion of Counsel.</w:t>
      </w:r>
    </w:p>
    <w:p>
      <w:pPr>
        <w:spacing w:after="0" w:line="181"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 Matters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engage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prohibited transaction for which an exemption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-3070860</wp:posOffset>
            </wp:positionV>
            <wp:extent cx="18288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6">
                      <a:extLst>
                        <a:ext uri="{28A0092B-C50C-407E-A947-70E740481C1C}"/>
                      </a:extLst>
                    </a:blip>
                    <a:srcRect/>
                    <a:stretch>
                      <a:fillRect/>
                    </a:stretch>
                  </pic:blipFill>
                  <pic:spPr bwMode="auto">
                    <a:xfrm>
                      <a:off x="0" y="0"/>
                      <a:ext cx="182880" cy="7620"/>
                    </a:xfrm>
                    <a:prstGeom prst="rect">
                      <a:avLst/>
                    </a:prstGeom>
                    <a:noFill/>
                  </pic:spPr>
                </pic:pic>
              </a:graphicData>
            </a:graphic>
          </wp:anchor>
        </w:drawing>
        <w:drawing>
          <wp:anchor simplePos="0" relativeHeight="251657728" behindDoc="1" locked="0" layoutInCell="0" allowOverlap="1">
            <wp:simplePos x="0" y="0"/>
            <wp:positionH relativeFrom="column">
              <wp:posOffset>5215255</wp:posOffset>
            </wp:positionH>
            <wp:positionV relativeFrom="paragraph">
              <wp:posOffset>-1058545</wp:posOffset>
            </wp:positionV>
            <wp:extent cx="18288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7">
                      <a:extLst>
                        <a:ext uri="{28A0092B-C50C-407E-A947-70E740481C1C}"/>
                      </a:extLst>
                    </a:blip>
                    <a:srcRect/>
                    <a:stretch>
                      <a:fillRect/>
                    </a:stretch>
                  </pic:blipFill>
                  <pic:spPr bwMode="auto">
                    <a:xfrm>
                      <a:off x="0" y="0"/>
                      <a:ext cx="182880" cy="762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-768985</wp:posOffset>
            </wp:positionV>
            <wp:extent cx="37338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8">
                      <a:extLst>
                        <a:ext uri="{28A0092B-C50C-407E-A947-70E740481C1C}"/>
                      </a:extLst>
                    </a:blip>
                    <a:srcRect/>
                    <a:stretch>
                      <a:fillRect/>
                    </a:stretch>
                  </pic:blipFill>
                  <pic:spPr bwMode="auto">
                    <a:xfrm>
                      <a:off x="0" y="0"/>
                      <a:ext cx="373380" cy="762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available or has not previously been</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99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269" w:name="page270"/>
    <w:bookmarkEnd w:id="269"/>
    <w:p>
      <w:pPr>
        <w:spacing w:after="0" w:line="200" w:lineRule="exact"/>
        <w:rPr>
          <w:sz w:val="20"/>
          <w:szCs w:val="20"/>
          <w:color w:val="auto"/>
        </w:rPr>
      </w:pPr>
    </w:p>
    <w:p>
      <w:pPr>
        <w:spacing w:after="0" w:line="2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 xml:space="preserve">obtained from the United States Department of Labor; (b) permit to exist any accumulated funding deficiency, as defined in Section 302(a) of ERISA and Section 412(a) of the Code, or funding deficiency with respect to any Benefit Plan other than a Multiemployer Plan; (c) fail or permit any ERISA Affiliate to fail to make any payments to a Multiemployer Plan that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any ERISA Affiliate may be required to make under the agreement relating to such Multiemployer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Plan or any law pertaining thereto; (d) terminate any Benefit Plan so as to result in any liability that is not paid in full in connection with such termination; or (e) permit to exist any occurrence of any reportable event described in Title IV of ERISA.</w:t>
      </w:r>
    </w:p>
    <w:p>
      <w:pPr>
        <w:spacing w:after="0" w:line="179" w:lineRule="exact"/>
        <w:rPr>
          <w:sz w:val="20"/>
          <w:szCs w:val="20"/>
          <w:color w:val="auto"/>
        </w:rPr>
      </w:pPr>
    </w:p>
    <w:p>
      <w:pPr>
        <w:ind w:right="20" w:firstLine="50"/>
        <w:spacing w:after="0" w:line="229" w:lineRule="exact"/>
        <w:tabs>
          <w:tab w:leader="none" w:pos="324"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Transactions with Affiliates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enter into, or be a party to, any transaction with any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its Affiliates, without the written consent of the Administrative Agent, except (i) the transactions permitted or contemplated by this Agreement and its organizational documents, (ii) the transactions included within or contemplated by, and the relationships created under, the Investment Advisory Agreement, the Administration Agreement, and the License Agreement, (iii) transactions in respect of any subscription agreements or side letters entered into between the Borrower and any Affiliate in connection with such Affiliate’s investment in the Borrower on terms that are fair and reasonable to the Borrower, (iv) transactions between any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w:t>
      </w:r>
      <w:r>
        <w:rPr>
          <w:rFonts w:ascii="Times New Roman" w:cs="Times New Roman" w:eastAsia="Times New Roman" w:hAnsi="Times New Roman"/>
          <w:sz w:val="19"/>
          <w:szCs w:val="19"/>
          <w:color w:val="auto"/>
        </w:rPr>
        <w:t xml:space="preserve"> Party and any </w:t>
      </w:r>
      <w:r>
        <w:rPr>
          <w:rFonts w:ascii="Times New Roman" w:cs="Times New Roman" w:eastAsia="Times New Roman" w:hAnsi="Times New Roman"/>
          <w:sz w:val="19"/>
          <w:szCs w:val="19"/>
          <w:color w:val="FF0000"/>
          <w:strike w:val="1"/>
        </w:rPr>
        <w:t>small business investment company</w:t>
      </w:r>
      <w:r>
        <w:rPr>
          <w:rFonts w:ascii="Times New Roman" w:cs="Times New Roman" w:eastAsia="Times New Roman" w:hAnsi="Times New Roman"/>
          <w:sz w:val="19"/>
          <w:szCs w:val="19"/>
          <w:color w:val="0000FF"/>
        </w:rPr>
        <w:t>Financing</w:t>
      </w:r>
      <w:r>
        <w:rPr>
          <w:rFonts w:ascii="Times New Roman" w:cs="Times New Roman" w:eastAsia="Times New Roman" w:hAnsi="Times New Roman"/>
          <w:sz w:val="19"/>
          <w:szCs w:val="19"/>
          <w:color w:val="auto"/>
        </w:rPr>
        <w:t xml:space="preserve"> Subsidiary or any “downstream affiliate” (as such term is used under the rules promulgated under the 1940 Act) </w:t>
      </w:r>
      <w:r>
        <w:rPr>
          <w:rFonts w:ascii="Times New Roman" w:cs="Times New Roman" w:eastAsia="Times New Roman" w:hAnsi="Times New Roman"/>
          <w:sz w:val="19"/>
          <w:szCs w:val="19"/>
          <w:color w:val="0000FF"/>
        </w:rPr>
        <w:t>(A)</w:t>
      </w:r>
      <w:r>
        <w:rPr>
          <w:rFonts w:ascii="Times New Roman" w:cs="Times New Roman" w:eastAsia="Times New Roman" w:hAnsi="Times New Roman"/>
          <w:sz w:val="19"/>
          <w:szCs w:val="19"/>
          <w:color w:val="auto"/>
        </w:rPr>
        <w:t xml:space="preserve"> upon fair and reasonable terms that are no less favorable to such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w:t>
      </w:r>
      <w:r>
        <w:rPr>
          <w:rFonts w:ascii="Times New Roman" w:cs="Times New Roman" w:eastAsia="Times New Roman" w:hAnsi="Times New Roman"/>
          <w:sz w:val="19"/>
          <w:szCs w:val="19"/>
          <w:color w:val="auto"/>
        </w:rPr>
        <w:t xml:space="preserve"> Party than would be obtained in a comparable arm’s length transaction with a Person that is not an affiliate of such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w:t>
      </w:r>
      <w:r>
        <w:rPr>
          <w:rFonts w:ascii="Times New Roman" w:cs="Times New Roman" w:eastAsia="Times New Roman" w:hAnsi="Times New Roman"/>
          <w:sz w:val="19"/>
          <w:szCs w:val="19"/>
          <w:color w:val="auto"/>
        </w:rPr>
        <w:t xml:space="preserve"> Party </w:t>
      </w:r>
      <w:r>
        <w:rPr>
          <w:rFonts w:ascii="Times New Roman" w:cs="Times New Roman" w:eastAsia="Times New Roman" w:hAnsi="Times New Roman"/>
          <w:sz w:val="19"/>
          <w:szCs w:val="19"/>
          <w:color w:val="0000FF"/>
        </w:rPr>
        <w:t>or (B) arising from, in connection with or related to Standard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Securitization Undertakings</w:t>
      </w:r>
      <w:r>
        <w:rPr>
          <w:rFonts w:ascii="Times New Roman" w:cs="Times New Roman" w:eastAsia="Times New Roman" w:hAnsi="Times New Roman"/>
          <w:sz w:val="19"/>
          <w:szCs w:val="19"/>
          <w:color w:val="000000"/>
        </w:rPr>
        <w:t>, (v) transactions in compliance with the conditions or other requirements of any exemptive order</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granted by the SEC to the Borrower, </w:t>
      </w:r>
      <w:r>
        <w:rPr>
          <w:rFonts w:ascii="Times New Roman" w:cs="Times New Roman" w:eastAsia="Times New Roman" w:hAnsi="Times New Roman"/>
          <w:sz w:val="19"/>
          <w:szCs w:val="19"/>
          <w:color w:val="0000FF"/>
        </w:rPr>
        <w:t>(vi) transactions among Loan Parties,</w:t>
      </w:r>
      <w:r>
        <w:rPr>
          <w:rFonts w:ascii="Times New Roman" w:cs="Times New Roman" w:eastAsia="Times New Roman" w:hAnsi="Times New Roman"/>
          <w:sz w:val="19"/>
          <w:szCs w:val="19"/>
          <w:color w:val="000000"/>
        </w:rPr>
        <w:t xml:space="preserve"> and (</w:t>
      </w:r>
      <w:r>
        <w:rPr>
          <w:rFonts w:ascii="Times New Roman" w:cs="Times New Roman" w:eastAsia="Times New Roman" w:hAnsi="Times New Roman"/>
          <w:sz w:val="19"/>
          <w:szCs w:val="19"/>
          <w:color w:val="FF0000"/>
          <w:strike w:val="1"/>
        </w:rPr>
        <w:t>vi</w:t>
      </w:r>
      <w:r>
        <w:rPr>
          <w:rFonts w:ascii="Times New Roman" w:cs="Times New Roman" w:eastAsia="Times New Roman" w:hAnsi="Times New Roman"/>
          <w:sz w:val="19"/>
          <w:szCs w:val="19"/>
          <w:color w:val="0000FF"/>
        </w:rPr>
        <w:t>vii</w:t>
      </w:r>
      <w:r>
        <w:rPr>
          <w:rFonts w:ascii="Times New Roman" w:cs="Times New Roman" w:eastAsia="Times New Roman" w:hAnsi="Times New Roman"/>
          <w:sz w:val="19"/>
          <w:szCs w:val="19"/>
          <w:color w:val="000000"/>
        </w:rPr>
        <w:t xml:space="preserve">) other transactions (including, without limitation, transactions related to the use of office space or computer equipment or software by the Borrower to or from an Affiliate) (A) in the ordinary course of business, (B) pursuant to the reasonable requirements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000000"/>
        </w:rPr>
        <w:t xml:space="preserve">’s business, (C) upon fair and reasonable terms that are no less favorable to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Party</w:t>
      </w:r>
      <w:r>
        <w:rPr>
          <w:rFonts w:ascii="Times New Roman" w:cs="Times New Roman" w:eastAsia="Times New Roman" w:hAnsi="Times New Roman"/>
          <w:sz w:val="19"/>
          <w:szCs w:val="19"/>
          <w:color w:val="000000"/>
        </w:rPr>
        <w:t xml:space="preserve"> than could be obtained in a comparable arm’s</w:t>
      </w:r>
      <w:r>
        <w:rPr>
          <w:rFonts w:ascii="MS PGothic" w:cs="MS PGothic" w:eastAsia="MS PGothic" w:hAnsi="MS PGothic"/>
          <w:sz w:val="19"/>
          <w:szCs w:val="19"/>
          <w:color w:val="000000"/>
        </w:rPr>
        <w:t>‑</w:t>
      </w:r>
      <w:r>
        <w:rPr>
          <w:rFonts w:ascii="Times New Roman" w:cs="Times New Roman" w:eastAsia="Times New Roman" w:hAnsi="Times New Roman"/>
          <w:sz w:val="19"/>
          <w:szCs w:val="19"/>
          <w:color w:val="000000"/>
        </w:rPr>
        <w:t xml:space="preserve">length transaction with a Person not an Affiliate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000000"/>
        </w:rPr>
        <w:t xml:space="preserve"> (except that Loans may be purchased and sold at carrying value), and (D) not inconsistent with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000000"/>
        </w:rPr>
        <w:t>’s representations, warranties and covenants under Sections 4.1(t) and 5.1(l). It is understood that any compensation arrangement for any officer or employee shall be permitted under clauses (ii)(A) through (C) above if such arrangement has been expressly approved by the board of directors of the Borrower in accordance with the Borrower’s organizational documents.</w:t>
      </w:r>
    </w:p>
    <w:p>
      <w:pPr>
        <w:spacing w:after="0" w:line="207"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ind w:firstLine="50"/>
        <w:spacing w:after="0" w:line="257" w:lineRule="auto"/>
        <w:tabs>
          <w:tab w:leader="none" w:pos="324" w:val="left"/>
        </w:tabs>
        <w:numPr>
          <w:ilvl w:val="0"/>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Policy</w:t>
      </w:r>
      <w:r>
        <w:rPr>
          <w:rFonts w:ascii="Times New Roman" w:cs="Times New Roman" w:eastAsia="Times New Roman" w:hAnsi="Times New Roman"/>
          <w:sz w:val="19"/>
          <w:szCs w:val="19"/>
          <w:color w:val="auto"/>
        </w:rPr>
        <w:t>. The Borrower (a) will comply in all material respects with the Investment Policy in regard to each Loan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Related Property included in the Collateral, and in regard to compliance with Loan Documents, including determinations with respect to the enforcement of its rights thereunder, (b) will not agree to or otherwise permit to occur any material change in the Investment Policy without the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-3823335</wp:posOffset>
            </wp:positionV>
            <wp:extent cx="18288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0">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ind w:left="4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20"/>
          </w:cols>
          <w:pgMar w:left="1360" w:top="1440" w:right="720" w:bottom="1440" w:gutter="0" w:footer="0" w:header="0"/>
        </w:sectPr>
      </w:pPr>
    </w:p>
    <w:bookmarkStart w:id="270" w:name="page271"/>
    <w:bookmarkEnd w:id="270"/>
    <w:p>
      <w:pPr>
        <w:spacing w:after="0" w:line="200" w:lineRule="exact"/>
        <w:rPr>
          <w:sz w:val="20"/>
          <w:szCs w:val="20"/>
          <w:color w:val="auto"/>
        </w:rPr>
      </w:pPr>
    </w:p>
    <w:p>
      <w:pPr>
        <w:spacing w:after="0" w:line="2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consent of the Administrative Agent (in its sole discretion), and (c) will furnish to the Administrative Agent and each Managing Agent, at least ten (10) Business Days prior to its proposed effective date, prompt notice of any proposed material changes in the Investment Policy.</w:t>
      </w:r>
    </w:p>
    <w:p>
      <w:pPr>
        <w:spacing w:after="0" w:line="166" w:lineRule="exact"/>
        <w:rPr>
          <w:sz w:val="20"/>
          <w:szCs w:val="20"/>
          <w:color w:val="auto"/>
        </w:rPr>
      </w:pPr>
    </w:p>
    <w:p>
      <w:pPr>
        <w:ind w:right="340" w:firstLine="50"/>
        <w:spacing w:after="0" w:line="288" w:lineRule="auto"/>
        <w:tabs>
          <w:tab w:leader="none" w:pos="288"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Extension or Amendment of Loans</w:t>
      </w:r>
      <w:r>
        <w:rPr>
          <w:rFonts w:ascii="Times New Roman" w:cs="Times New Roman" w:eastAsia="Times New Roman" w:hAnsi="Times New Roman"/>
          <w:sz w:val="19"/>
          <w:szCs w:val="19"/>
          <w:color w:val="auto"/>
        </w:rPr>
        <w:t>. The Borrower will not extend, amend or otherwise modify the material terms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except as may be in accordance with the provisions of the Investment Policy.</w:t>
      </w:r>
    </w:p>
    <w:p>
      <w:pPr>
        <w:spacing w:after="0" w:line="147" w:lineRule="exact"/>
        <w:rPr>
          <w:rFonts w:ascii="Times New Roman" w:cs="Times New Roman" w:eastAsia="Times New Roman" w:hAnsi="Times New Roman"/>
          <w:sz w:val="19"/>
          <w:szCs w:val="19"/>
          <w:color w:val="auto"/>
        </w:rPr>
      </w:pPr>
    </w:p>
    <w:p>
      <w:pPr>
        <w:ind w:left="300" w:hanging="250"/>
        <w:spacing w:after="0"/>
        <w:tabs>
          <w:tab w:leader="none" w:pos="300"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Reporting</w:t>
      </w:r>
      <w:r>
        <w:rPr>
          <w:rFonts w:ascii="Times New Roman" w:cs="Times New Roman" w:eastAsia="Times New Roman" w:hAnsi="Times New Roman"/>
          <w:sz w:val="19"/>
          <w:szCs w:val="19"/>
          <w:color w:val="auto"/>
        </w:rPr>
        <w:t>. The Borrower will furnish to the Administrative Agent and each Managing Agent:</w:t>
      </w:r>
    </w:p>
    <w:p>
      <w:pPr>
        <w:spacing w:after="0" w:line="225" w:lineRule="exact"/>
        <w:rPr>
          <w:rFonts w:ascii="Times New Roman" w:cs="Times New Roman" w:eastAsia="Times New Roman" w:hAnsi="Times New Roman"/>
          <w:sz w:val="19"/>
          <w:szCs w:val="19"/>
          <w:color w:val="auto"/>
        </w:rPr>
      </w:pPr>
    </w:p>
    <w:p>
      <w:pPr>
        <w:jc w:val="both"/>
        <w:ind w:left="720" w:right="100" w:firstLine="38"/>
        <w:spacing w:after="0" w:line="263" w:lineRule="auto"/>
        <w:tabs>
          <w:tab w:leader="none" w:pos="996"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Significant Events. </w:t>
      </w:r>
      <w:r>
        <w:rPr>
          <w:rFonts w:ascii="Times New Roman" w:cs="Times New Roman" w:eastAsia="Times New Roman" w:hAnsi="Times New Roman"/>
          <w:sz w:val="19"/>
          <w:szCs w:val="19"/>
          <w:color w:val="auto"/>
        </w:rPr>
        <w:t>As soon as possible and in any event within two (2) Business Days after a Responsible Officer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becomes aware, or should have become aware of, the occurrence of each Event of Default and each Unmatured Event of Default, a written statement, signed by a Responsible Officer, setting forth the details of such event and the action that the Borrower proposes to take with respect thereto;</w:t>
      </w:r>
    </w:p>
    <w:p>
      <w:pPr>
        <w:spacing w:after="0" w:line="170" w:lineRule="exact"/>
        <w:rPr>
          <w:rFonts w:ascii="Times New Roman" w:cs="Times New Roman" w:eastAsia="Times New Roman" w:hAnsi="Times New Roman"/>
          <w:sz w:val="19"/>
          <w:szCs w:val="19"/>
          <w:color w:val="auto"/>
        </w:rPr>
      </w:pPr>
    </w:p>
    <w:p>
      <w:pPr>
        <w:ind w:left="720" w:firstLine="38"/>
        <w:spacing w:after="0" w:line="255" w:lineRule="auto"/>
        <w:tabs>
          <w:tab w:leader="none" w:pos="1056"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Breaches of Representations and Warranties. </w:t>
      </w:r>
      <w:r>
        <w:rPr>
          <w:rFonts w:ascii="Times New Roman" w:cs="Times New Roman" w:eastAsia="Times New Roman" w:hAnsi="Times New Roman"/>
          <w:sz w:val="19"/>
          <w:szCs w:val="19"/>
          <w:color w:val="auto"/>
        </w:rPr>
        <w:t>Upon a Responsible Officer obtaining knowledge thereof,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shall notify the Administrative Agent and each Managing Agent if any representation or warranty set forth in Section 4.1 was incorrect at the time it was given or deemed to have been given and at the same time deliver to the Administrative Agent and each Managing Agent a written notice setting forth in reasonable detail the nature of such facts and circumstances. In particular, but without limiting the foregoing, the Borrower shall notify the Administrative Agent and each Managing Agent in the manner set forth in the preceding sentence before any Funding Date of any facts or circumstances within the knowledge of the Borrower which would render any of the said representations and warranties untrue at the date when such representations and warranties were made or deemed to have been made;</w:t>
      </w:r>
    </w:p>
    <w:p>
      <w:pPr>
        <w:spacing w:after="0" w:line="183" w:lineRule="exact"/>
        <w:rPr>
          <w:rFonts w:ascii="Times New Roman" w:cs="Times New Roman" w:eastAsia="Times New Roman" w:hAnsi="Times New Roman"/>
          <w:sz w:val="19"/>
          <w:szCs w:val="19"/>
          <w:color w:val="auto"/>
        </w:rPr>
      </w:pPr>
    </w:p>
    <w:p>
      <w:pPr>
        <w:ind w:left="720" w:right="160" w:firstLine="38"/>
        <w:spacing w:after="0" w:line="253" w:lineRule="auto"/>
        <w:tabs>
          <w:tab w:leader="none" w:pos="1104" w:val="left"/>
        </w:tabs>
        <w:numPr>
          <w:ilvl w:val="1"/>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Certificate of Beneficial Ownership; Other Information. </w:t>
      </w:r>
      <w:r>
        <w:rPr>
          <w:rFonts w:ascii="Times New Roman" w:cs="Times New Roman" w:eastAsia="Times New Roman" w:hAnsi="Times New Roman"/>
          <w:sz w:val="19"/>
          <w:szCs w:val="19"/>
          <w:color w:val="auto"/>
        </w:rPr>
        <w:t>As soon as practical: (i) upon the request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Administrative Agent,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 when the individual(s) to be identified as a Beneficial Owner have changed; and (iii) such other information, documents, records or reports respecting the Loans or the condition or operations, financial or otherwise, of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xml:space="preserve"> or the Investment Adviser as the Administrative Agent may from time to time reasonably request in order to protect the interests of the Administrative Agent or the Secured Parties under or as contemplated by this Agreement including, without limitation, any underwriting or credit memorandums prepared with respect to any Loan (including all</w:t>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9"/>
          <w:szCs w:val="19"/>
          <w:color w:val="auto"/>
        </w:rPr>
        <w:t>attachments and calculations</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71" w:name="page272"/>
    <w:bookmarkEnd w:id="271"/>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related thereto) and any modifications, amendments or waivers granted with respect to any Loan;</w:t>
      </w:r>
    </w:p>
    <w:p>
      <w:pPr>
        <w:spacing w:after="0" w:line="224" w:lineRule="exact"/>
        <w:rPr>
          <w:sz w:val="20"/>
          <w:szCs w:val="20"/>
          <w:color w:val="auto"/>
        </w:rPr>
      </w:pPr>
    </w:p>
    <w:p>
      <w:pPr>
        <w:ind w:left="640" w:right="100" w:firstLine="38"/>
        <w:spacing w:after="0" w:line="260" w:lineRule="auto"/>
        <w:tabs>
          <w:tab w:leader="none" w:pos="101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Material Adverse Effect. </w:t>
      </w:r>
      <w:r>
        <w:rPr>
          <w:rFonts w:ascii="Times New Roman" w:cs="Times New Roman" w:eastAsia="Times New Roman" w:hAnsi="Times New Roman"/>
          <w:sz w:val="19"/>
          <w:szCs w:val="19"/>
          <w:color w:val="auto"/>
        </w:rPr>
        <w:t>Promptly upon a Responsible Officer obtaining knowledge thereof, notice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development that results in, or could reasonably be expected to result in, a Material Adverse Effect, including, without limitation, the filing or commencement of any action, suit or proceeding by or before any arbitrator or Governmental Authority against or affecting the Borrower or any Loan or any portion of the Collateral that, if adversely determined, could reasonably be expected to result in a Material Adverse Effect;</w:t>
      </w:r>
    </w:p>
    <w:p>
      <w:pPr>
        <w:spacing w:after="0" w:line="172" w:lineRule="exact"/>
        <w:rPr>
          <w:rFonts w:ascii="Times New Roman" w:cs="Times New Roman" w:eastAsia="Times New Roman" w:hAnsi="Times New Roman"/>
          <w:sz w:val="19"/>
          <w:szCs w:val="19"/>
          <w:color w:val="auto"/>
        </w:rPr>
      </w:pPr>
    </w:p>
    <w:p>
      <w:pPr>
        <w:ind w:left="640" w:right="40" w:firstLine="38"/>
        <w:spacing w:after="0" w:line="258" w:lineRule="auto"/>
        <w:tabs>
          <w:tab w:leader="none" w:pos="964"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Underwriting Memos. </w:t>
      </w:r>
      <w:r>
        <w:rPr>
          <w:rFonts w:ascii="Times New Roman" w:cs="Times New Roman" w:eastAsia="Times New Roman" w:hAnsi="Times New Roman"/>
          <w:sz w:val="19"/>
          <w:szCs w:val="19"/>
          <w:color w:val="auto"/>
        </w:rPr>
        <w:t>Upon the request of the Administrative Agent, the Borrower shall deliver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 complete copy of the underwriting credit memo prepared with respect to each Loan, including all attachments and exhibits thereto, promptly and in any event within five (5) Business Days following the date of such request. The Administrative Agent shall have the right to request a complete copy of each subsequent approval and, upon receipt of such request, the Borrower shall promptly provide the Administrative Agent with a complete copy of such subsequent approval.</w:t>
      </w:r>
    </w:p>
    <w:p>
      <w:pPr>
        <w:spacing w:after="0" w:line="175" w:lineRule="exact"/>
        <w:rPr>
          <w:rFonts w:ascii="Times New Roman" w:cs="Times New Roman" w:eastAsia="Times New Roman" w:hAnsi="Times New Roman"/>
          <w:sz w:val="19"/>
          <w:szCs w:val="19"/>
          <w:color w:val="auto"/>
        </w:rPr>
      </w:pPr>
    </w:p>
    <w:p>
      <w:pPr>
        <w:ind w:left="640" w:firstLine="38"/>
        <w:spacing w:after="0" w:line="255" w:lineRule="auto"/>
        <w:tabs>
          <w:tab w:leader="none" w:pos="101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Proceedings</w:t>
      </w:r>
      <w:r>
        <w:rPr>
          <w:rFonts w:ascii="Times New Roman" w:cs="Times New Roman" w:eastAsia="Times New Roman" w:hAnsi="Times New Roman"/>
          <w:sz w:val="19"/>
          <w:szCs w:val="19"/>
          <w:color w:val="auto"/>
        </w:rPr>
        <w:t>. The Borrower will furnish to the Administrative Agent, as soon as possible and in any event within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five (5) Business Days after the Borrower receives notice or obtains knowledge thereof or the request of the Administrative Agent, notice of any settlement of, material judgment (including a material judgment with respect to the liability phase of a bifurcated trial) in or commencement of any material labor controversy, material litigation, material action, material suit or material proceeding before any court or governmental department, commission, board, bureau, agency or instrumentality, domestic or foreign, affecting the Collateral, the Transaction Documents, the Secured Parties’ interest in the Collateral, or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the Investment Adviser, or any of their Affiliates, in each case that could reasonably be expected to have a Material Adverse Effect;</w:t>
      </w:r>
    </w:p>
    <w:p>
      <w:pPr>
        <w:spacing w:after="0" w:line="183" w:lineRule="exact"/>
        <w:rPr>
          <w:rFonts w:ascii="Times New Roman" w:cs="Times New Roman" w:eastAsia="Times New Roman" w:hAnsi="Times New Roman"/>
          <w:sz w:val="19"/>
          <w:szCs w:val="19"/>
          <w:color w:val="auto"/>
        </w:rPr>
      </w:pPr>
    </w:p>
    <w:p>
      <w:pPr>
        <w:ind w:left="640" w:right="660" w:firstLine="38"/>
        <w:spacing w:after="0" w:line="288" w:lineRule="auto"/>
        <w:tabs>
          <w:tab w:leader="none" w:pos="1072"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ERISA</w:t>
      </w:r>
      <w:r>
        <w:rPr>
          <w:rFonts w:ascii="Times New Roman" w:cs="Times New Roman" w:eastAsia="Times New Roman" w:hAnsi="Times New Roman"/>
          <w:sz w:val="19"/>
          <w:szCs w:val="19"/>
          <w:color w:val="auto"/>
        </w:rPr>
        <w:t>. Promptly after receiving notice of any reportable event (as defined in ERISA) with respect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(or any ERISA Affiliate thereof), a copy of such notice;</w:t>
      </w:r>
    </w:p>
    <w:p>
      <w:pPr>
        <w:spacing w:after="0" w:line="147" w:lineRule="exact"/>
        <w:rPr>
          <w:rFonts w:ascii="Times New Roman" w:cs="Times New Roman" w:eastAsia="Times New Roman" w:hAnsi="Times New Roman"/>
          <w:sz w:val="19"/>
          <w:szCs w:val="19"/>
          <w:color w:val="auto"/>
        </w:rPr>
      </w:pPr>
    </w:p>
    <w:p>
      <w:pPr>
        <w:ind w:left="640" w:right="100" w:firstLine="38"/>
        <w:spacing w:after="0" w:line="259" w:lineRule="auto"/>
        <w:tabs>
          <w:tab w:leader="none" w:pos="1120"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Corporate Changes</w:t>
      </w:r>
      <w:r>
        <w:rPr>
          <w:rFonts w:ascii="Times New Roman" w:cs="Times New Roman" w:eastAsia="Times New Roman" w:hAnsi="Times New Roman"/>
          <w:sz w:val="19"/>
          <w:szCs w:val="19"/>
          <w:color w:val="auto"/>
        </w:rPr>
        <w:t>. As soon as practical and in any event within five (5) Business Days after the effective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thereof, notice of any change in the name, jurisdiction of organization, corporate structure, tax characterization or location of records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agrees not to effect or permit any</w:t>
      </w:r>
    </w:p>
    <w:p>
      <w:pPr>
        <w:spacing w:after="0" w:line="1" w:lineRule="exact"/>
        <w:rPr>
          <w:sz w:val="20"/>
          <w:szCs w:val="20"/>
          <w:color w:val="auto"/>
        </w:rPr>
      </w:pPr>
    </w:p>
    <w:p>
      <w:pPr>
        <w:ind w:left="640" w:right="80"/>
        <w:spacing w:after="0" w:line="250" w:lineRule="auto"/>
        <w:rPr>
          <w:sz w:val="20"/>
          <w:szCs w:val="20"/>
          <w:color w:val="auto"/>
        </w:rPr>
      </w:pPr>
      <w:r>
        <w:rPr>
          <w:rFonts w:ascii="Times New Roman" w:cs="Times New Roman" w:eastAsia="Times New Roman" w:hAnsi="Times New Roman"/>
          <w:sz w:val="19"/>
          <w:szCs w:val="19"/>
          <w:color w:val="auto"/>
        </w:rPr>
        <w:t>change referred to in the preceding sentence unless all filing have been made under the UCC or otherwise that are required in order for the Administrative Agent to continue at all times following such change to have a valid, legal and perfected security interest in all the Collateral; and</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635635</wp:posOffset>
            </wp:positionV>
            <wp:extent cx="673290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20"/>
          </w:cols>
          <w:pgMar w:left="1440" w:top="1440" w:right="640" w:bottom="1440" w:gutter="0" w:footer="0" w:header="0"/>
        </w:sectPr>
      </w:pPr>
    </w:p>
    <w:bookmarkStart w:id="272" w:name="page273"/>
    <w:bookmarkEnd w:id="272"/>
    <w:p>
      <w:pPr>
        <w:spacing w:after="0" w:line="200" w:lineRule="exact"/>
        <w:rPr>
          <w:sz w:val="20"/>
          <w:szCs w:val="20"/>
          <w:color w:val="auto"/>
        </w:rPr>
      </w:pPr>
    </w:p>
    <w:p>
      <w:pPr>
        <w:spacing w:after="0" w:line="283" w:lineRule="exact"/>
        <w:rPr>
          <w:sz w:val="20"/>
          <w:szCs w:val="20"/>
          <w:color w:val="auto"/>
        </w:rPr>
      </w:pPr>
    </w:p>
    <w:p>
      <w:pPr>
        <w:ind w:left="670" w:right="100" w:firstLine="38"/>
        <w:spacing w:after="0" w:line="269" w:lineRule="auto"/>
        <w:tabs>
          <w:tab w:leader="none" w:pos="1042"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Accounting Changes</w:t>
      </w:r>
      <w:r>
        <w:rPr>
          <w:rFonts w:ascii="Times New Roman" w:cs="Times New Roman" w:eastAsia="Times New Roman" w:hAnsi="Times New Roman"/>
          <w:sz w:val="19"/>
          <w:szCs w:val="19"/>
          <w:color w:val="auto"/>
        </w:rPr>
        <w:t>. As soon as practical and in any event within five (5) Business Days after the effective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thereof, notice of any material change in the accounting policies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relating to the loan accounting or revenue recognition.</w:t>
      </w:r>
    </w:p>
    <w:p>
      <w:pPr>
        <w:spacing w:after="0" w:line="165" w:lineRule="exact"/>
        <w:rPr>
          <w:rFonts w:ascii="Times New Roman" w:cs="Times New Roman" w:eastAsia="Times New Roman" w:hAnsi="Times New Roman"/>
          <w:sz w:val="19"/>
          <w:szCs w:val="19"/>
          <w:color w:val="auto"/>
        </w:rPr>
      </w:pPr>
    </w:p>
    <w:p>
      <w:pPr>
        <w:ind w:left="670" w:right="20" w:firstLine="38"/>
        <w:spacing w:after="0" w:line="260" w:lineRule="auto"/>
        <w:tabs>
          <w:tab w:leader="none" w:pos="994" w:val="left"/>
        </w:tabs>
        <w:numPr>
          <w:ilvl w:val="1"/>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Other</w:t>
      </w:r>
      <w:r>
        <w:rPr>
          <w:rFonts w:ascii="Times New Roman" w:cs="Times New Roman" w:eastAsia="Times New Roman" w:hAnsi="Times New Roman"/>
          <w:sz w:val="19"/>
          <w:szCs w:val="19"/>
          <w:color w:val="auto"/>
        </w:rPr>
        <w:t>. The Borrower will furnish to any Managing Agent and the Administrative Agent such other information,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documents records or reports respecting the Loans or the condition or operations, financial or otherwise of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000000"/>
        </w:rPr>
        <w:t>, as such Managing Agent or the Administrative Agent may from time to time reasonably request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in order to protect the respective interests of the Borrower, such Managing Agent, the Administrative Agent or the Secured Parties under or as contemplated by this Agreement.</w:t>
      </w:r>
    </w:p>
    <w:p>
      <w:pPr>
        <w:spacing w:after="0" w:line="172" w:lineRule="exact"/>
        <w:rPr>
          <w:rFonts w:ascii="Times New Roman" w:cs="Times New Roman" w:eastAsia="Times New Roman" w:hAnsi="Times New Roman"/>
          <w:sz w:val="19"/>
          <w:szCs w:val="19"/>
          <w:color w:val="auto"/>
        </w:rPr>
      </w:pPr>
    </w:p>
    <w:p>
      <w:pPr>
        <w:ind w:left="-50" w:firstLine="50"/>
        <w:spacing w:after="0" w:line="256" w:lineRule="auto"/>
        <w:tabs>
          <w:tab w:leader="none" w:pos="226"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Taxes.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(i) file or cause to be filed all federal and material state Tax returns required to be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filed by it, (ii) pay all federal and material state Taxes that become due and payable and all assessments made against it or any of its property (other than any amount of Tax or assessment the validity of which is currently being contested in good faith by appropriate proceedings and with respect to which reserves in accordance with GAAP have been provided on the books of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such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and to the extent that the failure to do so could not reasonably be expected to have a Material Adverse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Effect) and (iii) satisfy or contest any Tax lien that is filed or any claim asserted against its property due to any Tax, fee or other charge, except where the failure to do so would not, individually or in the aggregate, have a Material Adverse Effect.</w:t>
      </w:r>
    </w:p>
    <w:p>
      <w:pPr>
        <w:spacing w:after="0" w:line="181" w:lineRule="exact"/>
        <w:rPr>
          <w:rFonts w:ascii="Times New Roman" w:cs="Times New Roman" w:eastAsia="Times New Roman" w:hAnsi="Times New Roman"/>
          <w:sz w:val="19"/>
          <w:szCs w:val="19"/>
          <w:color w:val="auto"/>
        </w:rPr>
      </w:pPr>
    </w:p>
    <w:p>
      <w:pPr>
        <w:ind w:left="-50" w:right="20" w:firstLine="50"/>
        <w:spacing w:after="0" w:line="256" w:lineRule="auto"/>
        <w:tabs>
          <w:tab w:leader="none" w:pos="27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Use of Proceeds; Margin Stock. </w:t>
      </w:r>
      <w:r>
        <w:rPr>
          <w:rFonts w:ascii="Times New Roman" w:cs="Times New Roman" w:eastAsia="Times New Roman" w:hAnsi="Times New Roman"/>
          <w:sz w:val="19"/>
          <w:szCs w:val="19"/>
          <w:color w:val="auto"/>
        </w:rPr>
        <w:t>The Borrower will use the proceeds of each Advance made hereunder solely (i) to fund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 the purchase price of Loans (other than Ineligible Loans) acquired by the Borrower in accordance with the terms and conditions set forth herein, (ii) for the Borrower’s general corporate purposes, or (iii) as otherwise permitted under this Agreement. The Borrower shall not (x) extend credit to others for the purpose of buying or carrying any Margin Stock in such a manner as to violate Regulation T or Regulation U or (y)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181" w:lineRule="exact"/>
        <w:rPr>
          <w:rFonts w:ascii="Times New Roman" w:cs="Times New Roman" w:eastAsia="Times New Roman" w:hAnsi="Times New Roman"/>
          <w:sz w:val="19"/>
          <w:szCs w:val="19"/>
          <w:color w:val="auto"/>
        </w:rPr>
      </w:pPr>
    </w:p>
    <w:p>
      <w:pPr>
        <w:ind w:left="-50" w:right="80" w:firstLine="50"/>
        <w:spacing w:after="0" w:line="263" w:lineRule="auto"/>
        <w:tabs>
          <w:tab w:leader="none" w:pos="274"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Keeping of Records and Books of Account.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keep proper books of record and account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which full, true and correct entries in conformity with GAAP and all requirements of law are made of all dealings and transactions in relation to its business and activities.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auto"/>
        </w:rPr>
        <w:t xml:space="preserve"> will permit any representatives designated by the Administrative Agent to visit and inspect the financial records and the properties as provided in Section 7.15.</w:t>
      </w:r>
    </w:p>
    <w:p>
      <w:pPr>
        <w:spacing w:after="0" w:line="170" w:lineRule="exact"/>
        <w:rPr>
          <w:rFonts w:ascii="Times New Roman" w:cs="Times New Roman" w:eastAsia="Times New Roman" w:hAnsi="Times New Roman"/>
          <w:sz w:val="19"/>
          <w:szCs w:val="19"/>
          <w:color w:val="auto"/>
        </w:rPr>
      </w:pPr>
    </w:p>
    <w:p>
      <w:pPr>
        <w:ind w:left="-50" w:right="240" w:firstLine="50"/>
        <w:spacing w:after="0" w:line="263" w:lineRule="auto"/>
        <w:tabs>
          <w:tab w:leader="none" w:pos="31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Changes in Payment Instructions to Obligors</w:t>
      </w:r>
      <w:r>
        <w:rPr>
          <w:rFonts w:ascii="Times New Roman" w:cs="Times New Roman" w:eastAsia="Times New Roman" w:hAnsi="Times New Roman"/>
          <w:sz w:val="19"/>
          <w:szCs w:val="19"/>
          <w:color w:val="auto"/>
        </w:rPr>
        <w:t>. The Borrower will not make any change in its instructions to any relevant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or Obligor, as applicable,</w:t>
      </w:r>
    </w:p>
    <w:p>
      <w:pPr>
        <w:spacing w:after="0" w:line="1" w:lineRule="exact"/>
        <w:rPr>
          <w:sz w:val="20"/>
          <w:szCs w:val="20"/>
          <w:color w:val="auto"/>
        </w:rPr>
      </w:pPr>
    </w:p>
    <w:p>
      <w:pPr>
        <w:ind w:left="435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635635</wp:posOffset>
            </wp:positionV>
            <wp:extent cx="673290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30"/>
          </w:cols>
          <w:pgMar w:left="1410" w:top="1440" w:right="660" w:bottom="1440" w:gutter="0" w:footer="0" w:header="0"/>
        </w:sectPr>
      </w:pPr>
    </w:p>
    <w:bookmarkStart w:id="273" w:name="page274"/>
    <w:bookmarkEnd w:id="273"/>
    <w:p>
      <w:pPr>
        <w:spacing w:after="0" w:line="200" w:lineRule="exact"/>
        <w:rPr>
          <w:sz w:val="20"/>
          <w:szCs w:val="20"/>
          <w:color w:val="auto"/>
        </w:rPr>
      </w:pPr>
    </w:p>
    <w:p>
      <w:pPr>
        <w:spacing w:after="0" w:line="28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9"/>
          <w:szCs w:val="19"/>
          <w:color w:val="auto"/>
        </w:rPr>
        <w:t>regarding payments to be made with respect to the Collateral to the CIBC Account or the Collection Account unless the Administrative Agent has consented to such change.</w:t>
      </w:r>
    </w:p>
    <w:p>
      <w:pPr>
        <w:spacing w:after="0" w:line="149" w:lineRule="exact"/>
        <w:rPr>
          <w:sz w:val="20"/>
          <w:szCs w:val="20"/>
          <w:color w:val="auto"/>
        </w:rPr>
      </w:pPr>
    </w:p>
    <w:p>
      <w:pPr>
        <w:ind w:right="60" w:firstLine="50"/>
        <w:spacing w:after="0" w:line="263" w:lineRule="auto"/>
        <w:tabs>
          <w:tab w:leader="none" w:pos="32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Performance and Compliance with Collateral.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at its expense, timely and fully perform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comply with all provisions, covenants and other promises (if any) required to be observed by it under the Collateral, the Loan Documents and all other agreements related to such Collateral except where the failure to do so would not, individually or in the aggregate, have a Material Adverse Effect.</w:t>
      </w:r>
    </w:p>
    <w:p>
      <w:pPr>
        <w:spacing w:after="0" w:line="170" w:lineRule="exact"/>
        <w:rPr>
          <w:rFonts w:ascii="Times New Roman" w:cs="Times New Roman" w:eastAsia="Times New Roman" w:hAnsi="Times New Roman"/>
          <w:sz w:val="19"/>
          <w:szCs w:val="19"/>
          <w:color w:val="auto"/>
        </w:rPr>
      </w:pPr>
    </w:p>
    <w:p>
      <w:pPr>
        <w:ind w:firstLine="50"/>
        <w:spacing w:after="0" w:line="258" w:lineRule="auto"/>
        <w:tabs>
          <w:tab w:leader="none" w:pos="32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Maintenance of Properties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 maintain and preserve all of its properties which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necessary or material in the proper conduct of its business in good working order and condition, ordinary wear and tear excepted, and comply in all material respects at all times with the provisions of all material leases to which it is a party as lessee, so as to prevent any loss or forfeiture thereof or thereunder.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auto"/>
        </w:rPr>
        <w:t xml:space="preserve"> shall maintain and preserve all insurance relating to the operation of its business as is customarily maintained and preserved by externally managed business development companies.</w:t>
      </w:r>
    </w:p>
    <w:p>
      <w:pPr>
        <w:spacing w:after="0" w:line="175"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Maximum Availability</w:t>
      </w:r>
      <w:r>
        <w:rPr>
          <w:rFonts w:ascii="Times New Roman" w:cs="Times New Roman" w:eastAsia="Times New Roman" w:hAnsi="Times New Roman"/>
          <w:sz w:val="19"/>
          <w:szCs w:val="19"/>
          <w:color w:val="auto"/>
        </w:rPr>
        <w:t>. The Borrower shall not permit the Advances Outstanding to exceed the Maximum Availability.</w:t>
      </w:r>
    </w:p>
    <w:p>
      <w:pPr>
        <w:spacing w:after="0" w:line="226" w:lineRule="exact"/>
        <w:rPr>
          <w:sz w:val="20"/>
          <w:szCs w:val="20"/>
          <w:color w:val="auto"/>
        </w:rPr>
      </w:pPr>
    </w:p>
    <w:p>
      <w:pPr>
        <w:ind w:right="20" w:firstLine="50"/>
        <w:spacing w:after="0" w:line="255" w:lineRule="auto"/>
        <w:tabs>
          <w:tab w:leader="none" w:pos="396"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Further Assurances</w:t>
      </w:r>
      <w:r>
        <w:rPr>
          <w:rFonts w:ascii="Times New Roman" w:cs="Times New Roman" w:eastAsia="Times New Roman" w:hAnsi="Times New Roman"/>
          <w:sz w:val="19"/>
          <w:szCs w:val="19"/>
          <w:color w:val="auto"/>
        </w:rPr>
        <w:t>. The Borrower will and will cause each Guarantor to execute any and all further documents, financing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statements, agreements and instruments, and take all further action (including filing UCC and other financing statements, agreements or instruments) that may be required under applicable law, or that the Administrative Agent may reasonably request, in order to effectuate the transactions contemplated by the Transaction Documents and in order to grant, preserve, protect and perfect the validity and first priority (subject to Permitted Liens) of the security interests and Liens created or intended to be created hereby. Such security interests and Liens will be created hereunder and the Borrower shall deliver or cause to be delivered to the Administrative Agent all such instruments and documents (including legal opinions and lien searches) as it shall reasonably request to evidence compliance with this Section 5.1(bb). The Borrower agrees to provide such evidence as the Administrative Agent shall reasonably request as to the perfection and priority status of each such security interest and Lien.</w:t>
      </w:r>
    </w:p>
    <w:p>
      <w:pPr>
        <w:spacing w:after="0" w:line="179" w:lineRule="exact"/>
        <w:rPr>
          <w:rFonts w:ascii="Times New Roman" w:cs="Times New Roman" w:eastAsia="Times New Roman" w:hAnsi="Times New Roman"/>
          <w:sz w:val="19"/>
          <w:szCs w:val="19"/>
          <w:color w:val="auto"/>
        </w:rPr>
      </w:pPr>
    </w:p>
    <w:p>
      <w:pPr>
        <w:ind w:right="100" w:firstLine="50"/>
        <w:spacing w:after="0" w:line="233" w:lineRule="exact"/>
        <w:tabs>
          <w:tab w:leader="none" w:pos="42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Enforcement</w:t>
      </w:r>
      <w:r>
        <w:rPr>
          <w:rFonts w:ascii="Times New Roman" w:cs="Times New Roman" w:eastAsia="Times New Roman" w:hAnsi="Times New Roman"/>
          <w:sz w:val="19"/>
          <w:szCs w:val="19"/>
          <w:color w:val="auto"/>
        </w:rPr>
        <w:t>. (i)</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take any action, and will use commercially reasonable efforts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permit any action to be taken by others, that would release any Person from any of such Person’s material covenants or obligations under any instrument included in the Collateral, except in the case of (A) repayment of Loans, (B) subject to the terms of this Agreement, (i) amendments to Loan Documents that govern Ineligible Loans, (ii) amendments to Loans in accordance with the Investment Policy, and (iii) actions taken in connection with the work</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out or restructuring of any Loan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-650875</wp:posOffset>
            </wp:positionV>
            <wp:extent cx="18288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5">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ind w:right="400"/>
        <w:spacing w:after="0" w:line="250" w:lineRule="auto"/>
        <w:rPr>
          <w:sz w:val="20"/>
          <w:szCs w:val="20"/>
          <w:color w:val="auto"/>
        </w:rPr>
      </w:pPr>
      <w:r>
        <w:rPr>
          <w:rFonts w:ascii="Times New Roman" w:cs="Times New Roman" w:eastAsia="Times New Roman" w:hAnsi="Times New Roman"/>
          <w:sz w:val="19"/>
          <w:szCs w:val="19"/>
          <w:color w:val="auto"/>
        </w:rPr>
        <w:t xml:space="preserve">accordance with the provisions hereof, and (C) other actions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Party</w:t>
      </w:r>
      <w:r>
        <w:rPr>
          <w:rFonts w:ascii="Times New Roman" w:cs="Times New Roman" w:eastAsia="Times New Roman" w:hAnsi="Times New Roman"/>
          <w:sz w:val="19"/>
          <w:szCs w:val="19"/>
          <w:color w:val="auto"/>
        </w:rPr>
        <w:t xml:space="preserve"> to the extent not prohibited by this Agreement or as otherwise required hereby.</w:t>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74" w:name="page275"/>
    <w:bookmarkEnd w:id="274"/>
    <w:p>
      <w:pPr>
        <w:spacing w:after="0" w:line="200" w:lineRule="exact"/>
        <w:rPr>
          <w:sz w:val="20"/>
          <w:szCs w:val="20"/>
          <w:color w:val="auto"/>
        </w:rPr>
      </w:pPr>
    </w:p>
    <w:p>
      <w:pPr>
        <w:spacing w:after="0" w:line="283" w:lineRule="exact"/>
        <w:rPr>
          <w:sz w:val="20"/>
          <w:szCs w:val="20"/>
          <w:color w:val="auto"/>
        </w:rPr>
      </w:pPr>
    </w:p>
    <w:p>
      <w:pPr>
        <w:ind w:right="260" w:firstLine="50"/>
        <w:spacing w:after="0" w:line="288" w:lineRule="auto"/>
        <w:tabs>
          <w:tab w:leader="none" w:pos="39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Investment Company Restrictions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become required to register as an “investment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under the 1940 Act.</w:t>
      </w:r>
    </w:p>
    <w:p>
      <w:pPr>
        <w:spacing w:after="0" w:line="147" w:lineRule="exact"/>
        <w:rPr>
          <w:rFonts w:ascii="Times New Roman" w:cs="Times New Roman" w:eastAsia="Times New Roman" w:hAnsi="Times New Roman"/>
          <w:sz w:val="19"/>
          <w:szCs w:val="19"/>
          <w:color w:val="auto"/>
        </w:rPr>
      </w:pPr>
    </w:p>
    <w:p>
      <w:pPr>
        <w:ind w:left="420" w:hanging="370"/>
        <w:spacing w:after="0"/>
        <w:tabs>
          <w:tab w:leader="none" w:pos="42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ind w:right="80" w:firstLine="50"/>
        <w:spacing w:after="0" w:line="263" w:lineRule="auto"/>
        <w:tabs>
          <w:tab w:leader="none" w:pos="39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Obligor Notification Forms</w:t>
      </w:r>
      <w:r>
        <w:rPr>
          <w:rFonts w:ascii="Times New Roman" w:cs="Times New Roman" w:eastAsia="Times New Roman" w:hAnsi="Times New Roman"/>
          <w:sz w:val="19"/>
          <w:szCs w:val="19"/>
          <w:color w:val="auto"/>
        </w:rPr>
        <w:t>. The Administrative Agent may, in its discretion after the occurrence and during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continuance of an Event of Default, send notification forms giving each relevant administrative agent or Obligor, as applicable, notice of the Secured Parties’ interest in the Collateral and the obligation to make payments as directed by the Administrative Agent.</w:t>
      </w:r>
    </w:p>
    <w:p>
      <w:pPr>
        <w:spacing w:after="0" w:line="170" w:lineRule="exact"/>
        <w:rPr>
          <w:rFonts w:ascii="Times New Roman" w:cs="Times New Roman" w:eastAsia="Times New Roman" w:hAnsi="Times New Roman"/>
          <w:sz w:val="19"/>
          <w:szCs w:val="19"/>
          <w:color w:val="auto"/>
        </w:rPr>
      </w:pPr>
    </w:p>
    <w:p>
      <w:pPr>
        <w:ind w:right="80" w:firstLine="50"/>
        <w:spacing w:after="0" w:line="263" w:lineRule="auto"/>
        <w:tabs>
          <w:tab w:leader="none" w:pos="348"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Collateral Not to be Evidenced by Instruments</w:t>
      </w:r>
      <w:r>
        <w:rPr>
          <w:rFonts w:ascii="Times New Roman" w:cs="Times New Roman" w:eastAsia="Times New Roman" w:hAnsi="Times New Roman"/>
          <w:sz w:val="19"/>
          <w:szCs w:val="19"/>
          <w:color w:val="auto"/>
        </w:rPr>
        <w:t>. The Borrower will take no action to cause any Loan that is not, as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Restatement Effective Date or the related Funding Date, as the case may be, evidenced by an Instrument, to be so evidenced except in connection with the enforcement or collection of such Loan or unless such Instrument is immediately delivered to the Document Custodian, as applicable, together with an Indorsement in blank, as collateral security for such Loan.</w:t>
      </w:r>
    </w:p>
    <w:p>
      <w:pPr>
        <w:spacing w:after="0" w:line="170" w:lineRule="exact"/>
        <w:rPr>
          <w:rFonts w:ascii="Times New Roman" w:cs="Times New Roman" w:eastAsia="Times New Roman" w:hAnsi="Times New Roman"/>
          <w:sz w:val="19"/>
          <w:szCs w:val="19"/>
          <w:color w:val="auto"/>
        </w:rPr>
      </w:pPr>
    </w:p>
    <w:p>
      <w:pPr>
        <w:ind w:left="420" w:hanging="370"/>
        <w:spacing w:after="0"/>
        <w:tabs>
          <w:tab w:leader="none" w:pos="42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Reserved</w:t>
      </w:r>
      <w:r>
        <w:rPr>
          <w:rFonts w:ascii="Times New Roman" w:cs="Times New Roman" w:eastAsia="Times New Roman" w:hAnsi="Times New Roman"/>
          <w:sz w:val="19"/>
          <w:szCs w:val="19"/>
          <w:color w:val="auto"/>
        </w:rPr>
        <w:t>.</w:t>
      </w:r>
    </w:p>
    <w:p>
      <w:pPr>
        <w:spacing w:after="0" w:line="225" w:lineRule="exact"/>
        <w:rPr>
          <w:rFonts w:ascii="Times New Roman" w:cs="Times New Roman" w:eastAsia="Times New Roman" w:hAnsi="Times New Roman"/>
          <w:sz w:val="19"/>
          <w:szCs w:val="19"/>
          <w:color w:val="auto"/>
        </w:rPr>
      </w:pPr>
    </w:p>
    <w:p>
      <w:pPr>
        <w:ind w:firstLine="50"/>
        <w:spacing w:after="0" w:line="263" w:lineRule="auto"/>
        <w:tabs>
          <w:tab w:leader="none" w:pos="42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Subsidiaries</w:t>
      </w:r>
      <w:r>
        <w:rPr>
          <w:rFonts w:ascii="Times New Roman" w:cs="Times New Roman" w:eastAsia="Times New Roman" w:hAnsi="Times New Roman"/>
          <w:sz w:val="19"/>
          <w:szCs w:val="19"/>
          <w:color w:val="auto"/>
        </w:rPr>
        <w:t>. Without the written consent of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have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permit the formation of any Subsidiaries (other than (i) Subsidiaries established in the ordinary course of business to hold equity interests in Obligors and (ii) </w:t>
      </w:r>
      <w:r>
        <w:rPr>
          <w:rFonts w:ascii="Times New Roman" w:cs="Times New Roman" w:eastAsia="Times New Roman" w:hAnsi="Times New Roman"/>
          <w:sz w:val="19"/>
          <w:szCs w:val="19"/>
          <w:color w:val="0000FF"/>
        </w:rPr>
        <w:t>Financing</w:t>
      </w:r>
      <w:r>
        <w:rPr>
          <w:rFonts w:ascii="Times New Roman" w:cs="Times New Roman" w:eastAsia="Times New Roman" w:hAnsi="Times New Roman"/>
          <w:sz w:val="19"/>
          <w:szCs w:val="19"/>
          <w:color w:val="auto"/>
        </w:rPr>
        <w:t xml:space="preserve"> Subsidiaries </w:t>
      </w:r>
      <w:r>
        <w:rPr>
          <w:rFonts w:ascii="Times New Roman" w:cs="Times New Roman" w:eastAsia="Times New Roman" w:hAnsi="Times New Roman"/>
          <w:sz w:val="19"/>
          <w:szCs w:val="19"/>
          <w:color w:val="FF0000"/>
        </w:rPr>
        <w:t>that are small business investment companies licensed and regulated by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United States Small Business Administration</w:t>
      </w:r>
      <w:r>
        <w:rPr>
          <w:rFonts w:ascii="Times New Roman" w:cs="Times New Roman" w:eastAsia="Times New Roman" w:hAnsi="Times New Roman"/>
          <w:sz w:val="19"/>
          <w:szCs w:val="19"/>
          <w:color w:val="000000"/>
        </w:rPr>
        <w:t>).</w:t>
      </w:r>
    </w:p>
    <w:p>
      <w:pPr>
        <w:spacing w:after="0" w:line="170" w:lineRule="exact"/>
        <w:rPr>
          <w:rFonts w:ascii="Times New Roman" w:cs="Times New Roman" w:eastAsia="Times New Roman" w:hAnsi="Times New Roman"/>
          <w:sz w:val="19"/>
          <w:szCs w:val="19"/>
          <w:color w:val="auto"/>
        </w:rPr>
      </w:pPr>
    </w:p>
    <w:p>
      <w:pPr>
        <w:ind w:right="320" w:firstLine="50"/>
        <w:spacing w:after="0" w:line="288" w:lineRule="auto"/>
        <w:tabs>
          <w:tab w:leader="none" w:pos="336"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Name</w:t>
      </w:r>
      <w:r>
        <w:rPr>
          <w:rFonts w:ascii="Times New Roman" w:cs="Times New Roman" w:eastAsia="Times New Roman" w:hAnsi="Times New Roman"/>
          <w:sz w:val="19"/>
          <w:szCs w:val="19"/>
          <w:color w:val="auto"/>
        </w:rPr>
        <w:t>. Without the written consent of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conduct business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any name other than its own.</w:t>
      </w:r>
    </w:p>
    <w:p>
      <w:pPr>
        <w:spacing w:after="0" w:line="147" w:lineRule="exact"/>
        <w:rPr>
          <w:rFonts w:ascii="Times New Roman" w:cs="Times New Roman" w:eastAsia="Times New Roman" w:hAnsi="Times New Roman"/>
          <w:sz w:val="19"/>
          <w:szCs w:val="19"/>
          <w:color w:val="auto"/>
        </w:rPr>
      </w:pPr>
    </w:p>
    <w:p>
      <w:pPr>
        <w:ind w:left="340" w:hanging="290"/>
        <w:spacing w:after="0"/>
        <w:tabs>
          <w:tab w:leader="none" w:pos="3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Business</w:t>
      </w:r>
      <w:r>
        <w:rPr>
          <w:rFonts w:ascii="Times New Roman" w:cs="Times New Roman" w:eastAsia="Times New Roman" w:hAnsi="Times New Roman"/>
          <w:sz w:val="19"/>
          <w:szCs w:val="19"/>
          <w:color w:val="auto"/>
        </w:rPr>
        <w:t>. The Borrower shall not suspend or go out of a substantial portion of its business.</w:t>
      </w:r>
    </w:p>
    <w:p>
      <w:pPr>
        <w:spacing w:after="0" w:line="225" w:lineRule="exact"/>
        <w:rPr>
          <w:rFonts w:ascii="Times New Roman" w:cs="Times New Roman" w:eastAsia="Times New Roman" w:hAnsi="Times New Roman"/>
          <w:sz w:val="19"/>
          <w:szCs w:val="19"/>
          <w:color w:val="auto"/>
        </w:rPr>
      </w:pPr>
    </w:p>
    <w:p>
      <w:pPr>
        <w:ind w:right="320" w:firstLine="50"/>
        <w:spacing w:after="0" w:line="260" w:lineRule="auto"/>
        <w:tabs>
          <w:tab w:leader="none" w:pos="42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Subject Laws</w:t>
      </w:r>
      <w:r>
        <w:rPr>
          <w:rFonts w:ascii="Times New Roman" w:cs="Times New Roman" w:eastAsia="Times New Roman" w:hAnsi="Times New Roman"/>
          <w:sz w:val="19"/>
          <w:szCs w:val="19"/>
          <w:color w:val="auto"/>
        </w:rPr>
        <w:t>. The Borrower shall not utilize directly or indirectly the proceeds of any Advance for the benefit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 controlling, controlled by, or under common control with any other Person, whose name appears on the “List of Specially Designated Nationals and Blocked Persons” maintained by OFAC or otherwise in violation of any regulations and rules promulgated by the U.S. Department of Treasury and/or administered by OFAC including U.S. Executive Order No. 13224, and other related statutes, laws and regulations.</w:t>
      </w:r>
    </w:p>
    <w:p>
      <w:pPr>
        <w:spacing w:after="0" w:line="172" w:lineRule="exact"/>
        <w:rPr>
          <w:rFonts w:ascii="Times New Roman" w:cs="Times New Roman" w:eastAsia="Times New Roman" w:hAnsi="Times New Roman"/>
          <w:sz w:val="19"/>
          <w:szCs w:val="19"/>
          <w:color w:val="auto"/>
        </w:rPr>
      </w:pPr>
    </w:p>
    <w:p>
      <w:pPr>
        <w:ind w:left="340" w:hanging="290"/>
        <w:spacing w:after="0"/>
        <w:tabs>
          <w:tab w:leader="none" w:pos="3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RIC Status</w:t>
      </w:r>
      <w:r>
        <w:rPr>
          <w:rFonts w:ascii="Times New Roman" w:cs="Times New Roman" w:eastAsia="Times New Roman" w:hAnsi="Times New Roman"/>
          <w:sz w:val="19"/>
          <w:szCs w:val="19"/>
          <w:color w:val="auto"/>
        </w:rPr>
        <w:t>. The Borrower shall take all actions necessary to maintain its qualification as a RIC.</w:t>
      </w:r>
    </w:p>
    <w:p>
      <w:pPr>
        <w:spacing w:after="0" w:line="225" w:lineRule="exact"/>
        <w:rPr>
          <w:rFonts w:ascii="Times New Roman" w:cs="Times New Roman" w:eastAsia="Times New Roman" w:hAnsi="Times New Roman"/>
          <w:sz w:val="19"/>
          <w:szCs w:val="19"/>
          <w:color w:val="auto"/>
        </w:rPr>
      </w:pPr>
    </w:p>
    <w:p>
      <w:pPr>
        <w:ind w:left="540" w:hanging="490"/>
        <w:spacing w:after="0"/>
        <w:tabs>
          <w:tab w:leader="none" w:pos="5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BDC Status</w:t>
      </w:r>
      <w:r>
        <w:rPr>
          <w:rFonts w:ascii="Times New Roman" w:cs="Times New Roman" w:eastAsia="Times New Roman" w:hAnsi="Times New Roman"/>
          <w:sz w:val="19"/>
          <w:szCs w:val="19"/>
          <w:color w:val="auto"/>
        </w:rPr>
        <w:t>. The Borrower shall at all times maintain its status as a “business development company”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3644900</wp:posOffset>
            </wp:positionH>
            <wp:positionV relativeFrom="paragraph">
              <wp:posOffset>-5045075</wp:posOffset>
            </wp:positionV>
            <wp:extent cx="18288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7">
                      <a:extLst>
                        <a:ext uri="{28A0092B-C50C-407E-A947-70E740481C1C}"/>
                      </a:extLst>
                    </a:blip>
                    <a:srcRect/>
                    <a:stretch>
                      <a:fillRect/>
                    </a:stretch>
                  </pic:blipFill>
                  <pic:spPr bwMode="auto">
                    <a:xfrm>
                      <a:off x="0" y="0"/>
                      <a:ext cx="182880" cy="762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-2331085</wp:posOffset>
            </wp:positionV>
            <wp:extent cx="369697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8">
                      <a:extLst>
                        <a:ext uri="{28A0092B-C50C-407E-A947-70E740481C1C}"/>
                      </a:extLst>
                    </a:blip>
                    <a:srcRect/>
                    <a:stretch>
                      <a:fillRect/>
                    </a:stretch>
                  </pic:blipFill>
                  <pic:spPr bwMode="auto">
                    <a:xfrm>
                      <a:off x="0" y="0"/>
                      <a:ext cx="3696970" cy="7620"/>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-1904365</wp:posOffset>
            </wp:positionV>
            <wp:extent cx="18288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9">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meaning of the 1940 Act.</w:t>
      </w:r>
    </w:p>
    <w:p>
      <w:pPr>
        <w:spacing w:after="0" w:line="1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75" w:name="page276"/>
    <w:bookmarkEnd w:id="275"/>
    <w:p>
      <w:pPr>
        <w:spacing w:after="0" w:line="200" w:lineRule="exact"/>
        <w:rPr>
          <w:sz w:val="20"/>
          <w:szCs w:val="20"/>
          <w:color w:val="auto"/>
        </w:rPr>
      </w:pPr>
    </w:p>
    <w:p>
      <w:pPr>
        <w:spacing w:after="0" w:line="283" w:lineRule="exact"/>
        <w:rPr>
          <w:sz w:val="20"/>
          <w:szCs w:val="20"/>
          <w:color w:val="auto"/>
        </w:rPr>
      </w:pPr>
    </w:p>
    <w:p>
      <w:pPr>
        <w:ind w:right="60" w:firstLine="50"/>
        <w:spacing w:after="0" w:line="258" w:lineRule="auto"/>
        <w:tabs>
          <w:tab w:leader="none" w:pos="4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Required Notices</w:t>
      </w:r>
      <w:r>
        <w:rPr>
          <w:rFonts w:ascii="Times New Roman" w:cs="Times New Roman" w:eastAsia="Times New Roman" w:hAnsi="Times New Roman"/>
          <w:sz w:val="19"/>
          <w:szCs w:val="19"/>
          <w:color w:val="auto"/>
        </w:rPr>
        <w:t>. The Borrower will furnish to the Administrative Agent and the Bank Parties, (1) promptly upon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becoming aware thereof (and in any event within two (2) Business Days), notice of (x) any Change of Control or (y) any other event or circumstance that could reasonably be expected to have a Material Adverse Effect or (2) promptly upon becoming aware thereof, (i) any failure of the Borrowing Base Test to be satisfied or (ii) any decrease of 15% or more in the calculation of the Borrowing Base since the latest Borrowing Base Certificate due to a sale, ineligibility of certain Loans or otherwise. The Administrative Agent will furnish copies of any such notice to the Lenders within two (2) Business Days of receipt thereof.</w:t>
      </w:r>
    </w:p>
    <w:p>
      <w:pPr>
        <w:spacing w:after="0" w:line="175" w:lineRule="exact"/>
        <w:rPr>
          <w:rFonts w:ascii="Times New Roman" w:cs="Times New Roman" w:eastAsia="Times New Roman" w:hAnsi="Times New Roman"/>
          <w:sz w:val="19"/>
          <w:szCs w:val="19"/>
          <w:color w:val="auto"/>
        </w:rPr>
      </w:pPr>
    </w:p>
    <w:p>
      <w:pPr>
        <w:ind w:right="200" w:firstLine="50"/>
        <w:spacing w:after="0" w:line="269" w:lineRule="auto"/>
        <w:tabs>
          <w:tab w:leader="none" w:pos="4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Other Agreements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enter into or suffer to exist or become effective any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that prohibits, limits or imposes any material condition upon its ability to perform its obligations under the Transaction Documents.</w:t>
      </w:r>
    </w:p>
    <w:p>
      <w:pPr>
        <w:spacing w:after="0" w:line="165" w:lineRule="exact"/>
        <w:rPr>
          <w:rFonts w:ascii="Times New Roman" w:cs="Times New Roman" w:eastAsia="Times New Roman" w:hAnsi="Times New Roman"/>
          <w:sz w:val="19"/>
          <w:szCs w:val="19"/>
          <w:color w:val="auto"/>
        </w:rPr>
      </w:pPr>
    </w:p>
    <w:p>
      <w:pPr>
        <w:ind w:right="580" w:firstLine="50"/>
        <w:spacing w:after="0" w:line="288" w:lineRule="auto"/>
        <w:tabs>
          <w:tab w:leader="none" w:pos="4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Obligations with Respect to Loans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will do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nothing</w:t>
      </w:r>
      <w:r>
        <w:rPr>
          <w:rFonts w:ascii="Times New Roman" w:cs="Times New Roman" w:eastAsia="Times New Roman" w:hAnsi="Times New Roman"/>
          <w:sz w:val="19"/>
          <w:szCs w:val="19"/>
          <w:color w:val="0000FF"/>
        </w:rPr>
        <w:t>anything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impair the rights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as agent for the Secured Parties or of the Secured Parties in, to and under the Collateral.</w:t>
      </w:r>
    </w:p>
    <w:p>
      <w:pPr>
        <w:spacing w:after="0" w:line="147" w:lineRule="exact"/>
        <w:rPr>
          <w:rFonts w:ascii="Times New Roman" w:cs="Times New Roman" w:eastAsia="Times New Roman" w:hAnsi="Times New Roman"/>
          <w:sz w:val="19"/>
          <w:szCs w:val="19"/>
          <w:color w:val="auto"/>
        </w:rPr>
      </w:pPr>
    </w:p>
    <w:p>
      <w:pPr>
        <w:ind w:right="160" w:firstLine="50"/>
        <w:spacing w:after="0" w:line="269" w:lineRule="auto"/>
        <w:tabs>
          <w:tab w:leader="none" w:pos="42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Fiscal Year</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 shall not</w:t>
      </w:r>
      <w:r>
        <w:rPr>
          <w:rFonts w:ascii="Times New Roman" w:cs="Times New Roman" w:eastAsia="Times New Roman" w:hAnsi="Times New Roman"/>
          <w:sz w:val="19"/>
          <w:szCs w:val="19"/>
          <w:color w:val="0000FF"/>
        </w:rPr>
        <w:t>No Loan Party will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change its fiscal year or method of accounting without providing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Administrative Agent with prior written notice (i) providing a detailed explanation of such changes and (ii) including pro forma financial statements demonstrating the impact of such change.</w:t>
      </w:r>
    </w:p>
    <w:p>
      <w:pPr>
        <w:spacing w:after="0" w:line="165" w:lineRule="exact"/>
        <w:rPr>
          <w:rFonts w:ascii="Times New Roman" w:cs="Times New Roman" w:eastAsia="Times New Roman" w:hAnsi="Times New Roman"/>
          <w:sz w:val="19"/>
          <w:szCs w:val="19"/>
          <w:color w:val="auto"/>
        </w:rPr>
      </w:pPr>
    </w:p>
    <w:p>
      <w:pPr>
        <w:ind w:left="360" w:hanging="310"/>
        <w:spacing w:after="0"/>
        <w:tabs>
          <w:tab w:leader="none" w:pos="360"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Guaranties</w:t>
      </w:r>
      <w:r>
        <w:rPr>
          <w:rFonts w:ascii="Times New Roman" w:cs="Times New Roman" w:eastAsia="Times New Roman" w:hAnsi="Times New Roman"/>
          <w:sz w:val="19"/>
          <w:szCs w:val="19"/>
          <w:color w:val="auto"/>
        </w:rPr>
        <w:t>. The payment and performance of the Obligations of the Borrower shall at all times be guaranteed by each</w:t>
      </w:r>
    </w:p>
    <w:p>
      <w:pPr>
        <w:spacing w:after="0" w:line="33" w:lineRule="exact"/>
        <w:rPr>
          <w:rFonts w:ascii="Times New Roman" w:cs="Times New Roman" w:eastAsia="Times New Roman" w:hAnsi="Times New Roman"/>
          <w:sz w:val="19"/>
          <w:szCs w:val="19"/>
          <w:color w:val="auto"/>
        </w:rPr>
      </w:pPr>
    </w:p>
    <w:p>
      <w:pPr>
        <w:ind w:right="2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direct and indirect Subsidiary of the Borrower other than </w:t>
      </w:r>
      <w:r>
        <w:rPr>
          <w:rFonts w:ascii="Times New Roman" w:cs="Times New Roman" w:eastAsia="Times New Roman" w:hAnsi="Times New Roman"/>
          <w:sz w:val="19"/>
          <w:szCs w:val="19"/>
          <w:color w:val="FF0000"/>
          <w:strike w:val="1"/>
        </w:rPr>
        <w:t>a Subsidiary that is a small business investment company licensed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regulated by the United States Small Business Administration</w:t>
      </w:r>
      <w:r>
        <w:rPr>
          <w:rFonts w:ascii="Times New Roman" w:cs="Times New Roman" w:eastAsia="Times New Roman" w:hAnsi="Times New Roman"/>
          <w:sz w:val="19"/>
          <w:szCs w:val="19"/>
          <w:color w:val="0000FF"/>
        </w:rPr>
        <w:t>Financing Subsidiaries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(each such Person in such a capacity being</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referred to herein as a “</w:t>
      </w:r>
      <w:r>
        <w:rPr>
          <w:rFonts w:ascii="Times New Roman" w:cs="Times New Roman" w:eastAsia="Times New Roman" w:hAnsi="Times New Roman"/>
          <w:sz w:val="19"/>
          <w:szCs w:val="19"/>
          <w:i w:val="1"/>
          <w:iCs w:val="1"/>
          <w:color w:val="000000"/>
        </w:rPr>
        <w:t>Guarantor</w:t>
      </w:r>
      <w:r>
        <w:rPr>
          <w:rFonts w:ascii="Times New Roman" w:cs="Times New Roman" w:eastAsia="Times New Roman" w:hAnsi="Times New Roman"/>
          <w:sz w:val="19"/>
          <w:szCs w:val="19"/>
          <w:color w:val="000000"/>
        </w:rPr>
        <w:t>” and collectively the “</w:t>
      </w:r>
      <w:r>
        <w:rPr>
          <w:rFonts w:ascii="Times New Roman" w:cs="Times New Roman" w:eastAsia="Times New Roman" w:hAnsi="Times New Roman"/>
          <w:sz w:val="19"/>
          <w:szCs w:val="19"/>
          <w:i w:val="1"/>
          <w:iCs w:val="1"/>
          <w:color w:val="000000"/>
        </w:rPr>
        <w:t>Guarantors</w:t>
      </w:r>
      <w:r>
        <w:rPr>
          <w:rFonts w:ascii="Times New Roman" w:cs="Times New Roman" w:eastAsia="Times New Roman" w:hAnsi="Times New Roman"/>
          <w:sz w:val="19"/>
          <w:szCs w:val="19"/>
          <w:color w:val="000000"/>
        </w:rPr>
        <w:t>”) pursuant to Article XV hereof or pursuant to one or more guaranty agreements in form and substance acceptable to the Administrative Agent, as the same may be amended, modified or supplemented from time to time (individually a “</w:t>
      </w:r>
      <w:r>
        <w:rPr>
          <w:rFonts w:ascii="Times New Roman" w:cs="Times New Roman" w:eastAsia="Times New Roman" w:hAnsi="Times New Roman"/>
          <w:sz w:val="19"/>
          <w:szCs w:val="19"/>
          <w:i w:val="1"/>
          <w:iCs w:val="1"/>
          <w:color w:val="000000"/>
        </w:rPr>
        <w:t>Guaranty</w:t>
      </w:r>
      <w:r>
        <w:rPr>
          <w:rFonts w:ascii="Times New Roman" w:cs="Times New Roman" w:eastAsia="Times New Roman" w:hAnsi="Times New Roman"/>
          <w:sz w:val="19"/>
          <w:szCs w:val="19"/>
          <w:color w:val="000000"/>
        </w:rPr>
        <w:t>” and collectively the “</w:t>
      </w:r>
      <w:r>
        <w:rPr>
          <w:rFonts w:ascii="Times New Roman" w:cs="Times New Roman" w:eastAsia="Times New Roman" w:hAnsi="Times New Roman"/>
          <w:sz w:val="19"/>
          <w:szCs w:val="19"/>
          <w:i w:val="1"/>
          <w:iCs w:val="1"/>
          <w:color w:val="000000"/>
        </w:rPr>
        <w:t>Guaranties</w:t>
      </w:r>
      <w:r>
        <w:rPr>
          <w:rFonts w:ascii="Times New Roman" w:cs="Times New Roman" w:eastAsia="Times New Roman" w:hAnsi="Times New Roman"/>
          <w:sz w:val="19"/>
          <w:szCs w:val="19"/>
          <w:color w:val="000000"/>
        </w:rPr>
        <w:t>”).</w:t>
      </w:r>
    </w:p>
    <w:p>
      <w:pPr>
        <w:spacing w:after="0" w:line="180" w:lineRule="exact"/>
        <w:rPr>
          <w:rFonts w:ascii="Times New Roman" w:cs="Times New Roman" w:eastAsia="Times New Roman" w:hAnsi="Times New Roman"/>
          <w:sz w:val="19"/>
          <w:szCs w:val="19"/>
          <w:color w:val="auto"/>
        </w:rPr>
      </w:pPr>
    </w:p>
    <w:p>
      <w:pPr>
        <w:ind w:right="40" w:firstLine="50"/>
        <w:spacing w:after="0" w:line="269" w:lineRule="auto"/>
        <w:tabs>
          <w:tab w:leader="none" w:pos="372"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CIBC Account</w:t>
      </w:r>
      <w:r>
        <w:rPr>
          <w:rFonts w:ascii="Times New Roman" w:cs="Times New Roman" w:eastAsia="Times New Roman" w:hAnsi="Times New Roman"/>
          <w:sz w:val="19"/>
          <w:szCs w:val="19"/>
          <w:color w:val="auto"/>
        </w:rPr>
        <w:t>. On or prior to the date of the initial Advance, the Borrower will direct CIBC Bank USA (or the appropriate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affiliate or branch of CIBC Bank USA) to sweep any amounts on deposit in the CIBC Account to the Collection Account on a daily basis.</w:t>
      </w:r>
    </w:p>
    <w:p>
      <w:pPr>
        <w:spacing w:after="0" w:line="165" w:lineRule="exact"/>
        <w:rPr>
          <w:rFonts w:ascii="Times New Roman" w:cs="Times New Roman" w:eastAsia="Times New Roman" w:hAnsi="Times New Roman"/>
          <w:sz w:val="19"/>
          <w:szCs w:val="19"/>
          <w:color w:val="auto"/>
        </w:rPr>
      </w:pPr>
    </w:p>
    <w:p>
      <w:pPr>
        <w:ind w:firstLine="50"/>
        <w:spacing w:after="0" w:line="269" w:lineRule="auto"/>
        <w:tabs>
          <w:tab w:leader="none" w:pos="336"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Rating Agency</w:t>
      </w:r>
      <w:r>
        <w:rPr>
          <w:rFonts w:ascii="Times New Roman" w:cs="Times New Roman" w:eastAsia="Times New Roman" w:hAnsi="Times New Roman"/>
          <w:sz w:val="19"/>
          <w:szCs w:val="19"/>
          <w:color w:val="auto"/>
        </w:rPr>
        <w:t>. The Borrower shall, at its expense, cooperate and take all actions reasonably requested by a Liquidity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Provider in connection with obtaining any required ratings with respect to a Liquidity Facility, including providing to each of the Rating Agencies all information (in its possession or reasonably available to it) requested by such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-3528060</wp:posOffset>
            </wp:positionV>
            <wp:extent cx="18288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1">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5.2</w:t>
      </w:r>
      <w:r>
        <w:rPr>
          <w:rFonts w:ascii="Times New Roman" w:cs="Times New Roman" w:eastAsia="Times New Roman" w:hAnsi="Times New Roman"/>
          <w:sz w:val="19"/>
          <w:szCs w:val="19"/>
          <w:i w:val="1"/>
          <w:iCs w:val="1"/>
          <w:color w:val="FF0000"/>
          <w:strike w:val="1"/>
        </w:rPr>
        <w:t>.</w:t>
      </w:r>
      <w:r>
        <w:rPr>
          <w:rFonts w:ascii="Times New Roman" w:cs="Times New Roman" w:eastAsia="Times New Roman" w:hAnsi="Times New Roman"/>
          <w:sz w:val="19"/>
          <w:szCs w:val="19"/>
          <w:i w:val="1"/>
          <w:iCs w:val="1"/>
          <w:color w:val="auto"/>
        </w:rPr>
        <w:t xml:space="preserve"> Key Persons.</w:t>
      </w:r>
    </w:p>
    <w:p>
      <w:pPr>
        <w:spacing w:after="0" w:line="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900"/>
          </w:cols>
          <w:pgMar w:left="1360" w:top="1440" w:right="640" w:bottom="1440" w:gutter="0" w:footer="0" w:header="0"/>
        </w:sectPr>
      </w:pPr>
    </w:p>
    <w:bookmarkStart w:id="276" w:name="page277"/>
    <w:bookmarkEnd w:id="276"/>
    <w:p>
      <w:pPr>
        <w:spacing w:after="0" w:line="200" w:lineRule="exact"/>
        <w:rPr>
          <w:sz w:val="20"/>
          <w:szCs w:val="20"/>
          <w:color w:val="auto"/>
        </w:rPr>
      </w:pPr>
    </w:p>
    <w:p>
      <w:pPr>
        <w:spacing w:after="0" w:line="285" w:lineRule="exact"/>
        <w:rPr>
          <w:sz w:val="20"/>
          <w:szCs w:val="20"/>
          <w:color w:val="auto"/>
        </w:rPr>
      </w:pPr>
    </w:p>
    <w:p>
      <w:pPr>
        <w:ind w:left="600" w:right="20" w:firstLine="50"/>
        <w:spacing w:after="0" w:line="257" w:lineRule="auto"/>
        <w:tabs>
          <w:tab w:leader="none" w:pos="90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t>
      </w:r>
      <w:r>
        <w:rPr>
          <w:rFonts w:ascii="Times New Roman" w:cs="Times New Roman" w:eastAsia="Times New Roman" w:hAnsi="Times New Roman"/>
          <w:sz w:val="19"/>
          <w:szCs w:val="19"/>
          <w:color w:val="FF0000"/>
          <w:strike w:val="1"/>
        </w:rPr>
        <w:t>two</w:t>
      </w:r>
      <w:r>
        <w:rPr>
          <w:rFonts w:ascii="Times New Roman" w:cs="Times New Roman" w:eastAsia="Times New Roman" w:hAnsi="Times New Roman"/>
          <w:sz w:val="19"/>
          <w:szCs w:val="19"/>
          <w:color w:val="0000FF"/>
        </w:rPr>
        <w:t>all three</w:t>
      </w:r>
      <w:r>
        <w:rPr>
          <w:rFonts w:ascii="Times New Roman" w:cs="Times New Roman" w:eastAsia="Times New Roman" w:hAnsi="Times New Roman"/>
          <w:sz w:val="19"/>
          <w:szCs w:val="19"/>
          <w:color w:val="auto"/>
        </w:rPr>
        <w:t xml:space="preserve"> of David Spreng, Greg Greifeld </w:t>
      </w:r>
      <w:r>
        <w:rPr>
          <w:rFonts w:ascii="Times New Roman" w:cs="Times New Roman" w:eastAsia="Times New Roman" w:hAnsi="Times New Roman"/>
          <w:sz w:val="19"/>
          <w:szCs w:val="19"/>
          <w:color w:val="FF0000"/>
          <w:strike w:val="1"/>
        </w:rPr>
        <w:t>or</w:t>
      </w:r>
      <w:r>
        <w:rPr>
          <w:rFonts w:ascii="Times New Roman" w:cs="Times New Roman" w:eastAsia="Times New Roman" w:hAnsi="Times New Roman"/>
          <w:sz w:val="19"/>
          <w:szCs w:val="19"/>
          <w:color w:val="0000FF"/>
        </w:rPr>
        <w:t>and</w:t>
      </w:r>
      <w:r>
        <w:rPr>
          <w:rFonts w:ascii="Times New Roman" w:cs="Times New Roman" w:eastAsia="Times New Roman" w:hAnsi="Times New Roman"/>
          <w:sz w:val="19"/>
          <w:szCs w:val="19"/>
          <w:color w:val="auto"/>
        </w:rPr>
        <w:t xml:space="preserve"> Tom Raterman (or, in each case, any Approved Replacement therefor) (each, a “</w:t>
      </w:r>
      <w:r>
        <w:rPr>
          <w:rFonts w:ascii="Times New Roman" w:cs="Times New Roman" w:eastAsia="Times New Roman" w:hAnsi="Times New Roman"/>
          <w:sz w:val="19"/>
          <w:szCs w:val="19"/>
          <w:i w:val="1"/>
          <w:iCs w:val="1"/>
          <w:color w:val="auto"/>
        </w:rPr>
        <w:t>Key Person</w:t>
      </w:r>
      <w:r>
        <w:rPr>
          <w:rFonts w:ascii="Times New Roman" w:cs="Times New Roman" w:eastAsia="Times New Roman" w:hAnsi="Times New Roman"/>
          <w:sz w:val="19"/>
          <w:szCs w:val="19"/>
          <w:color w:val="auto"/>
        </w:rPr>
        <w:t xml:space="preserve">”) are not actively involved in the material business of the Borrower or the Investment Adviser (as applicable) </w:t>
      </w:r>
      <w:r>
        <w:rPr>
          <w:rFonts w:ascii="Times New Roman" w:cs="Times New Roman" w:eastAsia="Times New Roman" w:hAnsi="Times New Roman"/>
          <w:sz w:val="19"/>
          <w:szCs w:val="19"/>
          <w:color w:val="FF0000"/>
          <w:strike w:val="1"/>
        </w:rPr>
        <w:t>unless an Approved Replacement therefor is appointed in accordance with the procedures set forth below</w:t>
      </w:r>
      <w:r>
        <w:rPr>
          <w:rFonts w:ascii="Times New Roman" w:cs="Times New Roman" w:eastAsia="Times New Roman" w:hAnsi="Times New Roman"/>
          <w:sz w:val="19"/>
          <w:szCs w:val="19"/>
          <w:color w:val="auto"/>
        </w:rPr>
        <w:t>, such event shall constitute a “</w:t>
      </w:r>
      <w:r>
        <w:rPr>
          <w:rFonts w:ascii="Times New Roman" w:cs="Times New Roman" w:eastAsia="Times New Roman" w:hAnsi="Times New Roman"/>
          <w:sz w:val="19"/>
          <w:szCs w:val="19"/>
          <w:i w:val="1"/>
          <w:iCs w:val="1"/>
          <w:color w:val="auto"/>
        </w:rPr>
        <w:t>Key Person Trigger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If no Approved Replacement (as defined below) is appointed within 120 days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following a Key Person Trigger, such event shall constitute a “</w:t>
      </w:r>
      <w:r>
        <w:rPr>
          <w:rFonts w:ascii="Times New Roman" w:cs="Times New Roman" w:eastAsia="Times New Roman" w:hAnsi="Times New Roman"/>
          <w:sz w:val="19"/>
          <w:szCs w:val="19"/>
          <w:i w:val="1"/>
          <w:iCs w:val="1"/>
          <w:color w:val="FF0000"/>
          <w:strike w:val="1"/>
        </w:rPr>
        <w:t>Key Person Event</w:t>
      </w:r>
      <w:r>
        <w:rPr>
          <w:rFonts w:ascii="Times New Roman" w:cs="Times New Roman" w:eastAsia="Times New Roman" w:hAnsi="Times New Roman"/>
          <w:sz w:val="19"/>
          <w:szCs w:val="19"/>
          <w:color w:val="FF0000"/>
          <w:strike w:val="1"/>
        </w:rPr>
        <w:t>”. Within the 120-day period following a Key Person Trigger, a “</w:t>
      </w:r>
      <w:r>
        <w:rPr>
          <w:rFonts w:ascii="Times New Roman" w:cs="Times New Roman" w:eastAsia="Times New Roman" w:hAnsi="Times New Roman"/>
          <w:sz w:val="19"/>
          <w:szCs w:val="19"/>
          <w:i w:val="1"/>
          <w:iCs w:val="1"/>
          <w:color w:val="FF0000"/>
          <w:strike w:val="1"/>
        </w:rPr>
        <w:t>Key Person Trigger Cure</w:t>
      </w:r>
      <w:r>
        <w:rPr>
          <w:rFonts w:ascii="Times New Roman" w:cs="Times New Roman" w:eastAsia="Times New Roman" w:hAnsi="Times New Roman"/>
          <w:sz w:val="19"/>
          <w:szCs w:val="19"/>
          <w:color w:val="FF0000"/>
          <w:strike w:val="1"/>
        </w:rPr>
        <w:t>” shall occur upon the appointment of an Approved Replacement.</w:t>
      </w:r>
    </w:p>
    <w:p>
      <w:pPr>
        <w:spacing w:after="0" w:line="180" w:lineRule="exact"/>
        <w:rPr>
          <w:rFonts w:ascii="Times New Roman" w:cs="Times New Roman" w:eastAsia="Times New Roman" w:hAnsi="Times New Roman"/>
          <w:sz w:val="19"/>
          <w:szCs w:val="19"/>
          <w:color w:val="auto"/>
        </w:rPr>
      </w:pPr>
    </w:p>
    <w:p>
      <w:pPr>
        <w:ind w:left="600" w:firstLine="50"/>
        <w:spacing w:after="0" w:line="253" w:lineRule="auto"/>
        <w:tabs>
          <w:tab w:leader="none" w:pos="92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give prompt written notice to the Administrative Agent and the Managing Agents if a Key Person Trigger or a Key Person Event occurs </w:t>
      </w:r>
      <w:r>
        <w:rPr>
          <w:rFonts w:ascii="Times New Roman" w:cs="Times New Roman" w:eastAsia="Times New Roman" w:hAnsi="Times New Roman"/>
          <w:sz w:val="19"/>
          <w:szCs w:val="19"/>
          <w:color w:val="FF0000"/>
        </w:rPr>
        <w:t>or if any Key Person is not actively involved in the material business of the Borrower 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the Investment Adviser (as applicable)</w:t>
      </w:r>
      <w:r>
        <w:rPr>
          <w:rFonts w:ascii="Times New Roman" w:cs="Times New Roman" w:eastAsia="Times New Roman" w:hAnsi="Times New Roman"/>
          <w:sz w:val="19"/>
          <w:szCs w:val="19"/>
          <w:color w:val="000000"/>
        </w:rPr>
        <w:t>. Within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sixty (</w:t>
      </w:r>
      <w:r>
        <w:rPr>
          <w:rFonts w:ascii="Times New Roman" w:cs="Times New Roman" w:eastAsia="Times New Roman" w:hAnsi="Times New Roman"/>
          <w:sz w:val="19"/>
          <w:szCs w:val="19"/>
          <w:color w:val="000000"/>
        </w:rPr>
        <w:t>60</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days of any such Key Person Trigger described above (the “</w:t>
      </w:r>
      <w:r>
        <w:rPr>
          <w:rFonts w:ascii="Times New Roman" w:cs="Times New Roman" w:eastAsia="Times New Roman" w:hAnsi="Times New Roman"/>
          <w:sz w:val="19"/>
          <w:szCs w:val="19"/>
          <w:i w:val="1"/>
          <w:iCs w:val="1"/>
          <w:color w:val="000000"/>
        </w:rPr>
        <w:t>Proposal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i w:val="1"/>
          <w:iCs w:val="1"/>
          <w:color w:val="000000"/>
        </w:rPr>
        <w:t>Period</w:t>
      </w:r>
      <w:r>
        <w:rPr>
          <w:rFonts w:ascii="Times New Roman" w:cs="Times New Roman" w:eastAsia="Times New Roman" w:hAnsi="Times New Roman"/>
          <w:sz w:val="19"/>
          <w:szCs w:val="19"/>
          <w:color w:val="000000"/>
        </w:rPr>
        <w:t>”), the Borrower will have the right to provide written notice to the Administrative Agent and the Managing Agents of its</w:t>
      </w:r>
      <w:r>
        <w:rPr>
          <w:rFonts w:ascii="Times New Roman" w:cs="Times New Roman" w:eastAsia="Times New Roman" w:hAnsi="Times New Roman"/>
          <w:sz w:val="19"/>
          <w:szCs w:val="19"/>
          <w:i w:val="1"/>
          <w:iCs w:val="1"/>
          <w:color w:val="000000"/>
        </w:rPr>
        <w:t xml:space="preserve"> </w:t>
      </w:r>
      <w:r>
        <w:rPr>
          <w:rFonts w:ascii="Times New Roman" w:cs="Times New Roman" w:eastAsia="Times New Roman" w:hAnsi="Times New Roman"/>
          <w:sz w:val="19"/>
          <w:szCs w:val="19"/>
          <w:color w:val="000000"/>
        </w:rPr>
        <w:t xml:space="preserve">proposal for a </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i w:val="1"/>
          <w:iCs w:val="1"/>
          <w:color w:val="FF0000"/>
          <w:strike w:val="1"/>
        </w:rPr>
        <w:t>Proposed Replacement</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FF"/>
        </w:rPr>
        <w:t>replacement</w:t>
      </w:r>
      <w:r>
        <w:rPr>
          <w:rFonts w:ascii="Times New Roman" w:cs="Times New Roman" w:eastAsia="Times New Roman" w:hAnsi="Times New Roman"/>
          <w:sz w:val="19"/>
          <w:szCs w:val="19"/>
          <w:color w:val="000000"/>
        </w:rPr>
        <w:t xml:space="preserve"> of any such Key Person(s)</w:t>
      </w:r>
      <w:r>
        <w:rPr>
          <w:rFonts w:ascii="Times New Roman" w:cs="Times New Roman" w:eastAsia="Times New Roman" w:hAnsi="Times New Roman"/>
          <w:sz w:val="19"/>
          <w:szCs w:val="19"/>
          <w:color w:val="FF0000"/>
          <w:strike w:val="1"/>
        </w:rPr>
        <w:t>,</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(such proposed replacement, a “</w:t>
      </w:r>
      <w:r>
        <w:rPr>
          <w:rFonts w:ascii="Times New Roman" w:cs="Times New Roman" w:eastAsia="Times New Roman" w:hAnsi="Times New Roman"/>
          <w:sz w:val="19"/>
          <w:szCs w:val="19"/>
          <w:i w:val="1"/>
          <w:iCs w:val="1"/>
          <w:color w:val="0000FF"/>
        </w:rPr>
        <w:t>Proposed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i w:val="1"/>
          <w:iCs w:val="1"/>
          <w:color w:val="0000FF"/>
        </w:rPr>
        <w:t>Replacement</w:t>
      </w:r>
      <w:r>
        <w:rPr>
          <w:rFonts w:ascii="Times New Roman" w:cs="Times New Roman" w:eastAsia="Times New Roman" w:hAnsi="Times New Roman"/>
          <w:sz w:val="19"/>
          <w:szCs w:val="19"/>
          <w:color w:val="0000FF"/>
        </w:rPr>
        <w:t>”), and shall provide</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00"/>
        </w:rPr>
        <w:t>background information satisfactory to the Administrative Agent regarding the Proposed</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00"/>
        </w:rPr>
        <w:t>Replacement(s) (including, without limitation, relevant employment history and management experience) and a schedule for implementation of such Proposed Replacement(s). The Borrower shall make each such Proposed Replacement reasonably available for meetings and/or telephonic conferences with</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000000"/>
        </w:rPr>
        <w:t xml:space="preserve"> and to respond to questions from</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000000"/>
        </w:rPr>
        <w:t xml:space="preserve"> the Administrative Agent and the Managing Agents. If the Administrative Agent does not provide affirmative written </w:t>
      </w:r>
      <w:r>
        <w:rPr>
          <w:rFonts w:ascii="Times New Roman" w:cs="Times New Roman" w:eastAsia="Times New Roman" w:hAnsi="Times New Roman"/>
          <w:sz w:val="19"/>
          <w:szCs w:val="19"/>
          <w:color w:val="FF0000"/>
          <w:strike w:val="1"/>
        </w:rPr>
        <w:t>consent</w:t>
      </w:r>
      <w:r>
        <w:rPr>
          <w:rFonts w:ascii="Times New Roman" w:cs="Times New Roman" w:eastAsia="Times New Roman" w:hAnsi="Times New Roman"/>
          <w:sz w:val="19"/>
          <w:szCs w:val="19"/>
          <w:color w:val="0000FF"/>
        </w:rPr>
        <w:t>approval of any such Proposed</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0000FF"/>
        </w:rPr>
        <w:t>Replacement</w:t>
      </w:r>
      <w:r>
        <w:rPr>
          <w:rFonts w:ascii="Times New Roman" w:cs="Times New Roman" w:eastAsia="Times New Roman" w:hAnsi="Times New Roman"/>
          <w:sz w:val="19"/>
          <w:szCs w:val="19"/>
          <w:color w:val="000000"/>
        </w:rPr>
        <w:t>, the Borrower may continue to seek an acceptable replacement and may propose one or more further Proposed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Replacements on or before the last day of the Proposal Period.</w:t>
      </w:r>
    </w:p>
    <w:p>
      <w:pPr>
        <w:spacing w:after="0" w:line="189" w:lineRule="exact"/>
        <w:rPr>
          <w:rFonts w:ascii="Times New Roman" w:cs="Times New Roman" w:eastAsia="Times New Roman" w:hAnsi="Times New Roman"/>
          <w:sz w:val="19"/>
          <w:szCs w:val="19"/>
          <w:color w:val="auto"/>
        </w:rPr>
      </w:pPr>
    </w:p>
    <w:p>
      <w:pPr>
        <w:ind w:left="600" w:right="60" w:firstLine="50"/>
        <w:spacing w:after="0" w:line="257" w:lineRule="auto"/>
        <w:tabs>
          <w:tab w:leader="none" w:pos="909"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no Approved Replacement </w:t>
      </w:r>
      <w:r>
        <w:rPr>
          <w:rFonts w:ascii="Times New Roman" w:cs="Times New Roman" w:eastAsia="Times New Roman" w:hAnsi="Times New Roman"/>
          <w:sz w:val="19"/>
          <w:szCs w:val="19"/>
          <w:color w:val="00C000"/>
          <w:strike w:val="1"/>
        </w:rPr>
        <w:t>is appointed on or prior to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last day of the Approval Period (which, for the avoidance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doubt, shall not be later than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C000"/>
        </w:rPr>
        <w:t>120 days after the Key Person Trigger</w:t>
      </w:r>
      <w:r>
        <w:rPr>
          <w:rFonts w:ascii="Times New Roman" w:cs="Times New Roman" w:eastAsia="Times New Roman" w:hAnsi="Times New Roman"/>
          <w:sz w:val="19"/>
          <w:szCs w:val="19"/>
          <w:color w:val="FF0000"/>
        </w:rPr>
        <w:t xml:space="preserve"> or after</w:t>
      </w:r>
      <w:r>
        <w:rPr>
          <w:rFonts w:ascii="Times New Roman" w:cs="Times New Roman" w:eastAsia="Times New Roman" w:hAnsi="Times New Roman"/>
          <w:sz w:val="19"/>
          <w:szCs w:val="19"/>
          <w:color w:val="0000FF"/>
        </w:rPr>
        <w:t>for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any Key Person</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that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no longer</w:t>
      </w:r>
      <w:r>
        <w:rPr>
          <w:rFonts w:ascii="Times New Roman" w:cs="Times New Roman" w:eastAsia="Times New Roman" w:hAnsi="Times New Roman"/>
          <w:sz w:val="19"/>
          <w:szCs w:val="19"/>
          <w:color w:val="0000FF"/>
        </w:rPr>
        <w:t>not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actively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involved in the material business of the </w:t>
      </w:r>
      <w:r>
        <w:rPr>
          <w:rFonts w:ascii="Times New Roman" w:cs="Times New Roman" w:eastAsia="Times New Roman" w:hAnsi="Times New Roman"/>
          <w:sz w:val="19"/>
          <w:szCs w:val="19"/>
          <w:color w:val="0000FF"/>
        </w:rPr>
        <w:t>Borrower or the</w:t>
      </w:r>
      <w:r>
        <w:rPr>
          <w:rFonts w:ascii="Times New Roman" w:cs="Times New Roman" w:eastAsia="Times New Roman" w:hAnsi="Times New Roman"/>
          <w:sz w:val="19"/>
          <w:szCs w:val="19"/>
          <w:color w:val="000000"/>
        </w:rPr>
        <w:t xml:space="preserve"> Investment Adviser </w:t>
      </w:r>
      <w:r>
        <w:rPr>
          <w:rFonts w:ascii="Times New Roman" w:cs="Times New Roman" w:eastAsia="Times New Roman" w:hAnsi="Times New Roman"/>
          <w:sz w:val="19"/>
          <w:szCs w:val="19"/>
          <w:color w:val="FF0000"/>
          <w:strike w:val="1"/>
        </w:rPr>
        <w:t>or the Borrower, as applicable) related to the final</w:t>
      </w:r>
      <w:r>
        <w:rPr>
          <w:rFonts w:ascii="Times New Roman" w:cs="Times New Roman" w:eastAsia="Times New Roman" w:hAnsi="Times New Roman"/>
          <w:sz w:val="19"/>
          <w:szCs w:val="19"/>
          <w:color w:val="000000"/>
        </w:rPr>
        <w:t xml:space="preserve"> </w:t>
      </w:r>
      <w:r>
        <w:rPr>
          <w:rFonts w:ascii="Times New Roman" w:cs="Times New Roman" w:eastAsia="Times New Roman" w:hAnsi="Times New Roman"/>
          <w:sz w:val="19"/>
          <w:szCs w:val="19"/>
          <w:color w:val="FF0000"/>
          <w:strike w:val="1"/>
        </w:rPr>
        <w:t>Proposed Replacement proposed by the Borrower during the Proposal Period</w:t>
      </w:r>
      <w:r>
        <w:rPr>
          <w:rFonts w:ascii="Times New Roman" w:cs="Times New Roman" w:eastAsia="Times New Roman" w:hAnsi="Times New Roman"/>
          <w:sz w:val="19"/>
          <w:szCs w:val="19"/>
          <w:color w:val="00C000"/>
        </w:rPr>
        <w:t>is appointed on or prior to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day that 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C000"/>
        </w:rPr>
        <w:t>120 days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C000"/>
        </w:rPr>
        <w:t>after the Key Person Trigger</w:t>
      </w:r>
      <w:r>
        <w:rPr>
          <w:rFonts w:ascii="Times New Roman" w:cs="Times New Roman" w:eastAsia="Times New Roman" w:hAnsi="Times New Roman"/>
          <w:sz w:val="19"/>
          <w:szCs w:val="19"/>
          <w:color w:val="000000"/>
        </w:rPr>
        <w:t>, then the Borrower shall promptly provide notice of such failure to the Administrative Agent and</w:t>
      </w:r>
      <w:r>
        <w:rPr>
          <w:rFonts w:ascii="Times New Roman" w:cs="Times New Roman" w:eastAsia="Times New Roman" w:hAnsi="Times New Roman"/>
          <w:sz w:val="19"/>
          <w:szCs w:val="19"/>
          <w:color w:val="00C000"/>
        </w:rPr>
        <w:t xml:space="preserve"> </w:t>
      </w:r>
      <w:r>
        <w:rPr>
          <w:rFonts w:ascii="Times New Roman" w:cs="Times New Roman" w:eastAsia="Times New Roman" w:hAnsi="Times New Roman"/>
          <w:sz w:val="19"/>
          <w:szCs w:val="19"/>
          <w:color w:val="000000"/>
        </w:rPr>
        <w:t xml:space="preserve">the Managing Agents and a </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000000"/>
        </w:rPr>
        <w:t>Key Person Event</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000000"/>
        </w:rPr>
        <w:t xml:space="preserve">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2226945</wp:posOffset>
            </wp:positionH>
            <wp:positionV relativeFrom="paragraph">
              <wp:posOffset>-2536190</wp:posOffset>
            </wp:positionV>
            <wp:extent cx="432943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3">
                      <a:extLst>
                        <a:ext uri="{28A0092B-C50C-407E-A947-70E740481C1C}"/>
                      </a:extLst>
                    </a:blip>
                    <a:srcRect/>
                    <a:stretch>
                      <a:fillRect/>
                    </a:stretch>
                  </pic:blipFill>
                  <pic:spPr bwMode="auto">
                    <a:xfrm>
                      <a:off x="0" y="0"/>
                      <a:ext cx="4329430" cy="7620"/>
                    </a:xfrm>
                    <a:prstGeom prst="rect">
                      <a:avLst/>
                    </a:prstGeom>
                    <a:noFill/>
                  </pic:spPr>
                </pic:pic>
              </a:graphicData>
            </a:graphic>
          </wp:anchor>
        </w:drawing>
        <w:drawing>
          <wp:anchor simplePos="0" relativeHeight="251657728" behindDoc="1" locked="0" layoutInCell="0" allowOverlap="1">
            <wp:simplePos x="0" y="0"/>
            <wp:positionH relativeFrom="column">
              <wp:posOffset>1769745</wp:posOffset>
            </wp:positionH>
            <wp:positionV relativeFrom="paragraph">
              <wp:posOffset>-661670</wp:posOffset>
            </wp:positionV>
            <wp:extent cx="227901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4">
                      <a:extLst>
                        <a:ext uri="{28A0092B-C50C-407E-A947-70E740481C1C}"/>
                      </a:extLst>
                    </a:blip>
                    <a:srcRect/>
                    <a:stretch>
                      <a:fillRect/>
                    </a:stretch>
                  </pic:blipFill>
                  <pic:spPr bwMode="auto">
                    <a:xfrm>
                      <a:off x="0" y="0"/>
                      <a:ext cx="2279015" cy="762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Section 5.3. Financial Covenants</w:t>
      </w:r>
      <w:r>
        <w:rPr>
          <w:rFonts w:ascii="Times New Roman" w:cs="Times New Roman" w:eastAsia="Times New Roman" w:hAnsi="Times New Roman"/>
          <w:sz w:val="19"/>
          <w:szCs w:val="19"/>
          <w:color w:val="auto"/>
        </w:rPr>
        <w:t>. The Borrower hereby covenants that as of the last day of each fiscal quarter of the Borrower:</w:t>
      </w:r>
    </w:p>
    <w:p>
      <w:pPr>
        <w:spacing w:after="0" w:line="228" w:lineRule="exact"/>
        <w:rPr>
          <w:sz w:val="20"/>
          <w:szCs w:val="20"/>
          <w:color w:val="auto"/>
        </w:rPr>
      </w:pPr>
    </w:p>
    <w:p>
      <w:pPr>
        <w:ind w:left="920" w:hanging="270"/>
        <w:spacing w:after="0"/>
        <w:tabs>
          <w:tab w:leader="none" w:pos="920" w:val="left"/>
        </w:tabs>
        <w:numPr>
          <w:ilvl w:val="1"/>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have a Tangible Net Worth in excess of </w:t>
      </w:r>
      <w:r>
        <w:rPr>
          <w:rFonts w:ascii="Times New Roman" w:cs="Times New Roman" w:eastAsia="Times New Roman" w:hAnsi="Times New Roman"/>
          <w:sz w:val="19"/>
          <w:szCs w:val="19"/>
          <w:color w:val="FF0000"/>
        </w:rPr>
        <w:t>the greater of (i)</w:t>
      </w:r>
      <w:r>
        <w:rPr>
          <w:rFonts w:ascii="Times New Roman" w:cs="Times New Roman" w:eastAsia="Times New Roman" w:hAnsi="Times New Roman"/>
          <w:sz w:val="19"/>
          <w:szCs w:val="19"/>
          <w:color w:val="auto"/>
        </w:rPr>
        <w:t xml:space="preserve"> the sum of (1) $</w:t>
      </w:r>
      <w:r>
        <w:rPr>
          <w:rFonts w:ascii="Times New Roman" w:cs="Times New Roman" w:eastAsia="Times New Roman" w:hAnsi="Times New Roman"/>
          <w:sz w:val="19"/>
          <w:szCs w:val="19"/>
          <w:color w:val="FF0000"/>
          <w:strike w:val="1"/>
        </w:rPr>
        <w:t>327,753,390</w:t>
      </w:r>
      <w:r>
        <w:rPr>
          <w:rFonts w:ascii="Times New Roman" w:cs="Times New Roman" w:eastAsia="Times New Roman" w:hAnsi="Times New Roman"/>
          <w:sz w:val="19"/>
          <w:szCs w:val="19"/>
          <w:color w:val="0000FF"/>
        </w:rPr>
        <w:t>392,759,890</w:t>
      </w:r>
      <w:r>
        <w:rPr>
          <w:rFonts w:ascii="Times New Roman" w:cs="Times New Roman" w:eastAsia="Times New Roman" w:hAnsi="Times New Roman"/>
          <w:sz w:val="19"/>
          <w:szCs w:val="19"/>
          <w:color w:val="auto"/>
        </w:rPr>
        <w:t xml:space="preserve"> plus</w:t>
      </w:r>
    </w:p>
    <w:p>
      <w:pPr>
        <w:spacing w:after="0" w:line="31" w:lineRule="exact"/>
        <w:rPr>
          <w:rFonts w:ascii="Times New Roman" w:cs="Times New Roman" w:eastAsia="Times New Roman" w:hAnsi="Times New Roman"/>
          <w:sz w:val="19"/>
          <w:szCs w:val="19"/>
          <w:color w:val="auto"/>
        </w:rPr>
      </w:pPr>
    </w:p>
    <w:p>
      <w:pPr>
        <w:ind w:left="600" w:right="460" w:firstLine="2"/>
        <w:spacing w:after="0" w:line="250" w:lineRule="auto"/>
        <w:tabs>
          <w:tab w:leader="none" w:pos="876" w:val="left"/>
        </w:tabs>
        <w:numPr>
          <w:ilvl w:val="0"/>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65</w:t>
      </w:r>
      <w:r>
        <w:rPr>
          <w:rFonts w:ascii="Times New Roman" w:cs="Times New Roman" w:eastAsia="Times New Roman" w:hAnsi="Times New Roman"/>
          <w:sz w:val="19"/>
          <w:szCs w:val="19"/>
          <w:color w:val="0000FF"/>
        </w:rPr>
        <w:t>75</w:t>
      </w:r>
      <w:r>
        <w:rPr>
          <w:rFonts w:ascii="Times New Roman" w:cs="Times New Roman" w:eastAsia="Times New Roman" w:hAnsi="Times New Roman"/>
          <w:sz w:val="19"/>
          <w:szCs w:val="19"/>
          <w:color w:val="000000"/>
        </w:rPr>
        <w:t>% of the net proceeds of sales of equity interests in the Borrower after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September 30, 2021 and (ii) the sum of the</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Outstanding Loan Balances of all Loans owing by the five (5) Obligors that hold the five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-362585</wp:posOffset>
            </wp:positionV>
            <wp:extent cx="82296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5">
                      <a:extLst>
                        <a:ext uri="{28A0092B-C50C-407E-A947-70E740481C1C}"/>
                      </a:extLst>
                    </a:blip>
                    <a:srcRect/>
                    <a:stretch>
                      <a:fillRect/>
                    </a:stretch>
                  </pic:blipFill>
                  <pic:spPr bwMode="auto">
                    <a:xfrm>
                      <a:off x="0" y="0"/>
                      <a:ext cx="822960" cy="762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635635</wp:posOffset>
            </wp:positionV>
            <wp:extent cx="673290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760" w:top="1440" w:right="700" w:bottom="1440" w:gutter="0" w:footer="0" w:header="0"/>
        </w:sectPr>
      </w:pPr>
    </w:p>
    <w:bookmarkStart w:id="277" w:name="page278"/>
    <w:bookmarkEnd w:id="277"/>
    <w:p>
      <w:pPr>
        <w:spacing w:after="0" w:line="200" w:lineRule="exact"/>
        <w:rPr>
          <w:sz w:val="20"/>
          <w:szCs w:val="20"/>
          <w:color w:val="auto"/>
        </w:rPr>
      </w:pPr>
    </w:p>
    <w:p>
      <w:pPr>
        <w:spacing w:after="0" w:line="285" w:lineRule="exact"/>
        <w:rPr>
          <w:sz w:val="20"/>
          <w:szCs w:val="20"/>
          <w:color w:val="auto"/>
        </w:rPr>
      </w:pPr>
    </w:p>
    <w:p>
      <w:pPr>
        <w:ind w:left="700" w:right="420"/>
        <w:spacing w:after="0" w:line="286" w:lineRule="auto"/>
        <w:rPr>
          <w:sz w:val="20"/>
          <w:szCs w:val="20"/>
          <w:color w:val="auto"/>
        </w:rPr>
      </w:pPr>
      <w:r>
        <w:rPr>
          <w:rFonts w:ascii="Times New Roman" w:cs="Times New Roman" w:eastAsia="Times New Roman" w:hAnsi="Times New Roman"/>
          <w:sz w:val="19"/>
          <w:szCs w:val="19"/>
          <w:color w:val="FF0000"/>
          <w:strike w:val="1"/>
        </w:rPr>
        <w:t>largest percentages of the aggregate Outstanding Loan Balances of all Loans owned by the Borrower</w:t>
      </w:r>
      <w:r>
        <w:rPr>
          <w:rFonts w:ascii="Times New Roman" w:cs="Times New Roman" w:eastAsia="Times New Roman" w:hAnsi="Times New Roman"/>
          <w:sz w:val="19"/>
          <w:szCs w:val="19"/>
          <w:color w:val="0000FF"/>
        </w:rPr>
        <w:t>the Sixth Amendment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Effective Date</w:t>
      </w:r>
      <w:r>
        <w:rPr>
          <w:rFonts w:ascii="Times New Roman" w:cs="Times New Roman" w:eastAsia="Times New Roman" w:hAnsi="Times New Roman"/>
          <w:sz w:val="19"/>
          <w:szCs w:val="19"/>
          <w:color w:val="000000"/>
        </w:rPr>
        <w:t>.</w:t>
      </w:r>
    </w:p>
    <w:p>
      <w:pPr>
        <w:spacing w:after="0" w:line="151" w:lineRule="exact"/>
        <w:rPr>
          <w:sz w:val="20"/>
          <w:szCs w:val="20"/>
          <w:color w:val="auto"/>
        </w:rPr>
      </w:pPr>
    </w:p>
    <w:p>
      <w:pPr>
        <w:jc w:val="both"/>
        <w:ind w:left="700" w:right="320" w:firstLine="50"/>
        <w:spacing w:after="0" w:line="268" w:lineRule="auto"/>
        <w:tabs>
          <w:tab w:leader="none" w:pos="1020"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“Asset Coverage Ratio”, as determined pursuant to the 1940 Act and any orders of the SEC issued to the Borrower thereunder, shall equal or exceed the greater of (i) 150% and (ii) the ratio permitted by the SEC under business development company regulatory requirements.</w:t>
      </w:r>
    </w:p>
    <w:p>
      <w:pPr>
        <w:spacing w:after="0" w:line="166" w:lineRule="exact"/>
        <w:rPr>
          <w:rFonts w:ascii="Times New Roman" w:cs="Times New Roman" w:eastAsia="Times New Roman" w:hAnsi="Times New Roman"/>
          <w:sz w:val="19"/>
          <w:szCs w:val="19"/>
          <w:color w:val="auto"/>
        </w:rPr>
      </w:pPr>
    </w:p>
    <w:p>
      <w:pPr>
        <w:ind w:left="700" w:firstLine="50"/>
        <w:spacing w:after="0" w:line="254" w:lineRule="auto"/>
        <w:tabs>
          <w:tab w:leader="none" w:pos="1009" w:val="left"/>
        </w:tabs>
        <w:numPr>
          <w:ilvl w:val="0"/>
          <w:numId w:val="1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sum of (i) the aggregate amount of unencumbered cash and cash equivalents of the Borrower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 the Availability hereunder (determined on a pro forma basis, including newly originated or acquired Eligible Loans)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(iii) the aggregate amounts available to be drawn under any other committed capital facilities of the Borrower</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 shall at all times exceed the greatest of: (x) $15,000,000, (y) the product of (1) the aggregate Unfunded Amount as of such date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(2) (A) during the Revolving Period, one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the Weighted Average Advance Rate for all Revolving </w:t>
      </w:r>
      <w:r>
        <w:rPr>
          <w:rFonts w:ascii="Times New Roman" w:cs="Times New Roman" w:eastAsia="Times New Roman" w:hAnsi="Times New Roman"/>
          <w:sz w:val="19"/>
          <w:szCs w:val="19"/>
          <w:color w:val="FF0000"/>
          <w:strike w:val="1"/>
        </w:rPr>
        <w:t>Loans, Enterprise</w:t>
      </w:r>
      <w:r>
        <w:rPr>
          <w:rFonts w:ascii="Times New Roman" w:cs="Times New Roman" w:eastAsia="Times New Roman" w:hAnsi="Times New Roman"/>
          <w:sz w:val="19"/>
          <w:szCs w:val="19"/>
          <w:color w:val="auto"/>
        </w:rPr>
        <w:t xml:space="preserve"> Loans and Delayed Draw Term Loans or (B) following the Revolving Period, one, and (z) the product of (1) the sum of (A) the excess of (x) the Outstanding Loan Balance of all Eligible Loans that are owed by the Obligor that is the Obligor with respect to the largest percentage of the Aggregate Outstanding Loan Balance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(y) the Excess Concentration Amount attributable to such Eligible Loans and (B) the product of (c) 75.0%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(y) the aggregate amount included in clause (dd) of the definition of “Excess Concentration Amount” </w:t>
      </w:r>
      <w:r>
        <w:rPr>
          <w:rFonts w:ascii="Times New Roman" w:cs="Times New Roman" w:eastAsia="Times New Roman" w:hAnsi="Times New Roman"/>
          <w:sz w:val="19"/>
          <w:szCs w:val="19"/>
          <w:i w:val="1"/>
          <w:iCs w:val="1"/>
          <w:color w:val="auto"/>
        </w:rPr>
        <w:t>times</w:t>
      </w:r>
      <w:r>
        <w:rPr>
          <w:rFonts w:ascii="Times New Roman" w:cs="Times New Roman" w:eastAsia="Times New Roman" w:hAnsi="Times New Roman"/>
          <w:sz w:val="19"/>
          <w:szCs w:val="19"/>
          <w:color w:val="auto"/>
        </w:rPr>
        <w:t xml:space="preserve"> (2) the Weighted Average Advance Rate applicable to such Eligible Loans.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9"/>
          <w:szCs w:val="19"/>
          <w:color w:val="FF0000"/>
          <w:strike w:val="1"/>
        </w:rPr>
        <w:t>) The Interest Coverage Ratio shall exceed 2.00 to 1.00 for such fiscal quarter.</w:t>
      </w:r>
    </w:p>
    <w:p>
      <w:pPr>
        <w:spacing w:after="0" w:line="226" w:lineRule="exact"/>
        <w:rPr>
          <w:sz w:val="20"/>
          <w:szCs w:val="20"/>
          <w:color w:val="auto"/>
        </w:rPr>
      </w:pPr>
    </w:p>
    <w:p>
      <w:pPr>
        <w:ind w:left="700" w:right="220" w:firstLine="48"/>
        <w:spacing w:after="0" w:line="286" w:lineRule="auto"/>
        <w:rPr>
          <w:sz w:val="20"/>
          <w:szCs w:val="20"/>
          <w:color w:val="auto"/>
        </w:rPr>
      </w:pPr>
      <w:r>
        <w:rPr>
          <w:rFonts w:ascii="Times New Roman" w:cs="Times New Roman" w:eastAsia="Times New Roman" w:hAnsi="Times New Roman"/>
          <w:sz w:val="19"/>
          <w:szCs w:val="19"/>
          <w:color w:val="FF0000"/>
        </w:rPr>
        <w:t>(e</w:t>
      </w:r>
      <w:r>
        <w:rPr>
          <w:rFonts w:ascii="Times New Roman" w:cs="Times New Roman" w:eastAsia="Times New Roman" w:hAnsi="Times New Roman"/>
          <w:sz w:val="19"/>
          <w:szCs w:val="19"/>
          <w:color w:val="000000"/>
        </w:rPr>
        <w:t>) The net income of the Borrower calculated in accordance with GAAP shall not be negative for any two consecutive fiscal</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quarters or any trailing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-245745</wp:posOffset>
            </wp:positionV>
            <wp:extent cx="1219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7">
                      <a:extLst>
                        <a:ext uri="{28A0092B-C50C-407E-A947-70E740481C1C}"/>
                      </a:extLst>
                    </a:blip>
                    <a:srcRect/>
                    <a:stretch>
                      <a:fillRect/>
                    </a:stretch>
                  </pic:blipFill>
                  <pic:spPr bwMode="auto">
                    <a:xfrm>
                      <a:off x="0" y="0"/>
                      <a:ext cx="121920" cy="7620"/>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VI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ECURITY</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3"/>
          <w:szCs w:val="13"/>
          <w:b w:val="1"/>
          <w:bCs w:val="1"/>
          <w:color w:val="auto"/>
        </w:rPr>
        <w:t>NTEREST</w:t>
      </w:r>
    </w:p>
    <w:p>
      <w:pPr>
        <w:spacing w:after="0" w:line="226" w:lineRule="exact"/>
        <w:rPr>
          <w:sz w:val="20"/>
          <w:szCs w:val="20"/>
          <w:color w:val="auto"/>
        </w:rPr>
      </w:pPr>
    </w:p>
    <w:p>
      <w:pPr>
        <w:ind w:right="60" w:firstLine="48"/>
        <w:spacing w:after="0" w:line="231" w:lineRule="exact"/>
        <w:rPr>
          <w:sz w:val="20"/>
          <w:szCs w:val="20"/>
          <w:color w:val="auto"/>
        </w:rPr>
      </w:pPr>
      <w:r>
        <w:rPr>
          <w:rFonts w:ascii="Times New Roman" w:cs="Times New Roman" w:eastAsia="Times New Roman" w:hAnsi="Times New Roman"/>
          <w:sz w:val="19"/>
          <w:szCs w:val="19"/>
          <w:i w:val="1"/>
          <w:iCs w:val="1"/>
          <w:color w:val="auto"/>
        </w:rPr>
        <w:t>Section 6.1. Security Interest</w:t>
      </w:r>
      <w:r>
        <w:rPr>
          <w:rFonts w:ascii="Times New Roman" w:cs="Times New Roman" w:eastAsia="Times New Roman" w:hAnsi="Times New Roman"/>
          <w:sz w:val="19"/>
          <w:szCs w:val="19"/>
          <w:color w:val="auto"/>
        </w:rPr>
        <w:t>. As collateral security for the prompt, complete and indefeasible payment and performance in full when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due, whether by lapse of time, acceleration or otherwise, of the Obligations, each Loan Party hereby assigns, pledges and grants to the Administrative Agent, as agent for the Secured Parties, a first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priority lien on and security interest in all of such Loan Party’s right, title and interest in, to and under (but none of its obligations under) the Collateral, whether now existing or owned or hereafter arising or acquired by such Loan Party, and wherever located. The Loan Parties hereby authorize the Administrative Agent, as agent for the Secured Parties, to file an “all assets” (other than, in the case of the Borrower, the Excluded Property) financing statement to evidence the security interest granted in the Collateral hereunder. The assignment under this Section 6.1 does not constitute and is not intended to result in a creation or an assumption by the Administrative Agent, the Managing Agents or any of the Secured Parties of any obligation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or any other Person in connection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8" w:name="page279"/>
    <w:bookmarkEnd w:id="278"/>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any or all of the Collateral or under any agreement or instrument relating thereto. Anything herein to the contrary notwithstanding,</w:t>
      </w:r>
    </w:p>
    <w:p>
      <w:pPr>
        <w:spacing w:after="0" w:line="32" w:lineRule="exact"/>
        <w:rPr>
          <w:sz w:val="20"/>
          <w:szCs w:val="20"/>
          <w:color w:val="auto"/>
        </w:rPr>
      </w:pPr>
    </w:p>
    <w:p>
      <w:pPr>
        <w:ind w:firstLine="6"/>
        <w:spacing w:after="0" w:line="250" w:lineRule="auto"/>
        <w:tabs>
          <w:tab w:leader="none" w:pos="261"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remain liable under the Loans to the extent set forth therein to perform all of its duties and obligations thereunder to the same extent as if this Agreement had not been executed, (b) the exercise by the Administrative Agent, as agent for the Secured Parties, of any of its rights in the Collateral shall not release any Loan Party from any of its duties or obligations under the Collateral, and</w:t>
      </w:r>
    </w:p>
    <w:p>
      <w:pPr>
        <w:spacing w:after="0" w:line="1" w:lineRule="exact"/>
        <w:rPr>
          <w:rFonts w:ascii="Times New Roman" w:cs="Times New Roman" w:eastAsia="Times New Roman" w:hAnsi="Times New Roman"/>
          <w:sz w:val="19"/>
          <w:szCs w:val="19"/>
          <w:color w:val="auto"/>
        </w:rPr>
      </w:pPr>
    </w:p>
    <w:p>
      <w:pPr>
        <w:ind w:right="140" w:firstLine="6"/>
        <w:spacing w:after="0" w:line="254" w:lineRule="auto"/>
        <w:tabs>
          <w:tab w:leader="none" w:pos="261"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Administrative Agent, the Managing Agents or any Secured Party shall have any obligations or liability under the Collateral by reason of this Agreement, nor shall the Administrative Agent, the Managing Agents or any Secured Party be obligated to perform any of the obligations or duties of the Loan Parties thereunder or to take any action to collect or enforce any claim for payment assigned hereunder.</w:t>
      </w:r>
    </w:p>
    <w:p>
      <w:pPr>
        <w:spacing w:after="0" w:line="179" w:lineRule="exact"/>
        <w:rPr>
          <w:sz w:val="20"/>
          <w:szCs w:val="20"/>
          <w:color w:val="auto"/>
        </w:rPr>
      </w:pPr>
    </w:p>
    <w:p>
      <w:pPr>
        <w:ind w:right="20" w:firstLine="48"/>
        <w:spacing w:after="0" w:line="229" w:lineRule="exact"/>
        <w:rPr>
          <w:sz w:val="20"/>
          <w:szCs w:val="20"/>
          <w:color w:val="auto"/>
        </w:rPr>
      </w:pPr>
      <w:r>
        <w:rPr>
          <w:rFonts w:ascii="Times New Roman" w:cs="Times New Roman" w:eastAsia="Times New Roman" w:hAnsi="Times New Roman"/>
          <w:sz w:val="19"/>
          <w:szCs w:val="19"/>
          <w:i w:val="1"/>
          <w:iCs w:val="1"/>
          <w:color w:val="auto"/>
        </w:rPr>
        <w:t>Section 6.2. Remedies</w:t>
      </w:r>
      <w:r>
        <w:rPr>
          <w:rFonts w:ascii="Times New Roman" w:cs="Times New Roman" w:eastAsia="Times New Roman" w:hAnsi="Times New Roman"/>
          <w:sz w:val="19"/>
          <w:szCs w:val="19"/>
          <w:color w:val="auto"/>
        </w:rPr>
        <w:t>. The Administrative Agent (for itself and on behalf of the other Secured Parties) shall have all of the rights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remedies of a secured party under the UCC and other Applicable Law. Upon the occurrence and during the continuance of an Event of Default, the Administrative Agent or its designees may (i) deliver a notice of exclusive control to the Collateral Custodian and the Document Custodian; (ii) instruct the Collateral Custodian and the Document Custodian to deliver any or all of the Collateral to the Administrative Agent or its designees and otherwise give all instructions and entitlement orders to the Collateral Custodian and the Document Custodian regarding the Collateral; (iii) require that the Loan Parties or the Collateral Custodian and the Document Custodian immediately take action to liquidate the Collateral to pay amounts due and payable in respect of the Obligations; (iv) sell or otherwise dispose of the Collateral in a commercially reasonable manner, all without judicial process or proceedings; (v) take control of the Proceeds of any such Collateral; (vi) exercise any consensual or voting rights in respect of the Collateral; (vii) release, make extensions, discharges, exchanges or substitutions for, or surrender all or any part of the Collateral; (viii) enforce the Borrower’s rights and remedies against the Collateral Custodian and the Document Custodian with respect to the Collateral; (ix) institute and prosecute legal and equitable proceedings to enforce collection of, or realize upon, any of the Collateral; (x) remove from the Borrower’s, each Guarantor’s, the Investment Adviser’s, the Collateral Custodian’s and the Document Custodian’s and their respective agents’ place of business all books, records and documents relating to the Collateral, or to make any necessary copies thereof; (xi) request the Borrower to or, if the Borrower fails to so act, directly send notification forms giving each relevant administrative agent or Obligor, as applicable, notice of the Secured Parties’ interest in the Collateral and the obligation to make payments as directed by the Administrative Agent and/or (xii) endorse the name of the Loan Parties upon any items of payment relating to the Collateral or upon any proof of claim in bankruptcy against an account debtor. For purposes of taking the actions described in subsections (i) through (xii) of this Section 6.2 each of the Loan Parties hereby irrevocably appoints the Administrative Agent as its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fact (which appointment being coupled with an interest is irrevocable while any of the Obligations remain unpaid), with power of substitution, in the name of the Administrative Agent or in the name of the Loan Parties or otherwise, for the use and benefit of the Administrative Agent, but at the cost and expense of the Borrower and without notice to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Administrative Agent hereby agrees to exercise such power only so long as an Event of Default shall be continuing. The Administrative Agent and the other Secured Parties agree that the sale of the Collateral shall be conducted in good faith and in accordance with commercially reasonable practices.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109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9" w:name="page280"/>
    <w:bookmarkEnd w:id="279"/>
    <w:p>
      <w:pPr>
        <w:spacing w:after="0" w:line="200" w:lineRule="exact"/>
        <w:rPr>
          <w:sz w:val="20"/>
          <w:szCs w:val="20"/>
          <w:color w:val="auto"/>
        </w:rPr>
      </w:pPr>
    </w:p>
    <w:p>
      <w:pPr>
        <w:spacing w:after="0" w:line="283" w:lineRule="exact"/>
        <w:rPr>
          <w:sz w:val="20"/>
          <w:szCs w:val="20"/>
          <w:color w:val="auto"/>
        </w:rPr>
      </w:pPr>
    </w:p>
    <w:p>
      <w:pPr>
        <w:ind w:right="8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6.3. Release of Liens</w:t>
      </w:r>
      <w:r>
        <w:rPr>
          <w:rFonts w:ascii="Times New Roman" w:cs="Times New Roman" w:eastAsia="Times New Roman" w:hAnsi="Times New Roman"/>
          <w:sz w:val="19"/>
          <w:szCs w:val="19"/>
          <w:color w:val="auto"/>
        </w:rPr>
        <w:t>. (a) At the same time as any Loan that is part of the Collateral expires by its terms and all amounts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respect thereof have been paid by the related Obligor and deposited in the Collection Account, the Administrative Agent as agent for the Secured Parties will, to the extent requested by the Borrower release its interest in such Loan and the Related Property with respect thereto.</w:t>
      </w:r>
    </w:p>
    <w:p>
      <w:pPr>
        <w:spacing w:after="0" w:line="173" w:lineRule="exact"/>
        <w:rPr>
          <w:sz w:val="20"/>
          <w:szCs w:val="20"/>
          <w:color w:val="auto"/>
        </w:rPr>
      </w:pPr>
    </w:p>
    <w:p>
      <w:pPr>
        <w:ind w:right="240" w:firstLine="54"/>
        <w:spacing w:after="0" w:line="286" w:lineRule="auto"/>
        <w:tabs>
          <w:tab w:leader="none" w:pos="32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satisfaction of the requirements of Section 2.14, the Lien on such item of Collateral subject to the related Discretionary Sale shall be released in accordance with the terms of Section 2.14.</w:t>
      </w:r>
    </w:p>
    <w:p>
      <w:pPr>
        <w:spacing w:after="0" w:line="151" w:lineRule="exact"/>
        <w:rPr>
          <w:rFonts w:ascii="Times New Roman" w:cs="Times New Roman" w:eastAsia="Times New Roman" w:hAnsi="Times New Roman"/>
          <w:sz w:val="19"/>
          <w:szCs w:val="19"/>
          <w:color w:val="auto"/>
        </w:rPr>
      </w:pPr>
    </w:p>
    <w:p>
      <w:pPr>
        <w:ind w:right="220" w:firstLine="54"/>
        <w:spacing w:after="0" w:line="286" w:lineRule="auto"/>
        <w:tabs>
          <w:tab w:leader="none" w:pos="312"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Reserved</w:t>
      </w:r>
      <w:r>
        <w:rPr>
          <w:rFonts w:ascii="Times New Roman" w:cs="Times New Roman" w:eastAsia="Times New Roman" w:hAnsi="Times New Roman"/>
          <w:sz w:val="19"/>
          <w:szCs w:val="19"/>
          <w:color w:val="0000FF"/>
        </w:rPr>
        <w:t>Upon satisfaction of the requirements of Section 2.15, the Lien on such item of Collateral subject to the related Permitted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FF"/>
        </w:rPr>
        <w:t>Transfer shall be released in accordance with the terms of Section 2.15</w:t>
      </w:r>
      <w:r>
        <w:rPr>
          <w:rFonts w:ascii="Times New Roman" w:cs="Times New Roman" w:eastAsia="Times New Roman" w:hAnsi="Times New Roman"/>
          <w:sz w:val="19"/>
          <w:szCs w:val="19"/>
          <w:color w:val="000000"/>
        </w:rPr>
        <w:t>.</w:t>
      </w:r>
    </w:p>
    <w:p>
      <w:pPr>
        <w:spacing w:after="0" w:line="151" w:lineRule="exact"/>
        <w:rPr>
          <w:rFonts w:ascii="Times New Roman" w:cs="Times New Roman" w:eastAsia="Times New Roman" w:hAnsi="Times New Roman"/>
          <w:sz w:val="19"/>
          <w:szCs w:val="19"/>
          <w:color w:val="auto"/>
        </w:rPr>
      </w:pPr>
    </w:p>
    <w:p>
      <w:pPr>
        <w:ind w:right="540" w:firstLine="54"/>
        <w:spacing w:after="0" w:line="268" w:lineRule="auto"/>
        <w:tabs>
          <w:tab w:leader="none" w:pos="320"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any request for a release of certain Loans in connection with a proposed Distribution of any Loan, if the requirements of Section 5.1(j), shall have been met, the Administrative Agent as agent for the Secured Parties will, to the extent requested by the Borrower, release its interest in such Loan and the Related Property with respect thereto.</w:t>
      </w:r>
    </w:p>
    <w:p>
      <w:pPr>
        <w:spacing w:after="0" w:line="168" w:lineRule="exact"/>
        <w:rPr>
          <w:rFonts w:ascii="Times New Roman" w:cs="Times New Roman" w:eastAsia="Times New Roman" w:hAnsi="Times New Roman"/>
          <w:sz w:val="19"/>
          <w:szCs w:val="19"/>
          <w:color w:val="auto"/>
        </w:rPr>
      </w:pPr>
    </w:p>
    <w:p>
      <w:pPr>
        <w:ind w:firstLine="54"/>
        <w:spacing w:after="0" w:line="257" w:lineRule="auto"/>
        <w:tabs>
          <w:tab w:leader="none" w:pos="309"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connection with any release of lien pursuant to any of the foregoing clauses (a) through (d), subject to the satisfaction of any conditions precedent for such release, the Administrative Agent, as agent for the Secured Parties, will, at the Borrower’s cost and expense, execute and deliver to the Borrower any termination statements and any other releases and instruments as the Borrower may reasonably request in order to effect the release of the applicable Loans and Related Property;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Administrative Agent as agent for the Secured Parties will make no representation or warranty, express or implied, with respect to any such Loan or Related Property or Portfolio Investment in connection with such release.</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VII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DMINISTRATION AND</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ERVICING OF</w:t>
      </w:r>
      <w:r>
        <w:rPr>
          <w:rFonts w:ascii="Times New Roman" w:cs="Times New Roman" w:eastAsia="Times New Roman" w:hAnsi="Times New Roman"/>
          <w:sz w:val="19"/>
          <w:szCs w:val="19"/>
          <w:b w:val="1"/>
          <w:bCs w:val="1"/>
          <w:color w:val="auto"/>
        </w:rPr>
        <w:t xml:space="preserve"> L</w:t>
      </w:r>
      <w:r>
        <w:rPr>
          <w:rFonts w:ascii="Times New Roman" w:cs="Times New Roman" w:eastAsia="Times New Roman" w:hAnsi="Times New Roman"/>
          <w:sz w:val="13"/>
          <w:szCs w:val="13"/>
          <w:b w:val="1"/>
          <w:bCs w:val="1"/>
          <w:color w:val="auto"/>
        </w:rPr>
        <w:t>OANS</w:t>
      </w:r>
    </w:p>
    <w:p>
      <w:pPr>
        <w:spacing w:after="0" w:line="226" w:lineRule="exact"/>
        <w:rPr>
          <w:sz w:val="20"/>
          <w:szCs w:val="20"/>
          <w:color w:val="auto"/>
        </w:rPr>
      </w:pPr>
    </w:p>
    <w:p>
      <w:pPr>
        <w:ind w:right="2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7.1. Delegation to the Investment Adviser</w:t>
      </w:r>
      <w:r>
        <w:rPr>
          <w:rFonts w:ascii="Times New Roman" w:cs="Times New Roman" w:eastAsia="Times New Roman" w:hAnsi="Times New Roman"/>
          <w:sz w:val="19"/>
          <w:szCs w:val="19"/>
          <w:color w:val="auto"/>
        </w:rPr>
        <w:t>. The Borrower may delegate certain duties to the Investment Adviser as provided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pursuant to the terms of the Investment Advisory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the Borrower shall be solely responsible for the fees and expenses payable to the Investment Adviser, (ii) the Borrower shall not be relieved of, and shall remain liable for, the performance of the duties and obligations of the Borrower pursuant to the terms hereof without regard to any subcontracting arrangement and shall remain liable for any actions or inactions of the Investment Adviser with respect to the obligations of the Borrower hereunder, and (iii) any such subcontract shall be subject to the provisions hereof. Subject to the foregoing sentence, the Investment Adviser may take any actions required of the Borrower hereunder on its behalf.</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7.2.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 xml:space="preserve">Section 7.3. Reserved </w:t>
      </w:r>
      <w:r>
        <w:rPr>
          <w:rFonts w:ascii="Times New Roman" w:cs="Times New Roman" w:eastAsia="Times New Roman" w:hAnsi="Times New Roman"/>
          <w:sz w:val="19"/>
          <w:szCs w:val="19"/>
          <w:color w:val="auto"/>
        </w:rPr>
        <w:t>.</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0" w:name="page281"/>
    <w:bookmarkEnd w:id="280"/>
    <w:p>
      <w:pPr>
        <w:spacing w:after="0" w:line="200" w:lineRule="exact"/>
        <w:rPr>
          <w:sz w:val="20"/>
          <w:szCs w:val="20"/>
          <w:color w:val="auto"/>
        </w:rPr>
      </w:pPr>
    </w:p>
    <w:p>
      <w:pPr>
        <w:spacing w:after="0" w:line="28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9"/>
          <w:szCs w:val="19"/>
          <w:i w:val="1"/>
          <w:iCs w:val="1"/>
          <w:color w:val="auto"/>
        </w:rPr>
        <w:t>Section 7.4. Collection of Payments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54" w:right="120" w:firstLine="54"/>
        <w:spacing w:after="0" w:line="260" w:lineRule="auto"/>
        <w:tabs>
          <w:tab w:leader="none" w:pos="25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Collection Efforts, Modification of Loans</w:t>
      </w:r>
      <w:r>
        <w:rPr>
          <w:rFonts w:ascii="Times New Roman" w:cs="Times New Roman" w:eastAsia="Times New Roman" w:hAnsi="Times New Roman"/>
          <w:sz w:val="19"/>
          <w:szCs w:val="19"/>
          <w:color w:val="auto"/>
        </w:rPr>
        <w:t>. The Borrower will make reasonable efforts to collect all payments called for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terms and provisions of the Loans as and when the same become due, and will follow collection procedures which are consistent with the Investment Policies. The Borrower may not waive, modify or otherwise vary any provision of a Loan, except as may be in accordance with the provisions of the Investment Policy, including the waiver of any late payment charge or any other fees that may be collected in the ordinary course of servicing any Loan included in the Collateral.</w:t>
      </w:r>
    </w:p>
    <w:p>
      <w:pPr>
        <w:spacing w:after="0" w:line="172" w:lineRule="exact"/>
        <w:rPr>
          <w:rFonts w:ascii="Times New Roman" w:cs="Times New Roman" w:eastAsia="Times New Roman" w:hAnsi="Times New Roman"/>
          <w:sz w:val="19"/>
          <w:szCs w:val="19"/>
          <w:color w:val="auto"/>
        </w:rPr>
      </w:pPr>
    </w:p>
    <w:p>
      <w:pPr>
        <w:ind w:left="-54" w:firstLine="54"/>
        <w:spacing w:after="0" w:line="269" w:lineRule="auto"/>
        <w:tabs>
          <w:tab w:leader="none" w:pos="27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Acceleration</w:t>
      </w:r>
      <w:r>
        <w:rPr>
          <w:rFonts w:ascii="Times New Roman" w:cs="Times New Roman" w:eastAsia="Times New Roman" w:hAnsi="Times New Roman"/>
          <w:sz w:val="19"/>
          <w:szCs w:val="19"/>
          <w:color w:val="auto"/>
        </w:rPr>
        <w:t>. The Borrower shall accelerate the maturity of all or any Scheduled Payments under any Loan under which a default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the terms thereof has occurred and is continuing (after the lapse of any applicable grace period) promptly after such Loan becomes a Defaulted Loan or such earlier or later time as is consistent with the Investment Policy.</w:t>
      </w:r>
    </w:p>
    <w:p>
      <w:pPr>
        <w:spacing w:after="0" w:line="165" w:lineRule="exact"/>
        <w:rPr>
          <w:rFonts w:ascii="Times New Roman" w:cs="Times New Roman" w:eastAsia="Times New Roman" w:hAnsi="Times New Roman"/>
          <w:sz w:val="19"/>
          <w:szCs w:val="19"/>
          <w:color w:val="auto"/>
        </w:rPr>
      </w:pPr>
    </w:p>
    <w:p>
      <w:pPr>
        <w:ind w:left="-54" w:right="240" w:firstLine="54"/>
        <w:spacing w:after="0" w:line="269" w:lineRule="auto"/>
        <w:tabs>
          <w:tab w:leader="none" w:pos="25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Taxes and other Amounts</w:t>
      </w:r>
      <w:r>
        <w:rPr>
          <w:rFonts w:ascii="Times New Roman" w:cs="Times New Roman" w:eastAsia="Times New Roman" w:hAnsi="Times New Roman"/>
          <w:sz w:val="19"/>
          <w:szCs w:val="19"/>
          <w:color w:val="auto"/>
        </w:rPr>
        <w:t>. To the extent provided for in any Loan, the Borrower will use its commercially reasonable efforts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collect all payments with respect to amounts due for taxes, assessments and insurance premiums relating to such Loans or the Related Property and remit such amounts to the appropriate Governmental Authority or insurer on or prior to the date such payments are due.</w:t>
      </w:r>
    </w:p>
    <w:p>
      <w:pPr>
        <w:spacing w:after="0" w:line="165" w:lineRule="exact"/>
        <w:rPr>
          <w:rFonts w:ascii="Times New Roman" w:cs="Times New Roman" w:eastAsia="Times New Roman" w:hAnsi="Times New Roman"/>
          <w:sz w:val="19"/>
          <w:szCs w:val="19"/>
          <w:color w:val="auto"/>
        </w:rPr>
      </w:pPr>
    </w:p>
    <w:p>
      <w:pPr>
        <w:ind w:left="-54" w:right="260" w:firstLine="54"/>
        <w:spacing w:after="0" w:line="269" w:lineRule="auto"/>
        <w:tabs>
          <w:tab w:leader="none" w:pos="270"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Payments to Collection Account</w:t>
      </w:r>
      <w:r>
        <w:rPr>
          <w:rFonts w:ascii="Times New Roman" w:cs="Times New Roman" w:eastAsia="Times New Roman" w:hAnsi="Times New Roman"/>
          <w:sz w:val="19"/>
          <w:szCs w:val="19"/>
          <w:color w:val="auto"/>
        </w:rPr>
        <w:t>. On or before the Effective Date and thereafter on or before the related settlement date for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Loan, the Borrower shall have instructed all Obligors to make all payments in respect of Loans included in the Collateral to the CIBC Account or the Collection Account.</w:t>
      </w:r>
    </w:p>
    <w:p>
      <w:pPr>
        <w:spacing w:after="0" w:line="165" w:lineRule="exact"/>
        <w:rPr>
          <w:rFonts w:ascii="Times New Roman" w:cs="Times New Roman" w:eastAsia="Times New Roman" w:hAnsi="Times New Roman"/>
          <w:sz w:val="19"/>
          <w:szCs w:val="19"/>
          <w:color w:val="auto"/>
        </w:rPr>
      </w:pPr>
    </w:p>
    <w:p>
      <w:pPr>
        <w:ind w:left="-54" w:firstLine="54"/>
        <w:spacing w:after="0" w:line="252" w:lineRule="auto"/>
        <w:tabs>
          <w:tab w:leader="none" w:pos="258"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Establishment of the Collection Account</w:t>
      </w:r>
      <w:r>
        <w:rPr>
          <w:rFonts w:ascii="Times New Roman" w:cs="Times New Roman" w:eastAsia="Times New Roman" w:hAnsi="Times New Roman"/>
          <w:sz w:val="19"/>
          <w:szCs w:val="19"/>
          <w:color w:val="auto"/>
        </w:rPr>
        <w:t>. The Borrower established before the Effective Date an account in the name of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Borrower for the purpose of receiving Collections from the Collateral (the </w:t>
      </w:r>
      <w:r>
        <w:rPr>
          <w:rFonts w:ascii="Times New Roman" w:cs="Times New Roman" w:eastAsia="Times New Roman" w:hAnsi="Times New Roman"/>
          <w:sz w:val="19"/>
          <w:szCs w:val="19"/>
          <w:i w:val="1"/>
          <w:iCs w:val="1"/>
          <w:color w:val="auto"/>
        </w:rPr>
        <w:t>“Collection Account”</w:t>
      </w:r>
      <w:r>
        <w:rPr>
          <w:rFonts w:ascii="Times New Roman" w:cs="Times New Roman" w:eastAsia="Times New Roman" w:hAnsi="Times New Roman"/>
          <w:sz w:val="19"/>
          <w:szCs w:val="19"/>
          <w:color w:val="auto"/>
        </w:rPr>
        <w:t>), which shall be maintained with an office or branch of U.S. Bank National Association in accordance with the Account Control Agreement and which shall be subject to the lien of the Administrative Agent. The account number with respect to the Collection Account shall be set forth on Schedule VIII, as updated from time to time with the prior written consent of the Administrative Agent. In addition, the Borrower shall establish two segregated subaccounts within the Collection Account, one of which will be designated the “Interest Collection Subaccount” and one of which will be designated the “Principal Collection Subaccount”. The Borrower shall from time to time deposit into the Interest Collection Subaccount, promptly upon receipt thereof, all Interest Collections received by the Borrower. The Borrower shall deposit promptly upon receipt thereof all other amounts remitted to the Collection Account into the Principal Collection Subaccount including all Principal Collections received by the Borrower. All amounts deposited from time to time in the Collection Account pursuant to this Agreement shall be held as part of the Collateral and shall be applied to the purposes herein provided. The Administrative Agent shall at all times have “control” within the meaning of the applicable UCC over the Collection Account. On or after the date of the initial Advance hereunder, (i) all amounts deposited from time to time in the CIBC Account pursuant to this Agreement shall be held as part of</w:t>
      </w:r>
    </w:p>
    <w:p>
      <w:pPr>
        <w:spacing w:after="0" w:line="7" w:lineRule="exact"/>
        <w:rPr>
          <w:sz w:val="20"/>
          <w:szCs w:val="20"/>
          <w:color w:val="auto"/>
        </w:rPr>
      </w:pPr>
    </w:p>
    <w:p>
      <w:pPr>
        <w:ind w:left="5046" w:right="4540" w:hanging="5088"/>
        <w:spacing w:after="0" w:line="262" w:lineRule="auto"/>
        <w:rPr>
          <w:sz w:val="20"/>
          <w:szCs w:val="20"/>
          <w:color w:val="auto"/>
        </w:rPr>
      </w:pPr>
      <w:r>
        <w:rPr>
          <w:rFonts w:ascii="Times New Roman" w:cs="Times New Roman" w:eastAsia="Times New Roman" w:hAnsi="Times New Roman"/>
          <w:sz w:val="19"/>
          <w:szCs w:val="19"/>
          <w:color w:val="auto"/>
        </w:rPr>
        <w:t xml:space="preserve">the Collateral and shall be applied to the purposes herein provided and (ii)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615950</wp:posOffset>
            </wp:positionV>
            <wp:extent cx="6732905"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6"/>
          </w:cols>
          <w:pgMar w:left="714" w:top="1440" w:right="720" w:bottom="1440" w:gutter="0" w:footer="0" w:header="0"/>
        </w:sectPr>
      </w:pPr>
    </w:p>
    <w:bookmarkStart w:id="281" w:name="page282"/>
    <w:bookmarkEnd w:id="281"/>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shall at all times have “control” within the meaning of the applicable UCC over the CIBC Account.</w:t>
      </w:r>
    </w:p>
    <w:p>
      <w:pPr>
        <w:spacing w:after="0" w:line="224" w:lineRule="exact"/>
        <w:rPr>
          <w:sz w:val="20"/>
          <w:szCs w:val="20"/>
          <w:color w:val="auto"/>
        </w:rPr>
      </w:pPr>
    </w:p>
    <w:p>
      <w:pPr>
        <w:ind w:right="80" w:firstLine="54"/>
        <w:spacing w:after="0" w:line="258" w:lineRule="auto"/>
        <w:tabs>
          <w:tab w:leader="none" w:pos="288"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Adjustments</w:t>
      </w:r>
      <w:r>
        <w:rPr>
          <w:rFonts w:ascii="Times New Roman" w:cs="Times New Roman" w:eastAsia="Times New Roman" w:hAnsi="Times New Roman"/>
          <w:sz w:val="19"/>
          <w:szCs w:val="19"/>
          <w:color w:val="auto"/>
        </w:rPr>
        <w:t>. If (i) the Borrower makes a deposit into the Collection Account in respect of a Collection of a Loan in the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such Collection was received by the Borrower in the form of a check that is not honored for any reason or (ii) the Borrower makes a mistake with respect to the amount of any Collection and deposits an amount that is less than or more than the actual amount of such Collection, the Borrower shall appropriately adjust the amount subsequently deposited into the Collection Account to reflect such dishonored check or mistake. Any Scheduled Payment in respect of which a dishonored check is received shall be deemed not to have been paid.</w:t>
      </w:r>
    </w:p>
    <w:p>
      <w:pPr>
        <w:spacing w:after="0" w:line="175" w:lineRule="exact"/>
        <w:rPr>
          <w:rFonts w:ascii="Times New Roman" w:cs="Times New Roman" w:eastAsia="Times New Roman" w:hAnsi="Times New Roman"/>
          <w:sz w:val="19"/>
          <w:szCs w:val="19"/>
          <w:color w:val="auto"/>
        </w:rPr>
      </w:pPr>
    </w:p>
    <w:p>
      <w:pPr>
        <w:ind w:right="20" w:firstLine="54"/>
        <w:spacing w:after="0" w:line="269" w:lineRule="auto"/>
        <w:tabs>
          <w:tab w:leader="none" w:pos="324" w:val="left"/>
        </w:tabs>
        <w:numPr>
          <w:ilvl w:val="0"/>
          <w:numId w:val="1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Delivery of Collections</w:t>
      </w:r>
      <w:r>
        <w:rPr>
          <w:rFonts w:ascii="Times New Roman" w:cs="Times New Roman" w:eastAsia="Times New Roman" w:hAnsi="Times New Roman"/>
          <w:sz w:val="19"/>
          <w:szCs w:val="19"/>
          <w:color w:val="auto"/>
        </w:rPr>
        <w:t>. The Borrower agrees to cause the delivery to the Collection Account promptly (but in no event later than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two (2) Business Days after receipt) all Collections received by Borrower in respect of the Loans that are part of the Collateral (including any amounts deposited into the CIBC Account).</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7.5.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7.6. Realization Upon Defaulted Loans</w:t>
      </w:r>
      <w:r>
        <w:rPr>
          <w:rFonts w:ascii="Times New Roman" w:cs="Times New Roman" w:eastAsia="Times New Roman" w:hAnsi="Times New Roman"/>
          <w:sz w:val="19"/>
          <w:szCs w:val="19"/>
          <w:color w:val="auto"/>
        </w:rPr>
        <w:t>. The Borrower will use reasonable efforts to repossess or otherwise comparably convert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ownership of any Related Property with respect to a Defaulted Loan. The Borrower will follow the practices and procedures set forth in the Investment Policy in order to realize upon such Related Property. The Borrower will not expend funds in connection with any repair or toward the repossession of such Related Property unless it reasonably determines that such repair and/or repossession will increase the Recoveries by an amount greater than the amount of such expenses. The Borrower will remit to the Collection Account the Recoveries received in connection with the sale or disposition of Related Property with respect to a Defaulted Loan.</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7.7.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7.8.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7.9.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7.10. Payment of Certain Expenses by Borrower</w:t>
      </w:r>
      <w:r>
        <w:rPr>
          <w:rFonts w:ascii="Times New Roman" w:cs="Times New Roman" w:eastAsia="Times New Roman" w:hAnsi="Times New Roman"/>
          <w:sz w:val="19"/>
          <w:szCs w:val="19"/>
          <w:color w:val="auto"/>
        </w:rPr>
        <w:t>. The Borrower will be required to pay, in accordance with Section 2.8 or out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funds otherwise available for general corporate purposes, the Bank Fees and Expenses and all fees and expenses incurred by the Administrative Agent, any Managing Agent or any Lender in connection with the transactions and activities contemplated by this Agreement, including reasonable fees and disbursements of legal counsel and independent accountants.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7.11. Reports</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right="160" w:firstLine="702"/>
        <w:spacing w:after="0" w:line="263" w:lineRule="auto"/>
        <w:tabs>
          <w:tab w:leader="none" w:pos="960" w:val="left"/>
        </w:tabs>
        <w:numPr>
          <w:ilvl w:val="0"/>
          <w:numId w:val="1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Monthly Report</w:t>
      </w:r>
      <w:r>
        <w:rPr>
          <w:rFonts w:ascii="Times New Roman" w:cs="Times New Roman" w:eastAsia="Times New Roman" w:hAnsi="Times New Roman"/>
          <w:sz w:val="19"/>
          <w:szCs w:val="19"/>
          <w:color w:val="auto"/>
        </w:rPr>
        <w:t>. With respect to each Reporting Date and the related Settlement Period, the Borrower will provide to 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Managing Agent and the Administrative Agent, on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2" w:name="page283"/>
    <w:bookmarkEnd w:id="282"/>
    <w:p>
      <w:pPr>
        <w:spacing w:after="0" w:line="200" w:lineRule="exact"/>
        <w:rPr>
          <w:sz w:val="20"/>
          <w:szCs w:val="20"/>
          <w:color w:val="auto"/>
        </w:rPr>
      </w:pPr>
    </w:p>
    <w:p>
      <w:pPr>
        <w:spacing w:after="0" w:line="28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 xml:space="preserve">related Reporting Date, a monthly statement (a </w:t>
      </w:r>
      <w:r>
        <w:rPr>
          <w:rFonts w:ascii="Times New Roman" w:cs="Times New Roman" w:eastAsia="Times New Roman" w:hAnsi="Times New Roman"/>
          <w:sz w:val="19"/>
          <w:szCs w:val="19"/>
          <w:i w:val="1"/>
          <w:iCs w:val="1"/>
          <w:color w:val="auto"/>
        </w:rPr>
        <w:t>“Monthly Report”</w:t>
      </w:r>
      <w:r>
        <w:rPr>
          <w:rFonts w:ascii="Times New Roman" w:cs="Times New Roman" w:eastAsia="Times New Roman" w:hAnsi="Times New Roman"/>
          <w:sz w:val="19"/>
          <w:szCs w:val="19"/>
          <w:color w:val="auto"/>
        </w:rPr>
        <w:t>) signed by a Responsible Officer of the Borrower and substantially in the form of Exhibit D, including (i) an electronic file containing an updated Loan List, supporting calculations and the portfolio report required under Section 7.11(f) and (ii) with respect to each Monthly Report delivered on the Reporting Date immediately preceding a Payment Date, the amounts for disbursements pursuant to Section 2.8.</w:t>
      </w:r>
    </w:p>
    <w:p>
      <w:pPr>
        <w:spacing w:after="0" w:line="171" w:lineRule="exact"/>
        <w:rPr>
          <w:sz w:val="20"/>
          <w:szCs w:val="20"/>
          <w:color w:val="auto"/>
        </w:rPr>
      </w:pPr>
    </w:p>
    <w:p>
      <w:pPr>
        <w:ind w:firstLine="702"/>
        <w:spacing w:after="0" w:line="269" w:lineRule="auto"/>
        <w:tabs>
          <w:tab w:leader="none" w:pos="972"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Borrower’s Certificate</w:t>
      </w:r>
      <w:r>
        <w:rPr>
          <w:rFonts w:ascii="Times New Roman" w:cs="Times New Roman" w:eastAsia="Times New Roman" w:hAnsi="Times New Roman"/>
          <w:sz w:val="19"/>
          <w:szCs w:val="19"/>
          <w:color w:val="auto"/>
        </w:rPr>
        <w:t>. Together with each Monthly Report, the Borrower shall submit to each Managing Agent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Administrative Agent a certificate (a </w:t>
      </w:r>
      <w:r>
        <w:rPr>
          <w:rFonts w:ascii="Times New Roman" w:cs="Times New Roman" w:eastAsia="Times New Roman" w:hAnsi="Times New Roman"/>
          <w:sz w:val="19"/>
          <w:szCs w:val="19"/>
          <w:i w:val="1"/>
          <w:iCs w:val="1"/>
          <w:color w:val="auto"/>
        </w:rPr>
        <w:t>“Borrower’s Certificate”</w:t>
      </w:r>
      <w:r>
        <w:rPr>
          <w:rFonts w:ascii="Times New Roman" w:cs="Times New Roman" w:eastAsia="Times New Roman" w:hAnsi="Times New Roman"/>
          <w:sz w:val="19"/>
          <w:szCs w:val="19"/>
          <w:color w:val="auto"/>
        </w:rPr>
        <w:t>), signed by a Responsible Officer of the Borrower and substantially in the form of Exhibit E, which may be incorporated in the Monthly Report.</w:t>
      </w:r>
    </w:p>
    <w:p>
      <w:pPr>
        <w:spacing w:after="0" w:line="165" w:lineRule="exact"/>
        <w:rPr>
          <w:rFonts w:ascii="Times New Roman" w:cs="Times New Roman" w:eastAsia="Times New Roman" w:hAnsi="Times New Roman"/>
          <w:sz w:val="19"/>
          <w:szCs w:val="19"/>
          <w:color w:val="auto"/>
        </w:rPr>
      </w:pPr>
    </w:p>
    <w:p>
      <w:pPr>
        <w:ind w:left="960" w:hanging="258"/>
        <w:spacing w:after="0"/>
        <w:tabs>
          <w:tab w:leader="none" w:pos="96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Annual Reporting</w:t>
      </w:r>
      <w:r>
        <w:rPr>
          <w:rFonts w:ascii="Times New Roman" w:cs="Times New Roman" w:eastAsia="Times New Roman" w:hAnsi="Times New Roman"/>
          <w:sz w:val="19"/>
          <w:szCs w:val="19"/>
          <w:color w:val="auto"/>
        </w:rPr>
        <w:t>. The Borrower shall deliver to the Administrative Agent for distribution to each Lender:</w:t>
      </w:r>
    </w:p>
    <w:p>
      <w:pPr>
        <w:spacing w:after="0" w:line="227" w:lineRule="exact"/>
        <w:rPr>
          <w:rFonts w:ascii="Times New Roman" w:cs="Times New Roman" w:eastAsia="Times New Roman" w:hAnsi="Times New Roman"/>
          <w:sz w:val="19"/>
          <w:szCs w:val="19"/>
          <w:color w:val="auto"/>
        </w:rPr>
      </w:pPr>
    </w:p>
    <w:p>
      <w:pPr>
        <w:ind w:left="700" w:firstLine="50"/>
        <w:spacing w:after="0" w:line="253" w:lineRule="auto"/>
        <w:tabs>
          <w:tab w:leader="none" w:pos="1072"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within ninety (90) days after the end of each fiscal year of the Borrower, (A) consolidated financial statements as at the end of such fiscal year, in each case audited by independent certified public accountants of nationally recognized standing or reasonably acceptable to Administrative Agent and certified, without any qualifications (including any (x) “going concern” or like qualification or exception, (y) qualification or exception as to the scope of such audit or (z) qualification which relates to the treatment or classification of any item and which, as a condition to the removal of such qualification, would require an adjustment to such item), by such accountants to have been prepared in accordance with GAAP (such audited financial statements to include a balance sheet, income statement, and statement of cash flow and, if prepared, such accountants’ letter to management, in each case, as at the end of such year and the related statements of income and retained earnings for such year, setting forth in each case in comparative form the figures for the previous year or predecessor period, as applicable); and (B) a covenant Compliance Certificate in the form attached hereto as Exhibit J, summarizing compliance with each of the covenants of Section 5.3 and underlying calculations, provided that the requirements set forth in this clause (c)(i) may be fulfilled by providing to the Administrative Agent for distribution to each Lender the report filed by the Borrower with the SEC on Form 10-K for the applicable fiscal year</w:t>
      </w:r>
    </w:p>
    <w:p>
      <w:pPr>
        <w:spacing w:after="0" w:line="186" w:lineRule="exact"/>
        <w:rPr>
          <w:rFonts w:ascii="Times New Roman" w:cs="Times New Roman" w:eastAsia="Times New Roman" w:hAnsi="Times New Roman"/>
          <w:sz w:val="19"/>
          <w:szCs w:val="19"/>
          <w:color w:val="auto"/>
        </w:rPr>
      </w:pPr>
    </w:p>
    <w:p>
      <w:pPr>
        <w:ind w:left="700" w:right="80" w:firstLine="50"/>
        <w:spacing w:after="0" w:line="254" w:lineRule="auto"/>
        <w:tabs>
          <w:tab w:leader="none" w:pos="1132" w:val="left"/>
        </w:tabs>
        <w:numPr>
          <w:ilvl w:val="1"/>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not later than forty five (45) days after the end of each of the first three fiscal quarters of each fiscal year of the Borrower, (x) the unaudited balance sheets the Borrower as at the end of such quarter and the related unaudited statements of income and retained earnings of the Borrower for such quarter and the portion of the fiscal year through the end of such quarter, setting forth in each case in comparative form the figures for the previous year (or predecessor period, as applicable) and (y) a covenant Compliance Certificate in the form attached hereto as Exhibit J, summarizing compliance with each of the covenants of Section 5.3 and underlying calculations, in each case, certified by a Responsible</w:t>
      </w:r>
    </w:p>
    <w:p>
      <w:pPr>
        <w:spacing w:after="0" w:line="3" w:lineRule="exact"/>
        <w:rPr>
          <w:sz w:val="20"/>
          <w:szCs w:val="20"/>
          <w:color w:val="auto"/>
        </w:rPr>
      </w:pPr>
    </w:p>
    <w:p>
      <w:pPr>
        <w:ind w:left="700" w:right="860"/>
        <w:spacing w:after="0" w:line="250" w:lineRule="auto"/>
        <w:rPr>
          <w:sz w:val="20"/>
          <w:szCs w:val="20"/>
          <w:color w:val="auto"/>
        </w:rPr>
      </w:pPr>
      <w:r>
        <w:rPr>
          <w:rFonts w:ascii="Times New Roman" w:cs="Times New Roman" w:eastAsia="Times New Roman" w:hAnsi="Times New Roman"/>
          <w:sz w:val="19"/>
          <w:szCs w:val="19"/>
          <w:color w:val="auto"/>
        </w:rPr>
        <w:t>Officer as being fairly stated in all material respects (subject to normal year -end audit adjustments); provided that the requirements set forth in this clause (b) may be fulfilled by providing to the Administrative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3" w:name="page284"/>
    <w:bookmarkEnd w:id="283"/>
    <w:p>
      <w:pPr>
        <w:spacing w:after="0" w:line="200" w:lineRule="exact"/>
        <w:rPr>
          <w:sz w:val="20"/>
          <w:szCs w:val="20"/>
          <w:color w:val="auto"/>
        </w:rPr>
      </w:pPr>
    </w:p>
    <w:p>
      <w:pPr>
        <w:spacing w:after="0" w:line="285" w:lineRule="exact"/>
        <w:rPr>
          <w:sz w:val="20"/>
          <w:szCs w:val="20"/>
          <w:color w:val="auto"/>
        </w:rPr>
      </w:pPr>
    </w:p>
    <w:p>
      <w:pPr>
        <w:ind w:left="700" w:right="200"/>
        <w:spacing w:after="0" w:line="286" w:lineRule="auto"/>
        <w:rPr>
          <w:sz w:val="20"/>
          <w:szCs w:val="20"/>
          <w:color w:val="auto"/>
        </w:rPr>
      </w:pPr>
      <w:r>
        <w:rPr>
          <w:rFonts w:ascii="Times New Roman" w:cs="Times New Roman" w:eastAsia="Times New Roman" w:hAnsi="Times New Roman"/>
          <w:sz w:val="19"/>
          <w:szCs w:val="19"/>
          <w:color w:val="auto"/>
        </w:rPr>
        <w:t>Agent for distribution to each Lender the report filed by the Borrower with the SEC on Form 10-Q for the applicable quarterly period; and</w:t>
      </w:r>
    </w:p>
    <w:p>
      <w:pPr>
        <w:spacing w:after="0" w:line="151" w:lineRule="exact"/>
        <w:rPr>
          <w:sz w:val="20"/>
          <w:szCs w:val="20"/>
          <w:color w:val="auto"/>
        </w:rPr>
      </w:pPr>
    </w:p>
    <w:p>
      <w:pPr>
        <w:ind w:left="700" w:firstLine="50"/>
        <w:spacing w:after="0" w:line="268" w:lineRule="auto"/>
        <w:tabs>
          <w:tab w:leader="none" w:pos="1132" w:val="left"/>
        </w:tabs>
        <w:numPr>
          <w:ilvl w:val="1"/>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such financial statements shall be complete and correct in all material respects and shall be prepared in reasonable detail and in accordance with GAAP applied consistently throughout the periods reflected therein and with prior periods (except as approved by such accountants or officer, as the case may be, and disclosed therein).</w:t>
      </w:r>
    </w:p>
    <w:p>
      <w:pPr>
        <w:spacing w:after="0" w:line="166" w:lineRule="exact"/>
        <w:rPr>
          <w:rFonts w:ascii="Times New Roman" w:cs="Times New Roman" w:eastAsia="Times New Roman" w:hAnsi="Times New Roman"/>
          <w:sz w:val="19"/>
          <w:szCs w:val="19"/>
          <w:color w:val="auto"/>
        </w:rPr>
      </w:pPr>
    </w:p>
    <w:p>
      <w:pPr>
        <w:ind w:right="700" w:firstLine="702"/>
        <w:spacing w:after="0" w:line="269" w:lineRule="auto"/>
        <w:tabs>
          <w:tab w:leader="none" w:pos="972"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Amendments to Loan Documents. </w:t>
      </w:r>
      <w:r>
        <w:rPr>
          <w:rFonts w:ascii="Times New Roman" w:cs="Times New Roman" w:eastAsia="Times New Roman" w:hAnsi="Times New Roman"/>
          <w:sz w:val="19"/>
          <w:szCs w:val="19"/>
          <w:color w:val="auto"/>
        </w:rPr>
        <w:t>Within five (5) Business Days following its effective date, a copy of any material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amendment, restatement, supplement, waiver or other modification to any Loan Document of any Loan, together with any documentation prepared by the Borrower in connection with such document.</w:t>
      </w:r>
    </w:p>
    <w:p>
      <w:pPr>
        <w:spacing w:after="0" w:line="165" w:lineRule="exact"/>
        <w:rPr>
          <w:rFonts w:ascii="Times New Roman" w:cs="Times New Roman" w:eastAsia="Times New Roman" w:hAnsi="Times New Roman"/>
          <w:sz w:val="19"/>
          <w:szCs w:val="19"/>
          <w:color w:val="auto"/>
        </w:rPr>
      </w:pPr>
    </w:p>
    <w:p>
      <w:pPr>
        <w:ind w:right="140" w:firstLine="702"/>
        <w:spacing w:after="0" w:line="258" w:lineRule="auto"/>
        <w:tabs>
          <w:tab w:leader="none" w:pos="96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Borrowing Base Certificate</w:t>
      </w:r>
      <w:r>
        <w:rPr>
          <w:rFonts w:ascii="Times New Roman" w:cs="Times New Roman" w:eastAsia="Times New Roman" w:hAnsi="Times New Roman"/>
          <w:sz w:val="19"/>
          <w:szCs w:val="19"/>
          <w:color w:val="auto"/>
        </w:rPr>
        <w:t>. On each Reporting Date,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each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Funding Date, on the date of each Discretionary Sale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Section 2.14</w:t>
      </w:r>
      <w:r>
        <w:rPr>
          <w:rFonts w:ascii="Times New Roman" w:cs="Times New Roman" w:eastAsia="Times New Roman" w:hAnsi="Times New Roman"/>
          <w:sz w:val="19"/>
          <w:szCs w:val="19"/>
          <w:color w:val="0000FF"/>
        </w:rPr>
        <w:t>, on the date of each Permitted Transfer under Section 2.15,</w:t>
      </w:r>
      <w:r>
        <w:rPr>
          <w:rFonts w:ascii="Times New Roman" w:cs="Times New Roman" w:eastAsia="Times New Roman" w:hAnsi="Times New Roman"/>
          <w:sz w:val="19"/>
          <w:szCs w:val="19"/>
          <w:color w:val="auto"/>
        </w:rPr>
        <w:t xml:space="preserve"> and on any other date requested by the Administrative Agent in its sole discretion (upon no less than three (3) Business Days’ notice), the Borrower shall deliver to each Managing Agent and the Administrative Agent a Borrowing Base Certificate in the form of Exhibit H setting forth the calculation of the Borrowing Base as of such date and including an electronic file supporting such calculations as well as any investment committee memos (or any updates to investment committee memos) that have not been previously provided to the Administrative Agent.</w:t>
      </w:r>
    </w:p>
    <w:p>
      <w:pPr>
        <w:spacing w:after="0" w:line="175" w:lineRule="exact"/>
        <w:rPr>
          <w:rFonts w:ascii="Times New Roman" w:cs="Times New Roman" w:eastAsia="Times New Roman" w:hAnsi="Times New Roman"/>
          <w:sz w:val="19"/>
          <w:szCs w:val="19"/>
          <w:color w:val="auto"/>
        </w:rPr>
      </w:pPr>
    </w:p>
    <w:p>
      <w:pPr>
        <w:ind w:right="80" w:firstLine="702"/>
        <w:spacing w:after="0" w:line="261" w:lineRule="auto"/>
        <w:tabs>
          <w:tab w:leader="none" w:pos="936"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Portfolio Reports</w:t>
      </w:r>
      <w:r>
        <w:rPr>
          <w:rFonts w:ascii="Times New Roman" w:cs="Times New Roman" w:eastAsia="Times New Roman" w:hAnsi="Times New Roman"/>
          <w:sz w:val="19"/>
          <w:szCs w:val="19"/>
          <w:color w:val="auto"/>
        </w:rPr>
        <w:t>. On each Reporting Date and on any other date requested by the Administrative Agent in its sole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discretion (upon no less than three (3) Business Days’ notice), the Borrower shall deliver to each Managing Agent and the Administrative Agent, a report (including an electronic file) describing the status of non-performing Loans, Loans that have been subject of a Material Modification, watch-listed Loans and Restructured Loans, in form and substance reasonably satisfactory to the Administrative Agent.</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ind w:right="520" w:firstLine="702"/>
        <w:spacing w:after="0" w:line="263" w:lineRule="auto"/>
        <w:tabs>
          <w:tab w:leader="none" w:pos="972"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Electronic Loan File. </w:t>
      </w:r>
      <w:r>
        <w:rPr>
          <w:rFonts w:ascii="Times New Roman" w:cs="Times New Roman" w:eastAsia="Times New Roman" w:hAnsi="Times New Roman"/>
          <w:sz w:val="19"/>
          <w:szCs w:val="19"/>
          <w:color w:val="auto"/>
        </w:rPr>
        <w:t>On each Reporting Date and on any other date requested by the Administrative Agent in its sole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discretion (upon no less than three (3) Business Days’ notice), the Borrower shall deliver to each Managing Agent and the Administrative Agent, an electronic file containing information on individual Loans and Obligors in form and content reasonably acceptable to the Administrative Agent.</w:t>
      </w:r>
    </w:p>
    <w:p>
      <w:pPr>
        <w:spacing w:after="0" w:line="170" w:lineRule="exact"/>
        <w:rPr>
          <w:rFonts w:ascii="Times New Roman" w:cs="Times New Roman" w:eastAsia="Times New Roman" w:hAnsi="Times New Roman"/>
          <w:sz w:val="19"/>
          <w:szCs w:val="19"/>
          <w:color w:val="auto"/>
        </w:rPr>
      </w:pPr>
    </w:p>
    <w:p>
      <w:pPr>
        <w:ind w:right="520" w:firstLine="702"/>
        <w:spacing w:after="0" w:line="288" w:lineRule="auto"/>
        <w:tabs>
          <w:tab w:leader="none" w:pos="972"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Fair Value Reports. </w:t>
      </w:r>
      <w:r>
        <w:rPr>
          <w:rFonts w:ascii="Times New Roman" w:cs="Times New Roman" w:eastAsia="Times New Roman" w:hAnsi="Times New Roman"/>
          <w:sz w:val="19"/>
          <w:szCs w:val="19"/>
          <w:color w:val="auto"/>
        </w:rPr>
        <w:t>On each Reporting Date following the end of a fiscal quarter, any Fair Value reports in respect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Eligible Loans prepared by the Borrower’s board of directors or any independent valuation firm for such fiscal quarter.</w:t>
      </w:r>
    </w:p>
    <w:p>
      <w:pPr>
        <w:spacing w:after="0" w:line="147" w:lineRule="exact"/>
        <w:rPr>
          <w:rFonts w:ascii="Times New Roman" w:cs="Times New Roman" w:eastAsia="Times New Roman" w:hAnsi="Times New Roman"/>
          <w:sz w:val="19"/>
          <w:szCs w:val="19"/>
          <w:color w:val="auto"/>
        </w:rPr>
      </w:pPr>
    </w:p>
    <w:p>
      <w:pPr>
        <w:ind w:right="220" w:firstLine="702"/>
        <w:spacing w:after="0" w:line="259" w:lineRule="auto"/>
        <w:tabs>
          <w:tab w:leader="none" w:pos="924"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Other Information. </w:t>
      </w:r>
      <w:r>
        <w:rPr>
          <w:rFonts w:ascii="Times New Roman" w:cs="Times New Roman" w:eastAsia="Times New Roman" w:hAnsi="Times New Roman"/>
          <w:sz w:val="19"/>
          <w:szCs w:val="19"/>
          <w:color w:val="auto"/>
        </w:rPr>
        <w:t>Promptly upon request, such other information, documents, records or reports respecting the Loans or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condition or operations, financial or otherwise, of the Borrower as the Administrative Agent may from time to time reasonably request in order to protect the interests of the Administrative Agent or the Secured Parties under or as contemplated by this Agreement.</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84" w:name="page285"/>
    <w:bookmarkEnd w:id="284"/>
    <w:p>
      <w:pPr>
        <w:spacing w:after="0" w:line="200" w:lineRule="exact"/>
        <w:rPr>
          <w:sz w:val="20"/>
          <w:szCs w:val="20"/>
          <w:color w:val="auto"/>
        </w:rPr>
      </w:pPr>
    </w:p>
    <w:p>
      <w:pPr>
        <w:spacing w:after="0" w:line="283" w:lineRule="exact"/>
        <w:rPr>
          <w:sz w:val="20"/>
          <w:szCs w:val="20"/>
          <w:color w:val="auto"/>
        </w:rPr>
      </w:pPr>
    </w:p>
    <w:p>
      <w:pPr>
        <w:ind w:right="280" w:firstLine="54"/>
        <w:spacing w:after="0" w:line="288" w:lineRule="auto"/>
        <w:tabs>
          <w:tab w:leader="none" w:pos="324"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Scope of Reports. </w:t>
      </w:r>
      <w:r>
        <w:rPr>
          <w:rFonts w:ascii="Times New Roman" w:cs="Times New Roman" w:eastAsia="Times New Roman" w:hAnsi="Times New Roman"/>
          <w:sz w:val="19"/>
          <w:szCs w:val="19"/>
          <w:color w:val="auto"/>
        </w:rPr>
        <w:t>All reports and financial statements provided by the Borrower hereunder shall be in form and scope reasonably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acceptable to the Administrative Agent, including a comparison to the operating budget and prior comparable period.</w:t>
      </w:r>
    </w:p>
    <w:p>
      <w:pPr>
        <w:spacing w:after="0" w:line="147" w:lineRule="exact"/>
        <w:rPr>
          <w:rFonts w:ascii="Times New Roman" w:cs="Times New Roman" w:eastAsia="Times New Roman" w:hAnsi="Times New Roman"/>
          <w:sz w:val="19"/>
          <w:szCs w:val="19"/>
          <w:color w:val="auto"/>
        </w:rPr>
      </w:pPr>
    </w:p>
    <w:p>
      <w:pPr>
        <w:ind w:right="340" w:firstLine="54"/>
        <w:spacing w:after="0" w:line="288" w:lineRule="auto"/>
        <w:tabs>
          <w:tab w:leader="none" w:pos="372" w:val="left"/>
        </w:tabs>
        <w:numPr>
          <w:ilvl w:val="0"/>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Portfolio Investments</w:t>
      </w:r>
      <w:r>
        <w:rPr>
          <w:rFonts w:ascii="Times New Roman" w:cs="Times New Roman" w:eastAsia="Times New Roman" w:hAnsi="Times New Roman"/>
          <w:sz w:val="19"/>
          <w:szCs w:val="19"/>
          <w:color w:val="auto"/>
        </w:rPr>
        <w:t>. On each Reporting Date immediately following the filing by the Borrower of a Form 10-K or Form 10-Q</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the SEC, a schedule of investments on the financial statements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-673100</wp:posOffset>
            </wp:positionV>
            <wp:extent cx="3048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5">
                      <a:extLst>
                        <a:ext uri="{28A0092B-C50C-407E-A947-70E740481C1C}"/>
                      </a:extLst>
                    </a:blip>
                    <a:srcRect/>
                    <a:stretch>
                      <a:fillRect/>
                    </a:stretch>
                  </pic:blipFill>
                  <pic:spPr bwMode="auto">
                    <a:xfrm>
                      <a:off x="0" y="0"/>
                      <a:ext cx="30480" cy="7620"/>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-246380</wp:posOffset>
            </wp:positionV>
            <wp:extent cx="3048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6">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1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7.12.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7.13.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7.14.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7.15. Access to Certain Documentation and Information Regarding the Loans</w:t>
      </w:r>
      <w:r>
        <w:rPr>
          <w:rFonts w:ascii="Times New Roman" w:cs="Times New Roman" w:eastAsia="Times New Roman" w:hAnsi="Times New Roman"/>
          <w:sz w:val="19"/>
          <w:szCs w:val="19"/>
          <w:color w:val="auto"/>
        </w:rPr>
        <w:t>. The Borrower shall provide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Administrative Agent access to the Loan Documents and all other documentation regarding the Loans included as part of the Collateral and the Related Property, such access being afforded without charge but only (i) upon reasonable prior notice, (ii) during normal business hours and (iii) subject to the Borrower’s normal security and confidentiality procedures. From and after (x) the Effective Date and periodically thereafter at the discretion of the Administrative Agent (but in no event, except as provided under the following clause (y), more than once per calendar year), the Administrative Agent, on behalf of and with the input of each Managing Agent, and their representatives, examiners, auditors or consultants may review the Borrower’s collection and administration of the Loans in order to assess compliance by the Borrower with the Borrower’s written policies and procedures, as well as with this Agreement and may conduct (or commission) an audit of the Loans, Loan Documents and Records in conjunction with such a review, which audit shall be reasonable in scope and shall be completed in a reasonable period of time and (y) the occurrence, and during the continuation of an Event of Default, the Administrative Agent may review the Borrower’s collection and administration of the Loans in order to assess compliance by the Borrower with the Borrower’s written policies and procedures, as well as with this Agreement, which review shall not be limited in scope or frequency, nor restricted in period. The Administrative Agent may also conduct an audit (as such term is used in clause (x) of this Section 7.15) of the Loans, Loan Documents and Records in conjunction with such a review. The Borrower shall bear the cost of such reviews and audits;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other than in the case of the occurrence and continuation of an Event of Default, the Borrower shall not be required to bear such costs in excess of $</w:t>
      </w:r>
      <w:r>
        <w:rPr>
          <w:rFonts w:ascii="Times New Roman" w:cs="Times New Roman" w:eastAsia="Times New Roman" w:hAnsi="Times New Roman"/>
          <w:sz w:val="19"/>
          <w:szCs w:val="19"/>
          <w:color w:val="FF0000"/>
          <w:strike w:val="1"/>
        </w:rPr>
        <w:t>40,000</w:t>
      </w:r>
      <w:r>
        <w:rPr>
          <w:rFonts w:ascii="Times New Roman" w:cs="Times New Roman" w:eastAsia="Times New Roman" w:hAnsi="Times New Roman"/>
          <w:sz w:val="19"/>
          <w:szCs w:val="19"/>
          <w:color w:val="0000FF"/>
        </w:rPr>
        <w:t>50,000</w:t>
      </w:r>
      <w:r>
        <w:rPr>
          <w:rFonts w:ascii="Times New Roman" w:cs="Times New Roman" w:eastAsia="Times New Roman" w:hAnsi="Times New Roman"/>
          <w:sz w:val="19"/>
          <w:szCs w:val="19"/>
          <w:color w:val="auto"/>
        </w:rPr>
        <w:t xml:space="preserve"> in any twelve-month period.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7.16.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right="160" w:firstLine="48"/>
        <w:spacing w:after="0" w:line="257" w:lineRule="auto"/>
        <w:rPr>
          <w:sz w:val="20"/>
          <w:szCs w:val="20"/>
          <w:color w:val="auto"/>
        </w:rPr>
      </w:pPr>
      <w:r>
        <w:rPr>
          <w:rFonts w:ascii="Times New Roman" w:cs="Times New Roman" w:eastAsia="Times New Roman" w:hAnsi="Times New Roman"/>
          <w:sz w:val="19"/>
          <w:szCs w:val="19"/>
          <w:i w:val="1"/>
          <w:iCs w:val="1"/>
          <w:color w:val="auto"/>
        </w:rPr>
        <w:t>Section 7.17. Identification of Records</w:t>
      </w:r>
      <w:r>
        <w:rPr>
          <w:rFonts w:ascii="Times New Roman" w:cs="Times New Roman" w:eastAsia="Times New Roman" w:hAnsi="Times New Roman"/>
          <w:sz w:val="19"/>
          <w:szCs w:val="19"/>
          <w:color w:val="auto"/>
        </w:rPr>
        <w:t>. The Borrower shall clearly and unambiguously identify each Loan that is part of the Collateral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Related Property in its computer or other records to reflect that the interest in such Loans and Related Property have been transferred to and are owned by the Borrower and that the Administrative Agent has the interest therein granted by the Borrower pursuant to this Agreement.</w:t>
      </w: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85" w:name="page286"/>
    <w:bookmarkEnd w:id="285"/>
    <w:p>
      <w:pPr>
        <w:spacing w:after="0" w:line="200" w:lineRule="exact"/>
        <w:rPr>
          <w:sz w:val="20"/>
          <w:szCs w:val="20"/>
          <w:color w:val="auto"/>
        </w:rPr>
      </w:pPr>
    </w:p>
    <w:p>
      <w:pPr>
        <w:spacing w:after="0" w:line="283" w:lineRule="exact"/>
        <w:rPr>
          <w:sz w:val="20"/>
          <w:szCs w:val="20"/>
          <w:color w:val="auto"/>
        </w:rPr>
      </w:pPr>
    </w:p>
    <w:p>
      <w:pPr>
        <w:ind w:right="12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7.18. Fair Value Determination</w:t>
      </w:r>
      <w:r>
        <w:rPr>
          <w:rFonts w:ascii="Times New Roman" w:cs="Times New Roman" w:eastAsia="Times New Roman" w:hAnsi="Times New Roman"/>
          <w:sz w:val="19"/>
          <w:szCs w:val="19"/>
          <w:color w:val="auto"/>
        </w:rPr>
        <w:t>. The Fair Value of each Loan shall be determined in good faith by the Borrower’s board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directors on a quarterly basis or any other time when the Fair Value is required in accordance with the Investment Policy. At least once annually, the Fair Value for each Loan owned by the Borrower shall be reviewed by an independent valuation provider. The Fair Value for any Loan reviewed by an independent valuation provider shall be the lesser of the valuation estimated by such provider and the Borrower’s board of directors. Notwithstanding the foregoing, the Administrative Agent, individually or at the request of the Required Lenders, shall at any time have the right to request any Loan included in the Borrowing Base to be independently tested by an independent valuation provider.</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VIII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3"/>
          <w:szCs w:val="13"/>
          <w:b w:val="1"/>
          <w:bCs w:val="1"/>
          <w:color w:val="auto"/>
        </w:rPr>
        <w:t>VENTS OF</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3"/>
          <w:szCs w:val="13"/>
          <w:b w:val="1"/>
          <w:bCs w:val="1"/>
          <w:color w:val="auto"/>
        </w:rPr>
        <w:t>EFAULT</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8.1. Events of Default</w:t>
      </w:r>
      <w:r>
        <w:rPr>
          <w:rFonts w:ascii="Times New Roman" w:cs="Times New Roman" w:eastAsia="Times New Roman" w:hAnsi="Times New Roman"/>
          <w:sz w:val="19"/>
          <w:szCs w:val="19"/>
          <w:color w:val="auto"/>
        </w:rPr>
        <w:t>. If any of the following events (each, an</w:t>
      </w:r>
      <w:r>
        <w:rPr>
          <w:rFonts w:ascii="Times New Roman" w:cs="Times New Roman" w:eastAsia="Times New Roman" w:hAnsi="Times New Roman"/>
          <w:sz w:val="19"/>
          <w:szCs w:val="19"/>
          <w:i w:val="1"/>
          <w:iCs w:val="1"/>
          <w:color w:val="auto"/>
        </w:rPr>
        <w:t xml:space="preserve"> “Event of Default”</w:t>
      </w:r>
      <w:r>
        <w:rPr>
          <w:rFonts w:ascii="Times New Roman" w:cs="Times New Roman" w:eastAsia="Times New Roman" w:hAnsi="Times New Roman"/>
          <w:sz w:val="19"/>
          <w:szCs w:val="19"/>
          <w:color w:val="auto"/>
        </w:rPr>
        <w:t>) shall occur:</w:t>
      </w:r>
    </w:p>
    <w:p>
      <w:pPr>
        <w:spacing w:after="0" w:line="228" w:lineRule="exact"/>
        <w:rPr>
          <w:sz w:val="20"/>
          <w:szCs w:val="20"/>
          <w:color w:val="auto"/>
        </w:rPr>
      </w:pPr>
    </w:p>
    <w:p>
      <w:pPr>
        <w:ind w:left="700" w:right="60" w:firstLine="50"/>
        <w:spacing w:after="0" w:line="268" w:lineRule="auto"/>
        <w:tabs>
          <w:tab w:leader="none" w:pos="1009"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t>
      </w:r>
      <w:r>
        <w:rPr>
          <w:rFonts w:ascii="Times New Roman" w:cs="Times New Roman" w:eastAsia="Times New Roman" w:hAnsi="Times New Roman"/>
          <w:sz w:val="19"/>
          <w:szCs w:val="19"/>
          <w:color w:val="FF0000"/>
          <w:strike w:val="1"/>
        </w:rPr>
        <w:t>shall fail to</w:t>
      </w:r>
      <w:r>
        <w:rPr>
          <w:rFonts w:ascii="Times New Roman" w:cs="Times New Roman" w:eastAsia="Times New Roman" w:hAnsi="Times New Roman"/>
          <w:sz w:val="19"/>
          <w:szCs w:val="19"/>
          <w:color w:val="auto"/>
        </w:rPr>
        <w:t xml:space="preserve"> shall fail to (i) make payment of any principal when due hereunder or under any Transaction Document or (ii) make payment of any other Obligation, including Interest and fees, required to be made under this Agreement or any other Transaction Document and such failure shall continue for more than three (3) Business Days; or</w:t>
      </w:r>
    </w:p>
    <w:p>
      <w:pPr>
        <w:spacing w:after="0" w:line="168" w:lineRule="exact"/>
        <w:rPr>
          <w:rFonts w:ascii="Times New Roman" w:cs="Times New Roman" w:eastAsia="Times New Roman" w:hAnsi="Times New Roman"/>
          <w:sz w:val="19"/>
          <w:szCs w:val="19"/>
          <w:color w:val="auto"/>
        </w:rPr>
      </w:pPr>
    </w:p>
    <w:p>
      <w:pPr>
        <w:ind w:left="700" w:firstLine="50"/>
        <w:spacing w:after="0" w:line="255" w:lineRule="auto"/>
        <w:tabs>
          <w:tab w:leader="none" w:pos="1020"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provided in this Section 8.1,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shall fail to perform or observe in any material respect any other covenant or other agreement </w:t>
      </w:r>
      <w:r>
        <w:rPr>
          <w:rFonts w:ascii="Times New Roman" w:cs="Times New Roman" w:eastAsia="Times New Roman" w:hAnsi="Times New Roman"/>
          <w:sz w:val="19"/>
          <w:szCs w:val="19"/>
          <w:color w:val="FF0000"/>
        </w:rPr>
        <w:t>of the Borrower</w:t>
      </w:r>
      <w:r>
        <w:rPr>
          <w:rFonts w:ascii="Times New Roman" w:cs="Times New Roman" w:eastAsia="Times New Roman" w:hAnsi="Times New Roman"/>
          <w:sz w:val="19"/>
          <w:szCs w:val="19"/>
          <w:color w:val="auto"/>
        </w:rPr>
        <w:t xml:space="preserve"> set forth in this Agreement and any other Transaction Document to which it is a party and, in each case, such failure continues unremedied for more than fifteen (15) days (to the extent such failure is capable of being remedied) after the first to occur of (i) the date on which written notice (which may be by email) of such failure requiring the same to be remedied shall have been given to such Person by the Borrower, the Administrative Agent or any Lender and (ii) the date on which such Person becomes or should have become aware thereof, </w:t>
      </w:r>
      <w:r>
        <w:rPr>
          <w:rFonts w:ascii="Times New Roman" w:cs="Times New Roman" w:eastAsia="Times New Roman" w:hAnsi="Times New Roman"/>
          <w:sz w:val="19"/>
          <w:szCs w:val="19"/>
          <w:i w:val="1"/>
          <w:iCs w:val="1"/>
          <w:color w:val="auto"/>
        </w:rPr>
        <w:t xml:space="preserve">provided, however, </w:t>
      </w:r>
      <w:r>
        <w:rPr>
          <w:rFonts w:ascii="Times New Roman" w:cs="Times New Roman" w:eastAsia="Times New Roman" w:hAnsi="Times New Roman"/>
          <w:sz w:val="19"/>
          <w:szCs w:val="19"/>
          <w:color w:val="auto"/>
        </w:rPr>
        <w:t>that breaches of Sections 5.1(e) through (</w:t>
      </w:r>
      <w:r>
        <w:rPr>
          <w:rFonts w:ascii="Times New Roman" w:cs="Times New Roman" w:eastAsia="Times New Roman" w:hAnsi="Times New Roman"/>
          <w:sz w:val="19"/>
          <w:szCs w:val="19"/>
          <w:color w:val="FF0000"/>
          <w:strike w:val="1"/>
        </w:rPr>
        <w:t>k</w:t>
      </w:r>
      <w:r>
        <w:rPr>
          <w:rFonts w:ascii="Times New Roman" w:cs="Times New Roman" w:eastAsia="Times New Roman" w:hAnsi="Times New Roman"/>
          <w:sz w:val="19"/>
          <w:szCs w:val="19"/>
          <w:color w:val="0000FF"/>
        </w:rPr>
        <w:t>o</w:t>
      </w:r>
      <w:r>
        <w:rPr>
          <w:rFonts w:ascii="Times New Roman" w:cs="Times New Roman" w:eastAsia="Times New Roman" w:hAnsi="Times New Roman"/>
          <w:sz w:val="19"/>
          <w:szCs w:val="19"/>
          <w:color w:val="auto"/>
        </w:rPr>
        <w:t>), 5.1(q), 5.1(s), 5.1(u),</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0000FF"/>
        </w:rPr>
        <w:t>5.1(ll),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5.1(mm), 5.3, 7.11 and 7.18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not have any cure period and shall constitute Events of Default upon the breach of any such covenant; or</w:t>
      </w:r>
    </w:p>
    <w:p>
      <w:pPr>
        <w:spacing w:after="0" w:line="183" w:lineRule="exact"/>
        <w:rPr>
          <w:rFonts w:ascii="Times New Roman" w:cs="Times New Roman" w:eastAsia="Times New Roman" w:hAnsi="Times New Roman"/>
          <w:sz w:val="19"/>
          <w:szCs w:val="19"/>
          <w:color w:val="auto"/>
        </w:rPr>
      </w:pPr>
    </w:p>
    <w:p>
      <w:pPr>
        <w:ind w:left="700" w:right="120" w:firstLine="50"/>
        <w:spacing w:after="0" w:line="258" w:lineRule="auto"/>
        <w:tabs>
          <w:tab w:leader="none" w:pos="1009"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representation or warranty made or deemed made by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in this Agreement or any other Transaction Document or any amendment or modification hereof or thereof, or in any report, certificate, financial statement or other document furnished pursuant to or in connection with this Agreement or any other Transaction Document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-1513205</wp:posOffset>
            </wp:positionV>
            <wp:extent cx="80772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8">
                      <a:extLst>
                        <a:ext uri="{28A0092B-C50C-407E-A947-70E740481C1C}"/>
                      </a:extLst>
                    </a:blip>
                    <a:srcRect/>
                    <a:stretch>
                      <a:fillRect/>
                    </a:stretch>
                  </pic:blipFill>
                  <pic:spPr bwMode="auto">
                    <a:xfrm>
                      <a:off x="0" y="0"/>
                      <a:ext cx="807720" cy="7620"/>
                    </a:xfrm>
                    <a:prstGeom prst="rect">
                      <a:avLst/>
                    </a:prstGeom>
                    <a:noFill/>
                  </pic:spPr>
                </pic:pic>
              </a:graphicData>
            </a:graphic>
          </wp:anchor>
        </w:drawing>
      </w:r>
    </w:p>
    <w:p>
      <w:pPr>
        <w:ind w:left="700" w:right="200"/>
        <w:spacing w:after="0" w:line="250" w:lineRule="auto"/>
        <w:rPr>
          <w:sz w:val="20"/>
          <w:szCs w:val="20"/>
          <w:color w:val="auto"/>
        </w:rPr>
      </w:pPr>
      <w:r>
        <w:rPr>
          <w:rFonts w:ascii="Times New Roman" w:cs="Times New Roman" w:eastAsia="Times New Roman" w:hAnsi="Times New Roman"/>
          <w:sz w:val="19"/>
          <w:szCs w:val="19"/>
          <w:color w:val="auto"/>
        </w:rPr>
        <w:t>amendment or modification hereof or thereof, shall prove to be incorrect in any material respect as of the time when the same shall have been made or deemed to have been made; 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86" w:name="page287"/>
    <w:bookmarkEnd w:id="286"/>
    <w:p>
      <w:pPr>
        <w:spacing w:after="0" w:line="200" w:lineRule="exact"/>
        <w:rPr>
          <w:sz w:val="20"/>
          <w:szCs w:val="20"/>
          <w:color w:val="auto"/>
        </w:rPr>
      </w:pPr>
    </w:p>
    <w:p>
      <w:pPr>
        <w:spacing w:after="0" w:line="285" w:lineRule="exact"/>
        <w:rPr>
          <w:sz w:val="20"/>
          <w:szCs w:val="20"/>
          <w:color w:val="auto"/>
        </w:rPr>
      </w:pPr>
    </w:p>
    <w:p>
      <w:pPr>
        <w:ind w:right="220" w:firstLine="50"/>
        <w:spacing w:after="0" w:line="286" w:lineRule="auto"/>
        <w:tabs>
          <w:tab w:leader="none" w:pos="32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 Insolvency Event shall occur with respect to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 (or any of its Subsidiaries)</w:t>
      </w:r>
      <w:r>
        <w:rPr>
          <w:rFonts w:ascii="Times New Roman" w:cs="Times New Roman" w:eastAsia="Times New Roman" w:hAnsi="Times New Roman"/>
          <w:sz w:val="19"/>
          <w:szCs w:val="19"/>
          <w:color w:val="auto"/>
        </w:rPr>
        <w:t xml:space="preserve"> or the Investment Adviser </w:t>
      </w:r>
      <w:r>
        <w:rPr>
          <w:rFonts w:ascii="Times New Roman" w:cs="Times New Roman" w:eastAsia="Times New Roman" w:hAnsi="Times New Roman"/>
          <w:sz w:val="19"/>
          <w:szCs w:val="19"/>
          <w:color w:val="FF0000"/>
        </w:rPr>
        <w:t>or any Affiliate of either Person</w:t>
      </w:r>
      <w:r>
        <w:rPr>
          <w:rFonts w:ascii="Times New Roman" w:cs="Times New Roman" w:eastAsia="Times New Roman" w:hAnsi="Times New Roman"/>
          <w:sz w:val="19"/>
          <w:szCs w:val="19"/>
          <w:color w:val="auto"/>
        </w:rPr>
        <w:t>; or</w:t>
      </w:r>
    </w:p>
    <w:p>
      <w:pPr>
        <w:spacing w:after="0" w:line="151"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RGC is no longer serving as the investment adviser to the Borrower under the Investment Advisory Agreement; or</w:t>
      </w:r>
    </w:p>
    <w:p>
      <w:pPr>
        <w:spacing w:after="0" w:line="225" w:lineRule="exact"/>
        <w:rPr>
          <w:rFonts w:ascii="Times New Roman" w:cs="Times New Roman" w:eastAsia="Times New Roman" w:hAnsi="Times New Roman"/>
          <w:sz w:val="19"/>
          <w:szCs w:val="19"/>
          <w:color w:val="auto"/>
        </w:rPr>
      </w:pPr>
    </w:p>
    <w:p>
      <w:pPr>
        <w:ind w:firstLine="50"/>
        <w:spacing w:after="0" w:line="268" w:lineRule="auto"/>
        <w:tabs>
          <w:tab w:leader="none" w:pos="288"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ceases to have a valid ownership interest in all 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FF0000"/>
          <w:strike w:val="1"/>
        </w:rPr>
        <w:t>the</w:t>
      </w:r>
      <w:r>
        <w:rPr>
          <w:rFonts w:ascii="Times New Roman" w:cs="Times New Roman" w:eastAsia="Times New Roman" w:hAnsi="Times New Roman"/>
          <w:sz w:val="19"/>
          <w:szCs w:val="19"/>
          <w:color w:val="0000FF"/>
        </w:rPr>
        <w:t>its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Collateral (subject to Permitted Liens)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the Administrative Agent shall fail to have a first priority perfected security interest in any part of the Collateral (other than in respect of a de minimis amount of Collateral and subject to Permitted Liens), free and clear of any adverse claims; or</w:t>
      </w:r>
    </w:p>
    <w:p>
      <w:pPr>
        <w:spacing w:after="0" w:line="168"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Borrowing Base Test shall not be met, and such failure shall continue for more than three (3) Business Days; or</w:t>
      </w:r>
    </w:p>
    <w:p>
      <w:pPr>
        <w:spacing w:after="0" w:line="225" w:lineRule="exact"/>
        <w:rPr>
          <w:rFonts w:ascii="Times New Roman" w:cs="Times New Roman" w:eastAsia="Times New Roman" w:hAnsi="Times New Roman"/>
          <w:sz w:val="19"/>
          <w:szCs w:val="19"/>
          <w:color w:val="auto"/>
        </w:rPr>
      </w:pPr>
    </w:p>
    <w:p>
      <w:pPr>
        <w:jc w:val="both"/>
        <w:ind w:right="320" w:firstLine="50"/>
        <w:spacing w:after="0" w:line="268" w:lineRule="auto"/>
        <w:tabs>
          <w:tab w:leader="none" w:pos="32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director, general partner, managing member, manager or senior officer of the Borrower or the Investment Adviser is indicted for any felonious criminal offense related to the performance of its activities in any securities, financial advisory or other investment businesses; or</w:t>
      </w:r>
    </w:p>
    <w:p>
      <w:pPr>
        <w:spacing w:after="0" w:line="168" w:lineRule="exact"/>
        <w:rPr>
          <w:rFonts w:ascii="Times New Roman" w:cs="Times New Roman" w:eastAsia="Times New Roman" w:hAnsi="Times New Roman"/>
          <w:sz w:val="19"/>
          <w:szCs w:val="19"/>
          <w:color w:val="auto"/>
        </w:rPr>
      </w:pPr>
    </w:p>
    <w:p>
      <w:pPr>
        <w:jc w:val="both"/>
        <w:ind w:right="20" w:firstLine="50"/>
        <w:spacing w:after="0" w:line="262" w:lineRule="auto"/>
        <w:tabs>
          <w:tab w:leader="none" w:pos="277"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the prior written consent of the Administrative Agent, the Borrower (i) agrees or consents to, or otherwise permits to occur, any amendment or modification or rescission to the Investment Policy in whole or in part, in any manner that would have a material adverse effect on the Loans or a Material Adverse Effect or (ii) cancels or terminates the Investment Advisory Agreement; or</w:t>
      </w:r>
    </w:p>
    <w:p>
      <w:pPr>
        <w:spacing w:after="0" w:line="174" w:lineRule="exact"/>
        <w:rPr>
          <w:rFonts w:ascii="Times New Roman" w:cs="Times New Roman" w:eastAsia="Times New Roman" w:hAnsi="Times New Roman"/>
          <w:sz w:val="19"/>
          <w:szCs w:val="19"/>
          <w:color w:val="auto"/>
        </w:rPr>
      </w:pPr>
    </w:p>
    <w:p>
      <w:pPr>
        <w:ind w:right="120" w:firstLine="50"/>
        <w:spacing w:after="0" w:line="268" w:lineRule="auto"/>
        <w:tabs>
          <w:tab w:leader="none" w:pos="277"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one or more acts (including any failure(s) to act) by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or the Investment Adviser </w:t>
      </w:r>
      <w:r>
        <w:rPr>
          <w:rFonts w:ascii="Times New Roman" w:cs="Times New Roman" w:eastAsia="Times New Roman" w:hAnsi="Times New Roman"/>
          <w:sz w:val="19"/>
          <w:szCs w:val="19"/>
          <w:color w:val="FF0000"/>
        </w:rPr>
        <w:t>or any Affiliate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thereof</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occurs that constitutes fraud, willful misconduct or a material violation of Applicable Laws (including securities laws)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(as determined in a final, non-appealable adjudication by a court of competent jurisdiction); or</w:t>
      </w:r>
    </w:p>
    <w:p>
      <w:pPr>
        <w:spacing w:after="0" w:line="168" w:lineRule="exact"/>
        <w:rPr>
          <w:rFonts w:ascii="Times New Roman" w:cs="Times New Roman" w:eastAsia="Times New Roman" w:hAnsi="Times New Roman"/>
          <w:sz w:val="19"/>
          <w:szCs w:val="19"/>
          <w:color w:val="auto"/>
        </w:rPr>
      </w:pPr>
    </w:p>
    <w:p>
      <w:pPr>
        <w:ind w:right="360" w:firstLine="50"/>
        <w:spacing w:after="0" w:line="286" w:lineRule="auto"/>
        <w:tabs>
          <w:tab w:leader="none" w:pos="32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of Control occurs and the Administrative Agent (at the direction of the Required Lenders) has not provided prior written consent to such Change of Control; or</w:t>
      </w:r>
    </w:p>
    <w:p>
      <w:pPr>
        <w:spacing w:after="0" w:line="151" w:lineRule="exact"/>
        <w:rPr>
          <w:rFonts w:ascii="Times New Roman" w:cs="Times New Roman" w:eastAsia="Times New Roman" w:hAnsi="Times New Roman"/>
          <w:sz w:val="19"/>
          <w:szCs w:val="19"/>
          <w:color w:val="auto"/>
        </w:rPr>
      </w:pPr>
    </w:p>
    <w:p>
      <w:pPr>
        <w:ind w:left="280" w:hanging="230"/>
        <w:spacing w:after="0"/>
        <w:tabs>
          <w:tab w:leader="none" w:pos="280" w:val="left"/>
        </w:tabs>
        <w:numPr>
          <w:ilvl w:val="0"/>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or any wholly-owned Subsidiary thereof (i) defaults in making any payment required to be</w:t>
      </w:r>
    </w:p>
    <w:p>
      <w:pPr>
        <w:spacing w:after="0" w:line="31" w:lineRule="exact"/>
        <w:rPr>
          <w:rFonts w:ascii="Times New Roman" w:cs="Times New Roman" w:eastAsia="Times New Roman" w:hAnsi="Times New Roman"/>
          <w:sz w:val="19"/>
          <w:szCs w:val="19"/>
          <w:color w:val="auto"/>
        </w:rPr>
      </w:pPr>
    </w:p>
    <w:p>
      <w:pPr>
        <w:jc w:val="both"/>
        <w:ind w:right="100"/>
        <w:spacing w:after="0" w:line="25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made under any </w:t>
      </w:r>
      <w:r>
        <w:rPr>
          <w:rFonts w:ascii="Times New Roman" w:cs="Times New Roman" w:eastAsia="Times New Roman" w:hAnsi="Times New Roman"/>
          <w:sz w:val="19"/>
          <w:szCs w:val="19"/>
          <w:color w:val="FF0000"/>
          <w:strike w:val="1"/>
        </w:rPr>
        <w:t>agreement for borrowed money in excess of $2,500,000 or any other material agreement</w:t>
      </w:r>
      <w:r>
        <w:rPr>
          <w:rFonts w:ascii="Times New Roman" w:cs="Times New Roman" w:eastAsia="Times New Roman" w:hAnsi="Times New Roman"/>
          <w:sz w:val="19"/>
          <w:szCs w:val="19"/>
          <w:color w:val="0000FF"/>
        </w:rPr>
        <w:t>Material Indebtedness</w:t>
      </w:r>
      <w:r>
        <w:rPr>
          <w:rFonts w:ascii="Times New Roman" w:cs="Times New Roman" w:eastAsia="Times New Roman" w:hAnsi="Times New Roman"/>
          <w:sz w:val="19"/>
          <w:szCs w:val="19"/>
          <w:color w:val="auto"/>
        </w:rPr>
        <w:t xml:space="preserve"> and such default is not cured within the relevant cure period or (ii) fails to perform or observe any other condition or covenant, or any other event shall occur or condition exist, under any agreement or instrument relating to any such </w:t>
      </w:r>
      <w:r>
        <w:rPr>
          <w:rFonts w:ascii="Times New Roman" w:cs="Times New Roman" w:eastAsia="Times New Roman" w:hAnsi="Times New Roman"/>
          <w:sz w:val="19"/>
          <w:szCs w:val="19"/>
          <w:color w:val="0000FF"/>
        </w:rPr>
        <w:t>Material</w:t>
      </w:r>
      <w:r>
        <w:rPr>
          <w:rFonts w:ascii="Times New Roman" w:cs="Times New Roman" w:eastAsia="Times New Roman" w:hAnsi="Times New Roman"/>
          <w:sz w:val="19"/>
          <w:szCs w:val="19"/>
          <w:color w:val="auto"/>
        </w:rPr>
        <w:t xml:space="preserve"> Indebtedness </w:t>
      </w:r>
      <w:r>
        <w:rPr>
          <w:rFonts w:ascii="Times New Roman" w:cs="Times New Roman" w:eastAsia="Times New Roman" w:hAnsi="Times New Roman"/>
          <w:sz w:val="19"/>
          <w:szCs w:val="19"/>
          <w:color w:val="FF0000"/>
          <w:strike w:val="1"/>
        </w:rPr>
        <w:t>or any other material agreement</w:t>
      </w:r>
      <w:r>
        <w:rPr>
          <w:rFonts w:ascii="Times New Roman" w:cs="Times New Roman" w:eastAsia="Times New Roman" w:hAnsi="Times New Roman"/>
          <w:sz w:val="19"/>
          <w:szCs w:val="19"/>
          <w:color w:val="000000"/>
        </w:rPr>
        <w:t>, if the effect of such failure, event or condition is to cause, or to permit the holder or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-4356100</wp:posOffset>
            </wp:positionV>
            <wp:extent cx="1585595"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0">
                      <a:extLst>
                        <a:ext uri="{28A0092B-C50C-407E-A947-70E740481C1C}"/>
                      </a:extLst>
                    </a:blip>
                    <a:srcRect/>
                    <a:stretch>
                      <a:fillRect/>
                    </a:stretch>
                  </pic:blipFill>
                  <pic:spPr bwMode="auto">
                    <a:xfrm>
                      <a:off x="0" y="0"/>
                      <a:ext cx="1585595" cy="7620"/>
                    </a:xfrm>
                    <a:prstGeom prst="rect">
                      <a:avLst/>
                    </a:prstGeom>
                    <a:noFill/>
                  </pic:spPr>
                </pic:pic>
              </a:graphicData>
            </a:graphic>
          </wp:anchor>
        </w:drawing>
        <w:drawing>
          <wp:anchor simplePos="0" relativeHeight="251657728" behindDoc="1" locked="0" layoutInCell="0" allowOverlap="1">
            <wp:simplePos x="0" y="0"/>
            <wp:positionH relativeFrom="column">
              <wp:posOffset>5420995</wp:posOffset>
            </wp:positionH>
            <wp:positionV relativeFrom="paragraph">
              <wp:posOffset>-1650365</wp:posOffset>
            </wp:positionV>
            <wp:extent cx="78486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1">
                      <a:extLst>
                        <a:ext uri="{28A0092B-C50C-407E-A947-70E740481C1C}"/>
                      </a:extLst>
                    </a:blip>
                    <a:srcRect/>
                    <a:stretch>
                      <a:fillRect/>
                    </a:stretch>
                  </pic:blipFill>
                  <pic:spPr bwMode="auto">
                    <a:xfrm>
                      <a:off x="0" y="0"/>
                      <a:ext cx="784860" cy="7620"/>
                    </a:xfrm>
                    <a:prstGeom prst="rect">
                      <a:avLst/>
                    </a:prstGeom>
                    <a:noFill/>
                  </pic:spPr>
                </pic:pic>
              </a:graphicData>
            </a:graphic>
          </wp:anchor>
        </w:drawing>
      </w:r>
    </w:p>
    <w:p>
      <w:pPr>
        <w:ind w:right="100"/>
        <w:spacing w:after="0" w:line="250" w:lineRule="auto"/>
        <w:rPr>
          <w:sz w:val="20"/>
          <w:szCs w:val="20"/>
          <w:color w:val="auto"/>
        </w:rPr>
      </w:pPr>
      <w:r>
        <w:rPr>
          <w:rFonts w:ascii="Times New Roman" w:cs="Times New Roman" w:eastAsia="Times New Roman" w:hAnsi="Times New Roman"/>
          <w:sz w:val="19"/>
          <w:szCs w:val="19"/>
          <w:color w:val="auto"/>
        </w:rPr>
        <w:t>such Indebtedness or beneficiary or beneficiaries of such Indebtedness (or a trustee or agent on behalf of such holder or holders or beneficiary or</w:t>
      </w:r>
    </w:p>
    <w:p>
      <w:pPr>
        <w:spacing w:after="0" w:line="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87" w:name="page288"/>
    <w:bookmarkEnd w:id="287"/>
    <w:p>
      <w:pPr>
        <w:spacing w:after="0" w:line="200" w:lineRule="exact"/>
        <w:rPr>
          <w:sz w:val="20"/>
          <w:szCs w:val="20"/>
          <w:color w:val="auto"/>
        </w:rPr>
      </w:pPr>
    </w:p>
    <w:p>
      <w:pPr>
        <w:spacing w:after="0" w:line="2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beneficiaries) to cause such Indebtedness to be declared to be due and payable prior to its stated maturity (without regard to any subordination terms with respect thereto); or</w:t>
      </w:r>
    </w:p>
    <w:p>
      <w:pPr>
        <w:spacing w:after="0" w:line="151" w:lineRule="exact"/>
        <w:rPr>
          <w:sz w:val="20"/>
          <w:szCs w:val="20"/>
          <w:color w:val="auto"/>
        </w:rPr>
      </w:pPr>
    </w:p>
    <w:p>
      <w:pPr>
        <w:ind w:right="120" w:firstLine="50"/>
        <w:spacing w:after="0" w:line="286" w:lineRule="auto"/>
        <w:tabs>
          <w:tab w:leader="none" w:pos="372"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is required to register or shall become an “investment company” subject to registration under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1940 Act; or</w:t>
      </w:r>
    </w:p>
    <w:p>
      <w:pPr>
        <w:spacing w:after="0" w:line="151" w:lineRule="exact"/>
        <w:rPr>
          <w:rFonts w:ascii="Times New Roman" w:cs="Times New Roman" w:eastAsia="Times New Roman" w:hAnsi="Times New Roman"/>
          <w:sz w:val="19"/>
          <w:szCs w:val="19"/>
          <w:color w:val="auto"/>
        </w:rPr>
      </w:pPr>
    </w:p>
    <w:p>
      <w:pPr>
        <w:ind w:firstLine="50"/>
        <w:spacing w:after="0" w:line="262" w:lineRule="auto"/>
        <w:tabs>
          <w:tab w:leader="none" w:pos="32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Internal Revenue Service shall file notice of a lien pursuant to Section 6323 of the Code with regard to any assets of the Borrower and such lien shall not have been released within five (5) Business Days, or the Pension Benefit Guaranty Corporation shall file notice of a lien pursuant to Section 4068 of ERISA with regard to any of the assets of the Borrower and such lien shall not have been released within five (5) Business Days; or</w:t>
      </w:r>
    </w:p>
    <w:p>
      <w:pPr>
        <w:spacing w:after="0" w:line="174" w:lineRule="exact"/>
        <w:rPr>
          <w:rFonts w:ascii="Times New Roman" w:cs="Times New Roman" w:eastAsia="Times New Roman" w:hAnsi="Times New Roman"/>
          <w:sz w:val="19"/>
          <w:szCs w:val="19"/>
          <w:color w:val="auto"/>
        </w:rPr>
      </w:pPr>
    </w:p>
    <w:p>
      <w:pPr>
        <w:ind w:right="20" w:firstLine="50"/>
        <w:spacing w:after="0" w:line="257" w:lineRule="auto"/>
        <w:tabs>
          <w:tab w:leader="none" w:pos="32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directly or indirectly, disaffirms or contests the validity or enforceability of any Transaction Document or any material provision of any Transaction Document, (ii)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takes any action for the purpose of terminating, repudiating or rescinding any Transaction Document executed by it or any of its obligations thereunder or (iii) any Transaction Document, or any Lien granted thereunder, shall (except in accordance with its terms), in whole or in part, terminate, cease to be effective or cease to be the legally valid, binding and enforceable obligation of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 party thereto</w:t>
      </w:r>
      <w:r>
        <w:rPr>
          <w:rFonts w:ascii="Times New Roman" w:cs="Times New Roman" w:eastAsia="Times New Roman" w:hAnsi="Times New Roman"/>
          <w:sz w:val="19"/>
          <w:szCs w:val="19"/>
          <w:color w:val="000000"/>
        </w:rPr>
        <w:t>; or</w:t>
      </w:r>
    </w:p>
    <w:p>
      <w:pPr>
        <w:spacing w:after="0" w:line="180"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Collection Date shall not have occurred on or prior to the Maturity Date; or</w:t>
      </w:r>
    </w:p>
    <w:p>
      <w:pPr>
        <w:spacing w:after="0" w:line="225" w:lineRule="exact"/>
        <w:rPr>
          <w:rFonts w:ascii="Times New Roman" w:cs="Times New Roman" w:eastAsia="Times New Roman" w:hAnsi="Times New Roman"/>
          <w:sz w:val="19"/>
          <w:szCs w:val="19"/>
          <w:color w:val="auto"/>
        </w:rPr>
      </w:pPr>
    </w:p>
    <w:p>
      <w:pPr>
        <w:ind w:right="180" w:firstLine="50"/>
        <w:spacing w:after="0" w:line="286" w:lineRule="auto"/>
        <w:tabs>
          <w:tab w:leader="none" w:pos="324"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shall assign any of its rights, obligations, or duties under the Transaction Documents without</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the prior written consent of each Lender; or</w:t>
      </w:r>
    </w:p>
    <w:p>
      <w:pPr>
        <w:spacing w:after="0" w:line="151" w:lineRule="exact"/>
        <w:rPr>
          <w:rFonts w:ascii="Times New Roman" w:cs="Times New Roman" w:eastAsia="Times New Roman" w:hAnsi="Times New Roman"/>
          <w:sz w:val="19"/>
          <w:szCs w:val="19"/>
          <w:color w:val="auto"/>
        </w:rPr>
      </w:pPr>
    </w:p>
    <w:p>
      <w:pPr>
        <w:ind w:left="300" w:hanging="250"/>
        <w:spacing w:after="0"/>
        <w:tabs>
          <w:tab w:leader="none" w:pos="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 Key Person Event; or</w:t>
      </w:r>
    </w:p>
    <w:p>
      <w:pPr>
        <w:spacing w:after="0" w:line="225" w:lineRule="exact"/>
        <w:rPr>
          <w:rFonts w:ascii="Times New Roman" w:cs="Times New Roman" w:eastAsia="Times New Roman" w:hAnsi="Times New Roman"/>
          <w:sz w:val="19"/>
          <w:szCs w:val="19"/>
          <w:color w:val="auto"/>
        </w:rPr>
      </w:pPr>
    </w:p>
    <w:p>
      <w:pPr>
        <w:ind w:left="300" w:hanging="250"/>
        <w:spacing w:after="0"/>
        <w:tabs>
          <w:tab w:leader="none" w:pos="30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occurrence of a Material Adverse Effect; or</w:t>
      </w:r>
    </w:p>
    <w:p>
      <w:pPr>
        <w:spacing w:after="0" w:line="225" w:lineRule="exact"/>
        <w:rPr>
          <w:rFonts w:ascii="Times New Roman" w:cs="Times New Roman" w:eastAsia="Times New Roman" w:hAnsi="Times New Roman"/>
          <w:sz w:val="19"/>
          <w:szCs w:val="19"/>
          <w:color w:val="auto"/>
        </w:rPr>
      </w:pPr>
    </w:p>
    <w:p>
      <w:pPr>
        <w:ind w:left="280" w:hanging="230"/>
        <w:spacing w:after="0"/>
        <w:tabs>
          <w:tab w:leader="none" w:pos="28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of any date, the Collateral Default Ratio shall exceed 7.50% </w:t>
      </w:r>
      <w:r>
        <w:rPr>
          <w:rFonts w:ascii="Times New Roman" w:cs="Times New Roman" w:eastAsia="Times New Roman" w:hAnsi="Times New Roman"/>
          <w:sz w:val="19"/>
          <w:szCs w:val="19"/>
          <w:color w:val="0000FF"/>
        </w:rPr>
        <w:t>or the Interest Spread Test is not satisfied</w:t>
      </w:r>
      <w:r>
        <w:rPr>
          <w:rFonts w:ascii="Times New Roman" w:cs="Times New Roman" w:eastAsia="Times New Roman" w:hAnsi="Times New Roman"/>
          <w:sz w:val="19"/>
          <w:szCs w:val="19"/>
          <w:color w:val="auto"/>
        </w:rPr>
        <w:t>; or</w:t>
      </w:r>
    </w:p>
    <w:p>
      <w:pPr>
        <w:spacing w:after="0" w:line="225"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Investment Adviser’s business activities are suspended or terminated by a Governmental Authority; or</w:t>
      </w:r>
    </w:p>
    <w:p>
      <w:pPr>
        <w:spacing w:after="0" w:line="225" w:lineRule="exact"/>
        <w:rPr>
          <w:rFonts w:ascii="Times New Roman" w:cs="Times New Roman" w:eastAsia="Times New Roman" w:hAnsi="Times New Roman"/>
          <w:sz w:val="19"/>
          <w:szCs w:val="19"/>
          <w:color w:val="auto"/>
        </w:rPr>
      </w:pPr>
    </w:p>
    <w:p>
      <w:pPr>
        <w:ind w:right="120" w:firstLine="50"/>
        <w:spacing w:after="0" w:line="256" w:lineRule="auto"/>
        <w:tabs>
          <w:tab w:leader="none" w:pos="320" w:val="left"/>
        </w:tabs>
        <w:numPr>
          <w:ilvl w:val="0"/>
          <w:numId w:val="1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rendering of one or more final judgments, decrees or orders by a court or arbitrator of competent jurisdiction for the payment of money in excess individually or in the aggregate of $</w:t>
      </w:r>
      <w:r>
        <w:rPr>
          <w:rFonts w:ascii="Times New Roman" w:cs="Times New Roman" w:eastAsia="Times New Roman" w:hAnsi="Times New Roman"/>
          <w:sz w:val="19"/>
          <w:szCs w:val="19"/>
          <w:color w:val="FF0000"/>
          <w:strike w:val="1"/>
        </w:rPr>
        <w:t>2,500,000</w:t>
      </w:r>
      <w:r>
        <w:rPr>
          <w:rFonts w:ascii="Times New Roman" w:cs="Times New Roman" w:eastAsia="Times New Roman" w:hAnsi="Times New Roman"/>
          <w:sz w:val="19"/>
          <w:szCs w:val="19"/>
          <w:color w:val="0000FF"/>
        </w:rPr>
        <w:t>10,000,000</w:t>
      </w:r>
      <w:r>
        <w:rPr>
          <w:rFonts w:ascii="Times New Roman" w:cs="Times New Roman" w:eastAsia="Times New Roman" w:hAnsi="Times New Roman"/>
          <w:sz w:val="19"/>
          <w:szCs w:val="19"/>
          <w:color w:val="auto"/>
        </w:rPr>
        <w:t xml:space="preserve"> against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auto"/>
        </w:rPr>
        <w:t xml:space="preserve"> or Investment Adviser (exclusive of judgment amounts fully covered by insurance), and the aforementioned parties shall not have either (x) discharged or provided for the discharge of any such judgment, decree or order in accordance with its terms or (y)</w:t>
      </w:r>
    </w:p>
    <w:p>
      <w:pPr>
        <w:spacing w:after="0" w:line="2" w:lineRule="exact"/>
        <w:rPr>
          <w:sz w:val="20"/>
          <w:szCs w:val="20"/>
          <w:color w:val="auto"/>
        </w:rPr>
      </w:pPr>
    </w:p>
    <w:p>
      <w:pPr>
        <w:ind w:left="4400" w:right="1720" w:hanging="4392"/>
        <w:spacing w:after="0" w:line="262" w:lineRule="auto"/>
        <w:rPr>
          <w:sz w:val="20"/>
          <w:szCs w:val="20"/>
          <w:color w:val="auto"/>
        </w:rPr>
      </w:pPr>
      <w:r>
        <w:rPr>
          <w:rFonts w:ascii="Times New Roman" w:cs="Times New Roman" w:eastAsia="Times New Roman" w:hAnsi="Times New Roman"/>
          <w:sz w:val="19"/>
          <w:szCs w:val="19"/>
          <w:color w:val="auto"/>
        </w:rPr>
        <w:t xml:space="preserve">perfected a timely appeal of such judgment, decree or order and caused the execution of same to be stayed </w:t>
      </w: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615950</wp:posOffset>
            </wp:positionV>
            <wp:extent cx="6732905"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80"/>
          </w:cols>
          <w:pgMar w:left="1360" w:top="1440" w:right="660" w:bottom="1440" w:gutter="0" w:footer="0" w:header="0"/>
        </w:sectPr>
      </w:pPr>
    </w:p>
    <w:bookmarkStart w:id="288" w:name="page289"/>
    <w:bookmarkEnd w:id="288"/>
    <w:p>
      <w:pPr>
        <w:spacing w:after="0" w:line="200" w:lineRule="exact"/>
        <w:rPr>
          <w:sz w:val="20"/>
          <w:szCs w:val="20"/>
          <w:color w:val="auto"/>
        </w:rPr>
      </w:pPr>
    </w:p>
    <w:p>
      <w:pPr>
        <w:spacing w:after="0" w:line="285" w:lineRule="exact"/>
        <w:rPr>
          <w:sz w:val="20"/>
          <w:szCs w:val="20"/>
          <w:color w:val="auto"/>
        </w:rPr>
      </w:pPr>
    </w:p>
    <w:p>
      <w:pPr>
        <w:ind w:left="700" w:right="880"/>
        <w:spacing w:after="0" w:line="286" w:lineRule="auto"/>
        <w:rPr>
          <w:sz w:val="20"/>
          <w:szCs w:val="20"/>
          <w:color w:val="auto"/>
        </w:rPr>
      </w:pPr>
      <w:r>
        <w:rPr>
          <w:rFonts w:ascii="Times New Roman" w:cs="Times New Roman" w:eastAsia="Times New Roman" w:hAnsi="Times New Roman"/>
          <w:sz w:val="19"/>
          <w:szCs w:val="19"/>
          <w:color w:val="auto"/>
        </w:rPr>
        <w:t>during the pendency of the appeal, in each case, within thirty (30) days from the date of entry thereof or enforcement proceedings are commenced upon such judgment, decree or order; or</w:t>
      </w:r>
    </w:p>
    <w:p>
      <w:pPr>
        <w:spacing w:after="0" w:line="151" w:lineRule="exact"/>
        <w:rPr>
          <w:sz w:val="20"/>
          <w:szCs w:val="20"/>
          <w:color w:val="auto"/>
        </w:rPr>
      </w:pPr>
    </w:p>
    <w:p>
      <w:pPr>
        <w:ind w:left="700" w:right="60" w:firstLine="50"/>
        <w:spacing w:after="0" w:line="286" w:lineRule="auto"/>
        <w:tabs>
          <w:tab w:leader="none" w:pos="1063"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by the Borrower </w:t>
      </w:r>
      <w:r>
        <w:rPr>
          <w:rFonts w:ascii="Times New Roman" w:cs="Times New Roman" w:eastAsia="Times New Roman" w:hAnsi="Times New Roman"/>
          <w:sz w:val="19"/>
          <w:szCs w:val="19"/>
          <w:color w:val="0000FF"/>
        </w:rPr>
        <w:t>or any Loan Party</w:t>
      </w:r>
      <w:r>
        <w:rPr>
          <w:rFonts w:ascii="Times New Roman" w:cs="Times New Roman" w:eastAsia="Times New Roman" w:hAnsi="Times New Roman"/>
          <w:sz w:val="19"/>
          <w:szCs w:val="19"/>
          <w:color w:val="auto"/>
        </w:rPr>
        <w:t xml:space="preserve"> to make any payment, transfer or deposit as required by this Agreement and such failure shall continue for three (3) Business Days; or</w:t>
      </w:r>
    </w:p>
    <w:p>
      <w:pPr>
        <w:spacing w:after="0" w:line="151" w:lineRule="exact"/>
        <w:rPr>
          <w:sz w:val="20"/>
          <w:szCs w:val="20"/>
          <w:color w:val="auto"/>
        </w:rPr>
      </w:pPr>
    </w:p>
    <w:p>
      <w:pPr>
        <w:ind w:left="700" w:right="120" w:firstLine="50"/>
        <w:spacing w:after="0" w:line="262" w:lineRule="auto"/>
        <w:tabs>
          <w:tab w:leader="none" w:pos="1020"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failure by the Borrower to give instructions or notice to </w:t>
      </w:r>
      <w:r>
        <w:rPr>
          <w:rFonts w:ascii="Times New Roman" w:cs="Times New Roman" w:eastAsia="Times New Roman" w:hAnsi="Times New Roman"/>
          <w:sz w:val="19"/>
          <w:szCs w:val="19"/>
          <w:color w:val="FF0000"/>
        </w:rPr>
        <w:t>the Borrower,</w:t>
      </w:r>
      <w:r>
        <w:rPr>
          <w:rFonts w:ascii="Times New Roman" w:cs="Times New Roman" w:eastAsia="Times New Roman" w:hAnsi="Times New Roman"/>
          <w:sz w:val="19"/>
          <w:szCs w:val="19"/>
          <w:color w:val="auto"/>
        </w:rPr>
        <w:t xml:space="preserve"> any Managing Agent and/or the Administrative Agent as required by this Agreement or to deliver any Required Reports hereunder on or before the date occurring two (2) Business Days after the date such instructions or notice or report is required to be made or given, as the case may be, under the terms of this Agreement; or</w:t>
      </w:r>
    </w:p>
    <w:p>
      <w:pPr>
        <w:spacing w:after="0" w:line="174" w:lineRule="exact"/>
        <w:rPr>
          <w:rFonts w:ascii="Times New Roman" w:cs="Times New Roman" w:eastAsia="Times New Roman" w:hAnsi="Times New Roman"/>
          <w:sz w:val="19"/>
          <w:szCs w:val="19"/>
          <w:color w:val="auto"/>
        </w:rPr>
      </w:pPr>
    </w:p>
    <w:p>
      <w:pPr>
        <w:ind w:left="700" w:firstLine="50"/>
        <w:spacing w:after="0" w:line="259" w:lineRule="auto"/>
        <w:tabs>
          <w:tab w:leader="none" w:pos="1009" w:val="left"/>
        </w:tabs>
        <w:numPr>
          <w:ilvl w:val="0"/>
          <w:numId w:val="1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this Section 8.1, the Borrower shall become unable to or shall fail to deliver any reporting, certification, notification or other documentation required under this Agreement or any other Transaction Document or any financial or asset information reasonably requested by the Administrative Agent or any Managing Agent as provided herein is not provided as required or requested within fifteen (15) days of the due date therefor or the receipt by the Borrower of any such request,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3556000</wp:posOffset>
            </wp:positionH>
            <wp:positionV relativeFrom="paragraph">
              <wp:posOffset>-1379855</wp:posOffset>
            </wp:positionV>
            <wp:extent cx="70866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4">
                      <a:extLst>
                        <a:ext uri="{28A0092B-C50C-407E-A947-70E740481C1C}"/>
                      </a:extLst>
                    </a:blip>
                    <a:srcRect/>
                    <a:stretch>
                      <a:fillRect/>
                    </a:stretch>
                  </pic:blipFill>
                  <pic:spPr bwMode="auto">
                    <a:xfrm>
                      <a:off x="0" y="0"/>
                      <a:ext cx="708660" cy="7620"/>
                    </a:xfrm>
                    <a:prstGeom prst="rect">
                      <a:avLst/>
                    </a:prstGeom>
                    <a:noFill/>
                  </pic:spPr>
                </pic:pic>
              </a:graphicData>
            </a:graphic>
          </wp:anchor>
        </w:drawing>
      </w:r>
    </w:p>
    <w:p>
      <w:pPr>
        <w:spacing w:after="0" w:line="15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 xml:space="preserve">then, and in any such event, the Administrative Agent shall, at the request, or may with the consent, of the Required Lenders, by notice to the Borrower declare the Termination Date to have occurred, without demand, protest or future notice of any kind, all of which are hereby expressly waived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xml:space="preserve">, and all Advances Outstanding and all other amounts owing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Parties </w:t>
      </w:r>
      <w:r>
        <w:rPr>
          <w:rFonts w:ascii="Times New Roman" w:cs="Times New Roman" w:eastAsia="Times New Roman" w:hAnsi="Times New Roman"/>
          <w:sz w:val="19"/>
          <w:szCs w:val="19"/>
          <w:color w:val="000000"/>
        </w:rPr>
        <w:t>under this Agreement shall be accelerated and become immediately due and payable,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that in the event that the Event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Default described in subsection (d) herein has occurred, the Termination Date shall automatically occur, without demand, protest or any notice of any kind, all of which are hereby expressly waived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000000"/>
        </w:rPr>
        <w:t>. Upon its receipt of written notice thereof, the Administrative Agent shall promptly notify each Lender of the occurrence of any Event of Default.</w:t>
      </w:r>
    </w:p>
    <w:p>
      <w:pPr>
        <w:spacing w:after="0" w:line="179" w:lineRule="exact"/>
        <w:rPr>
          <w:sz w:val="20"/>
          <w:szCs w:val="20"/>
          <w:color w:val="auto"/>
        </w:rPr>
      </w:pPr>
    </w:p>
    <w:p>
      <w:pPr>
        <w:ind w:right="4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8.2. Remedies</w:t>
      </w:r>
      <w:r>
        <w:rPr>
          <w:rFonts w:ascii="Times New Roman" w:cs="Times New Roman" w:eastAsia="Times New Roman" w:hAnsi="Times New Roman"/>
          <w:sz w:val="19"/>
          <w:szCs w:val="19"/>
          <w:color w:val="auto"/>
        </w:rPr>
        <w:t>. (a) Upon any such declaration or automatic occurrence of the Termination Date as specified under Section 8.1,</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no further Advances will be made, and the Administrative Agent and the other Secured Parties shall have, in addition to all other rights and remedies under this Agreement or otherwise, all rights and remedies provided under the UCC of each applicable jurisdiction and other Applicable Laws, including the Administrative Agent’s right, in its own name and as agent for the Secured Parties, to immediately, without notice except as specified below, conduct (at the Borrower’s expense) the sale of all or any portion of the Collateral in one or more parcels, in good faith and in accordance with commercially reasonable practices, it being hereby agreed and acknowledged 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that (i) some or all of the Collateral is or may be of the type that threatens to decline speedily in value and (ii)</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neither the Administrative Agent nor any other Secured Party shall incur any liability as a result of the sale of all or any portion of the Collateral in good faith and in a commercially reasonable manner. If there is no recognizable public market for sale of any portion of Collateral, then a</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119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9" w:name="page290"/>
    <w:bookmarkEnd w:id="289"/>
    <w:p>
      <w:pPr>
        <w:spacing w:after="0" w:line="200" w:lineRule="exact"/>
        <w:rPr>
          <w:sz w:val="20"/>
          <w:szCs w:val="20"/>
          <w:color w:val="auto"/>
        </w:rPr>
      </w:pPr>
    </w:p>
    <w:p>
      <w:pPr>
        <w:spacing w:after="0" w:line="2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private sale of that Collateral may be conducted only on an arm’s length basis and in good faith and in accordance with commercially reasonable practices. The Administrative Agent shall not be obligated to make any sale of Collateral regardless of notice of sale having been given. The Administrative Agent, may adjourn any public or private sale from time to time by announcement at the time and place fixed therefor, and such sale may, without further notice, be made at the time and place to which it was so adjourned.</w:t>
      </w:r>
    </w:p>
    <w:p>
      <w:pPr>
        <w:spacing w:after="0" w:line="174" w:lineRule="exact"/>
        <w:rPr>
          <w:sz w:val="20"/>
          <w:szCs w:val="20"/>
          <w:color w:val="auto"/>
        </w:rPr>
      </w:pPr>
    </w:p>
    <w:p>
      <w:pPr>
        <w:ind w:left="320" w:hanging="266"/>
        <w:spacing w:after="0"/>
        <w:tabs>
          <w:tab w:leader="none" w:pos="3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Upon any such declaration or automatic occurrence of the Termination Date as specified under Section 8.1,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w:t>
      </w:r>
    </w:p>
    <w:p>
      <w:pPr>
        <w:spacing w:after="0" w:line="31" w:lineRule="exact"/>
        <w:rPr>
          <w:rFonts w:ascii="Times New Roman" w:cs="Times New Roman" w:eastAsia="Times New Roman" w:hAnsi="Times New Roman"/>
          <w:sz w:val="19"/>
          <w:szCs w:val="19"/>
          <w:color w:val="auto"/>
        </w:rPr>
      </w:pPr>
    </w:p>
    <w:p>
      <w:pPr>
        <w:ind w:right="18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0000FF"/>
        </w:rPr>
        <w:t xml:space="preserve">Parties </w:t>
      </w:r>
      <w:r>
        <w:rPr>
          <w:rFonts w:ascii="Times New Roman" w:cs="Times New Roman" w:eastAsia="Times New Roman" w:hAnsi="Times New Roman"/>
          <w:sz w:val="19"/>
          <w:szCs w:val="19"/>
          <w:color w:val="000000"/>
        </w:rPr>
        <w:t>hereby agree that they will, at the expense of</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the Loan Parties</w:t>
      </w:r>
      <w:r>
        <w:rPr>
          <w:rFonts w:ascii="Times New Roman" w:cs="Times New Roman" w:eastAsia="Times New Roman" w:hAnsi="Times New Roman"/>
          <w:sz w:val="19"/>
          <w:szCs w:val="19"/>
          <w:color w:val="000000"/>
        </w:rPr>
        <w:t>, assemble all or any part of the Collateral as directed by</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Administrative Agent, and make the same available to the Administrative Agent, at a place to be designated by the Administrative Agent.</w:t>
      </w:r>
    </w:p>
    <w:p>
      <w:pPr>
        <w:spacing w:after="0" w:line="179" w:lineRule="exact"/>
        <w:rPr>
          <w:rFonts w:ascii="Times New Roman" w:cs="Times New Roman" w:eastAsia="Times New Roman" w:hAnsi="Times New Roman"/>
          <w:sz w:val="19"/>
          <w:szCs w:val="19"/>
          <w:color w:val="auto"/>
        </w:rPr>
      </w:pPr>
    </w:p>
    <w:p>
      <w:pPr>
        <w:ind w:firstLine="54"/>
        <w:spacing w:after="0" w:line="253" w:lineRule="auto"/>
        <w:tabs>
          <w:tab w:leader="none" w:pos="312"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agrees that the Administrative Agent shall have no general duty or obligation to make any effort to</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obtain or pay any particular price for any portion of the Collateral sold by the Administrative Agent pursuant to this Agreement. The Administrative Agent may, in its sole discretion, but subject to the requirement to adhere to commercially reasonable practices, among other things, accept the first offer received, or decide to approach or not to approach any potential purchasers.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000000"/>
        </w:rPr>
        <w:t xml:space="preserve"> hereby waive any claims against the Administrative Agent and the other Secured Parties arising by reason of the fact that the price at which any of the Collateral may have been sold at a private sale was less than the price that might have been obtained at a public sale or was less than the aggregate amount of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FF0000"/>
          <w:strike w:val="1"/>
        </w:rPr>
        <w:t>s</w:t>
      </w:r>
      <w:r>
        <w:rPr>
          <w:rFonts w:ascii="Times New Roman" w:cs="Times New Roman" w:eastAsia="Times New Roman" w:hAnsi="Times New Roman"/>
          <w:sz w:val="19"/>
          <w:szCs w:val="19"/>
          <w:color w:val="000000"/>
        </w:rPr>
        <w:t xml:space="preserve"> obligations under this Agreement, even if the Administrative Agent accepts the first offer received and does not offer any portion of the Collateral to more than one offeree;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the Administrative Agent has acted in a commercially reasonable manner in conducting such private sale. Without in any way limiting the Administrative Agent’s right to conduct a foreclosure sale in any manner which is considered commercially reasonable,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000000"/>
        </w:rPr>
        <w:t xml:space="preserve"> hereby agrees that any foreclosure sale conducted in accordance with the following provisions shall be considered a commercially reasonable sale, and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000000"/>
        </w:rPr>
        <w:t xml:space="preserve"> hereby irrevocably waives any right to contest any such sale conducted in accordance with the following provisions:</w:t>
      </w:r>
    </w:p>
    <w:p>
      <w:pPr>
        <w:spacing w:after="0" w:line="186"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conducts such foreclosure sale in the State of New York;</w:t>
      </w:r>
    </w:p>
    <w:p>
      <w:pPr>
        <w:spacing w:after="0" w:line="225"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foreclosure sale is conducted in accordance with the laws of the State of New York; and</w:t>
      </w:r>
    </w:p>
    <w:p>
      <w:pPr>
        <w:spacing w:after="0" w:line="225" w:lineRule="exact"/>
        <w:rPr>
          <w:rFonts w:ascii="Times New Roman" w:cs="Times New Roman" w:eastAsia="Times New Roman" w:hAnsi="Times New Roman"/>
          <w:sz w:val="19"/>
          <w:szCs w:val="19"/>
          <w:color w:val="auto"/>
        </w:rPr>
      </w:pPr>
    </w:p>
    <w:p>
      <w:pPr>
        <w:ind w:left="700" w:firstLine="50"/>
        <w:spacing w:after="0" w:line="286" w:lineRule="auto"/>
        <w:tabs>
          <w:tab w:leader="none" w:pos="1020"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 more than thirty (30) days before, and not less than ten (10) days in advance of such foreclosure sale, the Administrative Agent notifies the Borrower at the address set forth herein of the time and place of such foreclosure sale.</w:t>
      </w:r>
    </w:p>
    <w:p>
      <w:pPr>
        <w:spacing w:after="0" w:line="151" w:lineRule="exact"/>
        <w:rPr>
          <w:rFonts w:ascii="Times New Roman" w:cs="Times New Roman" w:eastAsia="Times New Roman" w:hAnsi="Times New Roman"/>
          <w:sz w:val="19"/>
          <w:szCs w:val="19"/>
          <w:color w:val="auto"/>
        </w:rPr>
      </w:pPr>
    </w:p>
    <w:p>
      <w:pPr>
        <w:ind w:right="140" w:firstLine="54"/>
        <w:spacing w:after="0" w:line="262" w:lineRule="auto"/>
        <w:tabs>
          <w:tab w:leader="none" w:pos="32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Administrative Agent proposes to sell all or any part of the Collateral in one or more parcels at a public or private sale, at the request of the Administrative Agent,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xml:space="preserve"> shall make available to (i) the Administrative Agent, on a timely basis,</w:t>
      </w:r>
    </w:p>
    <w:p>
      <w:pPr>
        <w:spacing w:after="0" w:line="1" w:lineRule="exact"/>
        <w:rPr>
          <w:sz w:val="20"/>
          <w:szCs w:val="20"/>
          <w:color w:val="auto"/>
        </w:rPr>
      </w:pPr>
    </w:p>
    <w:p>
      <w:pPr>
        <w:ind w:left="5100" w:right="2780" w:hanging="5088"/>
        <w:spacing w:after="0" w:line="262" w:lineRule="auto"/>
        <w:rPr>
          <w:sz w:val="20"/>
          <w:szCs w:val="20"/>
          <w:color w:val="auto"/>
        </w:rPr>
      </w:pPr>
      <w:r>
        <w:rPr>
          <w:rFonts w:ascii="Times New Roman" w:cs="Times New Roman" w:eastAsia="Times New Roman" w:hAnsi="Times New Roman"/>
          <w:sz w:val="19"/>
          <w:szCs w:val="19"/>
          <w:color w:val="auto"/>
        </w:rPr>
        <w:t xml:space="preserve">all information (including any information that the Borrower is required by law or contract to be kept </w:t>
      </w: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615950</wp:posOffset>
            </wp:positionV>
            <wp:extent cx="673290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0" w:name="page291"/>
    <w:bookmarkEnd w:id="290"/>
    <w:p>
      <w:pPr>
        <w:spacing w:after="0" w:line="200" w:lineRule="exact"/>
        <w:rPr>
          <w:sz w:val="20"/>
          <w:szCs w:val="20"/>
          <w:color w:val="auto"/>
        </w:rPr>
      </w:pPr>
    </w:p>
    <w:p>
      <w:pPr>
        <w:spacing w:after="0" w:line="28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confidential) relating to the Collateral subject to sale, including, without limitation, copies of any disclosure documents, contracts, financial statements of the applicable Obligors, covenant certificates and any other materials requested by the Administrative Agent, and</w:t>
      </w:r>
    </w:p>
    <w:p>
      <w:pPr>
        <w:spacing w:after="0" w:line="1" w:lineRule="exact"/>
        <w:rPr>
          <w:sz w:val="20"/>
          <w:szCs w:val="20"/>
          <w:color w:val="auto"/>
        </w:rPr>
      </w:pPr>
    </w:p>
    <w:p>
      <w:pPr>
        <w:ind w:right="220" w:firstLine="6"/>
        <w:spacing w:after="0" w:line="256" w:lineRule="auto"/>
        <w:tabs>
          <w:tab w:leader="none" w:pos="282" w:val="left"/>
        </w:tabs>
        <w:numPr>
          <w:ilvl w:val="0"/>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prospective bidder, on a timely basis, all reasonable information relating to the Collateral subject to sale, including, without limitation, copies of any disclosure documents, contracts, financial statements of the applicable Obligors, covenant certificates and any other materials reasonably requested by each such bidder.</w:t>
      </w:r>
    </w:p>
    <w:p>
      <w:pPr>
        <w:spacing w:after="0" w:line="179" w:lineRule="exact"/>
        <w:rPr>
          <w:rFonts w:ascii="Times New Roman" w:cs="Times New Roman" w:eastAsia="Times New Roman" w:hAnsi="Times New Roman"/>
          <w:sz w:val="19"/>
          <w:szCs w:val="19"/>
          <w:color w:val="auto"/>
        </w:rPr>
      </w:pPr>
    </w:p>
    <w:p>
      <w:pPr>
        <w:ind w:firstLine="54"/>
        <w:spacing w:after="0" w:line="252" w:lineRule="auto"/>
        <w:tabs>
          <w:tab w:leader="none" w:pos="312" w:val="left"/>
        </w:tabs>
        <w:numPr>
          <w:ilvl w:val="1"/>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agrees, to the full extent that it may lawfully so agree, that neither it nor anyone claiming through or</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under it will set up, claim or seek to take advantage of any appraisement, valuation, stay, extension or redemption law now or hereafter in force in any locality where any portion of the Collateral may be situated in order to prevent, hinder or delay the enforcement or foreclosure of this Agreement, or the absolute sale of any portion of the Collateral, or the final and absolute putting into possession thereof, immediately after such sale, of the purchasers thereof, and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000000"/>
        </w:rPr>
        <w:t xml:space="preserve">, for itself and all who may at any time claim through or under it, hereby waives, to the full extent that it may be lawful so to do, the benefit of all such laws, and any and all right to have any of the properties or assets constituting the Collateral marshaled upon any such sale, and agrees that the Administrative Agent on its behalf, or any court having jurisdiction to foreclose the security interests granted in this Agreement may sell the Collateral as an entirety or in such parcels as the Administrative Agent or such court may determine.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Each Loan Party</w:t>
      </w:r>
      <w:r>
        <w:rPr>
          <w:rFonts w:ascii="Times New Roman" w:cs="Times New Roman" w:eastAsia="Times New Roman" w:hAnsi="Times New Roman"/>
          <w:sz w:val="19"/>
          <w:szCs w:val="19"/>
          <w:color w:val="000000"/>
        </w:rPr>
        <w:t xml:space="preserve"> hereby acknowledges and agrees that (i) any and all claims, damages and demands against the Administrative Agent or the other Secured Parties arising out of, or in connection with, the exercise by the Administrative Agent of any of the rights or remedies pursuant to this Section</w:t>
      </w:r>
    </w:p>
    <w:p>
      <w:pPr>
        <w:spacing w:after="0" w:line="7" w:lineRule="exact"/>
        <w:rPr>
          <w:rFonts w:ascii="Times New Roman" w:cs="Times New Roman" w:eastAsia="Times New Roman" w:hAnsi="Times New Roman"/>
          <w:sz w:val="19"/>
          <w:szCs w:val="19"/>
          <w:color w:val="auto"/>
        </w:rPr>
      </w:pPr>
    </w:p>
    <w:p>
      <w:pPr>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8.2 can be sufficiently and adequately remedied by monetary damages, (ii) no irreparable injury will be caused to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any Loan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 xml:space="preserve">Party </w:t>
      </w:r>
      <w:r>
        <w:rPr>
          <w:rFonts w:ascii="Times New Roman" w:cs="Times New Roman" w:eastAsia="Times New Roman" w:hAnsi="Times New Roman"/>
          <w:sz w:val="19"/>
          <w:szCs w:val="19"/>
          <w:color w:val="000000"/>
        </w:rPr>
        <w:t>as a result of, or in connection with, any such claims, damages or demands, and (iii) no equitable or injunctive relief shall be sought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by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any Loan Party</w:t>
      </w:r>
      <w:r>
        <w:rPr>
          <w:rFonts w:ascii="Times New Roman" w:cs="Times New Roman" w:eastAsia="Times New Roman" w:hAnsi="Times New Roman"/>
          <w:sz w:val="19"/>
          <w:szCs w:val="19"/>
          <w:color w:val="000000"/>
        </w:rPr>
        <w:t xml:space="preserve"> as a result of, or in connection with, any such claims, damages or demands.</w:t>
      </w:r>
    </w:p>
    <w:p>
      <w:pPr>
        <w:spacing w:after="0" w:line="179" w:lineRule="exact"/>
        <w:rPr>
          <w:rFonts w:ascii="Times New Roman" w:cs="Times New Roman" w:eastAsia="Times New Roman" w:hAnsi="Times New Roman"/>
          <w:sz w:val="19"/>
          <w:szCs w:val="19"/>
          <w:color w:val="auto"/>
        </w:rPr>
      </w:pPr>
    </w:p>
    <w:p>
      <w:pPr>
        <w:ind w:right="480" w:firstLine="702"/>
        <w:spacing w:after="0" w:line="268" w:lineRule="auto"/>
        <w:tabs>
          <w:tab w:leader="none" w:pos="936" w:val="left"/>
        </w:tabs>
        <w:numPr>
          <w:ilvl w:val="2"/>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is authorized to set off any and all amounts due to the Administrative Agent and/or the other Secured Parties hereunder against any amounts payable to the </w:t>
      </w:r>
      <w:r>
        <w:rPr>
          <w:rFonts w:ascii="Times New Roman" w:cs="Times New Roman" w:eastAsia="Times New Roman" w:hAnsi="Times New Roman"/>
          <w:sz w:val="19"/>
          <w:szCs w:val="19"/>
          <w:color w:val="FF0000"/>
          <w:strike w:val="1"/>
        </w:rPr>
        <w:t>Borrower</w:t>
      </w:r>
      <w:r>
        <w:rPr>
          <w:rFonts w:ascii="Times New Roman" w:cs="Times New Roman" w:eastAsia="Times New Roman" w:hAnsi="Times New Roman"/>
          <w:sz w:val="19"/>
          <w:szCs w:val="19"/>
          <w:color w:val="0000FF"/>
        </w:rPr>
        <w:t>Loan Parties</w:t>
      </w:r>
      <w:r>
        <w:rPr>
          <w:rFonts w:ascii="Times New Roman" w:cs="Times New Roman" w:eastAsia="Times New Roman" w:hAnsi="Times New Roman"/>
          <w:sz w:val="19"/>
          <w:szCs w:val="19"/>
          <w:color w:val="auto"/>
        </w:rPr>
        <w:t xml:space="preserve"> by the Administrative Agent and/or the other Secured Parties, in each case, as applicable and whether or not such amounts have matured.</w:t>
      </w:r>
    </w:p>
    <w:p>
      <w:pPr>
        <w:spacing w:after="0" w:line="168" w:lineRule="exact"/>
        <w:rPr>
          <w:rFonts w:ascii="Times New Roman" w:cs="Times New Roman" w:eastAsia="Times New Roman" w:hAnsi="Times New Roman"/>
          <w:sz w:val="19"/>
          <w:szCs w:val="19"/>
          <w:color w:val="auto"/>
        </w:rPr>
      </w:pPr>
    </w:p>
    <w:p>
      <w:pPr>
        <w:ind w:right="220" w:firstLine="702"/>
        <w:spacing w:after="0" w:line="259" w:lineRule="auto"/>
        <w:tabs>
          <w:tab w:leader="none" w:pos="968" w:val="left"/>
        </w:tabs>
        <w:numPr>
          <w:ilvl w:val="2"/>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upon the occurrence and during the continuation of an Event of Default, following written notice by the Administrative Agent of the exercise of control rights with respect to the Collateral, without limiting an Issuer’s ability to do so at any other time, a Liquidity Facility may be drawn upon by an Issuer from time to time thereafter in order to retire the maturing commercial paper notes issued to fund or maintain the Advances hereunder (and the Advances hereunder, whether maintained by the amounts so drawn under the Liquidity Facility or otherwise, shall bear interest at the Default Rate).</w:t>
      </w:r>
    </w:p>
    <w:p>
      <w:pPr>
        <w:spacing w:after="0" w:line="177" w:lineRule="exact"/>
        <w:rPr>
          <w:rFonts w:ascii="Times New Roman" w:cs="Times New Roman" w:eastAsia="Times New Roman" w:hAnsi="Times New Roman"/>
          <w:sz w:val="19"/>
          <w:szCs w:val="19"/>
          <w:color w:val="auto"/>
        </w:rPr>
      </w:pPr>
    </w:p>
    <w:p>
      <w:pPr>
        <w:ind w:right="120" w:firstLine="702"/>
        <w:spacing w:after="0" w:line="258" w:lineRule="auto"/>
        <w:tabs>
          <w:tab w:leader="none" w:pos="968" w:val="left"/>
        </w:tabs>
        <w:numPr>
          <w:ilvl w:val="2"/>
          <w:numId w:val="1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aforementioned rights and remedies shall be without limitation, and shall be in addition to all other rights and remedies of the Administrative Agent and the other Secured Parties otherwise available under any provision of this Agreement by operation of law, at equity or otherwise, each of which are expressly preserved.</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1" w:name="page292"/>
    <w:bookmarkEnd w:id="291"/>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IX</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3"/>
          <w:szCs w:val="13"/>
          <w:b w:val="1"/>
          <w:bCs w:val="1"/>
          <w:color w:val="auto"/>
        </w:rPr>
        <w:t>NDEMNIFICATION</w:t>
      </w:r>
    </w:p>
    <w:p>
      <w:pPr>
        <w:spacing w:after="0" w:line="226" w:lineRule="exact"/>
        <w:rPr>
          <w:sz w:val="20"/>
          <w:szCs w:val="20"/>
          <w:color w:val="auto"/>
        </w:rPr>
      </w:pPr>
    </w:p>
    <w:p>
      <w:pPr>
        <w:ind w:right="6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9.1. Indemnities by the Borrower</w:t>
      </w:r>
      <w:r>
        <w:rPr>
          <w:rFonts w:ascii="Times New Roman" w:cs="Times New Roman" w:eastAsia="Times New Roman" w:hAnsi="Times New Roman"/>
          <w:sz w:val="19"/>
          <w:szCs w:val="19"/>
          <w:color w:val="auto"/>
        </w:rPr>
        <w:t>. (a) Without limiting any other rights that any such Person may have hereunder or 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Applicable Law, the Borrower hereby agrees to indemnify the Administrative Agent, the Managing Agents, the Bank Parties, any Secured Party or its assignee and each of their respective Affiliates and officers, directors, employees, members and agents thereof (collectively, the </w:t>
      </w:r>
      <w:r>
        <w:rPr>
          <w:rFonts w:ascii="Times New Roman" w:cs="Times New Roman" w:eastAsia="Times New Roman" w:hAnsi="Times New Roman"/>
          <w:sz w:val="19"/>
          <w:szCs w:val="19"/>
          <w:i w:val="1"/>
          <w:iCs w:val="1"/>
          <w:color w:val="auto"/>
        </w:rPr>
        <w:t>“Indemnified Parties”</w:t>
      </w:r>
      <w:r>
        <w:rPr>
          <w:rFonts w:ascii="Times New Roman" w:cs="Times New Roman" w:eastAsia="Times New Roman" w:hAnsi="Times New Roman"/>
          <w:sz w:val="19"/>
          <w:szCs w:val="19"/>
          <w:color w:val="auto"/>
        </w:rPr>
        <w:t xml:space="preserve">), forthwith on demand, from and against any and all damages, losses, claims, liabilities, penalties, actions, suits, and judgments and related costs and expenses of any kind or nature whatsoever, including reasonable attorneys’ fees and disbursements that may be incurred by or asserted or awarded against any Indemnified Party or other non -monetary damages of any such Indemnified Party (all of the foregoing being collectively referred to as </w:t>
      </w:r>
      <w:r>
        <w:rPr>
          <w:rFonts w:ascii="Times New Roman" w:cs="Times New Roman" w:eastAsia="Times New Roman" w:hAnsi="Times New Roman"/>
          <w:sz w:val="19"/>
          <w:szCs w:val="19"/>
          <w:i w:val="1"/>
          <w:iCs w:val="1"/>
          <w:color w:val="auto"/>
        </w:rPr>
        <w:t>“Indemnified Amounts”</w:t>
      </w:r>
      <w:r>
        <w:rPr>
          <w:rFonts w:ascii="Times New Roman" w:cs="Times New Roman" w:eastAsia="Times New Roman" w:hAnsi="Times New Roman"/>
          <w:sz w:val="19"/>
          <w:szCs w:val="19"/>
          <w:color w:val="auto"/>
        </w:rPr>
        <w:t>) in each case arising out of or in connection with or by reason of the execution, delivery, enforcement, performance, administration of or otherwise arising out of or incurred in connection with this Agreement, any other Transaction Document, any Loan Document or any transaction contemplated hereby or thereby, excluding, however, (x) Indemnified Amounts arising due to the deterioration in the credit quality or market value of the Loans or other Collateral hereunder to the extent that such credit quality or market value was not misrepresented in any material respect by the Borrower or any of its Affiliates, (y) Indemnified Amounts to the extent resulting from fraud, gross negligence or willful misconduct on the part of any Indemnified Party and (z) Indemnified Amounts constituting Indemnified Taxes. Without limiting the foregoing, the Borrower shall indemnify the Indemnified Parties for Indemnified Amounts relating to or resulting from:</w:t>
      </w:r>
    </w:p>
    <w:p>
      <w:pPr>
        <w:spacing w:after="0" w:line="187" w:lineRule="exact"/>
        <w:rPr>
          <w:sz w:val="20"/>
          <w:szCs w:val="20"/>
          <w:color w:val="auto"/>
        </w:rPr>
      </w:pPr>
    </w:p>
    <w:p>
      <w:pPr>
        <w:ind w:left="980" w:hanging="230"/>
        <w:spacing w:after="0"/>
        <w:tabs>
          <w:tab w:leader="none" w:pos="98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Loan treated as or represented by the Borrower to be an Eligible Loan that is not at the applicable time an Eligible Loan;</w:t>
      </w:r>
    </w:p>
    <w:p>
      <w:pPr>
        <w:spacing w:after="0" w:line="225" w:lineRule="exact"/>
        <w:rPr>
          <w:rFonts w:ascii="Times New Roman" w:cs="Times New Roman" w:eastAsia="Times New Roman" w:hAnsi="Times New Roman"/>
          <w:sz w:val="19"/>
          <w:szCs w:val="19"/>
          <w:color w:val="auto"/>
        </w:rPr>
      </w:pPr>
    </w:p>
    <w:p>
      <w:pPr>
        <w:jc w:val="both"/>
        <w:ind w:left="700" w:firstLine="50"/>
        <w:spacing w:after="0" w:line="268" w:lineRule="auto"/>
        <w:tabs>
          <w:tab w:leader="none" w:pos="103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representation or warranty made or deemed made by the Borrower or any of its officers under or in connection with this Agreement, any other Transaction Document or any other information or report delivered by any such Person pursuant hereto or thereto, which shall have been false or incorrect when made or deemed made or delivered;</w:t>
      </w:r>
    </w:p>
    <w:p>
      <w:pPr>
        <w:spacing w:after="0" w:line="168" w:lineRule="exact"/>
        <w:rPr>
          <w:rFonts w:ascii="Times New Roman" w:cs="Times New Roman" w:eastAsia="Times New Roman" w:hAnsi="Times New Roman"/>
          <w:sz w:val="19"/>
          <w:szCs w:val="19"/>
          <w:color w:val="auto"/>
        </w:rPr>
      </w:pPr>
    </w:p>
    <w:p>
      <w:pPr>
        <w:jc w:val="both"/>
        <w:ind w:left="700" w:right="80" w:firstLine="50"/>
        <w:spacing w:after="0" w:line="262" w:lineRule="auto"/>
        <w:tabs>
          <w:tab w:leader="none" w:pos="1084"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by the Borrower to comply with any term, provision or covenant contained in this Agreement or any agreement executed in connection with this Agreement, or with any Applicable Law with respect to any Loan comprising a portion of the Collateral, or the nonconformity of any Loan, the Related Property with any such Applicable Law or any failure by the Borrower or any Affiliate thereof to perform its respective duties under the Loans included as a part of the Collateral;</w:t>
      </w:r>
    </w:p>
    <w:p>
      <w:pPr>
        <w:spacing w:after="0" w:line="174" w:lineRule="exact"/>
        <w:rPr>
          <w:rFonts w:ascii="Times New Roman" w:cs="Times New Roman" w:eastAsia="Times New Roman" w:hAnsi="Times New Roman"/>
          <w:sz w:val="19"/>
          <w:szCs w:val="19"/>
          <w:color w:val="auto"/>
        </w:rPr>
      </w:pPr>
    </w:p>
    <w:p>
      <w:pPr>
        <w:ind w:left="700" w:right="740" w:firstLine="50"/>
        <w:spacing w:after="0" w:line="286" w:lineRule="auto"/>
        <w:tabs>
          <w:tab w:leader="none" w:pos="1073"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vest and maintain vested in the Administrative Agent a first priority perfected security interest in the Collateral;</w:t>
      </w:r>
    </w:p>
    <w:p>
      <w:pPr>
        <w:spacing w:after="0" w:line="151" w:lineRule="exact"/>
        <w:rPr>
          <w:rFonts w:ascii="Times New Roman" w:cs="Times New Roman" w:eastAsia="Times New Roman" w:hAnsi="Times New Roman"/>
          <w:sz w:val="19"/>
          <w:szCs w:val="19"/>
          <w:color w:val="auto"/>
        </w:rPr>
      </w:pPr>
    </w:p>
    <w:p>
      <w:pPr>
        <w:ind w:left="700" w:right="180" w:firstLine="50"/>
        <w:spacing w:after="0" w:line="262" w:lineRule="auto"/>
        <w:tabs>
          <w:tab w:leader="none" w:pos="1020" w:val="left"/>
        </w:tabs>
        <w:numPr>
          <w:ilvl w:val="0"/>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to file, or any delay in filing, financing statements or other similar instruments or documents under the UCC of any applicable jurisdiction or other Applicable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2" w:name="page293"/>
    <w:bookmarkEnd w:id="292"/>
    <w:p>
      <w:pPr>
        <w:spacing w:after="0" w:line="200" w:lineRule="exact"/>
        <w:rPr>
          <w:sz w:val="20"/>
          <w:szCs w:val="20"/>
          <w:color w:val="auto"/>
        </w:rPr>
      </w:pPr>
    </w:p>
    <w:p>
      <w:pPr>
        <w:spacing w:after="0" w:line="28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9"/>
          <w:szCs w:val="19"/>
          <w:color w:val="auto"/>
        </w:rPr>
        <w:t>Laws with respect to any Collateral whether at the time of any Advance or at any subsequent time and as required by the Transaction Documents;</w:t>
      </w:r>
    </w:p>
    <w:p>
      <w:pPr>
        <w:spacing w:after="0" w:line="151" w:lineRule="exact"/>
        <w:rPr>
          <w:sz w:val="20"/>
          <w:szCs w:val="20"/>
          <w:color w:val="auto"/>
        </w:rPr>
      </w:pPr>
    </w:p>
    <w:p>
      <w:pPr>
        <w:ind w:right="20" w:firstLine="50"/>
        <w:spacing w:after="0" w:line="262" w:lineRule="auto"/>
        <w:tabs>
          <w:tab w:leader="none" w:pos="373"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dispute, claim, offset or defense (other than the discharge in bankruptcy of the Obligor) of the Obligor to the payment of any Loan included as part of the Collateral that is, or is purported to be, an Eligible Loan (including, without limitation, (A) a defense based on the Loan not being a legal, valid and binding obligation of such Obligor enforceable against it in accordance with its terms or (B) the equitable subordination of such Loan);</w:t>
      </w:r>
    </w:p>
    <w:p>
      <w:pPr>
        <w:spacing w:after="0" w:line="174" w:lineRule="exact"/>
        <w:rPr>
          <w:rFonts w:ascii="Times New Roman" w:cs="Times New Roman" w:eastAsia="Times New Roman" w:hAnsi="Times New Roman"/>
          <w:sz w:val="19"/>
          <w:szCs w:val="19"/>
          <w:color w:val="auto"/>
        </w:rPr>
      </w:pPr>
    </w:p>
    <w:p>
      <w:pPr>
        <w:ind w:right="20" w:firstLine="50"/>
        <w:spacing w:after="0" w:line="268" w:lineRule="auto"/>
        <w:tabs>
          <w:tab w:leader="none" w:pos="427"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of the Borrower to perform its duties or obligations in accordance with the provisions of this Agreement or any failure by the Borrower or any Affiliate thereof to perform its respective duties under the Loans included as a part of the Collateral;</w:t>
      </w:r>
    </w:p>
    <w:p>
      <w:pPr>
        <w:spacing w:after="0" w:line="168" w:lineRule="exact"/>
        <w:rPr>
          <w:rFonts w:ascii="Times New Roman" w:cs="Times New Roman" w:eastAsia="Times New Roman" w:hAnsi="Times New Roman"/>
          <w:sz w:val="19"/>
          <w:szCs w:val="19"/>
          <w:color w:val="auto"/>
        </w:rPr>
      </w:pPr>
    </w:p>
    <w:p>
      <w:pPr>
        <w:ind w:right="240" w:firstLine="50"/>
        <w:spacing w:after="0" w:line="268" w:lineRule="auto"/>
        <w:tabs>
          <w:tab w:leader="none" w:pos="48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products liability claim or personal injury or property damage suit or other similar or related claim or action of whatever sort arising out of or in connection with merchandise or services that are the subject of any Loan included as part of the Collateral or the Related Property included as part of the Collateral;</w:t>
      </w:r>
    </w:p>
    <w:p>
      <w:pPr>
        <w:spacing w:after="0" w:line="168" w:lineRule="exact"/>
        <w:rPr>
          <w:rFonts w:ascii="Times New Roman" w:cs="Times New Roman" w:eastAsia="Times New Roman" w:hAnsi="Times New Roman"/>
          <w:sz w:val="19"/>
          <w:szCs w:val="19"/>
          <w:color w:val="auto"/>
        </w:rPr>
      </w:pPr>
    </w:p>
    <w:p>
      <w:pPr>
        <w:ind w:right="440" w:firstLine="50"/>
        <w:spacing w:after="0" w:line="286" w:lineRule="auto"/>
        <w:tabs>
          <w:tab w:leader="none" w:pos="373"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by the Borrower to pay when due any Taxes for which the Borrower is liable, including without limitation, sales, excise or personal property taxes payable in connection with the Collateral;</w:t>
      </w:r>
    </w:p>
    <w:p>
      <w:pPr>
        <w:spacing w:after="0" w:line="151" w:lineRule="exact"/>
        <w:rPr>
          <w:rFonts w:ascii="Times New Roman" w:cs="Times New Roman" w:eastAsia="Times New Roman" w:hAnsi="Times New Roman"/>
          <w:sz w:val="19"/>
          <w:szCs w:val="19"/>
          <w:color w:val="auto"/>
        </w:rPr>
      </w:pPr>
    </w:p>
    <w:p>
      <w:pPr>
        <w:ind w:left="320" w:hanging="270"/>
        <w:spacing w:after="0"/>
        <w:tabs>
          <w:tab w:leader="none" w:pos="32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commingling of Collections at any time with other funds;</w:t>
      </w:r>
    </w:p>
    <w:p>
      <w:pPr>
        <w:spacing w:after="0" w:line="225" w:lineRule="exact"/>
        <w:rPr>
          <w:rFonts w:ascii="Times New Roman" w:cs="Times New Roman" w:eastAsia="Times New Roman" w:hAnsi="Times New Roman"/>
          <w:sz w:val="19"/>
          <w:szCs w:val="19"/>
          <w:color w:val="auto"/>
        </w:rPr>
      </w:pPr>
    </w:p>
    <w:p>
      <w:pPr>
        <w:jc w:val="both"/>
        <w:ind w:firstLine="50"/>
        <w:spacing w:after="0" w:line="268" w:lineRule="auto"/>
        <w:tabs>
          <w:tab w:leader="none" w:pos="373"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repayment by the Administrative Agent, any Managing Agent or a Secured Party of any amount previously distributed in reduction of Advances Outstanding or payment of Interest or any other amount due hereunder, in each case which amount the Administrative Agent, such Managing Agent or a Secured Party believes in good faith is required to be repaid;</w:t>
      </w:r>
    </w:p>
    <w:p>
      <w:pPr>
        <w:spacing w:after="0" w:line="168" w:lineRule="exact"/>
        <w:rPr>
          <w:rFonts w:ascii="Times New Roman" w:cs="Times New Roman" w:eastAsia="Times New Roman" w:hAnsi="Times New Roman"/>
          <w:sz w:val="19"/>
          <w:szCs w:val="19"/>
          <w:color w:val="auto"/>
        </w:rPr>
      </w:pPr>
    </w:p>
    <w:p>
      <w:pPr>
        <w:ind w:right="20" w:firstLine="50"/>
        <w:spacing w:after="0" w:line="259" w:lineRule="auto"/>
        <w:tabs>
          <w:tab w:leader="none" w:pos="427"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investigation, litigation or proceeding related to or arising from this Agreement or any other Transaction Document, the transactions contemplated hereby, the use of proceeds of Advances or in respect of any Loan included as part of the Collateral or the Related Property included as part of the Collateral of the ownership of any Loan or any Related Property relating to any Loan or any other investigation, litigation or proceeding relating to the Borrower in which any Indemnified Party becomes involved as a result of any of the transactions contemplated hereby;</w:t>
      </w:r>
    </w:p>
    <w:p>
      <w:pPr>
        <w:spacing w:after="0" w:line="177" w:lineRule="exact"/>
        <w:rPr>
          <w:rFonts w:ascii="Times New Roman" w:cs="Times New Roman" w:eastAsia="Times New Roman" w:hAnsi="Times New Roman"/>
          <w:sz w:val="19"/>
          <w:szCs w:val="19"/>
          <w:color w:val="auto"/>
        </w:rPr>
      </w:pPr>
    </w:p>
    <w:p>
      <w:pPr>
        <w:ind w:right="40" w:firstLine="50"/>
        <w:spacing w:after="0" w:line="262" w:lineRule="auto"/>
        <w:tabs>
          <w:tab w:leader="none" w:pos="480"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or omission by the Borrower which reduces or impairs the rights of the Borrower or the Administrative Agent, any Managing Agent or any Secured Party with respect to any Loan included as part of the Collateral or the value of any such</w:t>
      </w:r>
    </w:p>
    <w:p>
      <w:pPr>
        <w:spacing w:after="0" w:line="1" w:lineRule="exact"/>
        <w:rPr>
          <w:sz w:val="20"/>
          <w:szCs w:val="20"/>
          <w:color w:val="auto"/>
        </w:rPr>
      </w:pPr>
    </w:p>
    <w:p>
      <w:pPr>
        <w:ind w:left="4400" w:right="2840" w:hanging="4392"/>
        <w:spacing w:after="0" w:line="262" w:lineRule="auto"/>
        <w:rPr>
          <w:sz w:val="20"/>
          <w:szCs w:val="20"/>
          <w:color w:val="auto"/>
        </w:rPr>
      </w:pPr>
      <w:r>
        <w:rPr>
          <w:rFonts w:ascii="Times New Roman" w:cs="Times New Roman" w:eastAsia="Times New Roman" w:hAnsi="Times New Roman"/>
          <w:sz w:val="19"/>
          <w:szCs w:val="19"/>
          <w:color w:val="auto"/>
        </w:rPr>
        <w:t xml:space="preserve">Loan (other than any such action which is expressly permitted under Article VII hereof); or </w:t>
      </w: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615950</wp:posOffset>
            </wp:positionV>
            <wp:extent cx="6732905"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293" w:name="page294"/>
    <w:bookmarkEnd w:id="293"/>
    <w:p>
      <w:pPr>
        <w:spacing w:after="0" w:line="200" w:lineRule="exact"/>
        <w:rPr>
          <w:sz w:val="20"/>
          <w:szCs w:val="20"/>
          <w:color w:val="auto"/>
        </w:rPr>
      </w:pPr>
    </w:p>
    <w:p>
      <w:pPr>
        <w:spacing w:after="0" w:line="285" w:lineRule="exact"/>
        <w:rPr>
          <w:sz w:val="20"/>
          <w:szCs w:val="20"/>
          <w:color w:val="auto"/>
        </w:rPr>
      </w:pPr>
    </w:p>
    <w:p>
      <w:pPr>
        <w:ind w:left="700" w:right="80" w:firstLine="50"/>
        <w:spacing w:after="0" w:line="268" w:lineRule="auto"/>
        <w:tabs>
          <w:tab w:leader="none" w:pos="1169"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failure of the Borrower or any of its agents or representatives to remit to the Administrative Agent, Collections on the Collateral remitted to the Borrower or any such agent or representative in accordance with the terms hereof or of any other Transaction Document.</w:t>
      </w:r>
    </w:p>
    <w:p>
      <w:pPr>
        <w:spacing w:after="0" w:line="168" w:lineRule="exact"/>
        <w:rPr>
          <w:rFonts w:ascii="Times New Roman" w:cs="Times New Roman" w:eastAsia="Times New Roman" w:hAnsi="Times New Roman"/>
          <w:sz w:val="19"/>
          <w:szCs w:val="19"/>
          <w:color w:val="auto"/>
        </w:rPr>
      </w:pPr>
    </w:p>
    <w:p>
      <w:pPr>
        <w:ind w:left="700" w:firstLine="50"/>
        <w:spacing w:after="0" w:line="286" w:lineRule="auto"/>
        <w:tabs>
          <w:tab w:leader="none" w:pos="1116"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inability to litigate any claim against any Obligor in respect of any Collateral as a result of such Obligor being immune from civil and commercial law and suit on the grounds of sovereignty or otherwise from any legal action, suit or proceeding;</w:t>
      </w:r>
    </w:p>
    <w:p>
      <w:pPr>
        <w:spacing w:after="0" w:line="151" w:lineRule="exact"/>
        <w:rPr>
          <w:rFonts w:ascii="Times New Roman" w:cs="Times New Roman" w:eastAsia="Times New Roman" w:hAnsi="Times New Roman"/>
          <w:sz w:val="19"/>
          <w:szCs w:val="19"/>
          <w:color w:val="auto"/>
        </w:rPr>
      </w:pPr>
    </w:p>
    <w:p>
      <w:pPr>
        <w:jc w:val="both"/>
        <w:ind w:left="700" w:right="40" w:firstLine="50"/>
        <w:spacing w:after="0" w:line="268" w:lineRule="auto"/>
        <w:tabs>
          <w:tab w:leader="none" w:pos="1169"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inability to obtain any judgment in, or utilize the court or other adjudication system of, any state in which an Obligor may be located as a result of the failure of the Borrower or to qualify to do business or file any notice or business activity report or any similar report;</w:t>
      </w:r>
    </w:p>
    <w:p>
      <w:pPr>
        <w:spacing w:after="0" w:line="168" w:lineRule="exact"/>
        <w:rPr>
          <w:rFonts w:ascii="Times New Roman" w:cs="Times New Roman" w:eastAsia="Times New Roman" w:hAnsi="Times New Roman"/>
          <w:sz w:val="19"/>
          <w:szCs w:val="19"/>
          <w:color w:val="auto"/>
        </w:rPr>
      </w:pPr>
    </w:p>
    <w:p>
      <w:pPr>
        <w:ind w:left="700" w:right="540" w:firstLine="50"/>
        <w:spacing w:after="0" w:line="286" w:lineRule="auto"/>
        <w:tabs>
          <w:tab w:leader="none" w:pos="1223"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action taken by the Borrower or its respective agents or representatives in the enforcement or collection of any Collateral or with respect to any Related Property; or</w:t>
      </w:r>
    </w:p>
    <w:p>
      <w:pPr>
        <w:spacing w:after="0" w:line="151" w:lineRule="exact"/>
        <w:rPr>
          <w:rFonts w:ascii="Times New Roman" w:cs="Times New Roman" w:eastAsia="Times New Roman" w:hAnsi="Times New Roman"/>
          <w:sz w:val="19"/>
          <w:szCs w:val="19"/>
          <w:color w:val="auto"/>
        </w:rPr>
      </w:pPr>
    </w:p>
    <w:p>
      <w:pPr>
        <w:ind w:left="1280" w:hanging="530"/>
        <w:spacing w:after="0"/>
        <w:tabs>
          <w:tab w:leader="none" w:pos="1280" w:val="left"/>
        </w:tabs>
        <w:numPr>
          <w:ilvl w:val="1"/>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or material misrepresentation by the Borrower or on the part of the Obligor with respect to any Loan.</w:t>
      </w:r>
    </w:p>
    <w:p>
      <w:pPr>
        <w:spacing w:after="0" w:line="225" w:lineRule="exact"/>
        <w:rPr>
          <w:rFonts w:ascii="Times New Roman" w:cs="Times New Roman" w:eastAsia="Times New Roman" w:hAnsi="Times New Roman"/>
          <w:sz w:val="19"/>
          <w:szCs w:val="19"/>
          <w:color w:val="auto"/>
        </w:rPr>
      </w:pPr>
    </w:p>
    <w:p>
      <w:pPr>
        <w:ind w:right="220" w:firstLine="54"/>
        <w:spacing w:after="0" w:line="286" w:lineRule="auto"/>
        <w:tabs>
          <w:tab w:leader="none" w:pos="32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amounts subject to the indemnification provisions of this Section 9.1 shall be paid by the Borrower to the applicable Indemnified Party within five (5) Business Days following the Administrative Agent’s (or such Indemnified Party’s) demand therefor.</w:t>
      </w:r>
    </w:p>
    <w:p>
      <w:pPr>
        <w:spacing w:after="0" w:line="151" w:lineRule="exact"/>
        <w:rPr>
          <w:rFonts w:ascii="Times New Roman" w:cs="Times New Roman" w:eastAsia="Times New Roman" w:hAnsi="Times New Roman"/>
          <w:sz w:val="19"/>
          <w:szCs w:val="19"/>
          <w:color w:val="auto"/>
        </w:rPr>
      </w:pPr>
    </w:p>
    <w:p>
      <w:pPr>
        <w:ind w:right="20" w:firstLine="54"/>
        <w:spacing w:after="0" w:line="259" w:lineRule="auto"/>
        <w:tabs>
          <w:tab w:leader="none" w:pos="309"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for any reason the indemnification provided above in this Section 9.1 is unavailable to the Indemnified Party or is insufficient to hold an Indemnified Party harmless, then the Borrower, shall contribute to the amount paid or payable by such Indemnified Party as a result of such loss, claim, damage or liability in such proportion as is appropriate to reflect not only the relative benefits received by such Indemnified Party on the one hand and the Borrower, on the other hand but also the relative fault of such Indemnified Party as well as any other relevant equitable considerations.</w:t>
      </w:r>
    </w:p>
    <w:p>
      <w:pPr>
        <w:spacing w:after="0" w:line="177" w:lineRule="exact"/>
        <w:rPr>
          <w:rFonts w:ascii="Times New Roman" w:cs="Times New Roman" w:eastAsia="Times New Roman" w:hAnsi="Times New Roman"/>
          <w:sz w:val="19"/>
          <w:szCs w:val="19"/>
          <w:color w:val="auto"/>
        </w:rPr>
      </w:pPr>
    </w:p>
    <w:p>
      <w:pPr>
        <w:ind w:right="220" w:firstLine="54"/>
        <w:spacing w:after="0" w:line="286" w:lineRule="auto"/>
        <w:tabs>
          <w:tab w:leader="none" w:pos="32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obligations of the Borrower under this Section 9.1 shall survive the removal of the Administrative Agent, the Paying Agent or any Managing Agent and the termination of this Agreement.</w:t>
      </w:r>
    </w:p>
    <w:p>
      <w:pPr>
        <w:spacing w:after="0" w:line="151" w:lineRule="exact"/>
        <w:rPr>
          <w:rFonts w:ascii="Times New Roman" w:cs="Times New Roman" w:eastAsia="Times New Roman" w:hAnsi="Times New Roman"/>
          <w:sz w:val="19"/>
          <w:szCs w:val="19"/>
          <w:color w:val="auto"/>
        </w:rPr>
      </w:pPr>
    </w:p>
    <w:p>
      <w:pPr>
        <w:ind w:left="320" w:hanging="266"/>
        <w:spacing w:after="0"/>
        <w:tabs>
          <w:tab w:leader="none" w:pos="320"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agree that the provisions of Section 9.1 shall not be interpreted to provide recourse to the Borrower against loss by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reason of the bankruptcy or insolvency (or other credit condition) of, or default by, an Obligor on, any Loan.</w:t>
      </w:r>
    </w:p>
    <w:p>
      <w:pPr>
        <w:spacing w:after="0" w:line="1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4" w:name="page295"/>
    <w:bookmarkEnd w:id="294"/>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X</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DMINISTRATIVE</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GENT AND THE</w:t>
      </w:r>
      <w:r>
        <w:rPr>
          <w:rFonts w:ascii="Times New Roman" w:cs="Times New Roman" w:eastAsia="Times New Roman" w:hAnsi="Times New Roman"/>
          <w:sz w:val="19"/>
          <w:szCs w:val="19"/>
          <w:b w:val="1"/>
          <w:bCs w:val="1"/>
          <w:color w:val="auto"/>
        </w:rPr>
        <w:t xml:space="preserve"> M</w:t>
      </w:r>
      <w:r>
        <w:rPr>
          <w:rFonts w:ascii="Times New Roman" w:cs="Times New Roman" w:eastAsia="Times New Roman" w:hAnsi="Times New Roman"/>
          <w:sz w:val="13"/>
          <w:szCs w:val="13"/>
          <w:b w:val="1"/>
          <w:bCs w:val="1"/>
          <w:color w:val="auto"/>
        </w:rPr>
        <w:t>ANAGING</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GENTS</w:t>
      </w:r>
    </w:p>
    <w:p>
      <w:pPr>
        <w:spacing w:after="0" w:line="226" w:lineRule="exact"/>
        <w:rPr>
          <w:sz w:val="20"/>
          <w:szCs w:val="20"/>
          <w:color w:val="auto"/>
        </w:rPr>
      </w:pPr>
    </w:p>
    <w:p>
      <w:pPr>
        <w:ind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10.1. Authorization and Action</w:t>
      </w:r>
      <w:r>
        <w:rPr>
          <w:rFonts w:ascii="Times New Roman" w:cs="Times New Roman" w:eastAsia="Times New Roman" w:hAnsi="Times New Roman"/>
          <w:sz w:val="19"/>
          <w:szCs w:val="19"/>
          <w:color w:val="auto"/>
        </w:rPr>
        <w:t>. (a) Each Secured Party hereby designates and appoints KeyBank as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hereunder, and authorizes KeyBank to take such actions as agent on its behalf and to exercise such powers as are delegated to the Administrative Agent by the terms of this Agreement together with such powers as are reasonably incidental thereto. The Administrative Agent shall not have any duties or responsibilities, except those expressly set forth herein, or any fiduciary relationship with any Secured Party, and no implied covenants, functions, responsibilities, duties, obligations or liabilities on the part of the Administrative Agent shall be read into this Agreement or otherwise exist for the Administrative Agent.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that exposes the Administrative Agent to personal liability or that is contrary to this Agreement or Applicable Law. The appointment and authority of the Administrative Agent hereunder shall terminate at the indefeasible payment in full of the Obligations.</w:t>
      </w:r>
    </w:p>
    <w:p>
      <w:pPr>
        <w:spacing w:after="0" w:line="183" w:lineRule="exact"/>
        <w:rPr>
          <w:sz w:val="20"/>
          <w:szCs w:val="20"/>
          <w:color w:val="auto"/>
        </w:rPr>
      </w:pPr>
    </w:p>
    <w:p>
      <w:pPr>
        <w:ind w:right="20" w:firstLine="54"/>
        <w:spacing w:after="0" w:line="254" w:lineRule="auto"/>
        <w:tabs>
          <w:tab w:leader="none" w:pos="320" w:val="left"/>
        </w:tabs>
        <w:numPr>
          <w:ilvl w:val="0"/>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hereby designates and appoints the Managing Agent for such Lender’s Lender Group as its Managing Agent hereunder, and authorizes such Managing Agent to take such actions as agent on its behalf and to exercise such powers as are delegated to the Managing Agents by the terms of this Agreement together with such powers as are reasonably incidental thereto. No Managing Agent shall have any duties or responsibilities, except those expressly set forth herein, or any fiduciary relationship with any Lender, and no implied covenants, functions, responsibilities, duties, obligations or liabilities on the part of the applicable Managing Agent shall be read into this Agreement or otherwise exist for the applicable Managing Agent. In performing its functions and duties hereunder, each Managing Agent shall act solely as agent for the Lenders in the related Lender Group and does not assume nor shall be deemed to have assumed any obligation or relationship of trust or agency with or for the Borrower or any of its successors or assigns. No Managing Agent shall be required to take any action that exposes it to personal liability or that is contrary to this Agreement or Applicable Law. The appointment and authority of each Managing Agent hereunder shall terminate at the indefeasible payment in full of the Obligations.</w:t>
      </w:r>
    </w:p>
    <w:p>
      <w:pPr>
        <w:spacing w:after="0" w:line="182" w:lineRule="exact"/>
        <w:rPr>
          <w:sz w:val="20"/>
          <w:szCs w:val="20"/>
          <w:color w:val="auto"/>
        </w:rPr>
      </w:pPr>
    </w:p>
    <w:p>
      <w:pPr>
        <w:ind w:right="40" w:firstLine="48"/>
        <w:spacing w:after="0" w:line="239" w:lineRule="exact"/>
        <w:rPr>
          <w:sz w:val="20"/>
          <w:szCs w:val="20"/>
          <w:color w:val="auto"/>
        </w:rPr>
      </w:pPr>
      <w:r>
        <w:rPr>
          <w:rFonts w:ascii="Times New Roman" w:cs="Times New Roman" w:eastAsia="Times New Roman" w:hAnsi="Times New Roman"/>
          <w:sz w:val="19"/>
          <w:szCs w:val="19"/>
          <w:i w:val="1"/>
          <w:iCs w:val="1"/>
          <w:color w:val="auto"/>
        </w:rPr>
        <w:t>Section 10.2. Delegation of Duties</w:t>
      </w:r>
      <w:r>
        <w:rPr>
          <w:rFonts w:ascii="Times New Roman" w:cs="Times New Roman" w:eastAsia="Times New Roman" w:hAnsi="Times New Roman"/>
          <w:sz w:val="19"/>
          <w:szCs w:val="19"/>
          <w:color w:val="auto"/>
        </w:rPr>
        <w:t>. (a) The Administrative Agent may execute any of its duties under this Agreement by or through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agents or attorneys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and shall be entitled to advice of counsel concerning all matters pertaining to such duties. The Administrative Agent shall not be responsible for the negligence or misconduct of any agents or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selected by it with reasonable care.</w:t>
      </w:r>
    </w:p>
    <w:p>
      <w:pPr>
        <w:spacing w:after="0" w:line="168" w:lineRule="exact"/>
        <w:rPr>
          <w:sz w:val="20"/>
          <w:szCs w:val="20"/>
          <w:color w:val="auto"/>
        </w:rPr>
      </w:pPr>
    </w:p>
    <w:p>
      <w:pPr>
        <w:ind w:firstLine="54"/>
        <w:spacing w:after="0" w:line="242" w:lineRule="exact"/>
        <w:tabs>
          <w:tab w:leader="none" w:pos="320"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Managing Agent may execute any of its duties under this Agreement by or through agents or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and shall be entitled to advice of counsel concerning all matters pertaining to such duties. No Managing Agent shall be responsible for the negligence or misconduct of any agents or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selected by it with reasonable care.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5" w:name="page296"/>
    <w:bookmarkEnd w:id="295"/>
    <w:p>
      <w:pPr>
        <w:spacing w:after="0" w:line="200" w:lineRule="exact"/>
        <w:rPr>
          <w:sz w:val="20"/>
          <w:szCs w:val="20"/>
          <w:color w:val="auto"/>
        </w:rPr>
      </w:pPr>
    </w:p>
    <w:p>
      <w:pPr>
        <w:spacing w:after="0" w:line="283" w:lineRule="exact"/>
        <w:rPr>
          <w:sz w:val="20"/>
          <w:szCs w:val="20"/>
          <w:color w:val="auto"/>
        </w:rPr>
      </w:pPr>
    </w:p>
    <w:p>
      <w:pPr>
        <w:ind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10.3. Exculpatory Provisions</w:t>
      </w:r>
      <w:r>
        <w:rPr>
          <w:rFonts w:ascii="Times New Roman" w:cs="Times New Roman" w:eastAsia="Times New Roman" w:hAnsi="Times New Roman"/>
          <w:sz w:val="19"/>
          <w:szCs w:val="19"/>
          <w:color w:val="auto"/>
        </w:rPr>
        <w:t>. (a) Neither the Administrative Agent nor any of its directors, officers, agents or employees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be (i) liable for any action lawfully taken or omitted to be taken by it or them under or in connection with this Agreement (except for its, their or such Person’s own gross negligence or willful misconduct or, in the case of the Administrative Agent, the breach of its obligations expressly set forth in this Agreement), or (ii) responsible in any manner to any of the Secured Parties for any recitals, statements, representations or warranties made by the Borrower contained in this Agreement or in any certificate, report, statement or other document referred to or provided for in, or received under or in connection with, this Agreement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The Administrative Agent shall not be under any obligation to any Secured Party to ascertain or to inquire as to the observance or performance of any of the agreements or covenants contained in, or conditions of, this Agreement, or to inspect the properties, books or records of the Borrower. The Administrative Agent shall not be deemed to have knowledge of any Event of Default unless the Administrative Agent has received notice of such Event of Default, in a document or other written communication titled “Notice of Event of Default” from the Borrower or a Secured Party.</w:t>
      </w:r>
    </w:p>
    <w:p>
      <w:pPr>
        <w:spacing w:after="0" w:line="189" w:lineRule="exact"/>
        <w:rPr>
          <w:sz w:val="20"/>
          <w:szCs w:val="20"/>
          <w:color w:val="auto"/>
        </w:rPr>
      </w:pPr>
    </w:p>
    <w:p>
      <w:pPr>
        <w:ind w:right="20" w:firstLine="54"/>
        <w:spacing w:after="0" w:line="253" w:lineRule="auto"/>
        <w:tabs>
          <w:tab w:leader="none" w:pos="320"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any Managing Agent nor any of its respective directors, officers, agents or employees shall be (i) liable for any action lawfully taken or omitted to be taken by it or them under or in connection with this Agreement (except for its, their or such Person’s own gross negligence or willful misconduct or, in the case of a Managing Agent, the breach of its obligations expressly set forth in this Agreement), or (ii) responsible in any manner to the Administrative Agent or any of the Secured Parties for any recitals, statements, representations or warranties made by the Borrower contained in this Agreement or in any certificate, report, statement or other document referred to or provided for in, or received under or in connection with, this Agreement or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III. No Managing Agent shall be under any obligation to the Administrative Agent or any Secured Party to ascertain or to inquire as to the observance or performance of any of the agreements or covenants contained in, or conditions of, this Agreement, or to inspect the properties, books or records of the Borrower. No Managing Agent shall be deemed to have knowledge of any Event of Default unless such Managing Agent has received notice of such Event of Default, in a document or other written communication titled “Notice of Event of Default” from the Borrower, the Administrative Agent or a Secured Party.</w:t>
      </w:r>
    </w:p>
    <w:p>
      <w:pPr>
        <w:spacing w:after="0" w:line="186" w:lineRule="exact"/>
        <w:rPr>
          <w:rFonts w:ascii="Times New Roman" w:cs="Times New Roman" w:eastAsia="Times New Roman" w:hAnsi="Times New Roman"/>
          <w:sz w:val="19"/>
          <w:szCs w:val="19"/>
          <w:color w:val="auto"/>
        </w:rPr>
      </w:pPr>
    </w:p>
    <w:p>
      <w:pPr>
        <w:ind w:right="140" w:firstLine="54"/>
        <w:spacing w:after="0" w:line="262" w:lineRule="auto"/>
        <w:tabs>
          <w:tab w:leader="none" w:pos="309"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Administrative Agent, any Managing Agent or any Lender shall be deemed to have any fiduciary relationship with the Borrower under this Agreement, and no implied covenants, functions, responsibilities, duties, obligations or liabilities creating any such fiduciary relationship shall be inferred from or in connection with this Agreement except as otherwise provided herein or under Applicable Law.</w:t>
      </w:r>
    </w:p>
    <w:p>
      <w:pPr>
        <w:spacing w:after="0" w:line="172" w:lineRule="exact"/>
        <w:rPr>
          <w:sz w:val="20"/>
          <w:szCs w:val="20"/>
          <w:color w:val="auto"/>
        </w:rPr>
      </w:pPr>
    </w:p>
    <w:p>
      <w:pPr>
        <w:ind w:right="24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10.4. Reliance</w:t>
      </w:r>
      <w:r>
        <w:rPr>
          <w:rFonts w:ascii="Times New Roman" w:cs="Times New Roman" w:eastAsia="Times New Roman" w:hAnsi="Times New Roman"/>
          <w:sz w:val="19"/>
          <w:szCs w:val="19"/>
          <w:color w:val="auto"/>
        </w:rPr>
        <w:t>. (a) The Administrative Agent shall in all cases be entitled to rely, and shall be fully protected in relying, upon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document or conversation believed by it to be genuine and correct and to have been signed, sent or made by the proper Person or Persons and</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6" w:name="page297"/>
    <w:bookmarkEnd w:id="296"/>
    <w:p>
      <w:pPr>
        <w:spacing w:after="0" w:line="200" w:lineRule="exact"/>
        <w:rPr>
          <w:sz w:val="20"/>
          <w:szCs w:val="20"/>
          <w:color w:val="auto"/>
        </w:rPr>
      </w:pPr>
    </w:p>
    <w:p>
      <w:pPr>
        <w:spacing w:after="0" w:line="2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9"/>
          <w:szCs w:val="19"/>
          <w:color w:val="auto"/>
        </w:rPr>
        <w:t xml:space="preserve">upon advice and statements of legal counsel (including, without limitation, counsel to the Borrower), independent accountants and other experts selected by the Administrative Agent. The Administrative Agent shall in all cases be fully justified in failing or refusing to take any action under this Agreement or any other document furnished in connection herewith unless it shall first receive such advice or concurrence of the Required Lenders or all of the Secured Parties, as applicable, as it deems appropriate or it shall first be indemnified to its satisfaction by the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unless and until the Administrative Agent shall have received such advice, the Administrative Agent may take or refrain from taking any action, as the Administrative Agent shall deem advisable and in the best interests of the Secured Parties, The Administrative Agent shall in all cases be fully protected in acting, or in refraining from acting, in accordance with a request of the Required Lenders or all of the Secured Parties, as applicable, and such request and any action taken or failure to act pursuant thereto shall be binding upon all the Secured Parties.</w:t>
      </w:r>
    </w:p>
    <w:p>
      <w:pPr>
        <w:spacing w:after="0" w:line="179" w:lineRule="exact"/>
        <w:rPr>
          <w:sz w:val="20"/>
          <w:szCs w:val="20"/>
          <w:color w:val="auto"/>
        </w:rPr>
      </w:pPr>
    </w:p>
    <w:p>
      <w:pPr>
        <w:ind w:firstLine="54"/>
        <w:spacing w:after="0" w:line="254" w:lineRule="auto"/>
        <w:tabs>
          <w:tab w:leader="none" w:pos="320" w:val="left"/>
        </w:tabs>
        <w:numPr>
          <w:ilvl w:val="0"/>
          <w:numId w:val="1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Managing Agent shall in all cases be entitled to rely, and shall be fully protected in relying, upon any document or conversation believed by it to be genuine and correct and to have been signed, sent or made by the proper Person or Persons and upon advice and statements of legal counsel (including, without limitation, counsel to the Borrower), independent accountants and other experts selected by such Managing Agent. Each Managing Agent shall in all cases be fully justified in failing or refusing to take any action under this Agreement or any other document furnished in connection herewith unless it shall first receive such advice or concurrence of the Lenders in its related Lender Group as it deems appropriate or it shall first be indemnified to its satisfaction by the Lenders in its related Lender Group,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and until such Managing Agent shall have received such advice, the Managing Agent may take or refrain from taking any action, as the Managing Agent shall deem advisable and in the best interests of the Lenders in its Lender Group. Each Managing Agent shall in all cases be fully protected in acting, or in refraining from acting, in accordance with a request of the Lenders in such Managing Agent’s Lender Group and such request and any action taken or failure to act pursuant thereto shall be binding upon all the Lenders in such Managing Agent’s Lender Group.</w:t>
      </w:r>
    </w:p>
    <w:p>
      <w:pPr>
        <w:spacing w:after="0" w:line="162" w:lineRule="exact"/>
        <w:rPr>
          <w:sz w:val="20"/>
          <w:szCs w:val="20"/>
          <w:color w:val="auto"/>
        </w:rPr>
      </w:pPr>
    </w:p>
    <w:p>
      <w:pPr>
        <w:ind w:right="120" w:firstLine="48"/>
        <w:spacing w:after="0" w:line="233" w:lineRule="exact"/>
        <w:rPr>
          <w:sz w:val="20"/>
          <w:szCs w:val="20"/>
          <w:color w:val="auto"/>
        </w:rPr>
      </w:pPr>
      <w:r>
        <w:rPr>
          <w:rFonts w:ascii="Times New Roman" w:cs="Times New Roman" w:eastAsia="Times New Roman" w:hAnsi="Times New Roman"/>
          <w:sz w:val="19"/>
          <w:szCs w:val="19"/>
          <w:i w:val="1"/>
          <w:iCs w:val="1"/>
          <w:color w:val="auto"/>
        </w:rPr>
        <w:t>Section 10.5. Non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Reliance on Administrative Agent, Managing Agents and Other Lenders</w:t>
      </w:r>
      <w:r>
        <w:rPr>
          <w:rFonts w:ascii="Times New Roman" w:cs="Times New Roman" w:eastAsia="Times New Roman" w:hAnsi="Times New Roman"/>
          <w:sz w:val="19"/>
          <w:szCs w:val="19"/>
          <w:color w:val="auto"/>
        </w:rPr>
        <w:t>. Each Secured Party expressly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acknowledges that neither the Administrative Agent, any other Secured Party nor any of their respective officers, directors, employees, agents,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affiliates has made any representations or warranties to it and that no act by the Administrative Agent or any other Secured Party hereafter taken, including, without limitation, any review of the affairs of the Borrower, shall be deemed to constitute any representation or warranty by the Administrative Agent or any other Secured Party. Each Secured Party represents and warrants to the Administrative Agent and to each other Secured Party that it has and will, independently and without reliance upon the Administrative Agent or any other Secured Party and based on such documents and information as it has deemed appropriate, made its own appraisal of and investigation into the business, operations, property, prospects, financial and other conditions and creditworthiness of the Borrower and made its own decision to enter into this Agreement.</w:t>
      </w:r>
    </w:p>
    <w:p>
      <w:pPr>
        <w:spacing w:after="0" w:line="197" w:lineRule="exact"/>
        <w:rPr>
          <w:sz w:val="20"/>
          <w:szCs w:val="20"/>
          <w:color w:val="auto"/>
        </w:rPr>
      </w:pPr>
    </w:p>
    <w:p>
      <w:pPr>
        <w:jc w:val="both"/>
        <w:ind w:right="28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10.6. Reimbursement and Indemnification</w:t>
      </w:r>
      <w:r>
        <w:rPr>
          <w:rFonts w:ascii="Times New Roman" w:cs="Times New Roman" w:eastAsia="Times New Roman" w:hAnsi="Times New Roman"/>
          <w:sz w:val="19"/>
          <w:szCs w:val="19"/>
          <w:color w:val="auto"/>
        </w:rPr>
        <w:t>. The Lenders agree to reimburse and indemnify the Administrative Agent,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Lenders in each Lender Group agree to reimburse the Managing Agent for such Lender Group, and their respective officers, directors, employees, representatives and agents ratably according to their Commitments, as applicable, to the extent not</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297" w:name="page298"/>
    <w:bookmarkEnd w:id="297"/>
    <w:p>
      <w:pPr>
        <w:spacing w:after="0" w:line="200" w:lineRule="exact"/>
        <w:rPr>
          <w:sz w:val="20"/>
          <w:szCs w:val="20"/>
          <w:color w:val="auto"/>
        </w:rPr>
      </w:pPr>
    </w:p>
    <w:p>
      <w:pPr>
        <w:spacing w:after="0" w:line="28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paid or reimbursed by the Borrower (i) for any amounts for which the Administrative Agent, acting in its capacity as Administrative Agent, or any Managing Agent, acting in its capacity as a Managing Agent, is entitled to reimbursement by the Borrower hereunder and</w:t>
      </w:r>
    </w:p>
    <w:p>
      <w:pPr>
        <w:spacing w:after="0" w:line="1" w:lineRule="exact"/>
        <w:rPr>
          <w:sz w:val="20"/>
          <w:szCs w:val="20"/>
          <w:color w:val="auto"/>
        </w:rPr>
      </w:pPr>
    </w:p>
    <w:p>
      <w:pPr>
        <w:ind w:right="40" w:firstLine="6"/>
        <w:spacing w:after="0" w:line="256" w:lineRule="auto"/>
        <w:tabs>
          <w:tab w:leader="none" w:pos="282" w:val="left"/>
        </w:tabs>
        <w:numPr>
          <w:ilvl w:val="0"/>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any other expenses incurred by the Administrative Agent, in its capacity as Administrative Agent, or any Managing Agent, acting in its capacity as a Managing Agent, and acting on behalf of the related Lenders, in connection with the administration and enforcement of this Agreement and the other Transaction Documents.</w:t>
      </w:r>
    </w:p>
    <w:p>
      <w:pPr>
        <w:spacing w:after="0" w:line="177"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10.7. Administrative Agent and Managing Agents in their Individual Capacities</w:t>
      </w:r>
      <w:r>
        <w:rPr>
          <w:rFonts w:ascii="Times New Roman" w:cs="Times New Roman" w:eastAsia="Times New Roman" w:hAnsi="Times New Roman"/>
          <w:sz w:val="19"/>
          <w:szCs w:val="19"/>
          <w:color w:val="auto"/>
        </w:rPr>
        <w:t>. The Administrative Agent, each Managing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Agent and each of their respective Affiliates may make loans to, accept deposits from and generally engage in any kind of business with the Borrower or any Affiliate of the Borrower as though the Administrative Agent or such Managing Agent, as the case may be, were not the Administrative Agent or a Managing Agent, as the case may be, hereunder. With respect to the acquisition of Advances pursuant to this Agreement, the Administrative Agent, each Managing Agent and each of their respective Affiliates shall have the same rights and powers under this Agreement as any Lender and may exercise the same as though it were not the Administrative Agent or a Managing Agent, as the case may be, and the terms “Lender” “Lender” “Lenders” and “Lenders” shall include the Administrative Agent or a Managing Agent, as the case may be, in its individual capacity.</w:t>
      </w:r>
    </w:p>
    <w:p>
      <w:pPr>
        <w:spacing w:after="0" w:line="184" w:lineRule="exact"/>
        <w:rPr>
          <w:sz w:val="20"/>
          <w:szCs w:val="20"/>
          <w:color w:val="auto"/>
        </w:rPr>
      </w:pPr>
    </w:p>
    <w:p>
      <w:pPr>
        <w:ind w:right="100" w:firstLine="48"/>
        <w:spacing w:after="0" w:line="231" w:lineRule="exact"/>
        <w:rPr>
          <w:sz w:val="20"/>
          <w:szCs w:val="20"/>
          <w:color w:val="auto"/>
        </w:rPr>
      </w:pPr>
      <w:r>
        <w:rPr>
          <w:rFonts w:ascii="Times New Roman" w:cs="Times New Roman" w:eastAsia="Times New Roman" w:hAnsi="Times New Roman"/>
          <w:sz w:val="19"/>
          <w:szCs w:val="19"/>
          <w:i w:val="1"/>
          <w:iCs w:val="1"/>
          <w:color w:val="auto"/>
        </w:rPr>
        <w:t>Section 10.8. Successor Administrative Agent or Managing Agent</w:t>
      </w:r>
      <w:r>
        <w:rPr>
          <w:rFonts w:ascii="Times New Roman" w:cs="Times New Roman" w:eastAsia="Times New Roman" w:hAnsi="Times New Roman"/>
          <w:sz w:val="19"/>
          <w:szCs w:val="19"/>
          <w:color w:val="auto"/>
        </w:rPr>
        <w:t>. (a) The Administrative Agent may, upon five (5) days’ notice to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and the Secured Parties, and the Administrative Agent will, upon the direction of all of the Lenders resign as Administrative Agent. If the Administrative Agent shall resign, then the Required Lenders during such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shall appoint from among the Secured Parties a successor agent. If for any reason no successor Administrative Agent is appointed by the Required Lenders during such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then effective upon the expiration of such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the Secured Parties shall perform all of the duties of the Administrative Agent hereunder and the Borrower shall make all payments in respect of the Obligations or under any Fee Letter delivered by the Borrower to the Administrative Agent and the Secured Parties directly to the applicable Managing Agents, on behalf of the Lenders in the applicable Lender Group and for all purposes shall deal directly with the Secured Parties. After any retiring Administrative Agent’s resignation hereunder as Administrative Agent, the provisions of Article IX and Article X shall inure to its benefit as to any actions taken or omitted to be taken by it while it was Administrative Agent under this Agreement.</w:t>
      </w:r>
    </w:p>
    <w:p>
      <w:pPr>
        <w:spacing w:after="0" w:line="196" w:lineRule="exact"/>
        <w:rPr>
          <w:sz w:val="20"/>
          <w:szCs w:val="20"/>
          <w:color w:val="auto"/>
        </w:rPr>
      </w:pPr>
    </w:p>
    <w:p>
      <w:pPr>
        <w:ind w:right="60" w:firstLine="54"/>
        <w:spacing w:after="0" w:line="231" w:lineRule="exact"/>
        <w:tabs>
          <w:tab w:leader="none" w:pos="320"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Managing Agent may, upon five (5) days’ notice to the Borrower, the Administrative Agent and the related Lenders, and any Managing Agent will, upon the direction of all of the related Lenders resign as a Managing Agent. If a Managing Agent shall resign, then the related Lenders during such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shall appoint from among the related Lenders a successor Managing Agent. If for any reason no successor Managing Agent is appointed by such Lenders during such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then effective upon the expiration of such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day period, such Lenders shall perform all of the duties of the related Managing Agent hereunder. After any retiring Managing Agent’s resignation hereunder as a Managing Agent, the provisions of Article IX and Article X shall inure to its benefit as to any actions taken or omitted to be taken by it while it was a Managing Agent under this Agreement.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98" w:name="page299"/>
    <w:bookmarkEnd w:id="298"/>
    <w:p>
      <w:pPr>
        <w:spacing w:after="0" w:line="200" w:lineRule="exact"/>
        <w:rPr>
          <w:sz w:val="20"/>
          <w:szCs w:val="20"/>
          <w:color w:val="auto"/>
        </w:rPr>
      </w:pPr>
    </w:p>
    <w:p>
      <w:pPr>
        <w:spacing w:after="0" w:line="283" w:lineRule="exact"/>
        <w:rPr>
          <w:sz w:val="20"/>
          <w:szCs w:val="20"/>
          <w:color w:val="auto"/>
        </w:rPr>
      </w:pPr>
    </w:p>
    <w:p>
      <w:pPr>
        <w:ind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Section 10.9. Certain ERISA Matters. </w:t>
      </w:r>
      <w:r>
        <w:rPr>
          <w:rFonts w:ascii="Times New Roman" w:cs="Times New Roman" w:eastAsia="Times New Roman" w:hAnsi="Times New Roman"/>
          <w:sz w:val="19"/>
          <w:szCs w:val="19"/>
          <w:color w:val="auto"/>
        </w:rPr>
        <w:t>(a) Each Lender (x) represents and warrants, as of the date such Person became a Lender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spacing w:after="0" w:line="173" w:lineRule="exact"/>
        <w:rPr>
          <w:sz w:val="20"/>
          <w:szCs w:val="20"/>
          <w:color w:val="auto"/>
        </w:rPr>
      </w:pPr>
    </w:p>
    <w:p>
      <w:pPr>
        <w:ind w:left="700" w:right="80" w:firstLine="50"/>
        <w:spacing w:after="0" w:line="268" w:lineRule="auto"/>
        <w:tabs>
          <w:tab w:leader="none" w:pos="977"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spacing w:after="0" w:line="168" w:lineRule="exact"/>
        <w:rPr>
          <w:rFonts w:ascii="Times New Roman" w:cs="Times New Roman" w:eastAsia="Times New Roman" w:hAnsi="Times New Roman"/>
          <w:sz w:val="19"/>
          <w:szCs w:val="19"/>
          <w:color w:val="auto"/>
        </w:rPr>
      </w:pPr>
    </w:p>
    <w:p>
      <w:pPr>
        <w:ind w:left="700" w:firstLine="50"/>
        <w:spacing w:after="0" w:line="256" w:lineRule="auto"/>
        <w:tabs>
          <w:tab w:leader="none" w:pos="1030"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spacing w:after="0" w:line="181" w:lineRule="exact"/>
        <w:rPr>
          <w:rFonts w:ascii="Times New Roman" w:cs="Times New Roman" w:eastAsia="Times New Roman" w:hAnsi="Times New Roman"/>
          <w:sz w:val="19"/>
          <w:szCs w:val="19"/>
          <w:color w:val="auto"/>
        </w:rPr>
      </w:pPr>
    </w:p>
    <w:p>
      <w:pPr>
        <w:ind w:left="700" w:right="80" w:firstLine="50"/>
        <w:spacing w:after="0" w:line="256" w:lineRule="auto"/>
        <w:tabs>
          <w:tab w:leader="none" w:pos="1084"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81" w:lineRule="exact"/>
        <w:rPr>
          <w:rFonts w:ascii="Times New Roman" w:cs="Times New Roman" w:eastAsia="Times New Roman" w:hAnsi="Times New Roman"/>
          <w:sz w:val="19"/>
          <w:szCs w:val="19"/>
          <w:color w:val="auto"/>
        </w:rPr>
      </w:pPr>
    </w:p>
    <w:p>
      <w:pPr>
        <w:ind w:left="700" w:firstLine="50"/>
        <w:spacing w:after="0" w:line="286" w:lineRule="auto"/>
        <w:tabs>
          <w:tab w:leader="none" w:pos="1073" w:val="left"/>
        </w:tabs>
        <w:numPr>
          <w:ilvl w:val="1"/>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other representation, warranty and covenant as may be agreed in writing between the Administrative Agent, in its sole discretion, and such Lender.</w:t>
      </w:r>
    </w:p>
    <w:p>
      <w:pPr>
        <w:spacing w:after="0" w:line="151" w:lineRule="exact"/>
        <w:rPr>
          <w:rFonts w:ascii="Times New Roman" w:cs="Times New Roman" w:eastAsia="Times New Roman" w:hAnsi="Times New Roman"/>
          <w:sz w:val="19"/>
          <w:szCs w:val="19"/>
          <w:color w:val="auto"/>
        </w:rPr>
      </w:pPr>
    </w:p>
    <w:p>
      <w:pPr>
        <w:ind w:right="20" w:firstLine="54"/>
        <w:spacing w:after="0" w:line="254" w:lineRule="auto"/>
        <w:tabs>
          <w:tab w:leader="none" w:pos="320" w:val="left"/>
        </w:tabs>
        <w:numPr>
          <w:ilvl w:val="0"/>
          <w:numId w:val="1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w:t>
      </w:r>
    </w:p>
    <w:p>
      <w:pPr>
        <w:spacing w:after="0" w:line="3"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9"/>
          <w:szCs w:val="19"/>
          <w:color w:val="auto"/>
        </w:rPr>
        <w:t>performance of the Advances, the Commitments and this Agreement (including in connection with the reservation or exercise of any rights by the</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129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99" w:name="page300"/>
    <w:bookmarkEnd w:id="299"/>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Administrative Agent under this Agreement, any Transaction Document or any documents related hereto or thereto).</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XI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SSIGNMENTS</w:t>
      </w:r>
      <w:r>
        <w:rPr>
          <w:rFonts w:ascii="Times New Roman" w:cs="Times New Roman" w:eastAsia="Times New Roman" w:hAnsi="Times New Roman"/>
          <w:sz w:val="19"/>
          <w:szCs w:val="19"/>
          <w:b w:val="1"/>
          <w:bCs w:val="1"/>
          <w:color w:val="auto"/>
        </w:rPr>
        <w:t>; P</w:t>
      </w:r>
      <w:r>
        <w:rPr>
          <w:rFonts w:ascii="Times New Roman" w:cs="Times New Roman" w:eastAsia="Times New Roman" w:hAnsi="Times New Roman"/>
          <w:sz w:val="13"/>
          <w:szCs w:val="13"/>
          <w:b w:val="1"/>
          <w:bCs w:val="1"/>
          <w:color w:val="auto"/>
        </w:rPr>
        <w:t>ARTICIPATIONS</w:t>
      </w:r>
    </w:p>
    <w:p>
      <w:pPr>
        <w:spacing w:after="0" w:line="226" w:lineRule="exact"/>
        <w:rPr>
          <w:sz w:val="20"/>
          <w:szCs w:val="20"/>
          <w:color w:val="auto"/>
        </w:rPr>
      </w:pPr>
    </w:p>
    <w:p>
      <w:pPr>
        <w:ind w:right="8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11.1. Assignments and Participations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strike w:val="1"/>
        </w:rPr>
        <w:t>The Borrower</w:t>
      </w:r>
      <w:r>
        <w:rPr>
          <w:rFonts w:ascii="Times New Roman" w:cs="Times New Roman" w:eastAsia="Times New Roman" w:hAnsi="Times New Roman"/>
          <w:sz w:val="19"/>
          <w:szCs w:val="19"/>
          <w:color w:val="0000FF"/>
        </w:rPr>
        <w:t>No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FF0000"/>
        </w:rPr>
        <w:t>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have the right to assign its rights or obligations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-246380</wp:posOffset>
            </wp:positionV>
            <wp:extent cx="18288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6">
                      <a:extLst>
                        <a:ext uri="{28A0092B-C50C-407E-A947-70E740481C1C}"/>
                      </a:extLst>
                    </a:blip>
                    <a:srcRect/>
                    <a:stretch>
                      <a:fillRect/>
                    </a:stretch>
                  </pic:blipFill>
                  <pic:spPr bwMode="auto">
                    <a:xfrm>
                      <a:off x="0" y="0"/>
                      <a:ext cx="182880" cy="7620"/>
                    </a:xfrm>
                    <a:prstGeom prst="rect">
                      <a:avLst/>
                    </a:prstGeom>
                    <a:noFill/>
                  </pic:spPr>
                </pic:pic>
              </a:graphicData>
            </a:graphic>
          </wp:anchor>
        </w:drawing>
      </w:r>
    </w:p>
    <w:p>
      <w:pPr>
        <w:spacing w:after="0" w:line="128" w:lineRule="exact"/>
        <w:rPr>
          <w:sz w:val="20"/>
          <w:szCs w:val="20"/>
          <w:color w:val="auto"/>
        </w:rPr>
      </w:pPr>
    </w:p>
    <w:p>
      <w:pPr>
        <w:ind w:right="40" w:firstLine="54"/>
        <w:spacing w:after="0" w:line="252" w:lineRule="auto"/>
        <w:tabs>
          <w:tab w:leader="none" w:pos="320"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at any time and from time to time assign to one or more Persons (</w:t>
      </w:r>
      <w:r>
        <w:rPr>
          <w:rFonts w:ascii="Times New Roman" w:cs="Times New Roman" w:eastAsia="Times New Roman" w:hAnsi="Times New Roman"/>
          <w:sz w:val="19"/>
          <w:szCs w:val="19"/>
          <w:i w:val="1"/>
          <w:iCs w:val="1"/>
          <w:color w:val="auto"/>
        </w:rPr>
        <w:t>“Purchasing Lenders”</w:t>
      </w:r>
      <w:r>
        <w:rPr>
          <w:rFonts w:ascii="Times New Roman" w:cs="Times New Roman" w:eastAsia="Times New Roman" w:hAnsi="Times New Roman"/>
          <w:sz w:val="19"/>
          <w:szCs w:val="19"/>
          <w:color w:val="auto"/>
        </w:rPr>
        <w:t xml:space="preserve">) that are Eligible Assignees all or any part of its rights and obligations under this Agreement pursuant to an assignment agreement, substantially in the form set forth in Exhibit B hereto (the </w:t>
      </w:r>
      <w:r>
        <w:rPr>
          <w:rFonts w:ascii="Times New Roman" w:cs="Times New Roman" w:eastAsia="Times New Roman" w:hAnsi="Times New Roman"/>
          <w:sz w:val="19"/>
          <w:szCs w:val="19"/>
          <w:i w:val="1"/>
          <w:iCs w:val="1"/>
          <w:color w:val="auto"/>
        </w:rPr>
        <w:t>“Assignment and Acceptance”</w:t>
      </w:r>
      <w:r>
        <w:rPr>
          <w:rFonts w:ascii="Times New Roman" w:cs="Times New Roman" w:eastAsia="Times New Roman" w:hAnsi="Times New Roman"/>
          <w:sz w:val="19"/>
          <w:szCs w:val="19"/>
          <w:color w:val="auto"/>
        </w:rPr>
        <w:t xml:space="preserve">) executed by such Purchasing Lender and such selling Lender. In addition, except with respect to an assignment to an Affiliate of such Lender, so long as no Event of Default or Unmatured Event of Default has occurred and is continuing at such time, the consent of the Borrower (such consent not to be unreasonably withheld or delayed) shall be required prior to the effectiveness of any such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Borrower shall be deemed to have consented to any such assignment unless it shall object thereto by written notice to the Administrative Agent and the assigning Lender within five (5) Business Days after having received written notice thereof. Each assignee of a Lender must be an Eligible Assignee and must agree to deliver to the Administrative Agent, promptly following any request therefor by the Managing Agent for its Lender Group, an enforceability opinion in form and substance satisfactory to such Managing Agent. Upon delivery of the executed Assignment and Acceptance to the Administrative Agent, such selling Lender shall be released from its obligations hereunder to the extent of such assignment. Thereafter the Purchasing Lender shall for all purposes be a Lender party to this Agreement and shall have all the rights and obligations of a Lender under this Agreement to the same extent as if it were an original party hereto and no further consent or action by the Borrower, the Lenders or the Administrative Agent shall be required. The Lenders agree that any assignments arranged by the Borrower or any of its Affiliates shall be offered to the Lenders ratably, and if accepted by each Lender in its sole discretion, shall be made by the Lenders ratably. Notwithstanding any notice or consent requirement herein to the contrary, all the parties hereto hereby consent to any assignment by MUFG Union Bank, N.A. of its Commitments and Advances hereunder to its affiliate MUFG Bank, Ltd., which will otherwise be documented in accordance with the terms hereof.</w:t>
      </w:r>
    </w:p>
    <w:p>
      <w:pPr>
        <w:spacing w:after="0" w:line="194" w:lineRule="exact"/>
        <w:rPr>
          <w:rFonts w:ascii="Times New Roman" w:cs="Times New Roman" w:eastAsia="Times New Roman" w:hAnsi="Times New Roman"/>
          <w:sz w:val="19"/>
          <w:szCs w:val="19"/>
          <w:color w:val="auto"/>
        </w:rPr>
      </w:pPr>
    </w:p>
    <w:p>
      <w:pPr>
        <w:ind w:firstLine="54"/>
        <w:spacing w:after="0" w:line="253" w:lineRule="auto"/>
        <w:tabs>
          <w:tab w:leader="none" w:pos="309"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executing and delivering an Assignment and Acceptance, the Purchasing Lender thereunder and the selling Lender thereunder confirm to and agree with each other and the other parties hereto as follows: (i) other than as provided in such Assignment and Acceptance, such selling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Purchasing Lender confirms that it has received a copy of this Agreement, together with copies of such financial statements and other documents and information as it has deemed appropriate to make its own credit analysis and decision to enter into such Assignment and Acceptance; (iii)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w:t>
      </w:r>
    </w:p>
    <w:p>
      <w:pPr>
        <w:spacing w:after="0" w:line="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0" w:name="page301"/>
    <w:bookmarkEnd w:id="300"/>
    <w:p>
      <w:pPr>
        <w:spacing w:after="0" w:line="200" w:lineRule="exact"/>
        <w:rPr>
          <w:sz w:val="20"/>
          <w:szCs w:val="20"/>
          <w:color w:val="auto"/>
        </w:rPr>
      </w:pPr>
    </w:p>
    <w:p>
      <w:pPr>
        <w:spacing w:after="0" w:line="2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9"/>
          <w:szCs w:val="19"/>
          <w:color w:val="auto"/>
        </w:rPr>
        <w:t>Purchasing Lender will, independently and without reliance upon the Administrative Agent or any Managing Agent, the selling Lender or any other Lender and based on such documents and information as it shall deem appropriate at the time, continue to make its own credit decisions in taking or not taking action under this Agreement; (iv) such Purchasing Lender and such selling Lender confirm that such Purchasing Lender is an Eligible Assignee; (v) such Purchasing Lender appoints and authorizes each of the Administrative Agent and the applicable Managing Agent to take such action as agent on its behalf and to exercise such powers under this Agreement as are delegated to such agent by the terms hereof, together with such powers as are reasonably incidental thereto; and (vi) such Purchasing Lender agrees that it will perform in accordance with their terms all of the obligations which by the terms of this Agreement are required to be performed by it as a Lender.</w:t>
      </w:r>
    </w:p>
    <w:p>
      <w:pPr>
        <w:spacing w:after="0" w:line="184" w:lineRule="exact"/>
        <w:rPr>
          <w:sz w:val="20"/>
          <w:szCs w:val="20"/>
          <w:color w:val="auto"/>
        </w:rPr>
      </w:pPr>
    </w:p>
    <w:p>
      <w:pPr>
        <w:ind w:firstLine="54"/>
        <w:spacing w:after="0" w:line="256" w:lineRule="auto"/>
        <w:tabs>
          <w:tab w:leader="none" w:pos="320"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Administrative Agent, acting solely for this purpose as a non-fiduciary agent of the Borrower, shall maintain at its address referred to herein a copy of each Assignment and Acceptance delivered to and accepted by it and a register for the recordation of the names and addresses of the Lenders and the Commitment of, and principal amount of, each Advance owned by each Lender from time to time (the </w:t>
      </w:r>
      <w:r>
        <w:rPr>
          <w:rFonts w:ascii="Times New Roman" w:cs="Times New Roman" w:eastAsia="Times New Roman" w:hAnsi="Times New Roman"/>
          <w:sz w:val="19"/>
          <w:szCs w:val="19"/>
          <w:i w:val="1"/>
          <w:iCs w:val="1"/>
          <w:color w:val="auto"/>
        </w:rPr>
        <w:t>“Register”</w:t>
      </w:r>
      <w:r>
        <w:rPr>
          <w:rFonts w:ascii="Times New Roman" w:cs="Times New Roman" w:eastAsia="Times New Roman" w:hAnsi="Times New Roman"/>
          <w:sz w:val="19"/>
          <w:szCs w:val="19"/>
          <w:color w:val="auto"/>
        </w:rPr>
        <w:t>). The entries in the Register shall be conclusive and binding for all purposes, absent manifest error, and the Lenders, the Borrower and the Managing Agents may treat each Person whose name is recorded in the Register as a Lender hereunder for all purposes of this Agreement. The Register shall be available for inspection by the Lenders, any Managing Agent, or the Borrower at any reasonable time and from time to time upon reasonable prior notice.</w:t>
      </w:r>
    </w:p>
    <w:p>
      <w:pPr>
        <w:spacing w:after="0" w:line="181" w:lineRule="exact"/>
        <w:rPr>
          <w:rFonts w:ascii="Times New Roman" w:cs="Times New Roman" w:eastAsia="Times New Roman" w:hAnsi="Times New Roman"/>
          <w:sz w:val="19"/>
          <w:szCs w:val="19"/>
          <w:color w:val="auto"/>
        </w:rPr>
      </w:pPr>
    </w:p>
    <w:p>
      <w:pPr>
        <w:jc w:val="both"/>
        <w:ind w:right="80" w:firstLine="54"/>
        <w:spacing w:after="0" w:line="262" w:lineRule="auto"/>
        <w:tabs>
          <w:tab w:leader="none" w:pos="309"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provisions of this Section 11.1, upon their receipt of an Assignment and Acceptance executed by a selling Lender and a Purchasing Lender, the Administrative Agent shall, if such Assignment and Acceptance has been completed and is in substantially the form of Exhibit B hereto, accept such Assignment and Acceptance, and the Administrative Agent shall then (i) record the information contained therein in the Register and (ii) give prompt notice thereof to each Managing Agent.</w:t>
      </w:r>
    </w:p>
    <w:p>
      <w:pPr>
        <w:spacing w:after="0" w:line="172" w:lineRule="exact"/>
        <w:rPr>
          <w:rFonts w:ascii="Times New Roman" w:cs="Times New Roman" w:eastAsia="Times New Roman" w:hAnsi="Times New Roman"/>
          <w:sz w:val="19"/>
          <w:szCs w:val="19"/>
          <w:color w:val="auto"/>
        </w:rPr>
      </w:pPr>
    </w:p>
    <w:p>
      <w:pPr>
        <w:ind w:right="120" w:firstLine="54"/>
        <w:spacing w:after="0" w:line="253" w:lineRule="auto"/>
        <w:tabs>
          <w:tab w:leader="none" w:pos="288"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Lender may, in the ordinary course of its business at any time sell to one or more Persons (each a </w:t>
      </w:r>
      <w:r>
        <w:rPr>
          <w:rFonts w:ascii="Times New Roman" w:cs="Times New Roman" w:eastAsia="Times New Roman" w:hAnsi="Times New Roman"/>
          <w:sz w:val="19"/>
          <w:szCs w:val="19"/>
          <w:i w:val="1"/>
          <w:iCs w:val="1"/>
          <w:color w:val="auto"/>
        </w:rPr>
        <w:t>“Participant”</w:t>
      </w:r>
      <w:r>
        <w:rPr>
          <w:rFonts w:ascii="Times New Roman" w:cs="Times New Roman" w:eastAsia="Times New Roman" w:hAnsi="Times New Roman"/>
          <w:sz w:val="19"/>
          <w:szCs w:val="19"/>
          <w:color w:val="auto"/>
        </w:rPr>
        <w:t>) participating interests in the Advances made by such Lender or any other interest of such Lender hereunder. Notwithstanding any such sale by a Lender of a participating interest to a Participant, such Lender’s rights and obligations under this Agreement shall remain unchanged, such Lender shall remain solely responsible for the performance of its obligations hereunder, and the Borrower, the other Lenders, the Managing Agents and the Administrative Agent shall continue to deal solely and directly with such Lender in connection with such Lender’s rights and obligations under this Agreement. Each Lender agrees that any agreement between such Lender and any such Participant in respect of such participating interest shall not restrict such Lender’s right to agree to any amendment, supplement, waiver or modification to this Agreement, except for any amendment, supplement, waiver or modification set forth in Section 12.1(iii) of this Agreement. The Borrower agrees that each Participant shall be entitled to the benefits of Section 2.13 (subject to the requirements and limitations therein, including the requirements under Section 2.13(d) and (l) (it being understood that the documentation required under</w:t>
      </w:r>
    </w:p>
    <w:p>
      <w:pPr>
        <w:spacing w:after="0" w:line="2"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9"/>
          <w:szCs w:val="19"/>
          <w:color w:val="auto"/>
        </w:rPr>
        <w:t>Section 2.13(d) and (l) shall be delivered to the participating Lender)) to the same extent as if it were a Lender and had acquired its interest by assignment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01" w:name="page302"/>
    <w:bookmarkEnd w:id="301"/>
    <w:p>
      <w:pPr>
        <w:spacing w:after="0" w:line="200" w:lineRule="exact"/>
        <w:rPr>
          <w:sz w:val="20"/>
          <w:szCs w:val="20"/>
          <w:color w:val="auto"/>
        </w:rPr>
      </w:pPr>
    </w:p>
    <w:p>
      <w:pPr>
        <w:spacing w:after="0" w:line="2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 xml:space="preserve">pursuant to this Section 11.1;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Participant shall not be entitled to receive any greater payment under Section 2.13, with respect to any participation, than its participating Lender would have been entitled to receive, except to the extent such entitlement to receive a greater payment results from a Regulatory Change that occurs after the Participant acquired the applicable participation. Each Lender that sells a participation shall, acting solely for this purpose as an agent of the Borrower, maintain a register on which it enters the name and address of each Participant and the principal amounts (and stated interest) of each Participant’s interest in the Advances or other obligations under the Transaction Documents (the </w:t>
      </w:r>
      <w:r>
        <w:rPr>
          <w:rFonts w:ascii="Times New Roman" w:cs="Times New Roman" w:eastAsia="Times New Roman" w:hAnsi="Times New Roman"/>
          <w:sz w:val="19"/>
          <w:szCs w:val="19"/>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Advances or other obligations under any Transaction Documents) to any Person except to the extent that such disclosure is necessary to establish that such commitment, loan, letter of credit or other obligation is in registered form under Section</w:t>
      </w:r>
    </w:p>
    <w:p>
      <w:pPr>
        <w:spacing w:after="0" w:line="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9"/>
          <w:szCs w:val="19"/>
          <w:color w:val="auto"/>
        </w:rPr>
        <w:t>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1" w:lineRule="exact"/>
        <w:rPr>
          <w:sz w:val="20"/>
          <w:szCs w:val="20"/>
          <w:color w:val="auto"/>
        </w:rPr>
      </w:pPr>
    </w:p>
    <w:p>
      <w:pPr>
        <w:ind w:right="600" w:firstLine="54"/>
        <w:spacing w:after="0" w:line="268" w:lineRule="auto"/>
        <w:tabs>
          <w:tab w:leader="none" w:pos="32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may, in connection with any assignment or participation or proposed assignment or participation pursuant to this Section 11.1, disclose to the assignee or participant or proposed assignee or participant any information relating to the Borrower furnished to such Lender by or on behalf of the Borrower.</w:t>
      </w:r>
    </w:p>
    <w:p>
      <w:pPr>
        <w:spacing w:after="0" w:line="168" w:lineRule="exact"/>
        <w:rPr>
          <w:rFonts w:ascii="Times New Roman" w:cs="Times New Roman" w:eastAsia="Times New Roman" w:hAnsi="Times New Roman"/>
          <w:sz w:val="19"/>
          <w:szCs w:val="19"/>
          <w:color w:val="auto"/>
        </w:rPr>
      </w:pPr>
    </w:p>
    <w:p>
      <w:pPr>
        <w:ind w:right="20" w:firstLine="54"/>
        <w:spacing w:after="0" w:line="253" w:lineRule="auto"/>
        <w:tabs>
          <w:tab w:leader="none" w:pos="320"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Nothing herein shall prohibit any Lender from pledging or assigning as collateral any of its rights under this Agreement to secure obligations of such Lender, including any pledge or security interest granted to any Federal Reserve Bank or other central bank having jurisdiction over such Lender in accordance with Applicable Law and to a Liquidity Provider pursuant to a Liquidity Facility, and any such pledge or collateral assignment may be made without compliance with Section 11.1(b) or Section 11.1(c). Any Liquidity Provider may assign, in whole or in part, its rights and obligations as Liquidity Provider to an Eligible Assignee, except that so long as no Event of Default or Unmatured Event of Default has occurred and is continuing at such time, the consent of the Borrower (such consent not to be unreasonably withheld or delayed) shall be required prior to the effectiveness of any such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(i) no consent of the Borrower shall be required for an assignment to an Affiliate of the Liquidity Provider and (ii) the Borrower shall be deemed to have consented to any such assignment unless it shall object thereto by written notice to the Administrative Agent and the assigning Liquidity Provider within five (5) Business Days after having received written notice thereof. With respect to any interests which may be assigned by an Issuer to its Liquidity Provider, the Liquidity Provider shall have the same rights and obligations under this Agreement as would such Issuer if it were holding such interests.</w:t>
      </w:r>
    </w:p>
    <w:p>
      <w:pPr>
        <w:spacing w:after="0" w:line="189" w:lineRule="exact"/>
        <w:rPr>
          <w:rFonts w:ascii="Times New Roman" w:cs="Times New Roman" w:eastAsia="Times New Roman" w:hAnsi="Times New Roman"/>
          <w:sz w:val="19"/>
          <w:szCs w:val="19"/>
          <w:color w:val="auto"/>
        </w:rPr>
      </w:pPr>
    </w:p>
    <w:p>
      <w:pPr>
        <w:jc w:val="both"/>
        <w:ind w:right="240" w:firstLine="702"/>
        <w:spacing w:after="0" w:line="256" w:lineRule="auto"/>
        <w:tabs>
          <w:tab w:leader="none" w:pos="925" w:val="left"/>
        </w:tabs>
        <w:numPr>
          <w:ilvl w:val="1"/>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any Lender causes increased costs, expenses or taxes to be incurred by the Administrative Agent or Managing Agents in connection with the assignment or participation of such Lender’s rights and obligations under this Agreement to an Eligible Assignee then such Lender agrees that it will make reasonable efforts to assign such increased costs, expenses or taxes to such Eligible Assignee in accordance with the provisions of this Agreement.</w:t>
      </w:r>
    </w:p>
    <w:p>
      <w:pPr>
        <w:spacing w:after="0" w:line="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02" w:name="page303"/>
    <w:bookmarkEnd w:id="302"/>
    <w:p>
      <w:pPr>
        <w:spacing w:after="0" w:line="200" w:lineRule="exact"/>
        <w:rPr>
          <w:sz w:val="20"/>
          <w:szCs w:val="20"/>
          <w:color w:val="auto"/>
        </w:rPr>
      </w:pPr>
    </w:p>
    <w:p>
      <w:pPr>
        <w:spacing w:after="0" w:line="285" w:lineRule="exact"/>
        <w:rPr>
          <w:sz w:val="20"/>
          <w:szCs w:val="20"/>
          <w:color w:val="auto"/>
        </w:rPr>
      </w:pPr>
    </w:p>
    <w:p>
      <w:pPr>
        <w:ind w:right="60" w:firstLine="702"/>
        <w:spacing w:after="0" w:line="286" w:lineRule="auto"/>
        <w:tabs>
          <w:tab w:leader="none" w:pos="925"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to the extent otherwise expressly agreed by the affected parties, no assignment by a Defaulting Lender will constitute a waiver or release of any claim of any party hereunder arising from such Lender’s having been a Defaulting Lender.</w:t>
      </w:r>
    </w:p>
    <w:p>
      <w:pPr>
        <w:spacing w:after="0" w:line="151" w:lineRule="exact"/>
        <w:rPr>
          <w:rFonts w:ascii="Times New Roman" w:cs="Times New Roman" w:eastAsia="Times New Roman" w:hAnsi="Times New Roman"/>
          <w:sz w:val="19"/>
          <w:szCs w:val="19"/>
          <w:color w:val="auto"/>
        </w:rPr>
      </w:pPr>
    </w:p>
    <w:p>
      <w:pPr>
        <w:ind w:firstLine="702"/>
        <w:spacing w:after="0" w:line="259" w:lineRule="auto"/>
        <w:tabs>
          <w:tab w:leader="none" w:pos="968"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Eligible Assignee or Participant on the date it becomes a Lender or Participant hereunder shall certify in the applicable Assignment and Acceptance, participation agreement or other similar document that it is an Eligible Assignee (in the case of an Assignee) or in accordance with the terms of Section 11.1(f) (in the case of a Participant). Any failure to include such a certification in an Assignment and Acceptance, participation agreement or other applicable document shall render such Assignment and Acceptance, participation agreement or other similar document void ab initio and of no force or effect for any purpose.</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XII</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M</w:t>
      </w:r>
      <w:r>
        <w:rPr>
          <w:rFonts w:ascii="Times New Roman" w:cs="Times New Roman" w:eastAsia="Times New Roman" w:hAnsi="Times New Roman"/>
          <w:sz w:val="13"/>
          <w:szCs w:val="13"/>
          <w:b w:val="1"/>
          <w:bCs w:val="1"/>
          <w:color w:val="auto"/>
        </w:rPr>
        <w:t>ISCELLANEOUS</w:t>
      </w:r>
    </w:p>
    <w:p>
      <w:pPr>
        <w:spacing w:after="0" w:line="226" w:lineRule="exact"/>
        <w:rPr>
          <w:sz w:val="20"/>
          <w:szCs w:val="20"/>
          <w:color w:val="auto"/>
        </w:rPr>
      </w:pPr>
    </w:p>
    <w:p>
      <w:pPr>
        <w:ind w:right="10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12.1. Amendments and Waivers</w:t>
      </w:r>
      <w:r>
        <w:rPr>
          <w:rFonts w:ascii="Times New Roman" w:cs="Times New Roman" w:eastAsia="Times New Roman" w:hAnsi="Times New Roman"/>
          <w:sz w:val="19"/>
          <w:szCs w:val="19"/>
          <w:color w:val="auto"/>
        </w:rPr>
        <w:t>. Except as provided in this Section 12.1, no amendment, waiver or other modification of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provision of this Agreement shall be effective without the written agreement of the Borrower, the Administrative Agent, the Managing Agents and the Required Lenders;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(i) without the consent of the Lenders in any Lender Group (other than the Lender Group to which such Lenders are being added), the Administrative Agent and the applicable Managing Agent may, with the consent of Borrower, amend this Agreement solely to add additional Persons as Lenders hereunder, (ii) any amendment of this Agreement that is solely for the purpose of increasing the Commitment of a specific Lender or increase the Group Advance Limit of the related Lender Group may be effected with the written consent of the Borrower, the Administrative Agent and the affected Lender, and</w:t>
      </w:r>
    </w:p>
    <w:p>
      <w:pPr>
        <w:spacing w:after="0" w:line="2" w:lineRule="exact"/>
        <w:rPr>
          <w:sz w:val="20"/>
          <w:szCs w:val="20"/>
          <w:color w:val="auto"/>
        </w:rPr>
      </w:pPr>
    </w:p>
    <w:p>
      <w:pPr>
        <w:ind w:firstLine="6"/>
        <w:spacing w:after="0" w:line="251" w:lineRule="auto"/>
        <w:tabs>
          <w:tab w:leader="none" w:pos="336"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 of each Lender shall be required to: (A) extend the Commitment Termination Date or the date of any payment or deposit of Collections by the Borrower, (B) reduce the amount (other than by reason of the repayment thereof) or extend the time of payment of Advances Outstanding or reduce the rate or extend the time of payment of Interest (or any component thereof) (other than the waiver of Default Rate), (C) reduce any fee payable to the Administrative Agent or any Managing Agent for the benefit of the Lenders, (D) amend, modify or waive any provision of the definition of “Required Lenders” or Sections 11.1(b), 12.1, 12.9, or 12.10, (E) consent to or permit the assignment or transfer by the Borrower of any of its rights and obligations under this Agreement, (F) amend or waive any Event of Default, (G) change the definition of “Borrowing Base,” “Collateral Default Ratio,” “Eligible Loan” or “Payment Date,” or (H) amend or modify any defined term (or any defined term used directly or indirectly in such defined term) used in clauses (A) through (G) above in a manner that would circumvent the intention of the restrictions set forth in such clauses. Any waiver or consent shall be effective only in the specific instance and for the specific purpose for which given.</w:t>
      </w:r>
    </w:p>
    <w:p>
      <w:pPr>
        <w:spacing w:after="0" w:line="190" w:lineRule="exact"/>
        <w:rPr>
          <w:sz w:val="20"/>
          <w:szCs w:val="20"/>
          <w:color w:val="auto"/>
        </w:rPr>
      </w:pPr>
    </w:p>
    <w:p>
      <w:pPr>
        <w:ind w:right="760" w:firstLine="696"/>
        <w:spacing w:after="0" w:line="262" w:lineRule="auto"/>
        <w:rPr>
          <w:sz w:val="20"/>
          <w:szCs w:val="20"/>
          <w:color w:val="auto"/>
        </w:rPr>
      </w:pPr>
      <w:r>
        <w:rPr>
          <w:rFonts w:ascii="Times New Roman" w:cs="Times New Roman" w:eastAsia="Times New Roman" w:hAnsi="Times New Roman"/>
          <w:sz w:val="19"/>
          <w:szCs w:val="19"/>
          <w:color w:val="auto"/>
        </w:rPr>
        <w:t>No amendment, modification, supplement or waiver shall amend, modify or otherwise affect the rights or duties of the Swingline Lender hereunder without the prior written consent of the Swingline Lender.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3" w:name="page304"/>
    <w:bookmarkEnd w:id="303"/>
    <w:p>
      <w:pPr>
        <w:spacing w:after="0" w:line="200" w:lineRule="exact"/>
        <w:rPr>
          <w:sz w:val="20"/>
          <w:szCs w:val="20"/>
          <w:color w:val="auto"/>
        </w:rPr>
      </w:pPr>
    </w:p>
    <w:p>
      <w:pPr>
        <w:spacing w:after="0" w:line="285" w:lineRule="exact"/>
        <w:rPr>
          <w:sz w:val="20"/>
          <w:szCs w:val="20"/>
          <w:color w:val="auto"/>
        </w:rPr>
      </w:pPr>
    </w:p>
    <w:p>
      <w:pPr>
        <w:ind w:right="260" w:firstLine="696"/>
        <w:spacing w:after="0" w:line="268" w:lineRule="auto"/>
        <w:rPr>
          <w:sz w:val="20"/>
          <w:szCs w:val="20"/>
          <w:color w:val="auto"/>
        </w:rPr>
      </w:pPr>
      <w:r>
        <w:rPr>
          <w:rFonts w:ascii="Times New Roman" w:cs="Times New Roman" w:eastAsia="Times New Roman" w:hAnsi="Times New Roman"/>
          <w:sz w:val="19"/>
          <w:szCs w:val="19"/>
          <w:color w:val="auto"/>
        </w:rPr>
        <w:t>No amendment, waiver or other modification having a material effect on the rights or obligations of the Bank Parties shall be effective against the applicable Bank Party without the written agreement of the applicable Bank Party. The Borrower will deliver a copy of all waivers and amendments to the Bank Parties.</w:t>
      </w:r>
    </w:p>
    <w:p>
      <w:pPr>
        <w:spacing w:after="0" w:line="168" w:lineRule="exact"/>
        <w:rPr>
          <w:sz w:val="20"/>
          <w:szCs w:val="20"/>
          <w:color w:val="auto"/>
        </w:rPr>
      </w:pPr>
    </w:p>
    <w:p>
      <w:pPr>
        <w:ind w:right="120" w:firstLine="696"/>
        <w:spacing w:after="0" w:line="254" w:lineRule="auto"/>
        <w:rPr>
          <w:sz w:val="20"/>
          <w:szCs w:val="20"/>
          <w:color w:val="auto"/>
        </w:rPr>
      </w:pPr>
      <w:r>
        <w:rPr>
          <w:rFonts w:ascii="Times New Roman" w:cs="Times New Roman" w:eastAsia="Times New Roman" w:hAnsi="Times New Roman"/>
          <w:sz w:val="19"/>
          <w:szCs w:val="19"/>
          <w:color w:val="auto"/>
        </w:rPr>
        <w:t>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 Notwithstanding anything contained herein to the contrary,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(but such Lender shall continue to be entitled to the benefits of Sections 2.12, 2.13, 9.1, 9.2 and 12.8), such Lender shall have no other commitment or other obligation hereunder and such Lender shall have been paid in full all principal, interest and other amounts owing to it or accrued for its account under this Agreement.</w:t>
      </w:r>
    </w:p>
    <w:p>
      <w:pPr>
        <w:spacing w:after="0" w:line="182" w:lineRule="exact"/>
        <w:rPr>
          <w:sz w:val="20"/>
          <w:szCs w:val="20"/>
          <w:color w:val="auto"/>
        </w:rPr>
      </w:pPr>
    </w:p>
    <w:p>
      <w:pPr>
        <w:ind w:firstLine="48"/>
        <w:spacing w:after="0" w:line="233" w:lineRule="exact"/>
        <w:rPr>
          <w:sz w:val="20"/>
          <w:szCs w:val="20"/>
          <w:color w:val="auto"/>
        </w:rPr>
      </w:pPr>
      <w:r>
        <w:rPr>
          <w:rFonts w:ascii="Times New Roman" w:cs="Times New Roman" w:eastAsia="Times New Roman" w:hAnsi="Times New Roman"/>
          <w:sz w:val="19"/>
          <w:szCs w:val="19"/>
          <w:i w:val="1"/>
          <w:iCs w:val="1"/>
          <w:color w:val="auto"/>
        </w:rPr>
        <w:t>Section 12.2. Notices, Etc</w:t>
      </w:r>
      <w:r>
        <w:rPr>
          <w:rFonts w:ascii="Times New Roman" w:cs="Times New Roman" w:eastAsia="Times New Roman" w:hAnsi="Times New Roman"/>
          <w:sz w:val="19"/>
          <w:szCs w:val="19"/>
          <w:color w:val="auto"/>
        </w:rPr>
        <w:t>. All notices and other communications provided for hereunder shall, unless otherwise stated herein, be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writing (including communication by facsimile copy) and mailed, sent by overnight courier, transmitted or hand delivered, as to each party hereto, at its address set forth under its name on the signature pages hereof or specified in such party’s Assignment and Acceptance or Joinder Agreement or at such other address as shall be designated by such party in a written notice to the other parties hereto. All such notices and communications shall be effective, upon receipt, or in the case of (a) notice by mail, five (5) days after being deposited in the United States mail, first class postage prepaid, (b) notice by courier mail, when it is officially recorded as being delivered to the intended recipient by return receipt, proof of delivery or equivalent, or (c) notice by facsimile copy or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 on the date the delivering party delivers such documents or notices via facsimile copy or 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mail.</w:t>
      </w:r>
    </w:p>
    <w:p>
      <w:pPr>
        <w:spacing w:after="0" w:line="184" w:lineRule="exact"/>
        <w:rPr>
          <w:sz w:val="20"/>
          <w:szCs w:val="20"/>
          <w:color w:val="auto"/>
        </w:rPr>
      </w:pPr>
    </w:p>
    <w:p>
      <w:pPr>
        <w:ind w:right="6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12.3. No Waiver, Rights and Remedies</w:t>
      </w:r>
      <w:r>
        <w:rPr>
          <w:rFonts w:ascii="Times New Roman" w:cs="Times New Roman" w:eastAsia="Times New Roman" w:hAnsi="Times New Roman"/>
          <w:sz w:val="19"/>
          <w:szCs w:val="19"/>
          <w:color w:val="auto"/>
        </w:rPr>
        <w:t>. No failure on the part of the Administrative Agent or any Secured Party or any assignee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law.</w:t>
      </w:r>
    </w:p>
    <w:p>
      <w:pPr>
        <w:spacing w:after="0" w:line="171" w:lineRule="exact"/>
        <w:rPr>
          <w:sz w:val="20"/>
          <w:szCs w:val="20"/>
          <w:color w:val="auto"/>
        </w:rPr>
      </w:pPr>
    </w:p>
    <w:p>
      <w:pPr>
        <w:ind w:right="8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 xml:space="preserve">Section 12.4. Binding Effect </w:t>
      </w:r>
      <w:r>
        <w:rPr>
          <w:rFonts w:ascii="Times New Roman" w:cs="Times New Roman" w:eastAsia="Times New Roman" w:hAnsi="Times New Roman"/>
          <w:sz w:val="19"/>
          <w:szCs w:val="19"/>
          <w:color w:val="auto"/>
        </w:rPr>
        <w:t>. This Agreement shall be binding upon and inure to the benefit of the Borrower, the Administrative Agent,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Secured Parties and their respective successors and permitted assigns and, in addition.</w:t>
      </w:r>
    </w:p>
    <w:p>
      <w:pPr>
        <w:spacing w:after="0" w:line="148" w:lineRule="exact"/>
        <w:rPr>
          <w:sz w:val="20"/>
          <w:szCs w:val="20"/>
          <w:color w:val="auto"/>
        </w:rPr>
      </w:pPr>
    </w:p>
    <w:p>
      <w:pPr>
        <w:jc w:val="both"/>
        <w:ind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 xml:space="preserve">Section 12.5. Term of this Agreement </w:t>
      </w:r>
      <w:r>
        <w:rPr>
          <w:rFonts w:ascii="Times New Roman" w:cs="Times New Roman" w:eastAsia="Times New Roman" w:hAnsi="Times New Roman"/>
          <w:sz w:val="19"/>
          <w:szCs w:val="19"/>
          <w:color w:val="auto"/>
        </w:rPr>
        <w:t>. This Agreement, including, without limitation, the Borrower’s obligation to observe its covenants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set forth in Article V and Article VII, shall remain in full force and effect until the Collection Date;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the rights and remedies with respect to any breach of any representation and warranty made or deemed made by the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4" w:name="page305"/>
    <w:bookmarkEnd w:id="304"/>
    <w:p>
      <w:pPr>
        <w:spacing w:after="0" w:line="200" w:lineRule="exact"/>
        <w:rPr>
          <w:sz w:val="20"/>
          <w:szCs w:val="20"/>
          <w:color w:val="auto"/>
        </w:rPr>
      </w:pPr>
    </w:p>
    <w:p>
      <w:pPr>
        <w:spacing w:after="0" w:line="2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Borrower pursuant to Articles III and IV and the indemnification and payment provisions of Article IX and Article X and the provisions of Section 12.9 and Section 12.10 shall be continuing and shall survive any termination of this Agreement.</w:t>
      </w:r>
    </w:p>
    <w:p>
      <w:pPr>
        <w:spacing w:after="0" w:line="149" w:lineRule="exact"/>
        <w:rPr>
          <w:sz w:val="20"/>
          <w:szCs w:val="20"/>
          <w:color w:val="auto"/>
        </w:rPr>
      </w:pPr>
    </w:p>
    <w:p>
      <w:pPr>
        <w:ind w:firstLine="48"/>
        <w:spacing w:after="0" w:line="232" w:lineRule="exact"/>
        <w:rPr>
          <w:sz w:val="20"/>
          <w:szCs w:val="20"/>
          <w:color w:val="auto"/>
        </w:rPr>
      </w:pPr>
      <w:r>
        <w:rPr>
          <w:rFonts w:ascii="Times New Roman" w:cs="Times New Roman" w:eastAsia="Times New Roman" w:hAnsi="Times New Roman"/>
          <w:sz w:val="19"/>
          <w:szCs w:val="19"/>
          <w:i w:val="1"/>
          <w:iCs w:val="1"/>
          <w:color w:val="auto"/>
        </w:rPr>
        <w:t>Section 12.6. Governing Law; Consent to Jurisdiction; Waiver of Objection to Venue</w:t>
      </w:r>
      <w:r>
        <w:rPr>
          <w:rFonts w:ascii="Times New Roman" w:cs="Times New Roman" w:eastAsia="Times New Roman" w:hAnsi="Times New Roman"/>
          <w:sz w:val="19"/>
          <w:szCs w:val="19"/>
          <w:color w:val="auto"/>
        </w:rPr>
        <w:t>. This Agreement shall be governed by,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construed in accordance with, the laws of the State of New York (including Sections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1401 and 5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1402 of the General Obligations Law of the State of New York but otherwise without regard to conflicts of law principles). Each of the Secured Parties, the Borrower and the Administrative Agent hereby agrees to the non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94" w:lineRule="exact"/>
        <w:rPr>
          <w:sz w:val="20"/>
          <w:szCs w:val="20"/>
          <w:color w:val="auto"/>
        </w:rPr>
      </w:pPr>
    </w:p>
    <w:p>
      <w:pPr>
        <w:ind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12.7. Waiver of Jury Trial</w:t>
      </w:r>
      <w:r>
        <w:rPr>
          <w:rFonts w:ascii="Times New Roman" w:cs="Times New Roman" w:eastAsia="Times New Roman" w:hAnsi="Times New Roman"/>
          <w:sz w:val="19"/>
          <w:szCs w:val="19"/>
          <w:color w:val="auto"/>
        </w:rPr>
        <w:t>. To the extent permitted by applicable law, each of the Secured Parties, the Borrower and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spacing w:after="0" w:line="173" w:lineRule="exact"/>
        <w:rPr>
          <w:sz w:val="20"/>
          <w:szCs w:val="20"/>
          <w:color w:val="auto"/>
        </w:rPr>
      </w:pPr>
    </w:p>
    <w:p>
      <w:pPr>
        <w:ind w:firstLine="48"/>
        <w:spacing w:after="0" w:line="230" w:lineRule="exact"/>
        <w:rPr>
          <w:sz w:val="20"/>
          <w:szCs w:val="20"/>
          <w:color w:val="auto"/>
        </w:rPr>
      </w:pPr>
      <w:r>
        <w:rPr>
          <w:rFonts w:ascii="Times New Roman" w:cs="Times New Roman" w:eastAsia="Times New Roman" w:hAnsi="Times New Roman"/>
          <w:sz w:val="19"/>
          <w:szCs w:val="19"/>
          <w:i w:val="1"/>
          <w:iCs w:val="1"/>
          <w:color w:val="auto"/>
        </w:rPr>
        <w:t>Section 12.8. Costs, Expenses and Taxes</w:t>
      </w:r>
      <w:r>
        <w:rPr>
          <w:rFonts w:ascii="Times New Roman" w:cs="Times New Roman" w:eastAsia="Times New Roman" w:hAnsi="Times New Roman"/>
          <w:sz w:val="19"/>
          <w:szCs w:val="19"/>
          <w:color w:val="auto"/>
        </w:rPr>
        <w:t>. (a) In addition to the rights of indemnification granted to the Administrative Agent,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Managing Agents, the other Secured Parties and its or their Affiliates and officers, directors, employees and agents thereof under Article IX hereof, the Borrower agrees to pay on demand all reasonable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of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pocket costs and expenses of the Administrative Agent, the Managing Agents and the other Secured Parties incurred in connection with the on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site due diligence (including travel related expenses) or with the preparation, negotiation, execution, delivery, administration (including periodic auditing), amendment or modification of, or any waiver or consent issued in connection with, this Agreement and the other documents to be delivered hereunder or in connection herewith, including, without limitation, the costs, fees and expenses of any third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party auditor engaged under the terms of this Agreement and the reasonable fees and out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pocket expenses of counsel for the Administrative Agent, the Managing Agents and the other Secured Parties with respect thereto and with respect to advising the Administrative Agent, the Managing Agents and the other Secured Parties as to their respective rights and remedies under this Agreement and the other documents to be delivered hereunder or in connection herewith, and all costs and expenses, if any (including reasonable counsel fees and expenses), incurred by the Administrative Agent, the Managing Agents or the other Secured Parties in connection with the enforcement of this Agreement and the other documents to be delivered hereunder or in connection herewith.</w:t>
      </w:r>
    </w:p>
    <w:p>
      <w:pPr>
        <w:spacing w:after="0" w:line="201" w:lineRule="exact"/>
        <w:rPr>
          <w:sz w:val="20"/>
          <w:szCs w:val="20"/>
          <w:color w:val="auto"/>
        </w:rPr>
      </w:pPr>
    </w:p>
    <w:p>
      <w:pPr>
        <w:ind w:right="160" w:firstLine="54"/>
        <w:spacing w:after="0" w:line="258" w:lineRule="auto"/>
        <w:tabs>
          <w:tab w:leader="none" w:pos="320" w:val="left"/>
        </w:tabs>
        <w:numPr>
          <w:ilvl w:val="0"/>
          <w:numId w:val="1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on demand any and all stamp, sales, excise and other taxes and fees payable or determined to be payable in connection with the execution, delivery, filing and recording of this Agreement, the other documents to be delivered hereunder or any agreement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05" w:name="page306"/>
    <w:bookmarkEnd w:id="305"/>
    <w:p>
      <w:pPr>
        <w:spacing w:after="0" w:line="200" w:lineRule="exact"/>
        <w:rPr>
          <w:sz w:val="20"/>
          <w:szCs w:val="20"/>
          <w:color w:val="auto"/>
        </w:rPr>
      </w:pPr>
    </w:p>
    <w:p>
      <w:pPr>
        <w:spacing w:after="0" w:line="2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other document providing liquidity support, credit enhancement or other similar support to the Lender in connection with this Agreement or the funding or maintenance of Advances hereunder.</w:t>
      </w:r>
    </w:p>
    <w:p>
      <w:pPr>
        <w:spacing w:after="0" w:line="151" w:lineRule="exact"/>
        <w:rPr>
          <w:sz w:val="20"/>
          <w:szCs w:val="20"/>
          <w:color w:val="auto"/>
        </w:rPr>
      </w:pPr>
    </w:p>
    <w:p>
      <w:pPr>
        <w:jc w:val="both"/>
        <w:ind w:right="260" w:firstLine="54"/>
        <w:spacing w:after="0" w:line="268" w:lineRule="auto"/>
        <w:tabs>
          <w:tab w:leader="none" w:pos="309" w:val="left"/>
        </w:tabs>
        <w:numPr>
          <w:ilvl w:val="0"/>
          <w:numId w:val="1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pay on demand all other costs, expenses and taxes (excluding income taxes), including, without limitation, all reasonable costs and expenses incurred by the Administrative Agent or any Managing Agent in connection with periodic audits of the Borrower’s books and records, which are incurred as a result of the execution of this Agreement.</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i w:val="1"/>
          <w:iCs w:val="1"/>
          <w:color w:val="auto"/>
        </w:rPr>
        <w:t>Section 12.9. Reserved</w:t>
      </w:r>
      <w:r>
        <w:rPr>
          <w:rFonts w:ascii="Times New Roman" w:cs="Times New Roman" w:eastAsia="Times New Roman" w:hAnsi="Times New Roman"/>
          <w:sz w:val="19"/>
          <w:szCs w:val="19"/>
          <w:color w:val="auto"/>
        </w:rPr>
        <w:t>.</w:t>
      </w:r>
    </w:p>
    <w:p>
      <w:pPr>
        <w:spacing w:after="0" w:line="226" w:lineRule="exact"/>
        <w:rPr>
          <w:sz w:val="20"/>
          <w:szCs w:val="20"/>
          <w:color w:val="auto"/>
        </w:rPr>
      </w:pPr>
    </w:p>
    <w:p>
      <w:pPr>
        <w:ind w:firstLine="48"/>
        <w:spacing w:after="0" w:line="258" w:lineRule="auto"/>
        <w:rPr>
          <w:sz w:val="20"/>
          <w:szCs w:val="20"/>
          <w:color w:val="auto"/>
        </w:rPr>
      </w:pPr>
      <w:r>
        <w:rPr>
          <w:rFonts w:ascii="Times New Roman" w:cs="Times New Roman" w:eastAsia="Times New Roman" w:hAnsi="Times New Roman"/>
          <w:sz w:val="19"/>
          <w:szCs w:val="19"/>
          <w:i w:val="1"/>
          <w:iCs w:val="1"/>
          <w:color w:val="auto"/>
        </w:rPr>
        <w:t>Section 12.10. Recourse Against Certain Parties</w:t>
      </w:r>
      <w:r>
        <w:rPr>
          <w:rFonts w:ascii="Times New Roman" w:cs="Times New Roman" w:eastAsia="Times New Roman" w:hAnsi="Times New Roman"/>
          <w:sz w:val="19"/>
          <w:szCs w:val="19"/>
          <w:color w:val="auto"/>
        </w:rPr>
        <w:t>. (a) No recourse under or with respect to any obligation, covenant or agreement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(including, without limitation, the payment of any fees or any other obligations) of the Administrative Agent or any Secured Party as contained in this Agreement or any other agreement, instrument or document entered into by it pursuant hereto or in connection herewith shall be had against any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(b) The provisions of this Section 12.10 shall survive the termination of this Agreement.</w:t>
      </w:r>
    </w:p>
    <w:p>
      <w:pPr>
        <w:spacing w:after="0" w:line="207" w:lineRule="exact"/>
        <w:rPr>
          <w:sz w:val="20"/>
          <w:szCs w:val="20"/>
          <w:color w:val="auto"/>
        </w:rPr>
      </w:pPr>
    </w:p>
    <w:p>
      <w:pPr>
        <w:ind w:right="60" w:firstLine="48"/>
        <w:spacing w:after="0" w:line="233" w:lineRule="exact"/>
        <w:rPr>
          <w:sz w:val="20"/>
          <w:szCs w:val="20"/>
          <w:color w:val="auto"/>
        </w:rPr>
      </w:pPr>
      <w:r>
        <w:rPr>
          <w:rFonts w:ascii="Times New Roman" w:cs="Times New Roman" w:eastAsia="Times New Roman" w:hAnsi="Times New Roman"/>
          <w:sz w:val="19"/>
          <w:szCs w:val="19"/>
          <w:i w:val="1"/>
          <w:iCs w:val="1"/>
          <w:color w:val="auto"/>
        </w:rPr>
        <w:t>Section 12.11. Protection of Security Interest; Appointment of Administrative Agent as Attorney</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in</w:t>
      </w:r>
      <w:r>
        <w:rPr>
          <w:rFonts w:ascii="MS PGothic" w:cs="MS PGothic" w:eastAsia="MS PGothic" w:hAnsi="MS PGothic"/>
          <w:sz w:val="19"/>
          <w:szCs w:val="19"/>
          <w:i w:val="1"/>
          <w:iCs w:val="1"/>
          <w:color w:val="auto"/>
        </w:rPr>
        <w:t>‑</w:t>
      </w:r>
      <w:r>
        <w:rPr>
          <w:rFonts w:ascii="Times New Roman" w:cs="Times New Roman" w:eastAsia="Times New Roman" w:hAnsi="Times New Roman"/>
          <w:sz w:val="19"/>
          <w:szCs w:val="19"/>
          <w:i w:val="1"/>
          <w:iCs w:val="1"/>
          <w:color w:val="auto"/>
        </w:rPr>
        <w:t>Fact</w:t>
      </w:r>
      <w:r>
        <w:rPr>
          <w:rFonts w:ascii="Times New Roman" w:cs="Times New Roman" w:eastAsia="Times New Roman" w:hAnsi="Times New Roman"/>
          <w:sz w:val="19"/>
          <w:szCs w:val="19"/>
          <w:color w:val="auto"/>
        </w:rPr>
        <w:t>. (a) The Borrower shall cause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all financing statements and continuation statements and any other necessary documents covering the right, title and interest of the Administrative Agent as agent for the Secured Parties and of the Secured Parties to the Collateral to be promptly recorded, registered and filed, and at all times to be kept recorded, registered and filed, all in such manner and in such places as may be required by law fully to preserve and protect the right, title and interest of the Administrative Agent as agent for the Secured Parties hereunder to all property comprising the Collateral. The Borrower shall deliver to the Administrative Agent file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stamped copies of, or filing receipts for, any document recorded, registered or filed as provided above, as soon as available following such recording, registration or filing. The Borrower shall cooperate fully in connection with the obligations set forth above and will execute any and all documents reasonably required to fulfill the intent of this Section 12.11.</w:t>
      </w:r>
    </w:p>
    <w:p>
      <w:pPr>
        <w:spacing w:after="0" w:line="199" w:lineRule="exact"/>
        <w:rPr>
          <w:sz w:val="20"/>
          <w:szCs w:val="20"/>
          <w:color w:val="auto"/>
        </w:rPr>
      </w:pPr>
    </w:p>
    <w:p>
      <w:pPr>
        <w:ind w:right="20" w:firstLine="54"/>
        <w:spacing w:after="0" w:line="262" w:lineRule="auto"/>
        <w:tabs>
          <w:tab w:leader="none" w:pos="32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agrees that from time to time, at its expense, it will promptly authorize, execute and deliver all instruments and documents, and take all actions, that may reasonably be necessary or desirable, or that the Administrative Agent may reasonably request, to perfect, protect or more fully evidence the security interest granted in the Collateral, or to enable the Administrative Agent or the Secured Parties to exercise and enforce their rights and remedies hereunder or under any Transaction Document.</w:t>
      </w:r>
    </w:p>
    <w:p>
      <w:pPr>
        <w:spacing w:after="0" w:line="174" w:lineRule="exact"/>
        <w:rPr>
          <w:rFonts w:ascii="Times New Roman" w:cs="Times New Roman" w:eastAsia="Times New Roman" w:hAnsi="Times New Roman"/>
          <w:sz w:val="19"/>
          <w:szCs w:val="19"/>
          <w:color w:val="auto"/>
        </w:rPr>
      </w:pPr>
    </w:p>
    <w:p>
      <w:pPr>
        <w:ind w:left="320" w:hanging="266"/>
        <w:spacing w:after="0"/>
        <w:tabs>
          <w:tab w:leader="none" w:pos="320"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fails to perform any of its obligations hereunder after five Business Days’ notice from the Administrative Agent, the</w:t>
      </w:r>
    </w:p>
    <w:p>
      <w:pPr>
        <w:spacing w:after="0" w:line="32"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19"/>
          <w:szCs w:val="19"/>
          <w:color w:val="auto"/>
        </w:rPr>
        <w:t>Administrative Agent or any Lender may (but shall not be required to) perform, or cause performance of, such obligation; and the Administrative Agent’s or such Lender’s reasonable costs and expenses incurred in connection therewith shall be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06" w:name="page307"/>
    <w:bookmarkEnd w:id="306"/>
    <w:p>
      <w:pPr>
        <w:spacing w:after="0" w:line="200" w:lineRule="exact"/>
        <w:rPr>
          <w:sz w:val="20"/>
          <w:szCs w:val="20"/>
          <w:color w:val="auto"/>
        </w:rPr>
      </w:pPr>
    </w:p>
    <w:p>
      <w:pPr>
        <w:spacing w:after="0" w:line="285" w:lineRule="exact"/>
        <w:rPr>
          <w:sz w:val="20"/>
          <w:szCs w:val="20"/>
          <w:color w:val="auto"/>
        </w:rPr>
      </w:pPr>
    </w:p>
    <w:p>
      <w:pPr>
        <w:ind w:right="40"/>
        <w:spacing w:after="0" w:line="231" w:lineRule="exact"/>
        <w:rPr>
          <w:sz w:val="20"/>
          <w:szCs w:val="20"/>
          <w:color w:val="auto"/>
        </w:rPr>
      </w:pPr>
      <w:r>
        <w:rPr>
          <w:rFonts w:ascii="Times New Roman" w:cs="Times New Roman" w:eastAsia="Times New Roman" w:hAnsi="Times New Roman"/>
          <w:sz w:val="19"/>
          <w:szCs w:val="19"/>
          <w:color w:val="auto"/>
        </w:rPr>
        <w:t>payable by the Borrower as provided in Article IX, as applicable. The Borrower irrevocably authorizes the Administrative Agent and appoints the Administrative Agent as its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to act on behalf of the Borrower, (i) to file financing statements necessary or desirable in the Administrative Agent’s sole discretion to perfect and to maintain the perfection and priority of the interest of the Secured Parties in the Collateral, including, without limitation, one or more financing statements describing the collateral covered thereby as “all assets of the Debtor whether now owned or hereafter acquired and wheresoever located, including all accessions thereto and proceeds thereof” or words of similar effect, and (ii) to file a carbon, photographic or other reproduction of this Agreement or any financing statement with respect to the Collateral as a financing statement in such offices as the Administrative Agent in its sole discretion deems necessary or desirable to perfect and to maintain the perfection and priority of the interests of the Secured Parties in the Collateral. This appointment is coupled with an interest and is irrevocable.</w:t>
      </w:r>
    </w:p>
    <w:p>
      <w:pPr>
        <w:spacing w:after="0" w:line="196" w:lineRule="exact"/>
        <w:rPr>
          <w:sz w:val="20"/>
          <w:szCs w:val="20"/>
          <w:color w:val="auto"/>
        </w:rPr>
      </w:pPr>
    </w:p>
    <w:p>
      <w:pPr>
        <w:ind w:right="80" w:firstLine="54"/>
        <w:spacing w:after="0" w:line="268" w:lineRule="auto"/>
        <w:tabs>
          <w:tab w:leader="none" w:pos="320" w:val="left"/>
        </w:tabs>
        <w:numPr>
          <w:ilvl w:val="0"/>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limiting the generality of the foregoing, Borrower will, not earlier than six (6) months and not later than three (3) months prior to the fifth anniversary of the date of filing of the initial financing statement under this Agreement or any other financing statement filed pursuant to this Agreement or in connection with any Advance hereunder, unless the Collection Date shall have occurred:</w:t>
      </w:r>
    </w:p>
    <w:p>
      <w:pPr>
        <w:spacing w:after="0" w:line="168" w:lineRule="exact"/>
        <w:rPr>
          <w:rFonts w:ascii="Times New Roman" w:cs="Times New Roman" w:eastAsia="Times New Roman" w:hAnsi="Times New Roman"/>
          <w:sz w:val="19"/>
          <w:szCs w:val="19"/>
          <w:color w:val="auto"/>
        </w:rPr>
      </w:pPr>
    </w:p>
    <w:p>
      <w:pPr>
        <w:ind w:left="980" w:hanging="230"/>
        <w:spacing w:after="0"/>
        <w:tabs>
          <w:tab w:leader="none" w:pos="980"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authorize, deliver and file or cause to be filed an appropriate continuation statement with respect to such financing statement;</w:t>
      </w:r>
    </w:p>
    <w:p>
      <w:pPr>
        <w:spacing w:after="0" w:line="31" w:lineRule="exact"/>
        <w:rPr>
          <w:rFonts w:ascii="Times New Roman" w:cs="Times New Roman" w:eastAsia="Times New Roman" w:hAnsi="Times New Roman"/>
          <w:sz w:val="19"/>
          <w:szCs w:val="19"/>
          <w:color w:val="auto"/>
        </w:rPr>
      </w:pPr>
    </w:p>
    <w:p>
      <w:pPr>
        <w:ind w:left="7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and</w:t>
      </w:r>
    </w:p>
    <w:p>
      <w:pPr>
        <w:spacing w:after="0" w:line="203" w:lineRule="exact"/>
        <w:rPr>
          <w:rFonts w:ascii="Times New Roman" w:cs="Times New Roman" w:eastAsia="Times New Roman" w:hAnsi="Times New Roman"/>
          <w:sz w:val="19"/>
          <w:szCs w:val="19"/>
          <w:color w:val="auto"/>
        </w:rPr>
      </w:pPr>
    </w:p>
    <w:p>
      <w:pPr>
        <w:ind w:left="700" w:right="120" w:firstLine="50"/>
        <w:spacing w:after="0" w:line="257" w:lineRule="auto"/>
        <w:tabs>
          <w:tab w:leader="none" w:pos="1030" w:val="left"/>
        </w:tabs>
        <w:numPr>
          <w:ilvl w:val="1"/>
          <w:numId w:val="1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deliver or cause to be delivered to the Administrative Agent an opinion of the counsel for Borrower, in form and substance reasonably satisfactory to the Administrative Agent, confirming and updating the opinion previously delivered under this Agreement with respect to perfection and otherwise to the effect that the Collateral hereunder continues to be subject to a perfected security interest in favor of the Administrative Agent, as agent for the Secured Parties, subject to no other Liens of record except as provided herein or otherwise permitted hereunder, which opinion may contain usual and customary assumptions, limitations and exceptions.</w:t>
      </w:r>
    </w:p>
    <w:p>
      <w:pPr>
        <w:spacing w:after="0" w:line="179" w:lineRule="exact"/>
        <w:rPr>
          <w:sz w:val="20"/>
          <w:szCs w:val="20"/>
          <w:color w:val="auto"/>
        </w:rPr>
      </w:pPr>
    </w:p>
    <w:p>
      <w:pPr>
        <w:ind w:right="2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12.12. Confidentiality; Conflicts of Interest</w:t>
      </w:r>
      <w:r>
        <w:rPr>
          <w:rFonts w:ascii="Times New Roman" w:cs="Times New Roman" w:eastAsia="Times New Roman" w:hAnsi="Times New Roman"/>
          <w:sz w:val="19"/>
          <w:szCs w:val="19"/>
          <w:color w:val="auto"/>
        </w:rPr>
        <w:t>. (a) Each of the Administrative Agent, the Managing Agents, the other Secured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Parties and the Borrower shall maintain and shall cause each of its employees and officers to maintain the confidentiality of the Agreement and the other confidential proprietary information with respect to the other parties hereto and their respective businesses obtained by it or them in connection with the structuring, negotiating and execution of the transactions contemplated herein, except that each such party and its officers and employees may (i) disclose such information to its external accountants and attorneys and as required by an Applicable Law, as required to be publicly filed with SEC, or as required by an order of any judicial or administrative proceeding,</w:t>
      </w:r>
    </w:p>
    <w:p>
      <w:pPr>
        <w:spacing w:after="0" w:line="5" w:lineRule="exact"/>
        <w:rPr>
          <w:sz w:val="20"/>
          <w:szCs w:val="20"/>
          <w:color w:val="auto"/>
        </w:rPr>
      </w:pPr>
    </w:p>
    <w:p>
      <w:pPr>
        <w:ind w:right="60" w:firstLine="6"/>
        <w:spacing w:after="0" w:line="250" w:lineRule="auto"/>
        <w:tabs>
          <w:tab w:leader="none" w:pos="282" w:val="left"/>
        </w:tabs>
        <w:numPr>
          <w:ilvl w:val="0"/>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 the existence of this Agreement, but not the financial terms thereof, (iii) disclose the Agreement and such information in any suit, action, proceeding or investigation (whether in law or in equity or pursuant to arbitration) involving any of the Transaction Documents or Loan Documents for the purpose of defending itself, reducing its liability, or protecting or exercising any of its claims, rights, remedies, or interests under or in connection with any of the Transaction Documents or Loan Documents and (iv) disclose such</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7" w:name="page308"/>
    <w:bookmarkEnd w:id="307"/>
    <w:p>
      <w:pPr>
        <w:spacing w:after="0" w:line="200" w:lineRule="exact"/>
        <w:rPr>
          <w:sz w:val="20"/>
          <w:szCs w:val="20"/>
          <w:color w:val="auto"/>
        </w:rPr>
      </w:pPr>
    </w:p>
    <w:p>
      <w:pPr>
        <w:spacing w:after="0" w:line="2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9"/>
          <w:szCs w:val="19"/>
          <w:color w:val="auto"/>
        </w:rPr>
        <w:t>information to its Affiliates to the extent necessary in connection with the administration or enforcement of this Agreement or the other Transaction Documents.</w:t>
      </w:r>
    </w:p>
    <w:p>
      <w:pPr>
        <w:spacing w:after="0" w:line="151" w:lineRule="exact"/>
        <w:rPr>
          <w:sz w:val="20"/>
          <w:szCs w:val="20"/>
          <w:color w:val="auto"/>
        </w:rPr>
      </w:pPr>
    </w:p>
    <w:p>
      <w:pPr>
        <w:ind w:firstLine="54"/>
        <w:spacing w:after="0" w:line="231" w:lineRule="exact"/>
        <w:tabs>
          <w:tab w:leader="none" w:pos="32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Anything herein to the contrary notwithstanding, the Borrower hereby consents to the disclosure of any nonpublic information with respect to it for use in connection with the transactions contemplated herein and in the Transaction Documents (i) to the Administrative Agent or the Secured Parties by each other, (ii) by the Administrative Agent or the Secured Parties to any prospective or actual Eligible Assignee or participant of any of them or in connection with a pledge or assignment to be made pursuant to Section 11.1(h) or (iii) by the Administrative Agent or the Secured Parties to any provider of a surety, guaranty or credit or liquidity enhancement to a Secured Party and to any officers, directors, members, employees, outside accountants and attorneys of any of the foregoing, provided each such Person is informed of the confidential nature of such information and agrees to be bound hereby. In addition, the Secured Parties and the Administrative Agent may disclose any such nonpublic information pursuant to any law, rule, regulation, direction, request or order of any judicial, administrative or regulatory authority or proceedings, including, without limitation, at the request of any self</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regulatory authority having jurisdiction over a Lender.</w:t>
      </w:r>
    </w:p>
    <w:p>
      <w:pPr>
        <w:spacing w:after="0" w:line="193" w:lineRule="exact"/>
        <w:rPr>
          <w:rFonts w:ascii="Times New Roman" w:cs="Times New Roman" w:eastAsia="Times New Roman" w:hAnsi="Times New Roman"/>
          <w:sz w:val="19"/>
          <w:szCs w:val="19"/>
          <w:color w:val="auto"/>
        </w:rPr>
      </w:pPr>
    </w:p>
    <w:p>
      <w:pPr>
        <w:ind w:right="280" w:firstLine="54"/>
        <w:spacing w:after="0" w:line="232" w:lineRule="exact"/>
        <w:tabs>
          <w:tab w:leader="none" w:pos="309"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agrees that it shall not (and shall not permit any of its </w:t>
      </w:r>
      <w:r>
        <w:rPr>
          <w:rFonts w:ascii="Times New Roman" w:cs="Times New Roman" w:eastAsia="Times New Roman" w:hAnsi="Times New Roman"/>
          <w:sz w:val="19"/>
          <w:szCs w:val="19"/>
          <w:color w:val="0000FF"/>
        </w:rPr>
        <w:t>Controlled</w:t>
      </w:r>
      <w:r>
        <w:rPr>
          <w:rFonts w:ascii="Times New Roman" w:cs="Times New Roman" w:eastAsia="Times New Roman" w:hAnsi="Times New Roman"/>
          <w:sz w:val="19"/>
          <w:szCs w:val="19"/>
          <w:color w:val="auto"/>
        </w:rPr>
        <w:t xml:space="preserve"> Affiliates to) issue any news release or make any public announcement pertaining to the transactions contemplated by this Agreement and the Transaction Documents without the prior written consent of the Administrative Agent (which consent shall not be unreasonably withheld) unless such news release or public announcement is required by law, in which case the Borrower shall consult with the Administrative Agent and each Managing Agent prior to the issuance of such news release or public announcement. The Borrower may, however, disclose the general terms of the transactions contemplated by this Agreement and the Transaction Documents to trade creditors, suppliers and other similarly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situated Persons so long as such disclosure is not in the form of a news release or public announcement.</w:t>
      </w:r>
    </w:p>
    <w:p>
      <w:pPr>
        <w:spacing w:after="0" w:line="193" w:lineRule="exact"/>
        <w:rPr>
          <w:rFonts w:ascii="Times New Roman" w:cs="Times New Roman" w:eastAsia="Times New Roman" w:hAnsi="Times New Roman"/>
          <w:sz w:val="19"/>
          <w:szCs w:val="19"/>
          <w:color w:val="auto"/>
        </w:rPr>
      </w:pPr>
    </w:p>
    <w:p>
      <w:pPr>
        <w:ind w:right="200" w:firstLine="54"/>
        <w:spacing w:after="0" w:line="259" w:lineRule="auto"/>
        <w:tabs>
          <w:tab w:leader="none" w:pos="32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acknowledges that the Lenders and the Managing Agents (and their Affiliates) may be providing financing or other services to other companies in respect of which Borrower or its Affiliates may have conflicting interests. The Borrower acknowledges that no Lender, Managing Agent, or any Affiliate thereof shall have any obligation to use in connection with the transactions contemplated by the Transaction Documents, or to furnish to the Borrower or its Affiliates, any confidential information obtained from such other companies.</w:t>
      </w:r>
    </w:p>
    <w:p>
      <w:pPr>
        <w:spacing w:after="0" w:line="176" w:lineRule="exact"/>
        <w:rPr>
          <w:sz w:val="20"/>
          <w:szCs w:val="20"/>
          <w:color w:val="auto"/>
        </w:rPr>
      </w:pPr>
    </w:p>
    <w:p>
      <w:pPr>
        <w:ind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12.13. Execution in Counterparts; Severability; Integration</w:t>
      </w:r>
      <w:r>
        <w:rPr>
          <w:rFonts w:ascii="Times New Roman" w:cs="Times New Roman" w:eastAsia="Times New Roman" w:hAnsi="Times New Roman"/>
          <w:sz w:val="19"/>
          <w:szCs w:val="19"/>
          <w:color w:val="auto"/>
        </w:rPr>
        <w:t>. This Agreement may be executed in any number of counterparts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by different parties hereto in separate counterparts, each of which when so executed shall be deemed to be an original and all of which when taken together shall constitute one and the same agreement. Delivery of an executed counterpart of a signature page to this Agreement by facsimile or electronic mail in .pdf format shall be effective as delivery of a manually executed counterpart of this Agreement.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This Agreement contains the final and complete integration of all prior expressions by the parties hereto</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8" w:name="page309"/>
    <w:bookmarkEnd w:id="308"/>
    <w:p>
      <w:pPr>
        <w:spacing w:after="0" w:line="200" w:lineRule="exact"/>
        <w:rPr>
          <w:sz w:val="20"/>
          <w:szCs w:val="20"/>
          <w:color w:val="auto"/>
        </w:rPr>
      </w:pPr>
    </w:p>
    <w:p>
      <w:pPr>
        <w:spacing w:after="0" w:line="2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9"/>
          <w:szCs w:val="19"/>
          <w:color w:val="auto"/>
        </w:rPr>
        <w:t>with respect to the subject matter hereof and shall constitute the entire agreement among the parties hereto with respect to the subject matter hereof, superseding all prior oral or written understandings other than any Fee Letter.</w:t>
      </w:r>
    </w:p>
    <w:p>
      <w:pPr>
        <w:spacing w:after="0" w:line="149" w:lineRule="exact"/>
        <w:rPr>
          <w:sz w:val="20"/>
          <w:szCs w:val="20"/>
          <w:color w:val="auto"/>
        </w:rPr>
      </w:pPr>
    </w:p>
    <w:p>
      <w:pPr>
        <w:ind w:right="60" w:firstLine="48"/>
        <w:spacing w:after="0" w:line="263" w:lineRule="auto"/>
        <w:rPr>
          <w:sz w:val="20"/>
          <w:szCs w:val="20"/>
          <w:color w:val="auto"/>
        </w:rPr>
      </w:pPr>
      <w:r>
        <w:rPr>
          <w:rFonts w:ascii="Times New Roman" w:cs="Times New Roman" w:eastAsia="Times New Roman" w:hAnsi="Times New Roman"/>
          <w:sz w:val="19"/>
          <w:szCs w:val="19"/>
          <w:i w:val="1"/>
          <w:iCs w:val="1"/>
          <w:color w:val="auto"/>
        </w:rPr>
        <w:t>Section 12.14. Patriot Act</w:t>
      </w:r>
      <w:r>
        <w:rPr>
          <w:rFonts w:ascii="Times New Roman" w:cs="Times New Roman" w:eastAsia="Times New Roman" w:hAnsi="Times New Roman"/>
          <w:sz w:val="19"/>
          <w:szCs w:val="19"/>
          <w:color w:val="auto"/>
        </w:rPr>
        <w:t>. Each Lender that is subject to the USA Patriot Act and the Administrative Agent (for itself and not on behalf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any Lender) hereby notifies the Borrower that pursuant to the requirements of the USA Patriot Act,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w:t>
      </w:r>
    </w:p>
    <w:p>
      <w:pPr>
        <w:spacing w:after="0" w:line="171" w:lineRule="exact"/>
        <w:rPr>
          <w:sz w:val="20"/>
          <w:szCs w:val="20"/>
          <w:color w:val="auto"/>
        </w:rPr>
      </w:pPr>
    </w:p>
    <w:p>
      <w:pPr>
        <w:ind w:right="12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12.15. Legal Holidays</w:t>
      </w:r>
      <w:r>
        <w:rPr>
          <w:rFonts w:ascii="Times New Roman" w:cs="Times New Roman" w:eastAsia="Times New Roman" w:hAnsi="Times New Roman"/>
          <w:sz w:val="19"/>
          <w:szCs w:val="19"/>
          <w:color w:val="auto"/>
        </w:rPr>
        <w:t>. In the event that the date of any Payment Date, date of prepayment or Maturity Date shall not be 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Business Day, then notwithstanding any other provision of this Agreement or any Transaction Document, payment need not be made on such date, but may be made on the next succeeding Business Day with the same force and effect as if made on the nominal date of any such Payment Date, date of prepayment or Maturity Date, as the case may be, and interest shall accrue on such payment for the period from and after any such nominal date to but excluding such next succeeding Business Day.</w:t>
      </w:r>
    </w:p>
    <w:p>
      <w:pPr>
        <w:spacing w:after="0" w:line="173"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12.16 No Fiduciary Duty</w:t>
      </w:r>
      <w:r>
        <w:rPr>
          <w:rFonts w:ascii="Times New Roman" w:cs="Times New Roman" w:eastAsia="Times New Roman" w:hAnsi="Times New Roman"/>
          <w:sz w:val="19"/>
          <w:szCs w:val="19"/>
          <w:color w:val="auto"/>
        </w:rPr>
        <w:t>. The Administrative Agent, each Lender and their Affiliates (collectively, solely for purposes of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paragraph,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xml:space="preserve">), may have economic interests that conflict with those of the Borrower, its stockholders and/or their affiliates. The Borrower (collectively, solely for purposes of this paragraph, the </w:t>
      </w:r>
      <w:r>
        <w:rPr>
          <w:rFonts w:ascii="Times New Roman" w:cs="Times New Roman" w:eastAsia="Times New Roman" w:hAnsi="Times New Roman"/>
          <w:sz w:val="19"/>
          <w:szCs w:val="19"/>
          <w:i w:val="1"/>
          <w:iCs w:val="1"/>
          <w:color w:val="auto"/>
        </w:rPr>
        <w:t>“Credit Parties”</w:t>
      </w:r>
      <w:r>
        <w:rPr>
          <w:rFonts w:ascii="Times New Roman" w:cs="Times New Roman" w:eastAsia="Times New Roman" w:hAnsi="Times New Roman"/>
          <w:sz w:val="19"/>
          <w:szCs w:val="19"/>
          <w:color w:val="auto"/>
        </w:rPr>
        <w:t>) each agree that nothing in the Transaction Documents or otherwise will be deemed to create an advisory, fiduciary or agency relationship or fiduciary or other implied duty between any Lender, on the one hand, and the Borrower, its stockholders or its affiliates, on the other. The Borrower acknowledge and agree that</w:t>
      </w:r>
    </w:p>
    <w:p>
      <w:pPr>
        <w:spacing w:after="0" w:line="4" w:lineRule="exact"/>
        <w:rPr>
          <w:sz w:val="20"/>
          <w:szCs w:val="20"/>
          <w:color w:val="auto"/>
        </w:rPr>
      </w:pPr>
    </w:p>
    <w:p>
      <w:pPr>
        <w:ind w:right="40" w:firstLine="6"/>
        <w:spacing w:after="0" w:line="251" w:lineRule="auto"/>
        <w:tabs>
          <w:tab w:leader="none" w:pos="229"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transactions contemplated by the Transaction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Transaction Documents and (y) each Lender is acting solely as principal and not as the agent or fiduciary of the Borrower, or its management, stockholders, creditors or any other Person. The Borrower acknowledges and agrees that it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such Person, in connection with such transaction or the process leading thereto.</w:t>
      </w:r>
    </w:p>
    <w:p>
      <w:pPr>
        <w:spacing w:after="0" w:line="187" w:lineRule="exact"/>
        <w:rPr>
          <w:sz w:val="20"/>
          <w:szCs w:val="20"/>
          <w:color w:val="auto"/>
        </w:rPr>
      </w:pPr>
    </w:p>
    <w:p>
      <w:pPr>
        <w:ind w:right="24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12.17 Sharing of Payments by Lenders</w:t>
      </w:r>
      <w:r>
        <w:rPr>
          <w:rFonts w:ascii="Times New Roman" w:cs="Times New Roman" w:eastAsia="Times New Roman" w:hAnsi="Times New Roman"/>
          <w:sz w:val="19"/>
          <w:szCs w:val="19"/>
          <w:color w:val="auto"/>
        </w:rPr>
        <w:t>. If any Lender shall, by exercising any right of setoff or counterclaim or otherwise,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obtain payment in respect of any principal of or interest on any of its Advances or other obligations hereunder resulting in such Lender receiving</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139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09" w:name="page310"/>
    <w:bookmarkEnd w:id="309"/>
    <w:p>
      <w:pPr>
        <w:spacing w:after="0" w:line="200" w:lineRule="exact"/>
        <w:rPr>
          <w:sz w:val="20"/>
          <w:szCs w:val="20"/>
          <w:color w:val="auto"/>
        </w:rPr>
      </w:pPr>
    </w:p>
    <w:p>
      <w:pPr>
        <w:spacing w:after="0" w:line="28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9"/>
          <w:szCs w:val="19"/>
          <w:color w:val="auto"/>
        </w:rPr>
        <w:t xml:space="preserve">payment of a proportion of the aggregate amount of its Advances and accrued interest thereon or other such obligations greater than its </w:t>
      </w:r>
      <w:r>
        <w:rPr>
          <w:rFonts w:ascii="Times New Roman" w:cs="Times New Roman" w:eastAsia="Times New Roman" w:hAnsi="Times New Roman"/>
          <w:sz w:val="19"/>
          <w:szCs w:val="19"/>
          <w:i w:val="1"/>
          <w:iCs w:val="1"/>
          <w:color w:val="auto"/>
        </w:rPr>
        <w:t xml:space="preserve">pro rata </w:t>
      </w:r>
      <w:r>
        <w:rPr>
          <w:rFonts w:ascii="Times New Roman" w:cs="Times New Roman" w:eastAsia="Times New Roman" w:hAnsi="Times New Roman"/>
          <w:sz w:val="19"/>
          <w:szCs w:val="19"/>
          <w:color w:val="auto"/>
        </w:rPr>
        <w:t>share thereof as provided herein, then the Lender receiving such greater proportion shall (a) notify the Administrative Agent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w:t>
      </w:r>
    </w:p>
    <w:p>
      <w:pPr>
        <w:spacing w:after="0" w:line="181" w:lineRule="exact"/>
        <w:rPr>
          <w:sz w:val="20"/>
          <w:szCs w:val="20"/>
          <w:color w:val="auto"/>
        </w:rPr>
      </w:pPr>
    </w:p>
    <w:p>
      <w:pPr>
        <w:ind w:left="700" w:right="760" w:firstLine="50"/>
        <w:spacing w:after="0" w:line="286" w:lineRule="auto"/>
        <w:tabs>
          <w:tab w:leader="none" w:pos="1009"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151" w:lineRule="exact"/>
        <w:rPr>
          <w:rFonts w:ascii="Times New Roman" w:cs="Times New Roman" w:eastAsia="Times New Roman" w:hAnsi="Times New Roman"/>
          <w:sz w:val="19"/>
          <w:szCs w:val="19"/>
          <w:color w:val="auto"/>
        </w:rPr>
      </w:pPr>
    </w:p>
    <w:p>
      <w:pPr>
        <w:ind w:left="700" w:right="140" w:firstLine="50"/>
        <w:spacing w:after="0" w:line="262" w:lineRule="auto"/>
        <w:tabs>
          <w:tab w:leader="none" w:pos="1020"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17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6" w:lineRule="exact"/>
        <w:rPr>
          <w:sz w:val="20"/>
          <w:szCs w:val="20"/>
          <w:color w:val="auto"/>
        </w:rPr>
      </w:pPr>
    </w:p>
    <w:p>
      <w:pPr>
        <w:ind w:firstLine="696"/>
        <w:spacing w:after="0" w:line="231" w:lineRule="exact"/>
        <w:rPr>
          <w:sz w:val="20"/>
          <w:szCs w:val="20"/>
          <w:color w:val="auto"/>
        </w:rPr>
      </w:pPr>
      <w:r>
        <w:rPr>
          <w:rFonts w:ascii="Times New Roman" w:cs="Times New Roman" w:eastAsia="Times New Roman" w:hAnsi="Times New Roman"/>
          <w:sz w:val="19"/>
          <w:szCs w:val="19"/>
          <w:i w:val="1"/>
          <w:iCs w:val="1"/>
          <w:color w:val="auto"/>
        </w:rPr>
        <w:t>Section 12.18 Rating Agency Disclosure</w:t>
      </w:r>
      <w:r>
        <w:rPr>
          <w:rFonts w:ascii="Times New Roman" w:cs="Times New Roman" w:eastAsia="Times New Roman" w:hAnsi="Times New Roman"/>
          <w:sz w:val="19"/>
          <w:szCs w:val="19"/>
          <w:color w:val="auto"/>
        </w:rPr>
        <w:t>. Notwithstanding anything to the contrary contained herein or in any of the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Transaction Documents, each of the parties hereto acknowledges and agrees that a Liquidity Provider may post to an internet website maintained by such Liquidity Provider and required by any nationally recognized rating agency providing a rating or proposing to provide a rating to an Issuer’s commercial paper in connection with Rule 17g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the following information: (x)(i) to the extent disclosed to any nationally recognized rating agency providing or proposing to provide a rating to, or monitoring a credit rating of, an Issuer’s commercial paper, any confidential proprietary information with respect to the Borrower, the Investment Adviser and their respective Affiliates and each of their respective businesses obtained by such Issuer in connection with the structuring, negotiation and execution of the transactions contemplated herein and in the other Transaction Documents and (ii) any other nonpublic information with respect to the Borrower, the Investment Adviser or their respective Affiliates received by a Liquidity Provider, in each case to the extent such information was provided to such nationally recognized rating agency in connection with providing or proposing to provide a rating to, or to monitor an existing rating of, an Issuer’s commercial paper, (y) the Transaction Documents and (z) any other Transaction Information.</w:t>
      </w:r>
    </w:p>
    <w:p>
      <w:pPr>
        <w:spacing w:after="0" w:line="191" w:lineRule="exact"/>
        <w:rPr>
          <w:sz w:val="20"/>
          <w:szCs w:val="20"/>
          <w:color w:val="auto"/>
        </w:rPr>
      </w:pPr>
    </w:p>
    <w:p>
      <w:pPr>
        <w:ind w:right="16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12.19 Acknowledgement and Consent to Bail- In of Affected Financial Institutions</w:t>
      </w:r>
      <w:r>
        <w:rPr>
          <w:rFonts w:ascii="Times New Roman" w:cs="Times New Roman" w:eastAsia="Times New Roman" w:hAnsi="Times New Roman"/>
          <w:sz w:val="19"/>
          <w:szCs w:val="19"/>
          <w:color w:val="auto"/>
        </w:rPr>
        <w:t>. Notwithstanding anything to the contrary in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any Transaction Document or in any other agreement, arrangement or understanding among any such parties, each party hereto acknowledges that any liability of any Affected Financial Institution arising under any Transaction Document, to the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0" w:name="page311"/>
    <w:bookmarkEnd w:id="310"/>
    <w:p>
      <w:pPr>
        <w:spacing w:after="0" w:line="200" w:lineRule="exact"/>
        <w:rPr>
          <w:sz w:val="20"/>
          <w:szCs w:val="20"/>
          <w:color w:val="auto"/>
        </w:rPr>
      </w:pPr>
    </w:p>
    <w:p>
      <w:pPr>
        <w:spacing w:after="0" w:line="266" w:lineRule="exact"/>
        <w:rPr>
          <w:sz w:val="20"/>
          <w:szCs w:val="20"/>
          <w:color w:val="auto"/>
        </w:rPr>
      </w:pPr>
    </w:p>
    <w:p>
      <w:pPr>
        <w:ind w:right="220"/>
        <w:spacing w:after="0" w:line="249" w:lineRule="exact"/>
        <w:rPr>
          <w:sz w:val="20"/>
          <w:szCs w:val="20"/>
          <w:color w:val="auto"/>
        </w:rPr>
      </w:pPr>
      <w:r>
        <w:rPr>
          <w:rFonts w:ascii="Times New Roman" w:cs="Times New Roman" w:eastAsia="Times New Roman" w:hAnsi="Times New Roman"/>
          <w:sz w:val="19"/>
          <w:szCs w:val="19"/>
          <w:color w:val="auto"/>
        </w:rPr>
        <w:t>extent such liability is unsecured, may be subject to the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of the applicable Resolution Authority and agrees and consents to, and acknowledges and agrees to be bound by:</w:t>
      </w:r>
    </w:p>
    <w:p>
      <w:pPr>
        <w:spacing w:after="0" w:line="175" w:lineRule="exact"/>
        <w:rPr>
          <w:sz w:val="20"/>
          <w:szCs w:val="20"/>
          <w:color w:val="auto"/>
        </w:rPr>
      </w:pPr>
    </w:p>
    <w:p>
      <w:pPr>
        <w:ind w:left="700" w:right="260" w:firstLine="50"/>
        <w:spacing w:after="0" w:line="249" w:lineRule="exact"/>
        <w:tabs>
          <w:tab w:leader="none" w:pos="1009"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application of any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by the applicable Resolution Authority to any such liabilities arising hereunder that may be payable to it by any party hereto that is an Affected Financial Institution; and</w:t>
      </w:r>
    </w:p>
    <w:p>
      <w:pPr>
        <w:spacing w:after="0" w:line="175" w:lineRule="exact"/>
        <w:rPr>
          <w:rFonts w:ascii="Times New Roman" w:cs="Times New Roman" w:eastAsia="Times New Roman" w:hAnsi="Times New Roman"/>
          <w:sz w:val="19"/>
          <w:szCs w:val="19"/>
          <w:color w:val="auto"/>
        </w:rPr>
      </w:pPr>
    </w:p>
    <w:p>
      <w:pPr>
        <w:ind w:left="1020" w:hanging="270"/>
        <w:spacing w:after="0" w:line="219" w:lineRule="exact"/>
        <w:tabs>
          <w:tab w:leader="none" w:pos="1020"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effects of any Bail</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 Action on any such liability, including, if applicable:</w:t>
      </w:r>
    </w:p>
    <w:p>
      <w:pPr>
        <w:spacing w:after="0" w:line="244" w:lineRule="exact"/>
        <w:rPr>
          <w:rFonts w:ascii="Times New Roman" w:cs="Times New Roman" w:eastAsia="Times New Roman" w:hAnsi="Times New Roman"/>
          <w:sz w:val="19"/>
          <w:szCs w:val="19"/>
          <w:color w:val="auto"/>
        </w:rPr>
      </w:pPr>
    </w:p>
    <w:p>
      <w:pPr>
        <w:ind w:left="1680" w:hanging="222"/>
        <w:spacing w:after="0"/>
        <w:tabs>
          <w:tab w:leader="none" w:pos="1680"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reduction in full or in part or cancellation of any such liability;</w:t>
      </w:r>
    </w:p>
    <w:p>
      <w:pPr>
        <w:spacing w:after="0" w:line="225" w:lineRule="exact"/>
        <w:rPr>
          <w:rFonts w:ascii="Times New Roman" w:cs="Times New Roman" w:eastAsia="Times New Roman" w:hAnsi="Times New Roman"/>
          <w:sz w:val="19"/>
          <w:szCs w:val="19"/>
          <w:color w:val="auto"/>
        </w:rPr>
      </w:pPr>
    </w:p>
    <w:p>
      <w:pPr>
        <w:ind w:left="1420" w:firstLine="38"/>
        <w:spacing w:after="0" w:line="262" w:lineRule="auto"/>
        <w:tabs>
          <w:tab w:leader="none" w:pos="1750"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Transaction Document; or</w:t>
      </w:r>
    </w:p>
    <w:p>
      <w:pPr>
        <w:spacing w:after="0" w:line="155" w:lineRule="exact"/>
        <w:rPr>
          <w:rFonts w:ascii="Times New Roman" w:cs="Times New Roman" w:eastAsia="Times New Roman" w:hAnsi="Times New Roman"/>
          <w:sz w:val="19"/>
          <w:szCs w:val="19"/>
          <w:color w:val="auto"/>
        </w:rPr>
      </w:pPr>
    </w:p>
    <w:p>
      <w:pPr>
        <w:ind w:left="1420" w:right="480" w:firstLine="38"/>
        <w:spacing w:after="0" w:line="249" w:lineRule="exact"/>
        <w:tabs>
          <w:tab w:leader="none" w:pos="1804" w:val="left"/>
        </w:tabs>
        <w:numPr>
          <w:ilvl w:val="1"/>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variation of the terms of such liability in connection with the exercise of the write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down and conversion powers of the applicable Resolution Authority.</w:t>
      </w:r>
    </w:p>
    <w:p>
      <w:pPr>
        <w:spacing w:after="0" w:line="192" w:lineRule="exact"/>
        <w:rPr>
          <w:sz w:val="20"/>
          <w:szCs w:val="20"/>
          <w:color w:val="auto"/>
        </w:rPr>
      </w:pPr>
    </w:p>
    <w:p>
      <w:pPr>
        <w:ind w:right="60" w:firstLine="48"/>
        <w:spacing w:after="0" w:line="255" w:lineRule="auto"/>
        <w:rPr>
          <w:sz w:val="20"/>
          <w:szCs w:val="20"/>
          <w:color w:val="auto"/>
        </w:rPr>
      </w:pPr>
      <w:r>
        <w:rPr>
          <w:rFonts w:ascii="Times New Roman" w:cs="Times New Roman" w:eastAsia="Times New Roman" w:hAnsi="Times New Roman"/>
          <w:sz w:val="19"/>
          <w:szCs w:val="19"/>
          <w:i w:val="1"/>
          <w:iCs w:val="1"/>
          <w:color w:val="0000FF"/>
        </w:rPr>
        <w:t xml:space="preserve">Section 12.20 Acknowledgment Regarding Any Supported QFCs . </w:t>
      </w:r>
      <w:r>
        <w:rPr>
          <w:rFonts w:ascii="Times New Roman" w:cs="Times New Roman" w:eastAsia="Times New Roman" w:hAnsi="Times New Roman"/>
          <w:sz w:val="19"/>
          <w:szCs w:val="19"/>
          <w:color w:val="0000FF"/>
        </w:rPr>
        <w:t>To the extent that the Transaction Documents provide support,</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through a guarantee or otherwise, for Hedging Agreements or any other agreement or instrument that is a QFC (such support, “</w:t>
      </w:r>
      <w:r>
        <w:rPr>
          <w:rFonts w:ascii="Times New Roman" w:cs="Times New Roman" w:eastAsia="Times New Roman" w:hAnsi="Times New Roman"/>
          <w:sz w:val="19"/>
          <w:szCs w:val="19"/>
          <w:i w:val="1"/>
          <w:iCs w:val="1"/>
          <w:color w:val="0000FF"/>
        </w:rPr>
        <w:t>QFC</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i w:val="1"/>
          <w:iCs w:val="1"/>
          <w:color w:val="0000FF"/>
        </w:rPr>
        <w:t>Credit Support</w:t>
      </w:r>
      <w:r>
        <w:rPr>
          <w:rFonts w:ascii="Times New Roman" w:cs="Times New Roman" w:eastAsia="Times New Roman" w:hAnsi="Times New Roman"/>
          <w:sz w:val="19"/>
          <w:szCs w:val="19"/>
          <w:color w:val="0000FF"/>
        </w:rPr>
        <w:t>” and each such QFC a “</w:t>
      </w:r>
      <w:r>
        <w:rPr>
          <w:rFonts w:ascii="Times New Roman" w:cs="Times New Roman" w:eastAsia="Times New Roman" w:hAnsi="Times New Roman"/>
          <w:sz w:val="19"/>
          <w:szCs w:val="19"/>
          <w:i w:val="1"/>
          <w:iCs w:val="1"/>
          <w:color w:val="0000FF"/>
        </w:rPr>
        <w:t>Supported QFC</w:t>
      </w:r>
      <w:r>
        <w:rPr>
          <w:rFonts w:ascii="Times New Roman" w:cs="Times New Roman" w:eastAsia="Times New Roman" w:hAnsi="Times New Roman"/>
          <w:sz w:val="19"/>
          <w:szCs w:val="19"/>
          <w:color w:val="0000FF"/>
        </w:rPr>
        <w:t>”), the parties acknowledge and agree as follows with respect to the resolution</w:t>
      </w:r>
      <w:r>
        <w:rPr>
          <w:rFonts w:ascii="Times New Roman" w:cs="Times New Roman" w:eastAsia="Times New Roman" w:hAnsi="Times New Roman"/>
          <w:sz w:val="19"/>
          <w:szCs w:val="19"/>
          <w:i w:val="1"/>
          <w:iCs w:val="1"/>
          <w:color w:val="0000FF"/>
        </w:rPr>
        <w:t xml:space="preserve"> </w:t>
      </w:r>
      <w:r>
        <w:rPr>
          <w:rFonts w:ascii="Times New Roman" w:cs="Times New Roman" w:eastAsia="Times New Roman" w:hAnsi="Times New Roman"/>
          <w:sz w:val="19"/>
          <w:szCs w:val="19"/>
          <w:color w:val="0000FF"/>
        </w:rPr>
        <w:t>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Transaction Documents and any Supported QFC may in fact be stated to be governed by the laws of the State of New York and/or of the United States or any other state of the United States):</w:t>
      </w:r>
    </w:p>
    <w:p>
      <w:pPr>
        <w:spacing w:after="0" w:line="184" w:lineRule="exact"/>
        <w:rPr>
          <w:sz w:val="20"/>
          <w:szCs w:val="20"/>
          <w:color w:val="auto"/>
        </w:rPr>
      </w:pPr>
    </w:p>
    <w:p>
      <w:pPr>
        <w:ind w:right="40" w:firstLine="54"/>
        <w:spacing w:after="0" w:line="253" w:lineRule="auto"/>
        <w:tabs>
          <w:tab w:leader="none" w:pos="309" w:val="left"/>
        </w:tabs>
        <w:numPr>
          <w:ilvl w:val="0"/>
          <w:numId w:val="168"/>
        </w:numPr>
        <w:rPr>
          <w:rFonts w:ascii="Times New Roman" w:cs="Times New Roman" w:eastAsia="Times New Roman" w:hAnsi="Times New Roman"/>
          <w:sz w:val="19"/>
          <w:szCs w:val="19"/>
          <w:color w:val="0000FF"/>
        </w:rPr>
      </w:pPr>
      <w:r>
        <w:rPr>
          <w:rFonts w:ascii="Times New Roman" w:cs="Times New Roman" w:eastAsia="Times New Roman" w:hAnsi="Times New Roman"/>
          <w:sz w:val="19"/>
          <w:szCs w:val="19"/>
          <w:color w:val="0000FF"/>
        </w:rPr>
        <w:t>In the event a Covered Entity that is party to a Supported QFC (each, a “</w:t>
      </w:r>
      <w:r>
        <w:rPr>
          <w:rFonts w:ascii="Times New Roman" w:cs="Times New Roman" w:eastAsia="Times New Roman" w:hAnsi="Times New Roman"/>
          <w:sz w:val="19"/>
          <w:szCs w:val="19"/>
          <w:i w:val="1"/>
          <w:iCs w:val="1"/>
          <w:color w:val="0000FF"/>
        </w:rPr>
        <w:t>Covered Party</w:t>
      </w:r>
      <w:r>
        <w:rPr>
          <w:rFonts w:ascii="Times New Roman" w:cs="Times New Roman" w:eastAsia="Times New Roman" w:hAnsi="Times New Roman"/>
          <w:sz w:val="19"/>
          <w:szCs w:val="19"/>
          <w:color w:val="0000FF"/>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Transaction Documents that</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11" w:name="page312"/>
    <w:bookmarkEnd w:id="311"/>
    <w:p>
      <w:pPr>
        <w:spacing w:after="0" w:line="200" w:lineRule="exact"/>
        <w:rPr>
          <w:sz w:val="20"/>
          <w:szCs w:val="20"/>
          <w:color w:val="auto"/>
        </w:rPr>
      </w:pPr>
    </w:p>
    <w:p>
      <w:pPr>
        <w:spacing w:after="0" w:line="2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0000FF"/>
        </w:rPr>
        <w:t>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Transaction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and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0000FF"/>
        </w:rPr>
        <w:t>(b) As used herein, the following terms have the following meanings: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BHC Act Affiliate</w:t>
      </w:r>
      <w:r>
        <w:rPr>
          <w:rFonts w:ascii="Times New Roman" w:cs="Times New Roman" w:eastAsia="Times New Roman" w:hAnsi="Times New Roman"/>
          <w:sz w:val="19"/>
          <w:szCs w:val="19"/>
          <w:color w:val="0000FF"/>
        </w:rPr>
        <w:t>” of a party means an “affiliate” (as such term is defined under, and interpreted in accordance with, 12 U.S.C.</w:t>
      </w:r>
    </w:p>
    <w:p>
      <w:pPr>
        <w:spacing w:after="0" w:line="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0000FF"/>
        </w:rPr>
        <w:t>1841(k)) of such party.</w:t>
      </w:r>
    </w:p>
    <w:p>
      <w:pPr>
        <w:spacing w:after="0" w:line="202" w:lineRule="exact"/>
        <w:rPr>
          <w:sz w:val="20"/>
          <w:szCs w:val="20"/>
          <w:color w:val="auto"/>
        </w:rPr>
      </w:pPr>
    </w:p>
    <w:p>
      <w:pPr>
        <w:jc w:val="both"/>
        <w:ind w:left="620" w:right="420" w:firstLine="48"/>
        <w:spacing w:after="0" w:line="269"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Covered Entity</w:t>
      </w:r>
      <w:r>
        <w:rPr>
          <w:rFonts w:ascii="Times New Roman" w:cs="Times New Roman" w:eastAsia="Times New Roman" w:hAnsi="Times New Roman"/>
          <w:sz w:val="19"/>
          <w:szCs w:val="19"/>
          <w:color w:val="0000FF"/>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66" w:lineRule="exact"/>
        <w:rPr>
          <w:sz w:val="20"/>
          <w:szCs w:val="20"/>
          <w:color w:val="auto"/>
        </w:rPr>
      </w:pPr>
    </w:p>
    <w:p>
      <w:pPr>
        <w:ind w:left="620" w:right="140"/>
        <w:spacing w:after="0" w:line="288"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Default Right</w:t>
      </w:r>
      <w:r>
        <w:rPr>
          <w:rFonts w:ascii="Times New Roman" w:cs="Times New Roman" w:eastAsia="Times New Roman" w:hAnsi="Times New Roman"/>
          <w:sz w:val="19"/>
          <w:szCs w:val="19"/>
          <w:color w:val="0000FF"/>
        </w:rPr>
        <w:t>” has the meaning assigned to that term in, and shall be interpreted in accordance with, 12 C.F.R. §§ 252.81, 47.2 or 382.1, as applicable.</w:t>
      </w:r>
    </w:p>
    <w:p>
      <w:pPr>
        <w:spacing w:after="0" w:line="148" w:lineRule="exact"/>
        <w:rPr>
          <w:sz w:val="20"/>
          <w:szCs w:val="20"/>
          <w:color w:val="auto"/>
        </w:rPr>
      </w:pPr>
    </w:p>
    <w:p>
      <w:pPr>
        <w:ind w:left="620" w:right="360"/>
        <w:spacing w:after="0" w:line="288" w:lineRule="auto"/>
        <w:rPr>
          <w:sz w:val="20"/>
          <w:szCs w:val="20"/>
          <w:color w:val="auto"/>
        </w:rPr>
      </w:pP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i w:val="1"/>
          <w:iCs w:val="1"/>
          <w:color w:val="0000FF"/>
        </w:rPr>
        <w:t>QFC</w:t>
      </w:r>
      <w:r>
        <w:rPr>
          <w:rFonts w:ascii="Times New Roman" w:cs="Times New Roman" w:eastAsia="Times New Roman" w:hAnsi="Times New Roman"/>
          <w:sz w:val="19"/>
          <w:szCs w:val="19"/>
          <w:color w:val="0000FF"/>
        </w:rPr>
        <w:t>” has the meaning assigned to the term “qualified financial contract” in, and shall be interpreted in accordance with, 12 U.S.C. 5390(c)(8)(D).</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XIII</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3"/>
          <w:szCs w:val="13"/>
          <w:b w:val="1"/>
          <w:bCs w:val="1"/>
          <w:color w:val="auto"/>
        </w:rPr>
        <w:t>ESERVED</w:t>
      </w:r>
    </w:p>
    <w:p>
      <w:pPr>
        <w:spacing w:after="0" w:line="2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XIV</w:t>
      </w:r>
    </w:p>
    <w:p>
      <w:pPr>
        <w:spacing w:after="0" w:line="26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3"/>
          <w:szCs w:val="13"/>
          <w:b w:val="1"/>
          <w:bCs w:val="1"/>
          <w:color w:val="auto"/>
        </w:rPr>
        <w:t>AYING</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3"/>
          <w:szCs w:val="13"/>
          <w:b w:val="1"/>
          <w:bCs w:val="1"/>
          <w:color w:val="auto"/>
        </w:rPr>
        <w:t>GENT</w:t>
      </w:r>
    </w:p>
    <w:p>
      <w:pPr>
        <w:spacing w:after="0" w:line="226" w:lineRule="exact"/>
        <w:rPr>
          <w:sz w:val="20"/>
          <w:szCs w:val="20"/>
          <w:color w:val="auto"/>
        </w:rPr>
      </w:pPr>
    </w:p>
    <w:p>
      <w:pPr>
        <w:ind w:right="40"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14.1. Authorization and Action</w:t>
      </w:r>
      <w:r>
        <w:rPr>
          <w:rFonts w:ascii="Times New Roman" w:cs="Times New Roman" w:eastAsia="Times New Roman" w:hAnsi="Times New Roman"/>
          <w:sz w:val="19"/>
          <w:szCs w:val="19"/>
          <w:color w:val="auto"/>
        </w:rPr>
        <w:t>. (a) Each Lender and the Administrative Agent hereby designates and appoints U.S. Bank Trust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Company, National Association (and U.S. Bank Trust Company, National Association accepts such designation and appointment) as the Paying Agent hereunder, and authorizes the Paying Agent to maintain the Collection Account and to take such actions as representative on its behalf and as directed by the Lenders or the Administrative Agent and to exercise such powers as are delegated to the Paying Agent by the terms of this Agreement together with such powers as are reasonably incidental thereto. In performing its functions and duties hereunder, the Paying Agent shall act solely as agent for the Lenders and the Administrative Agent and does not assume nor shall be deemed to have assumed any obligation or relationship of trust or agency with or for the Borrower or any of its successors or assigns. The Paying Agent shall not be required to risk or expend its own funds in performing its duties hereunder or otherwise take any action which exposes it to personal liability or which is contrary</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2" w:name="page313"/>
    <w:bookmarkEnd w:id="312"/>
    <w:p>
      <w:pPr>
        <w:spacing w:after="0" w:line="200" w:lineRule="exact"/>
        <w:rPr>
          <w:sz w:val="20"/>
          <w:szCs w:val="20"/>
          <w:color w:val="auto"/>
        </w:rPr>
      </w:pPr>
    </w:p>
    <w:p>
      <w:pPr>
        <w:spacing w:after="0" w:line="2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to this Agreement or Applicable Law. The appointment and authority of the Paying Agent hereunder shall terminate at the indefeasible payment in full of the Advance.</w:t>
      </w:r>
    </w:p>
    <w:p>
      <w:pPr>
        <w:spacing w:after="0" w:line="151" w:lineRule="exact"/>
        <w:rPr>
          <w:sz w:val="20"/>
          <w:szCs w:val="20"/>
          <w:color w:val="auto"/>
        </w:rPr>
      </w:pPr>
    </w:p>
    <w:p>
      <w:pPr>
        <w:ind w:right="300" w:firstLine="54"/>
        <w:spacing w:after="0" w:line="262" w:lineRule="auto"/>
        <w:tabs>
          <w:tab w:leader="none" w:pos="32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 provision to the contrary elsewhere in this Agreement, the Paying Agent shall not have any duties or responsibilities, except those expressly set forth herein, or any agency or fiduciary relationship with any Lender or the Administrative Agent, and no implied covenants, functions, responsibilities, duties, obligations or liabilities shall be read into this Agreement or otherwise exist against the Paying Agent.</w:t>
      </w:r>
    </w:p>
    <w:p>
      <w:pPr>
        <w:spacing w:after="0" w:line="172" w:lineRule="exact"/>
        <w:rPr>
          <w:sz w:val="20"/>
          <w:szCs w:val="20"/>
          <w:color w:val="auto"/>
        </w:rPr>
      </w:pPr>
    </w:p>
    <w:p>
      <w:pPr>
        <w:ind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14.2. Successor Paying Agent</w:t>
      </w:r>
      <w:r>
        <w:rPr>
          <w:rFonts w:ascii="Times New Roman" w:cs="Times New Roman" w:eastAsia="Times New Roman" w:hAnsi="Times New Roman"/>
          <w:sz w:val="19"/>
          <w:szCs w:val="19"/>
          <w:color w:val="auto"/>
        </w:rPr>
        <w:t>. (a) The Paying Agent may resign as Paying Agent upon thirty (30) days’ notice to the Lenders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with such resignation becoming effective upon a successor representative succeeding to the rights, powers and duties of Paying Agent pursuant to this Section 14.2(a). If the Paying Agent shall resign as Paying Agent under this Agreement, then the Lenders shall appoint a successor Paying Agent. Any successor Paying Agent shall succeed to the rights, powers and duties of resigning Paying Agent, and the term “Paying Agent” shall mean such successor Paying Agent effective upon its appointment, and the former Paying Agent’s rights, powers and duties as Paying Agent shall be terminated, without any other or further act or deed on the part of the former Paying Agent or any of the parties to this Agreement. After the retiring Paying Agent’s resignation as Paying Agent, the provisions of this Article XIV shall inure to its benefit as to any actions taken or omitted to be taken by it while it was Paying Agent under this Agreement. Any successor Paying Agent appointed hereunder shall be a state or national bank or trust company that is not an Affiliate of the Borrower, that has a long term issuer rating of at least “A2” or a short term issuer rating of at least “P-1” by Moody’s and capital and surplus of at least U.S.$200,000,000 and that is a Securities Intermediary. Any corporation or other entity into which the Paying Agent may be merged or converted or with which it may be consolidated, or any corporation or entity resulting from any merger, conversion or consolidation to which the Paying agent shall be a party, or any corporation or association to which the Paying Agent transfers all or substantially all of its corporate trust business, shall be the successor of the Paying Agent hereunder, and shall succeed to all of the rights, powers and duties of the Paying Agent hereunder, without the execution or filing of any paper or any further act on the part of any of the parties hereto.</w:t>
      </w:r>
    </w:p>
    <w:p>
      <w:pPr>
        <w:spacing w:after="0" w:line="200" w:lineRule="exact"/>
        <w:rPr>
          <w:sz w:val="20"/>
          <w:szCs w:val="20"/>
          <w:color w:val="auto"/>
        </w:rPr>
      </w:pPr>
    </w:p>
    <w:p>
      <w:pPr>
        <w:spacing w:after="0" w:line="212" w:lineRule="exact"/>
        <w:rPr>
          <w:sz w:val="20"/>
          <w:szCs w:val="20"/>
          <w:color w:val="auto"/>
        </w:rPr>
      </w:pPr>
    </w:p>
    <w:p>
      <w:pPr>
        <w:ind w:right="80" w:firstLine="54"/>
        <w:spacing w:after="0" w:line="256" w:lineRule="auto"/>
        <w:tabs>
          <w:tab w:leader="none" w:pos="32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Paying Agent may be removed in connection with a breach by the Paying Agent of any agreement of the Paying Agent under this Agreement upon 30 days’ notice given in writing and delivered to the Paying Agent from the Administrative Agent with the consent of the Required Lenders (the </w:t>
      </w:r>
      <w:r>
        <w:rPr>
          <w:rFonts w:ascii="Times New Roman" w:cs="Times New Roman" w:eastAsia="Times New Roman" w:hAnsi="Times New Roman"/>
          <w:sz w:val="19"/>
          <w:szCs w:val="19"/>
          <w:i w:val="1"/>
          <w:iCs w:val="1"/>
          <w:color w:val="auto"/>
        </w:rPr>
        <w:t>“Paying Agent Termination Notice”</w:t>
      </w:r>
      <w:r>
        <w:rPr>
          <w:rFonts w:ascii="Times New Roman" w:cs="Times New Roman" w:eastAsia="Times New Roman" w:hAnsi="Times New Roman"/>
          <w:sz w:val="19"/>
          <w:szCs w:val="19"/>
          <w:color w:val="auto"/>
        </w:rPr>
        <w:t>). On and after the receipt by the Paying Agent of the Paying Agent Termination Notice, the Paying Agent shall continue to perform all functions of Paying Agent under this Agreement until the date specified in the Paying Agent Termination Notice or otherwise specified by the Administrative Agent in writing or, if no such date is specified in the Paying Agent Termination Notice, until a date mutually agreed upon by the Paying Agent and the Administrative Agent, in each case subject to the Paying Agent’s right to resign prior to such date pursuant to Section 14.2(a).</w:t>
      </w:r>
    </w:p>
    <w:p>
      <w:pPr>
        <w:spacing w:after="0" w:line="179" w:lineRule="exact"/>
        <w:rPr>
          <w:sz w:val="20"/>
          <w:szCs w:val="20"/>
          <w:color w:val="auto"/>
        </w:rPr>
      </w:pPr>
    </w:p>
    <w:p>
      <w:pPr>
        <w:ind w:right="300" w:firstLine="48"/>
        <w:spacing w:after="0" w:line="259" w:lineRule="auto"/>
        <w:rPr>
          <w:sz w:val="20"/>
          <w:szCs w:val="20"/>
          <w:color w:val="auto"/>
        </w:rPr>
      </w:pPr>
      <w:r>
        <w:rPr>
          <w:rFonts w:ascii="Times New Roman" w:cs="Times New Roman" w:eastAsia="Times New Roman" w:hAnsi="Times New Roman"/>
          <w:sz w:val="19"/>
          <w:szCs w:val="19"/>
          <w:i w:val="1"/>
          <w:iCs w:val="1"/>
          <w:color w:val="auto"/>
        </w:rPr>
        <w:t>Section 14.3. Fees and Expenses</w:t>
      </w:r>
      <w:r>
        <w:rPr>
          <w:rFonts w:ascii="Times New Roman" w:cs="Times New Roman" w:eastAsia="Times New Roman" w:hAnsi="Times New Roman"/>
          <w:sz w:val="19"/>
          <w:szCs w:val="19"/>
          <w:color w:val="auto"/>
        </w:rPr>
        <w:t>. As compensation for the performance of the Paying Agent’s obligations under this Agreement,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agrees to pay to the Paying Agent the applicable Bank Fees and Expenses, which shall be solely the obligation of the Borrower. The</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3" w:name="page314"/>
    <w:bookmarkEnd w:id="313"/>
    <w:p>
      <w:pPr>
        <w:spacing w:after="0" w:line="200" w:lineRule="exact"/>
        <w:rPr>
          <w:sz w:val="20"/>
          <w:szCs w:val="20"/>
          <w:color w:val="auto"/>
        </w:rPr>
      </w:pPr>
    </w:p>
    <w:p>
      <w:pPr>
        <w:spacing w:after="0" w:line="2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 xml:space="preserve">Borrower agrees to reimburse the Paying Agent for all reasonable expenses, disbursements and advances incurred or made by the Paying Agent in accordance with any provision of this Agreement or the other Transaction Documents or in the enforcement of any provision hereof or in the other Transaction Documents, and all such amounts and the Bank Fees and Expenses shall be payable in accordance with the provisions of Section 2.8 hereof,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to the extent such amounts are not promptly paid pursuant to Section 2.8 hereof such amounts shall remain recourse obligations of the Borrower due and owing to the Paying Agent.</w:t>
      </w:r>
    </w:p>
    <w:p>
      <w:pPr>
        <w:spacing w:after="0" w:line="176" w:lineRule="exact"/>
        <w:rPr>
          <w:sz w:val="20"/>
          <w:szCs w:val="20"/>
          <w:color w:val="auto"/>
        </w:rPr>
      </w:pPr>
    </w:p>
    <w:p>
      <w:pPr>
        <w:ind w:right="10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14.4. Representations and Warranties of the Paying Agent</w:t>
      </w:r>
      <w:r>
        <w:rPr>
          <w:rFonts w:ascii="Times New Roman" w:cs="Times New Roman" w:eastAsia="Times New Roman" w:hAnsi="Times New Roman"/>
          <w:sz w:val="19"/>
          <w:szCs w:val="19"/>
          <w:color w:val="auto"/>
        </w:rPr>
        <w:t>. (a)</w:t>
      </w:r>
      <w:r>
        <w:rPr>
          <w:rFonts w:ascii="Times New Roman" w:cs="Times New Roman" w:eastAsia="Times New Roman" w:hAnsi="Times New Roman"/>
          <w:sz w:val="19"/>
          <w:szCs w:val="19"/>
          <w:i w:val="1"/>
          <w:iCs w:val="1"/>
          <w:color w:val="auto"/>
        </w:rPr>
        <w:t xml:space="preserve"> Organization</w:t>
      </w:r>
      <w:r>
        <w:rPr>
          <w:rFonts w:ascii="Times New Roman" w:cs="Times New Roman" w:eastAsia="Times New Roman" w:hAnsi="Times New Roman"/>
          <w:sz w:val="19"/>
          <w:szCs w:val="19"/>
          <w:color w:val="auto"/>
        </w:rPr>
        <w:t>. The Paying Agent has been duly organized and 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validly existing as a national association under the laws of the United States.</w:t>
      </w:r>
    </w:p>
    <w:p>
      <w:pPr>
        <w:spacing w:after="0" w:line="148" w:lineRule="exact"/>
        <w:rPr>
          <w:sz w:val="20"/>
          <w:szCs w:val="20"/>
          <w:color w:val="auto"/>
        </w:rPr>
      </w:pPr>
    </w:p>
    <w:p>
      <w:pPr>
        <w:ind w:firstLine="54"/>
        <w:spacing w:after="0" w:line="263" w:lineRule="auto"/>
        <w:tabs>
          <w:tab w:leader="none" w:pos="324"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Power and Authority; Due Authorization</w:t>
      </w:r>
      <w:r>
        <w:rPr>
          <w:rFonts w:ascii="Times New Roman" w:cs="Times New Roman" w:eastAsia="Times New Roman" w:hAnsi="Times New Roman"/>
          <w:sz w:val="19"/>
          <w:szCs w:val="19"/>
          <w:color w:val="auto"/>
        </w:rPr>
        <w:t>. The Paying Agent (i) has all necessary power, authority and legal right to (A) execute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deliver this Agreement and the other Transaction Documents to which it is a party and (B) carry out the terms of the Transaction Documents to which it is a party and (ii) has duly authorized by all necessary corporate action the execution, delivery and performance of this Agreement and the other Transaction Documents to which it is a party.</w:t>
      </w:r>
    </w:p>
    <w:p>
      <w:pPr>
        <w:spacing w:after="0" w:line="170" w:lineRule="exact"/>
        <w:rPr>
          <w:rFonts w:ascii="Times New Roman" w:cs="Times New Roman" w:eastAsia="Times New Roman" w:hAnsi="Times New Roman"/>
          <w:sz w:val="19"/>
          <w:szCs w:val="19"/>
          <w:color w:val="auto"/>
        </w:rPr>
      </w:pPr>
    </w:p>
    <w:p>
      <w:pPr>
        <w:ind w:right="140" w:firstLine="54"/>
        <w:spacing w:after="0" w:line="263" w:lineRule="auto"/>
        <w:tabs>
          <w:tab w:leader="none" w:pos="312"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Binding Obligation</w:t>
      </w:r>
      <w:r>
        <w:rPr>
          <w:rFonts w:ascii="Times New Roman" w:cs="Times New Roman" w:eastAsia="Times New Roman" w:hAnsi="Times New Roman"/>
          <w:sz w:val="19"/>
          <w:szCs w:val="19"/>
          <w:color w:val="auto"/>
        </w:rPr>
        <w:t>. This Agreement and each other Transaction Document to which the Paying Agent is a party constitutes a legal,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valid and binding obligation of the Paying Agent enforceable against Paying Agent in accordance with its respective terms, except as such enforceability may be limited by applicable bankruptcy, insolvency, reorganization, moratorium, or other laws of general application effecting enforcements of creditors’ rights or general principles of equity.</w:t>
      </w:r>
    </w:p>
    <w:p>
      <w:pPr>
        <w:spacing w:after="0" w:line="171" w:lineRule="exact"/>
        <w:rPr>
          <w:sz w:val="20"/>
          <w:szCs w:val="20"/>
          <w:color w:val="auto"/>
        </w:rPr>
      </w:pPr>
    </w:p>
    <w:p>
      <w:pPr>
        <w:ind w:right="14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 xml:space="preserve">Section 14.5. Indemnity; Liability of the Paying Agent. </w:t>
      </w:r>
      <w:r>
        <w:rPr>
          <w:rFonts w:ascii="Times New Roman" w:cs="Times New Roman" w:eastAsia="Times New Roman" w:hAnsi="Times New Roman"/>
          <w:sz w:val="19"/>
          <w:szCs w:val="19"/>
          <w:color w:val="auto"/>
        </w:rPr>
        <w:t>(a) The Borrower shall indemnify and hold the Paying Agent harmless from 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Indemnified Amounts to the extent set forth in Section 9.1 and subject to all of the exclusions and other terms of such Section. The Paying Agent shall not be required to expend or risk its own funds or otherwise incur financial liability in the performance of its duties under this Agreement if it shall have reasonable grounds for believing that repayment of such funds or adequate indemnity is not reasonably assured to it. All amounts payable to Paying Agent pursuant to this Section 14.5 shall be subject to the priorities of payment in Section 2.8 hereof,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to the extent such amounts are not promptly paid pursuant to Section 2.8 hereof such amounts shall remain recourse obligations of the Borrower due and owing to the Paying Agent. The indemnification provided to the Paying Agent hereunder shall survive the resignation or removal of the Paying Agent and the termination of this Agreement. For the avoidance of doubt, any amounts payable by the Borrower under this Section 14.5 shall constitute Administrative Expenses.</w:t>
      </w:r>
    </w:p>
    <w:p>
      <w:pPr>
        <w:spacing w:after="0" w:line="181" w:lineRule="exact"/>
        <w:rPr>
          <w:sz w:val="20"/>
          <w:szCs w:val="20"/>
          <w:color w:val="auto"/>
        </w:rPr>
      </w:pPr>
    </w:p>
    <w:p>
      <w:pPr>
        <w:ind w:right="160" w:firstLine="54"/>
        <w:spacing w:after="0" w:line="255" w:lineRule="auto"/>
        <w:tabs>
          <w:tab w:leader="none" w:pos="320" w:val="left"/>
        </w:tabs>
        <w:numPr>
          <w:ilvl w:val="0"/>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may conclusively rely and shall be protected in acting or refraining from acting upon any written notice, order, judgment, certification or demand (including, but not limited to, electronically confirmed facsimiles of such notice) believed by it to be genuine and to have been signed or presented by the proper party or parties in accordance with this Agreement, and the Paying Agent shall have no obligation to review or confirm that actions taken pursuant to such notice in accordance with this Agreement comply with any other agreement</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4" w:name="page315"/>
    <w:bookmarkEnd w:id="314"/>
    <w:p>
      <w:pPr>
        <w:spacing w:after="0" w:line="200" w:lineRule="exact"/>
        <w:rPr>
          <w:sz w:val="20"/>
          <w:szCs w:val="20"/>
          <w:color w:val="auto"/>
        </w:rPr>
      </w:pPr>
    </w:p>
    <w:p>
      <w:pPr>
        <w:spacing w:after="0" w:line="2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or document. The Paying Agent shall not be responsible for the content or accuracy of any document provided to the Paying Agent, and shall not be required to recalculate, certify, or verify any numerical information. The Paying Agent shall not be liable with respect to any action taken or omitted to be taken in accordance with the written direction, instruction, acknowledgment, consent or any other communication from any party pursuant to the Transaction Documents.</w:t>
      </w:r>
    </w:p>
    <w:p>
      <w:pPr>
        <w:spacing w:after="0" w:line="174" w:lineRule="exact"/>
        <w:rPr>
          <w:sz w:val="20"/>
          <w:szCs w:val="20"/>
          <w:color w:val="auto"/>
        </w:rPr>
      </w:pPr>
    </w:p>
    <w:p>
      <w:pPr>
        <w:ind w:right="520" w:firstLine="54"/>
        <w:spacing w:after="0" w:line="286" w:lineRule="auto"/>
        <w:tabs>
          <w:tab w:leader="none" w:pos="30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will the Paying Agent be liable for any lost profits or for any incidental, indirect, special, consequential or punitive damages whether or not the Paying Agent knew of the possibility or likelihood of such damages.</w:t>
      </w:r>
    </w:p>
    <w:p>
      <w:pPr>
        <w:spacing w:after="0" w:line="151" w:lineRule="exact"/>
        <w:rPr>
          <w:rFonts w:ascii="Times New Roman" w:cs="Times New Roman" w:eastAsia="Times New Roman" w:hAnsi="Times New Roman"/>
          <w:sz w:val="19"/>
          <w:szCs w:val="19"/>
          <w:color w:val="auto"/>
        </w:rPr>
      </w:pPr>
    </w:p>
    <w:p>
      <w:pPr>
        <w:ind w:right="260" w:firstLine="54"/>
        <w:spacing w:after="0" w:line="268" w:lineRule="auto"/>
        <w:tabs>
          <w:tab w:leader="none" w:pos="32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may consult with legal counsel of its own choosing, at the expense of the Borrower, as to any matter relating to this Agreement, and the Paying Agent shall not incur any liability in acting in good faith in accordance with any advice from such counsel.</w:t>
      </w:r>
    </w:p>
    <w:p>
      <w:pPr>
        <w:spacing w:after="0" w:line="168" w:lineRule="exact"/>
        <w:rPr>
          <w:rFonts w:ascii="Times New Roman" w:cs="Times New Roman" w:eastAsia="Times New Roman" w:hAnsi="Times New Roman"/>
          <w:sz w:val="19"/>
          <w:szCs w:val="19"/>
          <w:color w:val="auto"/>
        </w:rPr>
      </w:pPr>
    </w:p>
    <w:p>
      <w:pPr>
        <w:ind w:firstLine="54"/>
        <w:spacing w:after="0" w:line="268" w:lineRule="auto"/>
        <w:tabs>
          <w:tab w:leader="none" w:pos="309"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no event shall the Paying Agent be liable for any failure or delay in performance of its obligations hereunder because of circumstances beyond the Paying Agent’s control, including, but not limited to, acts of God, flood, war (whether declared or undeclared), terrorism, fire, riot, strikes or work stoppages for any reason, embargo, government action, including any laws, ordinances, regulations.</w:t>
      </w:r>
    </w:p>
    <w:p>
      <w:pPr>
        <w:spacing w:after="0" w:line="168" w:lineRule="exact"/>
        <w:rPr>
          <w:rFonts w:ascii="Times New Roman" w:cs="Times New Roman" w:eastAsia="Times New Roman" w:hAnsi="Times New Roman"/>
          <w:sz w:val="19"/>
          <w:szCs w:val="19"/>
          <w:color w:val="auto"/>
        </w:rPr>
      </w:pPr>
    </w:p>
    <w:p>
      <w:pPr>
        <w:jc w:val="both"/>
        <w:ind w:right="20" w:firstLine="54"/>
        <w:spacing w:after="0" w:line="268" w:lineRule="auto"/>
        <w:tabs>
          <w:tab w:leader="none" w:pos="288"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Paying Agent nor any of its directors, officers or employees, shall be liable for any action taken or omitted to be taken by it or them hereunder except for its or their own gross negligence or willful misconduct as determined by a court of competent jurisdiction in a final, non-appealable order or as otherwise agreed to by the parties.</w:t>
      </w:r>
    </w:p>
    <w:p>
      <w:pPr>
        <w:spacing w:after="0" w:line="168" w:lineRule="exact"/>
        <w:rPr>
          <w:rFonts w:ascii="Times New Roman" w:cs="Times New Roman" w:eastAsia="Times New Roman" w:hAnsi="Times New Roman"/>
          <w:sz w:val="19"/>
          <w:szCs w:val="19"/>
          <w:color w:val="auto"/>
        </w:rPr>
      </w:pPr>
    </w:p>
    <w:p>
      <w:pPr>
        <w:ind w:right="140" w:firstLine="54"/>
        <w:spacing w:after="0" w:line="259" w:lineRule="auto"/>
        <w:tabs>
          <w:tab w:leader="none" w:pos="32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order to comply with laws, rules, regulations and executive orders in effect from time to time applicable to banking institutions, including those relating to the funding of terrorist activities and money laundering, the Paying Agent is required to obtain, verify and record certain information relating to individuals and entities which maintain a business relationship with the Paying Agent. Accordingly, each of the parties agrees to promptly provide to the Paying Agent upon its request from time to time such identifying information and documentation as may be available for such party in order to enable the Paying Agent to comply with Applicable Law.</w:t>
      </w:r>
    </w:p>
    <w:p>
      <w:pPr>
        <w:spacing w:after="0" w:line="177" w:lineRule="exact"/>
        <w:rPr>
          <w:rFonts w:ascii="Times New Roman" w:cs="Times New Roman" w:eastAsia="Times New Roman" w:hAnsi="Times New Roman"/>
          <w:sz w:val="19"/>
          <w:szCs w:val="19"/>
          <w:color w:val="auto"/>
        </w:rPr>
      </w:pPr>
    </w:p>
    <w:p>
      <w:pPr>
        <w:ind w:right="100" w:firstLine="54"/>
        <w:spacing w:after="0" w:line="253" w:lineRule="auto"/>
        <w:tabs>
          <w:tab w:leader="none" w:pos="320"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Paying Agent shall not be liable for any action or inaction of the Borrower, the Administrative Agent, the Lenders, or any other party (or agent thereof) to this Agreement or any related document and may assume compliance by such parties with their obligations under this Agreement or any related agreements, unless a Responsible Officer of the Paying Agent shall have received written notice to the contrary at the address of the Paying Agent set forth on its signature page hereto. For purposes hereof, “Responsible Officer” shall mean any president, vice president, executive vice president, assistant vice president, treasurer, secretary, assistant secretary, corporate trust officer or any other officer thereof customarily performing functions similar to those performed by the individuals who at the time shall be such officers, respectively, or to whom any matter is referred because of such officer’s knowledge of or familiarity with the</w:t>
      </w:r>
    </w:p>
    <w:p>
      <w:pPr>
        <w:spacing w:after="0" w:line="6"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9"/>
          <w:szCs w:val="19"/>
          <w:color w:val="auto"/>
        </w:rPr>
        <w:t>particular subject, and, in each case, having direct responsibility for the administration of this Agreement and the other Transaction Documents to which such person is a party.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5" w:name="page316"/>
    <w:bookmarkEnd w:id="315"/>
    <w:p>
      <w:pPr>
        <w:spacing w:after="0" w:line="200" w:lineRule="exact"/>
        <w:rPr>
          <w:sz w:val="20"/>
          <w:szCs w:val="20"/>
          <w:color w:val="auto"/>
        </w:rPr>
      </w:pPr>
    </w:p>
    <w:p>
      <w:pPr>
        <w:spacing w:after="0" w:line="285" w:lineRule="exact"/>
        <w:rPr>
          <w:sz w:val="20"/>
          <w:szCs w:val="20"/>
          <w:color w:val="auto"/>
        </w:rPr>
      </w:pPr>
    </w:p>
    <w:p>
      <w:pPr>
        <w:ind w:right="700" w:firstLine="4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j</w:t>
      </w:r>
      <w:r>
        <w:rPr>
          <w:rFonts w:ascii="Times New Roman" w:cs="Times New Roman" w:eastAsia="Times New Roman" w:hAnsi="Times New Roman"/>
          <w:sz w:val="19"/>
          <w:szCs w:val="19"/>
          <w:color w:val="0000FF"/>
        </w:rPr>
        <w:t>i</w:t>
      </w:r>
      <w:r>
        <w:rPr>
          <w:rFonts w:ascii="Times New Roman" w:cs="Times New Roman" w:eastAsia="Times New Roman" w:hAnsi="Times New Roman"/>
          <w:sz w:val="19"/>
          <w:szCs w:val="19"/>
          <w:color w:val="auto"/>
        </w:rPr>
        <w:t>) The Paying Agent is authorized to supply any information regarding the Collection Account which is required by any law or governmental regulation now or hereafter in effect.</w:t>
      </w:r>
    </w:p>
    <w:p>
      <w:pPr>
        <w:spacing w:after="0" w:line="151" w:lineRule="exact"/>
        <w:rPr>
          <w:sz w:val="20"/>
          <w:szCs w:val="20"/>
          <w:color w:val="auto"/>
        </w:rPr>
      </w:pPr>
    </w:p>
    <w:p>
      <w:pPr>
        <w:ind w:firstLine="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k</w:t>
      </w:r>
      <w:r>
        <w:rPr>
          <w:rFonts w:ascii="Times New Roman" w:cs="Times New Roman" w:eastAsia="Times New Roman" w:hAnsi="Times New Roman"/>
          <w:sz w:val="19"/>
          <w:szCs w:val="19"/>
          <w:color w:val="0000FF"/>
        </w:rPr>
        <w:t>j</w:t>
      </w:r>
      <w:r>
        <w:rPr>
          <w:rFonts w:ascii="Times New Roman" w:cs="Times New Roman" w:eastAsia="Times New Roman" w:hAnsi="Times New Roman"/>
          <w:sz w:val="19"/>
          <w:szCs w:val="19"/>
          <w:color w:val="auto"/>
        </w:rPr>
        <w:t>) If at any time the Paying Agent is served with any judicial or administrative order, judgment, decree, writ or other form of judicial or administrative process which in any way affects any property held by it hereunder or the Collection Account (including, but not limited to, orders of attachment or garnishment or other forms of levies or injunctions or stays relating to the transfer of any property), the Paying Agent is authorized to comply therewith in any manner as it or its legal counsel of its own choosing deems appropriate; and if the Paying Agent complies with any such judicial or administrative order, judgment, decree, writ or other form of judicial or administrative process, the Paying Agent shall not be liable to any of the parties hereto or to any other person or entity even though such order, judgment, decree, writ or process may be subsequently modified or vacated or otherwise determined to have been without legal force or effect.</w:t>
      </w:r>
    </w:p>
    <w:p>
      <w:pPr>
        <w:spacing w:after="0" w:line="181" w:lineRule="exact"/>
        <w:rPr>
          <w:sz w:val="20"/>
          <w:szCs w:val="20"/>
          <w:color w:val="auto"/>
        </w:rPr>
      </w:pPr>
    </w:p>
    <w:p>
      <w:pPr>
        <w:ind w:right="140" w:firstLine="48"/>
        <w:spacing w:after="0" w:line="26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l</w:t>
      </w:r>
      <w:r>
        <w:rPr>
          <w:rFonts w:ascii="Times New Roman" w:cs="Times New Roman" w:eastAsia="Times New Roman" w:hAnsi="Times New Roman"/>
          <w:sz w:val="19"/>
          <w:szCs w:val="19"/>
          <w:color w:val="0000FF"/>
        </w:rPr>
        <w:t>k</w:t>
      </w:r>
      <w:r>
        <w:rPr>
          <w:rFonts w:ascii="Times New Roman" w:cs="Times New Roman" w:eastAsia="Times New Roman" w:hAnsi="Times New Roman"/>
          <w:sz w:val="19"/>
          <w:szCs w:val="19"/>
          <w:color w:val="auto"/>
        </w:rPr>
        <w:t>) The Paying Agent shall not be liable for failing to comply with its obligations under this Agreement in so far as the performance of such obligations is dependent upon the timely receipt of instructions and/or other information from any other person which are not received or not received by the time required.</w:t>
      </w:r>
    </w:p>
    <w:p>
      <w:pPr>
        <w:spacing w:after="0" w:line="168"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m</w:t>
      </w:r>
      <w:r>
        <w:rPr>
          <w:rFonts w:ascii="Times New Roman" w:cs="Times New Roman" w:eastAsia="Times New Roman" w:hAnsi="Times New Roman"/>
          <w:sz w:val="19"/>
          <w:szCs w:val="19"/>
          <w:color w:val="0000FF"/>
        </w:rPr>
        <w:t>l</w:t>
      </w:r>
      <w:r>
        <w:rPr>
          <w:rFonts w:ascii="Times New Roman" w:cs="Times New Roman" w:eastAsia="Times New Roman" w:hAnsi="Times New Roman"/>
          <w:sz w:val="19"/>
          <w:szCs w:val="19"/>
          <w:color w:val="auto"/>
        </w:rPr>
        <w:t>) The Paying Agent shall not be under any obligation (i) to monitor, determine or verify the unavailability or cessation of Term SOFR (or other applicable index, floating rate or Benchmark or Base Rate), or whether or when there has occurred, or to give notice to any other party of the occurrence of, any Benchmark Transition Event, Benchmark Transition State Date, Benchmark Unavailability Period, Benchmark Replacement Date, Disruption Event or Early Opt-in Election (ii) to select, determine or designate any Benchmark Replacement, replacement index or floating rate, or other successor or replacement rate, or whether any conditions to the designation of such a rate have been satisfied, or (iii) to select, determine or designate any Benchmark Replacement Adjustment or other adjustment, adjusted margin or modifier to any replacement or successor rate or index, or (iv) to determine whether or what Benchmark Replacement Conforming Changes or other amendment or changes to this Agreement are necessary or advisable, if any, in connection with any of the foregoing.</w:t>
      </w:r>
    </w:p>
    <w:p>
      <w:pPr>
        <w:spacing w:after="0" w:line="179" w:lineRule="exact"/>
        <w:rPr>
          <w:sz w:val="20"/>
          <w:szCs w:val="20"/>
          <w:color w:val="auto"/>
        </w:rPr>
      </w:pPr>
    </w:p>
    <w:p>
      <w:pPr>
        <w:ind w:firstLine="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n</w:t>
      </w:r>
      <w:r>
        <w:rPr>
          <w:rFonts w:ascii="Times New Roman" w:cs="Times New Roman" w:eastAsia="Times New Roman" w:hAnsi="Times New Roman"/>
          <w:sz w:val="19"/>
          <w:szCs w:val="19"/>
          <w:color w:val="0000FF"/>
        </w:rPr>
        <w:t>m</w:t>
      </w:r>
      <w:r>
        <w:rPr>
          <w:rFonts w:ascii="Times New Roman" w:cs="Times New Roman" w:eastAsia="Times New Roman" w:hAnsi="Times New Roman"/>
          <w:sz w:val="19"/>
          <w:szCs w:val="19"/>
          <w:color w:val="auto"/>
        </w:rPr>
        <w:t>) The Paying Agent shall not be liable for any inability, failure or delay on its part to perform any of its duties set forth in this Agreement as a result of the unavailability of Term SOFR (or other Benchmark, Benchmark Replacement, Base Rate or other applicable index or floating rate) and absence of any Benchmark Replacement, replacement index or floating rate, or other successor or replacement rate, including as a result of any inability, delay, error or inaccuracy on the part of any other transaction party, including without limitation the Administrative Agent, in providing any direction, instruction, notice or information required or contemplated by the terms of this Agreement and reasonably required for the performance of such duties. With respect to any Interest Period, the Paying Agent shall have no liability for the application of Term SOFR in effect for the prior Interest Period if so required in accordance with the terms of this Agreement.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6" w:name="page317"/>
    <w:bookmarkEnd w:id="316"/>
    <w:p>
      <w:pPr>
        <w:spacing w:after="0" w:line="200" w:lineRule="exact"/>
        <w:rPr>
          <w:sz w:val="20"/>
          <w:szCs w:val="20"/>
          <w:color w:val="auto"/>
        </w:rPr>
      </w:pPr>
    </w:p>
    <w:p>
      <w:pPr>
        <w:spacing w:after="0" w:line="285" w:lineRule="exact"/>
        <w:rPr>
          <w:sz w:val="20"/>
          <w:szCs w:val="20"/>
          <w:color w:val="auto"/>
        </w:rPr>
      </w:pPr>
    </w:p>
    <w:p>
      <w:pPr>
        <w:ind w:right="280" w:firstLine="48"/>
        <w:spacing w:after="0" w:line="28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color w:val="FF0000"/>
          <w:strike w:val="1"/>
        </w:rPr>
        <w:t>o</w:t>
      </w:r>
      <w:r>
        <w:rPr>
          <w:rFonts w:ascii="Times New Roman" w:cs="Times New Roman" w:eastAsia="Times New Roman" w:hAnsi="Times New Roman"/>
          <w:sz w:val="19"/>
          <w:szCs w:val="19"/>
          <w:color w:val="0000FF"/>
        </w:rPr>
        <w:t>n</w:t>
      </w:r>
      <w:r>
        <w:rPr>
          <w:rFonts w:ascii="Times New Roman" w:cs="Times New Roman" w:eastAsia="Times New Roman" w:hAnsi="Times New Roman"/>
          <w:sz w:val="19"/>
          <w:szCs w:val="19"/>
          <w:color w:val="auto"/>
        </w:rPr>
        <w:t>) In performing under the Credit Agreement and any other Transaction Document, the Collateral Custodian shall be entitled to the same rights, protections, immunities and indemnities afforded to the Paying Agent hereunder.</w:t>
      </w:r>
    </w:p>
    <w:p>
      <w:pPr>
        <w:spacing w:after="0" w:line="18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3"/>
          <w:szCs w:val="13"/>
          <w:b w:val="1"/>
          <w:bCs w:val="1"/>
          <w:color w:val="auto"/>
        </w:rPr>
        <w:t>RTICLE</w:t>
      </w:r>
      <w:r>
        <w:rPr>
          <w:rFonts w:ascii="Times New Roman" w:cs="Times New Roman" w:eastAsia="Times New Roman" w:hAnsi="Times New Roman"/>
          <w:sz w:val="19"/>
          <w:szCs w:val="19"/>
          <w:b w:val="1"/>
          <w:bCs w:val="1"/>
          <w:color w:val="auto"/>
        </w:rPr>
        <w:t xml:space="preserve"> XV</w:t>
      </w:r>
    </w:p>
    <w:p>
      <w:pPr>
        <w:spacing w:after="0" w:line="2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9"/>
          <w:szCs w:val="19"/>
          <w:b w:val="1"/>
          <w:bCs w:val="1"/>
          <w:color w:val="auto"/>
        </w:rPr>
        <w:t xml:space="preserve"> G</w:t>
      </w:r>
      <w:r>
        <w:rPr>
          <w:rFonts w:ascii="Times New Roman" w:cs="Times New Roman" w:eastAsia="Times New Roman" w:hAnsi="Times New Roman"/>
          <w:sz w:val="13"/>
          <w:szCs w:val="13"/>
          <w:b w:val="1"/>
          <w:bCs w:val="1"/>
          <w:color w:val="auto"/>
        </w:rPr>
        <w:t>UARANTEES</w:t>
      </w:r>
    </w:p>
    <w:p>
      <w:pPr>
        <w:spacing w:after="0" w:line="226" w:lineRule="exact"/>
        <w:rPr>
          <w:sz w:val="20"/>
          <w:szCs w:val="20"/>
          <w:color w:val="auto"/>
        </w:rPr>
      </w:pPr>
    </w:p>
    <w:p>
      <w:pPr>
        <w:ind w:firstLine="48"/>
        <w:spacing w:after="0" w:line="253" w:lineRule="auto"/>
        <w:rPr>
          <w:sz w:val="20"/>
          <w:szCs w:val="20"/>
          <w:color w:val="auto"/>
        </w:rPr>
      </w:pPr>
      <w:r>
        <w:rPr>
          <w:rFonts w:ascii="Times New Roman" w:cs="Times New Roman" w:eastAsia="Times New Roman" w:hAnsi="Times New Roman"/>
          <w:sz w:val="19"/>
          <w:szCs w:val="19"/>
          <w:i w:val="1"/>
          <w:iCs w:val="1"/>
          <w:color w:val="auto"/>
        </w:rPr>
        <w:t>Section 15.1. The Guarantees</w:t>
      </w:r>
      <w:r>
        <w:rPr>
          <w:rFonts w:ascii="Times New Roman" w:cs="Times New Roman" w:eastAsia="Times New Roman" w:hAnsi="Times New Roman"/>
          <w:sz w:val="19"/>
          <w:szCs w:val="19"/>
          <w:color w:val="auto"/>
        </w:rPr>
        <w:t>. To induce the Lenders to provide the credits described herein and in consideration of benefits expected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to accrue to the Borrower by reason of the Commitments and for other good and valuable consideration, receipt of which is hereby acknowledged, each Guarantor party hereto (including any Guarantor executing an Additional Guarantor Supplement in the form attached hereto as Exhibit I or such other form acceptable to the Administrative Agent) hereby unconditionally and irrevocably guarantees jointly and severally to the Secured Parties, the due and punctual payment of all present and future Obligations, including, but not limited to, the due and punctual payment of principal of and interest on the Advances Outstanding, and the due and punctual payment of all other Obligations now or hereafter owed by the Borrower under the Transaction Documents as and when the same shall become due and payable, whether at stated maturity, by acceleration, or otherwise, according to the terms hereof and thereof (including all interest, costs, fees, and charges after the entry of an order for relief against the Borrower or such other obligor in a case under the Bankruptcy Code or any similar proceeding, whether or not such interest, costs, fees and charges would be an allowed claim against the Borrower or any such obligor in any such proceeding). In case of failure by the Borrower or other obligor punctually to pay any Obligations guaranteed hereby, each Guarantor hereby unconditionally agrees to make such payment or to cause such payment to be made punctually as and when the same shall become due and payable, whether at stated maturity, by acceleration, or otherwise, and as if such payment were made by the Borrower or such obligor. </w:t>
      </w:r>
      <w:r>
        <w:rPr>
          <w:rFonts w:ascii="Times New Roman" w:cs="Times New Roman" w:eastAsia="Times New Roman" w:hAnsi="Times New Roman"/>
          <w:sz w:val="19"/>
          <w:szCs w:val="19"/>
          <w:color w:val="0000FF"/>
        </w:rPr>
        <w:t>Notwithstanding the foregoing, with respect to any Guarantor, Hedging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0000FF"/>
        </w:rPr>
        <w:t>Liability guaranteed by such Guarantor shall exclude all Excluded Swap Obligations.</w:t>
      </w:r>
    </w:p>
    <w:p>
      <w:pPr>
        <w:spacing w:after="0" w:line="182" w:lineRule="exact"/>
        <w:rPr>
          <w:sz w:val="20"/>
          <w:szCs w:val="20"/>
          <w:color w:val="auto"/>
        </w:rPr>
      </w:pPr>
    </w:p>
    <w:p>
      <w:pPr>
        <w:ind w:right="240" w:firstLine="48"/>
        <w:spacing w:after="0" w:line="288" w:lineRule="auto"/>
        <w:rPr>
          <w:sz w:val="20"/>
          <w:szCs w:val="20"/>
          <w:color w:val="auto"/>
        </w:rPr>
      </w:pPr>
      <w:r>
        <w:rPr>
          <w:rFonts w:ascii="Times New Roman" w:cs="Times New Roman" w:eastAsia="Times New Roman" w:hAnsi="Times New Roman"/>
          <w:sz w:val="19"/>
          <w:szCs w:val="19"/>
          <w:i w:val="1"/>
          <w:iCs w:val="1"/>
          <w:color w:val="auto"/>
        </w:rPr>
        <w:t>Section 15.2. Guarantee Unconditional</w:t>
      </w:r>
      <w:r>
        <w:rPr>
          <w:rFonts w:ascii="Times New Roman" w:cs="Times New Roman" w:eastAsia="Times New Roman" w:hAnsi="Times New Roman"/>
          <w:sz w:val="19"/>
          <w:szCs w:val="19"/>
          <w:color w:val="auto"/>
        </w:rPr>
        <w:t>. The obligations of each Guarantor under this Article XV shall be unconditional and absolute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without limiting the generality of the foregoing, shall not be released, discharged, or otherwise affected by:</w:t>
      </w:r>
    </w:p>
    <w:p>
      <w:pPr>
        <w:spacing w:after="0" w:line="150" w:lineRule="exact"/>
        <w:rPr>
          <w:sz w:val="20"/>
          <w:szCs w:val="20"/>
          <w:color w:val="auto"/>
        </w:rPr>
      </w:pPr>
    </w:p>
    <w:p>
      <w:pPr>
        <w:ind w:left="700" w:right="40" w:firstLine="50"/>
        <w:spacing w:after="0" w:line="286" w:lineRule="auto"/>
        <w:tabs>
          <w:tab w:leader="none" w:pos="1009"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extension, renewal, settlement, compromise, waiver, or release in respect of any obligation of any Loan Party or other obligor or of any other guarantor under this Agreement or any other Transaction Document or by operation of law or otherwise;</w:t>
      </w:r>
    </w:p>
    <w:p>
      <w:pPr>
        <w:spacing w:after="0" w:line="151"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modification or amendment of or supplement to this Agreement or any other Transaction Document;</w:t>
      </w:r>
    </w:p>
    <w:p>
      <w:pPr>
        <w:spacing w:after="0" w:line="225" w:lineRule="exact"/>
        <w:rPr>
          <w:rFonts w:ascii="Times New Roman" w:cs="Times New Roman" w:eastAsia="Times New Roman" w:hAnsi="Times New Roman"/>
          <w:sz w:val="19"/>
          <w:szCs w:val="19"/>
          <w:color w:val="auto"/>
        </w:rPr>
      </w:pPr>
    </w:p>
    <w:p>
      <w:pPr>
        <w:ind w:left="700" w:right="260" w:firstLine="50"/>
        <w:spacing w:after="0" w:line="258" w:lineRule="auto"/>
        <w:tabs>
          <w:tab w:leader="none" w:pos="1009"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 in the corporate existence, structure, or ownership of, or any insolvency, bankruptcy, reorganization, or other similar proceeding affecting, any Loan Party or other obligor, any other guarantor, or any of their respective assets, or any resulting release or discharge of any obligation of any Loan Party or other obligor or of any other guarantor contained in any</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Transaction Document;</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7" w:name="page318"/>
    <w:bookmarkEnd w:id="317"/>
    <w:p>
      <w:pPr>
        <w:spacing w:after="0" w:line="200" w:lineRule="exact"/>
        <w:rPr>
          <w:sz w:val="20"/>
          <w:szCs w:val="20"/>
          <w:color w:val="auto"/>
        </w:rPr>
      </w:pPr>
    </w:p>
    <w:p>
      <w:pPr>
        <w:spacing w:after="0" w:line="266" w:lineRule="exact"/>
        <w:rPr>
          <w:sz w:val="20"/>
          <w:szCs w:val="20"/>
          <w:color w:val="auto"/>
        </w:rPr>
      </w:pPr>
    </w:p>
    <w:p>
      <w:pPr>
        <w:ind w:left="700" w:right="20" w:firstLine="50"/>
        <w:spacing w:after="0" w:line="249" w:lineRule="exact"/>
        <w:tabs>
          <w:tab w:leader="none" w:pos="102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set</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off, or other rights which any Loan Party or other obligor or any other guarantor may have at any time against the Administrative Agent, any Lender or any other Person, whether or not arising in connection herewith;</w:t>
      </w:r>
    </w:p>
    <w:p>
      <w:pPr>
        <w:spacing w:after="0" w:line="194" w:lineRule="exact"/>
        <w:rPr>
          <w:rFonts w:ascii="Times New Roman" w:cs="Times New Roman" w:eastAsia="Times New Roman" w:hAnsi="Times New Roman"/>
          <w:sz w:val="19"/>
          <w:szCs w:val="19"/>
          <w:color w:val="auto"/>
        </w:rPr>
      </w:pPr>
    </w:p>
    <w:p>
      <w:pPr>
        <w:ind w:left="700" w:right="640" w:firstLine="50"/>
        <w:spacing w:after="0" w:line="286" w:lineRule="auto"/>
        <w:tabs>
          <w:tab w:leader="none" w:pos="1009"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failure to assert, or any assertion of, any claim or demand or any exercise of, or failure to exercise, any rights or remedies against any Loan Party or other obligor, any other guarantor, or any other Person or Property;</w:t>
      </w:r>
    </w:p>
    <w:p>
      <w:pPr>
        <w:spacing w:after="0" w:line="151" w:lineRule="exact"/>
        <w:rPr>
          <w:rFonts w:ascii="Times New Roman" w:cs="Times New Roman" w:eastAsia="Times New Roman" w:hAnsi="Times New Roman"/>
          <w:sz w:val="19"/>
          <w:szCs w:val="19"/>
          <w:color w:val="auto"/>
        </w:rPr>
      </w:pPr>
    </w:p>
    <w:p>
      <w:pPr>
        <w:ind w:left="700" w:right="600" w:firstLine="50"/>
        <w:spacing w:after="0" w:line="286" w:lineRule="auto"/>
        <w:tabs>
          <w:tab w:leader="none" w:pos="988"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application of any sums by whomsoever paid or howsoever realized to any obligation of any Loan Party or other obligor, regardless of what obligations of any Loan Party or other obligor remain unpaid;</w:t>
      </w:r>
    </w:p>
    <w:p>
      <w:pPr>
        <w:spacing w:after="0" w:line="151"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invalidity or unenforceability relating to or against any Loan Party or other obligor or any other guarantor for any</w:t>
      </w:r>
    </w:p>
    <w:p>
      <w:pPr>
        <w:spacing w:after="0" w:line="31" w:lineRule="exact"/>
        <w:rPr>
          <w:rFonts w:ascii="Times New Roman" w:cs="Times New Roman" w:eastAsia="Times New Roman" w:hAnsi="Times New Roman"/>
          <w:sz w:val="19"/>
          <w:szCs w:val="19"/>
          <w:color w:val="auto"/>
        </w:rPr>
      </w:pPr>
    </w:p>
    <w:p>
      <w:pPr>
        <w:ind w:left="700"/>
        <w:spacing w:after="0" w:line="256"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reason of this Agreement or of any other Transaction Document or any provision of applicable law or regulation purporting to prohibit the payment by any Loan Party or other obligor or any other guarantor of the principal of or interest on any Loan or any other amount payable under the Transaction Documents; or</w:t>
      </w:r>
    </w:p>
    <w:p>
      <w:pPr>
        <w:spacing w:after="0" w:line="179" w:lineRule="exact"/>
        <w:rPr>
          <w:rFonts w:ascii="Times New Roman" w:cs="Times New Roman" w:eastAsia="Times New Roman" w:hAnsi="Times New Roman"/>
          <w:sz w:val="19"/>
          <w:szCs w:val="19"/>
          <w:color w:val="auto"/>
        </w:rPr>
      </w:pPr>
    </w:p>
    <w:p>
      <w:pPr>
        <w:ind w:left="700" w:right="160" w:firstLine="50"/>
        <w:spacing w:after="0" w:line="268" w:lineRule="auto"/>
        <w:tabs>
          <w:tab w:leader="none" w:pos="1020"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act or omission to act or delay of any kind by the Administrative Agent, any Lender or any other Person or any other circumstance whatsoever that might, but for the provisions of this subsection, constitute a legal or equitable discharge of the obligations of any Guarantor under this Article XV.</w:t>
      </w:r>
    </w:p>
    <w:p>
      <w:pPr>
        <w:spacing w:after="0" w:line="166" w:lineRule="exact"/>
        <w:rPr>
          <w:sz w:val="20"/>
          <w:szCs w:val="20"/>
          <w:color w:val="auto"/>
        </w:rPr>
      </w:pPr>
    </w:p>
    <w:p>
      <w:pPr>
        <w:ind w:right="40"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15.3. Discharge Only upon Payment in Full; Reinstatement in Certain Circumstances</w:t>
      </w:r>
      <w:r>
        <w:rPr>
          <w:rFonts w:ascii="Times New Roman" w:cs="Times New Roman" w:eastAsia="Times New Roman" w:hAnsi="Times New Roman"/>
          <w:sz w:val="19"/>
          <w:szCs w:val="19"/>
          <w:color w:val="auto"/>
        </w:rPr>
        <w:t>. Each Guarantor’s obligations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Article XV shall remain in full force and effect until the Commitments are terminated and the principal of and interest on the Advances Outstanding and all other amounts payable by the Borrower and the other Loan Parties under this Agreement and all other Transaction Documents shall have been paid in full. If at any time any payment of the principal of or interest on any Advance Outstanding or any other amount payable by any Loan Party or other obligor or any guarantor under the Transaction Documents is rescinded or must be otherwise restored or returned upon the insolvency, bankruptcy, or reorganization of such Loan Party or other obligor or of any guarantor, or otherwise, each Guarantor’s obligations under this Article XV with respect to such payment shall be reinstated at such time as though such payment had become due but had not been made at such time.</w:t>
      </w:r>
    </w:p>
    <w:p>
      <w:pPr>
        <w:spacing w:after="0" w:line="184" w:lineRule="exact"/>
        <w:rPr>
          <w:sz w:val="20"/>
          <w:szCs w:val="20"/>
          <w:color w:val="auto"/>
        </w:rPr>
      </w:pPr>
    </w:p>
    <w:p>
      <w:pPr>
        <w:ind w:right="140" w:firstLine="48"/>
        <w:spacing w:after="0" w:line="254" w:lineRule="auto"/>
        <w:rPr>
          <w:sz w:val="20"/>
          <w:szCs w:val="20"/>
          <w:color w:val="auto"/>
        </w:rPr>
      </w:pPr>
      <w:r>
        <w:rPr>
          <w:rFonts w:ascii="Times New Roman" w:cs="Times New Roman" w:eastAsia="Times New Roman" w:hAnsi="Times New Roman"/>
          <w:sz w:val="19"/>
          <w:szCs w:val="19"/>
          <w:i w:val="1"/>
          <w:iCs w:val="1"/>
          <w:color w:val="auto"/>
        </w:rPr>
        <w:t>Section 15.4. Subrogation</w:t>
      </w:r>
      <w:r>
        <w:rPr>
          <w:rFonts w:ascii="Times New Roman" w:cs="Times New Roman" w:eastAsia="Times New Roman" w:hAnsi="Times New Roman"/>
          <w:sz w:val="19"/>
          <w:szCs w:val="19"/>
          <w:color w:val="auto"/>
        </w:rPr>
        <w:t>. Each Guarantor agrees it will not exercise any rights which it may acquire by way of subrogation by 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payment made hereunder, or otherwise, until all the Obligations shall have been paid in full subsequent to the termination of all the Commitments. If any amount shall be paid to a Guarantor on account of such subrogation rights at any time prior to the later of (x) the payment in full of the Obligations and all other amounts payable by the Loan Parties hereunder and the other Transaction Documents and (y) the termination of the Commitments, such amount shall be held in trust for the benefit of the Administrative Agent, the Lenders (and their Affiliates) and shall forthwith be paid to the Administrative Agent for the benefit of the Lenders (and their Affiliates) or be credited and applied upon the Obligations, whether matured or unmatured, in accordance with the terms of this Agreement.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8" w:name="page319"/>
    <w:bookmarkEnd w:id="318"/>
    <w:p>
      <w:pPr>
        <w:spacing w:after="0" w:line="200" w:lineRule="exact"/>
        <w:rPr>
          <w:sz w:val="20"/>
          <w:szCs w:val="20"/>
          <w:color w:val="auto"/>
        </w:rPr>
      </w:pPr>
    </w:p>
    <w:p>
      <w:pPr>
        <w:spacing w:after="0" w:line="283" w:lineRule="exact"/>
        <w:rPr>
          <w:sz w:val="20"/>
          <w:szCs w:val="20"/>
          <w:color w:val="auto"/>
        </w:rPr>
      </w:pPr>
    </w:p>
    <w:p>
      <w:pPr>
        <w:ind w:right="100" w:firstLine="48"/>
        <w:spacing w:after="0" w:line="256" w:lineRule="auto"/>
        <w:rPr>
          <w:sz w:val="20"/>
          <w:szCs w:val="20"/>
          <w:color w:val="auto"/>
        </w:rPr>
      </w:pPr>
      <w:r>
        <w:rPr>
          <w:rFonts w:ascii="Times New Roman" w:cs="Times New Roman" w:eastAsia="Times New Roman" w:hAnsi="Times New Roman"/>
          <w:sz w:val="19"/>
          <w:szCs w:val="19"/>
          <w:i w:val="1"/>
          <w:iCs w:val="1"/>
          <w:color w:val="auto"/>
        </w:rPr>
        <w:t>Section 15.5. Subordination</w:t>
      </w:r>
      <w:r>
        <w:rPr>
          <w:rFonts w:ascii="Times New Roman" w:cs="Times New Roman" w:eastAsia="Times New Roman" w:hAnsi="Times New Roman"/>
          <w:sz w:val="19"/>
          <w:szCs w:val="19"/>
          <w:color w:val="auto"/>
        </w:rPr>
        <w:t>. Each Guarantor (each referred to herein as a</w:t>
      </w:r>
      <w:r>
        <w:rPr>
          <w:rFonts w:ascii="Times New Roman" w:cs="Times New Roman" w:eastAsia="Times New Roman" w:hAnsi="Times New Roman"/>
          <w:sz w:val="19"/>
          <w:szCs w:val="19"/>
          <w:i w:val="1"/>
          <w:iCs w:val="1"/>
          <w:color w:val="auto"/>
        </w:rPr>
        <w:t xml:space="preserve"> “Subordinated Creditor”</w:t>
      </w:r>
      <w:r>
        <w:rPr>
          <w:rFonts w:ascii="Times New Roman" w:cs="Times New Roman" w:eastAsia="Times New Roman" w:hAnsi="Times New Roman"/>
          <w:sz w:val="19"/>
          <w:szCs w:val="19"/>
          <w:color w:val="auto"/>
        </w:rPr>
        <w:t>) hereby subordinates the payment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of all indebtedness, obligations, and liabilities of the Borrower or other Loan Party owing to such Subordinated Creditor, whether now existing or hereafter arising, to the indefeasible payment in full in cash of all Obligations. During the existence of any Event of Default, subject to Section 15.4, any such indebtedness, obligation, or liability of the Borrower or other Loan Party owing to such Subordinated Creditor shall be enforced and performance received by such Subordinated Creditor as trustee for the benefit of the holders of the Obligations and the proceeds thereof shall be paid over to the Administrative Agent for application to the Obligations (whether or not then due), but without reducing or affecting in any manner the liability of such Guarantor under this Article XV.</w:t>
      </w:r>
    </w:p>
    <w:p>
      <w:pPr>
        <w:spacing w:after="0" w:line="181" w:lineRule="exact"/>
        <w:rPr>
          <w:sz w:val="20"/>
          <w:szCs w:val="20"/>
          <w:color w:val="auto"/>
        </w:rPr>
      </w:pPr>
    </w:p>
    <w:p>
      <w:pPr>
        <w:ind w:right="38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15.6. Waivers</w:t>
      </w:r>
      <w:r>
        <w:rPr>
          <w:rFonts w:ascii="Times New Roman" w:cs="Times New Roman" w:eastAsia="Times New Roman" w:hAnsi="Times New Roman"/>
          <w:sz w:val="19"/>
          <w:szCs w:val="19"/>
          <w:color w:val="auto"/>
        </w:rPr>
        <w:t>. Each Guarantor irrevocably waives acceptance hereof, presentment, demand, protest, and any notice not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provided for herein, as well as any requirement that at any time any action be taken by the Administrative Agent, any Lender, or any other Person against the Borrower or any other Loan Party or other obligor, another guarantor, or any other Person.</w:t>
      </w:r>
    </w:p>
    <w:p>
      <w:pPr>
        <w:spacing w:after="0" w:line="166" w:lineRule="exact"/>
        <w:rPr>
          <w:sz w:val="20"/>
          <w:szCs w:val="20"/>
          <w:color w:val="auto"/>
        </w:rPr>
      </w:pPr>
    </w:p>
    <w:p>
      <w:pPr>
        <w:jc w:val="both"/>
        <w:ind w:right="200" w:firstLine="48"/>
        <w:spacing w:after="0" w:line="269" w:lineRule="auto"/>
        <w:rPr>
          <w:sz w:val="20"/>
          <w:szCs w:val="20"/>
          <w:color w:val="auto"/>
        </w:rPr>
      </w:pPr>
      <w:r>
        <w:rPr>
          <w:rFonts w:ascii="Times New Roman" w:cs="Times New Roman" w:eastAsia="Times New Roman" w:hAnsi="Times New Roman"/>
          <w:sz w:val="19"/>
          <w:szCs w:val="19"/>
          <w:i w:val="1"/>
          <w:iCs w:val="1"/>
          <w:color w:val="auto"/>
        </w:rPr>
        <w:t>Section 15.7. Limit on Recovery</w:t>
      </w:r>
      <w:r>
        <w:rPr>
          <w:rFonts w:ascii="Times New Roman" w:cs="Times New Roman" w:eastAsia="Times New Roman" w:hAnsi="Times New Roman"/>
          <w:sz w:val="19"/>
          <w:szCs w:val="19"/>
          <w:color w:val="auto"/>
        </w:rPr>
        <w:t>. Notwithstanding any other provision hereof, the right of recovery against each Guarantor under this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Article XV shall not exceed $1.00 less than the lowest amount which would render such Guarantor’s obligations under this Article XV void or voidable under applicable law, including, without limitation, fraudulent conveyance law.</w:t>
      </w:r>
    </w:p>
    <w:p>
      <w:pPr>
        <w:spacing w:after="0" w:line="166" w:lineRule="exact"/>
        <w:rPr>
          <w:sz w:val="20"/>
          <w:szCs w:val="20"/>
          <w:color w:val="auto"/>
        </w:rPr>
      </w:pPr>
    </w:p>
    <w:p>
      <w:pPr>
        <w:ind w:right="20" w:firstLine="48"/>
        <w:spacing w:after="0" w:line="260" w:lineRule="auto"/>
        <w:rPr>
          <w:sz w:val="20"/>
          <w:szCs w:val="20"/>
          <w:color w:val="auto"/>
        </w:rPr>
      </w:pPr>
      <w:r>
        <w:rPr>
          <w:rFonts w:ascii="Times New Roman" w:cs="Times New Roman" w:eastAsia="Times New Roman" w:hAnsi="Times New Roman"/>
          <w:sz w:val="19"/>
          <w:szCs w:val="19"/>
          <w:i w:val="1"/>
          <w:iCs w:val="1"/>
          <w:color w:val="auto"/>
        </w:rPr>
        <w:t>Section 15.8. Stay of Acceleration</w:t>
      </w:r>
      <w:r>
        <w:rPr>
          <w:rFonts w:ascii="Times New Roman" w:cs="Times New Roman" w:eastAsia="Times New Roman" w:hAnsi="Times New Roman"/>
          <w:sz w:val="19"/>
          <w:szCs w:val="19"/>
          <w:color w:val="auto"/>
        </w:rPr>
        <w:t>. If acceleration of the time for payment of any amount payable by the Borrower or other Loan Party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or other obligor under this Agreement or any other Transaction Document is stayed upon the insolvency, bankruptcy or reorganization of the Borrower or such other Loan Party or obligor, all such amounts otherwise subject to acceleration under the terms of this Agreement or the other Transaction Documents, shall nonetheless be payable by the Guarantors hereunder forthwith on demand by the Administrative Agent made at the request or otherwise with the consent of the Required Lenders.</w:t>
      </w:r>
    </w:p>
    <w:p>
      <w:pPr>
        <w:spacing w:after="0" w:line="173" w:lineRule="exact"/>
        <w:rPr>
          <w:sz w:val="20"/>
          <w:szCs w:val="20"/>
          <w:color w:val="auto"/>
        </w:rPr>
      </w:pPr>
    </w:p>
    <w:p>
      <w:pPr>
        <w:ind w:firstLine="48"/>
        <w:spacing w:after="0" w:line="255" w:lineRule="auto"/>
        <w:rPr>
          <w:sz w:val="20"/>
          <w:szCs w:val="20"/>
          <w:color w:val="auto"/>
        </w:rPr>
      </w:pPr>
      <w:r>
        <w:rPr>
          <w:rFonts w:ascii="Times New Roman" w:cs="Times New Roman" w:eastAsia="Times New Roman" w:hAnsi="Times New Roman"/>
          <w:sz w:val="19"/>
          <w:szCs w:val="19"/>
          <w:i w:val="1"/>
          <w:iCs w:val="1"/>
          <w:color w:val="auto"/>
        </w:rPr>
        <w:t>Section 15.9. Benefit to Guarantors</w:t>
      </w:r>
      <w:r>
        <w:rPr>
          <w:rFonts w:ascii="Times New Roman" w:cs="Times New Roman" w:eastAsia="Times New Roman" w:hAnsi="Times New Roman"/>
          <w:sz w:val="19"/>
          <w:szCs w:val="19"/>
          <w:color w:val="auto"/>
        </w:rPr>
        <w:t>. The Loan Parties are engaged in related businesses and integrated to such an extent that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financial strength and flexibility of the Borrower and the other Loan Parties has a direct impact on the success of each other Loan Party. Each Guarantor will derive substantial direct and indirect benefit from the extensions of credit hereunder, and each Guarantor acknowledges that this guarantee is necessary or convenient to the conduct, promotion and attainment of its business. Each Guarantor represents that it (i) has all necessary power and authority and legal right to (A) execute and deliver this Agreement, (B) carry out the terms of the Agreement applicable to it and (C) grant Liens in the Collateral and (ii) has duly authorized by all necessary corporate action the execution, delivery and performance of this Agreement to which it is a party and the Lien in the Collateral on the terms and conditions herein provided.</w:t>
      </w:r>
    </w:p>
    <w:p>
      <w:pPr>
        <w:spacing w:after="0" w:line="184" w:lineRule="exact"/>
        <w:rPr>
          <w:sz w:val="20"/>
          <w:szCs w:val="20"/>
          <w:color w:val="auto"/>
        </w:rPr>
      </w:pPr>
    </w:p>
    <w:p>
      <w:pPr>
        <w:ind w:right="300" w:firstLine="48"/>
        <w:spacing w:after="0" w:line="257" w:lineRule="auto"/>
        <w:rPr>
          <w:sz w:val="20"/>
          <w:szCs w:val="20"/>
          <w:color w:val="auto"/>
        </w:rPr>
      </w:pPr>
      <w:r>
        <w:rPr>
          <w:rFonts w:ascii="Times New Roman" w:cs="Times New Roman" w:eastAsia="Times New Roman" w:hAnsi="Times New Roman"/>
          <w:sz w:val="19"/>
          <w:szCs w:val="19"/>
          <w:i w:val="1"/>
          <w:iCs w:val="1"/>
          <w:color w:val="auto"/>
        </w:rPr>
        <w:t>Section 15.10. Amendment and Restatement</w:t>
      </w:r>
      <w:r>
        <w:rPr>
          <w:rFonts w:ascii="Times New Roman" w:cs="Times New Roman" w:eastAsia="Times New Roman" w:hAnsi="Times New Roman"/>
          <w:sz w:val="19"/>
          <w:szCs w:val="19"/>
          <w:color w:val="auto"/>
        </w:rPr>
        <w:t>. This Agreement shall become effective on the Restatement Effective Date and shall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supersede all provisions of the Existing Credit Agreement as of such date and the Existing Credit Agreement shall thereafter be of no further force and effect, except to evidence (i) the incurrence by the Borrower of the obligations under the Existing Credit Agreement (whether or not such obligations are contingent as of the Restatement Effective Date),</w:t>
      </w: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149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19" w:name="page320"/>
    <w:bookmarkEnd w:id="319"/>
    <w:p>
      <w:pPr>
        <w:spacing w:after="0" w:line="200" w:lineRule="exact"/>
        <w:rPr>
          <w:sz w:val="20"/>
          <w:szCs w:val="20"/>
          <w:color w:val="auto"/>
        </w:rPr>
      </w:pPr>
    </w:p>
    <w:p>
      <w:pPr>
        <w:spacing w:after="0" w:line="285" w:lineRule="exact"/>
        <w:rPr>
          <w:sz w:val="20"/>
          <w:szCs w:val="20"/>
          <w:color w:val="auto"/>
        </w:rPr>
      </w:pPr>
    </w:p>
    <w:p>
      <w:pPr>
        <w:ind w:firstLine="6"/>
        <w:spacing w:after="0" w:line="253" w:lineRule="auto"/>
        <w:tabs>
          <w:tab w:leader="none" w:pos="282" w:val="left"/>
        </w:tabs>
        <w:numPr>
          <w:ilvl w:val="0"/>
          <w:numId w:val="1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made by the Borrower prior to the Restatement Effective Date and (iii) any action or omission performed or required to be performed pursuant to such Existing Credit Agreement prior to the Restatement Effective Date. From and after the Restatement Effective Date all references made to the Existing Credit Agreement in any Transaction Document or in any other instrument or document shall, without further action, be deemed to refer to this Agreement. This Agreement amends and restates the Existing Credit Agreement and is not intended to be or operate as a novation or an accord and satisfaction of the Existing Credit Agreement or the obligations and liabilities of the Borrower evidenced or provided for thereunder. Without limiting the generality of the foregoing, the Borrower agrees that notwithstanding the execution and delivery of this Agreement, the security interest, lien, collateral security or supporting obligations previously granted to the Administrative Agent in its individual capacity pursuant to the Transaction Documents shall be and remain in full force and effect and that any rights and remedies of the Administrative Agent in its individual capacity thereunder and obligations of the Borrower thereunder shall be and remain in full force and effect, shall not be affected, impaired or discharged thereby and shall secure all of the Borrower’s Obligations and liabilities to Administrative Agent and the Lenders under the Existing Credit Agreement as amended and restated hereby. Without limiting the foregoing, the parties to this Agreement hereby acknowledge and agree that the “Credit Agreement” referred to in the Transaction Documents shall from and after the date hereof be deemed references to this Agreement.</w:t>
      </w:r>
    </w:p>
    <w:p>
      <w:pPr>
        <w:spacing w:after="0" w:line="2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[Signature Pages to Follow]</w:t>
      </w:r>
    </w:p>
    <w:p>
      <w:pPr>
        <w:spacing w:after="0" w:line="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150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6732905"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320" w:name="page321"/>
    <w:bookmarkEnd w:id="320"/>
    <w:p>
      <w:pPr>
        <w:spacing w:after="0" w:line="200" w:lineRule="exact"/>
        <w:rPr>
          <w:sz w:val="20"/>
          <w:szCs w:val="20"/>
          <w:color w:val="auto"/>
        </w:rPr>
      </w:pPr>
    </w:p>
    <w:p>
      <w:pPr>
        <w:spacing w:after="0" w:line="285" w:lineRule="exact"/>
        <w:rPr>
          <w:sz w:val="20"/>
          <w:szCs w:val="20"/>
          <w:color w:val="auto"/>
        </w:rPr>
      </w:pPr>
    </w:p>
    <w:p>
      <w:pPr>
        <w:ind w:right="4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have caused this Agreement to be executed by their respective officers thereunto duly authorized, as of the date first above written.</w:t>
      </w:r>
    </w:p>
    <w:p>
      <w:pPr>
        <w:spacing w:after="0" w:line="1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Borrower:</w:t>
      </w:r>
    </w:p>
    <w:p>
      <w:pPr>
        <w:spacing w:after="0" w:line="2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Runway Growth Finance Corp.</w:t>
      </w:r>
    </w:p>
    <w:p>
      <w:pPr>
        <w:spacing w:after="0" w:line="23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205 N. Michigan Ave., Suite 4200</w:t>
      </w:r>
    </w:p>
    <w:p>
      <w:pPr>
        <w:spacing w:after="0" w:line="3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Chicago, Illinois 60601</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Attention:</w:t>
      </w:r>
    </w:p>
    <w:p>
      <w:pPr>
        <w:spacing w:after="0" w:line="1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Facsimile No.:</w:t>
      </w:r>
    </w:p>
    <w:p>
      <w:pPr>
        <w:spacing w:after="0" w:line="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auto"/>
        </w:rPr>
        <w:t>Telephone No.:</w:t>
      </w:r>
    </w:p>
    <w:p>
      <w:pPr>
        <w:spacing w:after="0" w:line="16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656590</wp:posOffset>
            </wp:positionV>
            <wp:extent cx="6732905" cy="406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321" w:name="page322"/>
    <w:bookmarkEnd w:id="321"/>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Paying Agent:</w:t>
      </w:r>
    </w:p>
    <w:p>
      <w:pPr>
        <w:spacing w:after="0" w:line="22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9"/>
          <w:szCs w:val="19"/>
          <w:color w:val="auto"/>
        </w:rPr>
        <w:t>U.S. Bank Trust Company,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Global Corporate Trust</w:t>
      </w:r>
    </w:p>
    <w:p>
      <w:pPr>
        <w:ind w:left="3560"/>
        <w:spacing w:after="0" w:line="208" w:lineRule="auto"/>
        <w:rPr>
          <w:sz w:val="20"/>
          <w:szCs w:val="20"/>
          <w:color w:val="auto"/>
        </w:rPr>
      </w:pPr>
      <w:r>
        <w:rPr>
          <w:rFonts w:ascii="Times New Roman" w:cs="Times New Roman" w:eastAsia="Times New Roman" w:hAnsi="Times New Roman"/>
          <w:sz w:val="19"/>
          <w:szCs w:val="19"/>
          <w:color w:val="auto"/>
        </w:rPr>
        <w:t>One Federal Street,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Boston, Massachusetts 02110</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Reference: Runway Growth Finance Corp.</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Attention: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E-Mail:</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Collateral Custodian:</w:t>
      </w:r>
    </w:p>
    <w:p>
      <w:pPr>
        <w:spacing w:after="0" w:line="226"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9"/>
          <w:szCs w:val="19"/>
          <w:color w:val="auto"/>
        </w:rPr>
        <w:t>U.S. Bank Trust Company,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Global Corporate Trust</w:t>
      </w:r>
    </w:p>
    <w:p>
      <w:pPr>
        <w:ind w:left="3560"/>
        <w:spacing w:after="0" w:line="208" w:lineRule="auto"/>
        <w:rPr>
          <w:sz w:val="20"/>
          <w:szCs w:val="20"/>
          <w:color w:val="auto"/>
        </w:rPr>
      </w:pPr>
      <w:r>
        <w:rPr>
          <w:rFonts w:ascii="Times New Roman" w:cs="Times New Roman" w:eastAsia="Times New Roman" w:hAnsi="Times New Roman"/>
          <w:sz w:val="19"/>
          <w:szCs w:val="19"/>
          <w:color w:val="auto"/>
        </w:rPr>
        <w:t>One Federal Street,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9"/>
          <w:szCs w:val="19"/>
          <w:color w:val="auto"/>
        </w:rPr>
        <w:t xml:space="preserve"> Floor</w:t>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Boston, Massachusetts 02110</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Reference: Runway Growth Finance Corp.</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Attention: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E-Mail:</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2" w:name="page323"/>
    <w:bookmarkEnd w:id="322"/>
    <w:p>
      <w:pPr>
        <w:spacing w:after="0" w:line="2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KeyBank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1000 McCaslin Boulevard</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Superior, Colorado 80027</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Richard Andersen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(720) 304-1247</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Fax: (216) 370-9166</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Lender for the KeyBank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FF0000"/>
          <w:strike w:val="1"/>
        </w:rPr>
        <w:t>Commitment: $75,000,000</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1000 McCaslin Boulevard</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Superior, Colorado 80027</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Richard Andersen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(720) 304-1247</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Fax: (216) 370-9166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3" w:name="page324"/>
    <w:bookmarkEnd w:id="323"/>
    <w:p>
      <w:pPr>
        <w:spacing w:after="0" w:line="2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Administrative Agent:</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1000 McCaslin Boulevard</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Superior, Colorado 80027</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Richard Andersen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(720) 304-1247</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Fax: (216) 370-9166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4" w:name="page325"/>
    <w:bookmarkEnd w:id="324"/>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Managing Agent for the CIBC Bank USA Lender Group:</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 xml:space="preserve">CIBC </w:t>
      </w:r>
      <w:r>
        <w:rPr>
          <w:rFonts w:ascii="Times New Roman" w:cs="Times New Roman" w:eastAsia="Times New Roman" w:hAnsi="Times New Roman"/>
          <w:sz w:val="19"/>
          <w:szCs w:val="19"/>
          <w:color w:val="FF0000"/>
          <w:strike w:val="1"/>
        </w:rPr>
        <w:t>BANK</w:t>
      </w:r>
      <w:r>
        <w:rPr>
          <w:rFonts w:ascii="Times New Roman" w:cs="Times New Roman" w:eastAsia="Times New Roman" w:hAnsi="Times New Roman"/>
          <w:sz w:val="19"/>
          <w:szCs w:val="19"/>
          <w:color w:val="0000FF"/>
        </w:rPr>
        <w:t>Bank</w:t>
      </w:r>
      <w:r>
        <w:rPr>
          <w:rFonts w:ascii="Times New Roman" w:cs="Times New Roman" w:eastAsia="Times New Roman" w:hAnsi="Times New Roman"/>
          <w:sz w:val="19"/>
          <w:szCs w:val="19"/>
          <w:color w:val="auto"/>
        </w:rPr>
        <w:t xml:space="preserve"> USA</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Fax:</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 xml:space="preserve">Lender for the CIBC </w:t>
      </w:r>
      <w:r>
        <w:rPr>
          <w:rFonts w:ascii="Times New Roman" w:cs="Times New Roman" w:eastAsia="Times New Roman" w:hAnsi="Times New Roman"/>
          <w:sz w:val="19"/>
          <w:szCs w:val="19"/>
          <w:color w:val="FF0000"/>
          <w:strike w:val="1"/>
        </w:rPr>
        <w:t>BANK</w:t>
      </w:r>
      <w:r>
        <w:rPr>
          <w:rFonts w:ascii="Times New Roman" w:cs="Times New Roman" w:eastAsia="Times New Roman" w:hAnsi="Times New Roman"/>
          <w:sz w:val="19"/>
          <w:szCs w:val="19"/>
          <w:color w:val="0000FF"/>
        </w:rPr>
        <w:t>Bank</w:t>
      </w:r>
      <w:r>
        <w:rPr>
          <w:rFonts w:ascii="Times New Roman" w:cs="Times New Roman" w:eastAsia="Times New Roman" w:hAnsi="Times New Roman"/>
          <w:sz w:val="19"/>
          <w:szCs w:val="19"/>
          <w:color w:val="auto"/>
        </w:rPr>
        <w:t xml:space="preserve"> USA Lender Group:</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 xml:space="preserve">CIBC </w:t>
      </w:r>
      <w:r>
        <w:rPr>
          <w:rFonts w:ascii="Times New Roman" w:cs="Times New Roman" w:eastAsia="Times New Roman" w:hAnsi="Times New Roman"/>
          <w:sz w:val="19"/>
          <w:szCs w:val="19"/>
          <w:color w:val="FF0000"/>
          <w:strike w:val="1"/>
        </w:rPr>
        <w:t>BANK</w:t>
      </w:r>
      <w:r>
        <w:rPr>
          <w:rFonts w:ascii="Times New Roman" w:cs="Times New Roman" w:eastAsia="Times New Roman" w:hAnsi="Times New Roman"/>
          <w:sz w:val="19"/>
          <w:szCs w:val="19"/>
          <w:color w:val="0000FF"/>
        </w:rPr>
        <w:t>Bank</w:t>
      </w:r>
      <w:r>
        <w:rPr>
          <w:rFonts w:ascii="Times New Roman" w:cs="Times New Roman" w:eastAsia="Times New Roman" w:hAnsi="Times New Roman"/>
          <w:sz w:val="19"/>
          <w:szCs w:val="19"/>
          <w:color w:val="auto"/>
        </w:rPr>
        <w:t xml:space="preserve"> USA</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FF0000"/>
          <w:strike w:val="1"/>
        </w:rPr>
        <w:t>Commitment: $75,000,000</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Fax: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5" w:name="page326"/>
    <w:bookmarkEnd w:id="325"/>
    <w:p>
      <w:pPr>
        <w:spacing w:after="0" w:line="200" w:lineRule="exact"/>
        <w:rPr>
          <w:sz w:val="20"/>
          <w:szCs w:val="20"/>
          <w:color w:val="auto"/>
        </w:rPr>
      </w:pPr>
    </w:p>
    <w:p>
      <w:pPr>
        <w:spacing w:after="0" w:line="285"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9"/>
          <w:szCs w:val="19"/>
          <w:color w:val="auto"/>
        </w:rPr>
        <w:t>Managing Agent for the MUFG Bank, Ltd. Lender Group:</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MUFG Bank, Ltd.</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15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 xml:space="preserve">Address: </w:t>
      </w:r>
      <w:r>
        <w:rPr>
          <w:rFonts w:ascii="Times New Roman" w:cs="Times New Roman" w:eastAsia="Times New Roman" w:hAnsi="Times New Roman"/>
          <w:sz w:val="19"/>
          <w:szCs w:val="19"/>
          <w:color w:val="FF0000"/>
          <w:strike w:val="1"/>
        </w:rPr>
        <w:t>1221 Broadway, 8</w:t>
      </w:r>
      <w:r>
        <w:rPr>
          <w:rFonts w:ascii="Times New Roman" w:cs="Times New Roman" w:eastAsia="Times New Roman" w:hAnsi="Times New Roman"/>
          <w:sz w:val="26"/>
          <w:szCs w:val="26"/>
          <w:color w:val="FF0000"/>
          <w:strike w:val="1"/>
          <w:vertAlign w:val="superscript"/>
        </w:rPr>
        <w:t>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Floor</w:t>
      </w:r>
    </w:p>
    <w:p>
      <w:pPr>
        <w:ind w:left="3800"/>
        <w:spacing w:after="0"/>
        <w:rPr>
          <w:sz w:val="20"/>
          <w:szCs w:val="20"/>
          <w:color w:val="auto"/>
        </w:rPr>
      </w:pPr>
      <w:r>
        <w:rPr>
          <w:rFonts w:ascii="Times New Roman" w:cs="Times New Roman" w:eastAsia="Times New Roman" w:hAnsi="Times New Roman"/>
          <w:sz w:val="19"/>
          <w:szCs w:val="19"/>
          <w:color w:val="FF0000"/>
          <w:strike w:val="1"/>
        </w:rPr>
        <w:t>Oakland, CA 94612</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350 California Street</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San Francisco, CA 94104</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J. William Bloore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w:t>
      </w:r>
      <w:r>
        <w:rPr>
          <w:rFonts w:ascii="Times New Roman" w:cs="Times New Roman" w:eastAsia="Times New Roman" w:hAnsi="Times New Roman"/>
          <w:sz w:val="19"/>
          <w:szCs w:val="19"/>
          <w:color w:val="FF0000"/>
          <w:strike w:val="1"/>
        </w:rPr>
        <w:t>408</w:t>
      </w:r>
      <w:r>
        <w:rPr>
          <w:rFonts w:ascii="Times New Roman" w:cs="Times New Roman" w:eastAsia="Times New Roman" w:hAnsi="Times New Roman"/>
          <w:sz w:val="19"/>
          <w:szCs w:val="19"/>
          <w:color w:val="0000FF"/>
        </w:rPr>
        <w:t>415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279-7719</w:t>
      </w:r>
      <w:r>
        <w:rPr>
          <w:rFonts w:ascii="Times New Roman" w:cs="Times New Roman" w:eastAsia="Times New Roman" w:hAnsi="Times New Roman"/>
          <w:sz w:val="19"/>
          <w:szCs w:val="19"/>
          <w:color w:val="0000FF"/>
        </w:rPr>
        <w:t>705-7123</w:t>
      </w:r>
    </w:p>
    <w:p>
      <w:pPr>
        <w:spacing w:after="0" w:line="20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Lender for the MUFG Bank, Ltd. Lender Group:</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MUFG Bank, Ltd.</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FF0000"/>
          <w:strike w:val="1"/>
        </w:rPr>
        <w:t>Commitment: $50,000,000</w:t>
      </w:r>
    </w:p>
    <w:p>
      <w:pPr>
        <w:spacing w:after="0" w:line="17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 xml:space="preserve">Address: </w:t>
      </w:r>
      <w:r>
        <w:rPr>
          <w:rFonts w:ascii="Times New Roman" w:cs="Times New Roman" w:eastAsia="Times New Roman" w:hAnsi="Times New Roman"/>
          <w:sz w:val="19"/>
          <w:szCs w:val="19"/>
          <w:color w:val="FF0000"/>
          <w:strike w:val="1"/>
        </w:rPr>
        <w:t>1221 Broadway, 8</w:t>
      </w:r>
      <w:r>
        <w:rPr>
          <w:rFonts w:ascii="Times New Roman" w:cs="Times New Roman" w:eastAsia="Times New Roman" w:hAnsi="Times New Roman"/>
          <w:sz w:val="26"/>
          <w:szCs w:val="26"/>
          <w:color w:val="FF0000"/>
          <w:strike w:val="1"/>
          <w:vertAlign w:val="superscript"/>
        </w:rPr>
        <w:t>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Floor</w:t>
      </w:r>
    </w:p>
    <w:p>
      <w:pPr>
        <w:ind w:left="3800"/>
        <w:spacing w:after="0"/>
        <w:rPr>
          <w:sz w:val="20"/>
          <w:szCs w:val="20"/>
          <w:color w:val="auto"/>
        </w:rPr>
      </w:pPr>
      <w:r>
        <w:rPr>
          <w:rFonts w:ascii="Times New Roman" w:cs="Times New Roman" w:eastAsia="Times New Roman" w:hAnsi="Times New Roman"/>
          <w:sz w:val="19"/>
          <w:szCs w:val="19"/>
          <w:color w:val="FF0000"/>
          <w:strike w:val="1"/>
        </w:rPr>
        <w:t>Oakland, CA 94612</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350 California Street</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San Francisco, CA 94104</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J. William Bloore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w:t>
      </w:r>
      <w:r>
        <w:rPr>
          <w:rFonts w:ascii="Times New Roman" w:cs="Times New Roman" w:eastAsia="Times New Roman" w:hAnsi="Times New Roman"/>
          <w:sz w:val="19"/>
          <w:szCs w:val="19"/>
          <w:color w:val="FF0000"/>
          <w:strike w:val="1"/>
        </w:rPr>
        <w:t>408</w:t>
      </w:r>
      <w:r>
        <w:rPr>
          <w:rFonts w:ascii="Times New Roman" w:cs="Times New Roman" w:eastAsia="Times New Roman" w:hAnsi="Times New Roman"/>
          <w:sz w:val="19"/>
          <w:szCs w:val="19"/>
          <w:color w:val="0000FF"/>
        </w:rPr>
        <w:t>415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279-7719</w:t>
      </w:r>
      <w:r>
        <w:rPr>
          <w:rFonts w:ascii="Times New Roman" w:cs="Times New Roman" w:eastAsia="Times New Roman" w:hAnsi="Times New Roman"/>
          <w:sz w:val="19"/>
          <w:szCs w:val="19"/>
          <w:color w:val="0000FF"/>
        </w:rPr>
        <w:t>705-7123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6" w:name="page327"/>
    <w:bookmarkEnd w:id="326"/>
    <w:p>
      <w:pPr>
        <w:spacing w:after="0" w:line="200" w:lineRule="exact"/>
        <w:rPr>
          <w:sz w:val="20"/>
          <w:szCs w:val="20"/>
          <w:color w:val="auto"/>
        </w:rPr>
      </w:pPr>
    </w:p>
    <w:p>
      <w:pPr>
        <w:spacing w:after="0" w:line="285"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9"/>
          <w:szCs w:val="19"/>
          <w:color w:val="auto"/>
        </w:rPr>
        <w:t>Managing Agent for the Bank of Hope Lender Group:</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Bank of Hope</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3731 Wilshire Blvd., Suite 460</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Los Angeles, CA 90010</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Peter Hennessy</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(213) 427-6374 | Ext. 56374</w:t>
      </w:r>
    </w:p>
    <w:p>
      <w:pPr>
        <w:spacing w:after="0" w:line="20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Lender for the Bank of Hope Lender Group:</w:t>
      </w:r>
    </w:p>
    <w:p>
      <w:pPr>
        <w:spacing w:after="0" w:line="22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Bank of Hope</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FF0000"/>
          <w:strike w:val="1"/>
        </w:rPr>
        <w:t>Commitment: $25,000,000</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3731 Wilshire Blvd., Suite 460</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Los Angeles, CA 90010</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Attn: Peter Hennessy</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Phone: (213) 427-6374 | Ext. 56374</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643890</wp:posOffset>
            </wp:positionV>
            <wp:extent cx="6732905" cy="406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7" w:name="page328"/>
    <w:bookmarkEnd w:id="327"/>
    <w:p>
      <w:pPr>
        <w:spacing w:after="0" w:line="200" w:lineRule="exact"/>
        <w:rPr>
          <w:sz w:val="20"/>
          <w:szCs w:val="20"/>
          <w:color w:val="auto"/>
        </w:rPr>
      </w:pPr>
    </w:p>
    <w:p>
      <w:pPr>
        <w:spacing w:after="0" w:line="285"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9"/>
          <w:szCs w:val="19"/>
          <w:color w:val="auto"/>
        </w:rPr>
        <w:t>Managing Agent for the First Foundation Bank Lender Group:</w:t>
      </w:r>
    </w:p>
    <w:p>
      <w:pPr>
        <w:spacing w:after="0" w:line="2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First Foundation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6725 Via Austi Parkway, Suite 100</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Las Vegas, NV 89119</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Aric Graham</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(702) 851-4807</w:t>
      </w:r>
    </w:p>
    <w:p>
      <w:pPr>
        <w:spacing w:after="0" w:line="20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9"/>
          <w:szCs w:val="19"/>
          <w:color w:val="auto"/>
        </w:rPr>
        <w:t>Lender for the First Foundation Bank Lender Group:</w:t>
      </w:r>
    </w:p>
    <w:p>
      <w:pPr>
        <w:spacing w:after="0" w:line="2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color w:val="auto"/>
        </w:rPr>
        <w:t>First Foundation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FF0000"/>
          <w:strike w:val="1"/>
        </w:rPr>
        <w:t>Commitment: $25,000,000</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6725 Via Austi Parkway, Suite 100</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Las Vegas, NV 89119</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Aric Graham</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(702) 851-4807</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8" w:name="page329"/>
    <w:bookmarkEnd w:id="328"/>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Managing Agent for the Everbank,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Everbank, N.A.</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Everbank, N.A.</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10000 Midatlantic Drive</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Suite 400 East</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Mount Laurel, New Jersey 08054</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Attn: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Fax:</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Everbank,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Everbank, N.A.</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Everbank, N.A.</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10000 Midatlantic Drive</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Suite 400 East</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Mount Laurel, New Jersey 08054</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Attn: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Fax: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29" w:name="page330"/>
    <w:bookmarkEnd w:id="329"/>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Managing Agent for the WebBank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WebBank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P.O. Box 757</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Portsmouth, NH 03802</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Credit Administration</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(801) 456-8350</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 xml:space="preserve">Email: </w:t>
      </w:r>
      <w:r>
        <w:rPr>
          <w:rFonts w:ascii="Times New Roman" w:cs="Times New Roman" w:eastAsia="Times New Roman" w:hAnsi="Times New Roman"/>
          <w:sz w:val="19"/>
          <w:szCs w:val="19"/>
          <w:color w:val="000000"/>
        </w:rPr>
        <w:t>FinOps@WebBank.com</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WebBank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WebBank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P.O. Box 757</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Portsmouth, NH 03802</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Credit Administration</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(801) 456-8350</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 xml:space="preserve">Email: </w:t>
      </w:r>
      <w:r>
        <w:rPr>
          <w:rFonts w:ascii="Times New Roman" w:cs="Times New Roman" w:eastAsia="Times New Roman" w:hAnsi="Times New Roman"/>
          <w:sz w:val="19"/>
          <w:szCs w:val="19"/>
          <w:color w:val="000000"/>
        </w:rPr>
        <w:t>FinOps@WebBank.com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30" w:name="page331"/>
    <w:bookmarkEnd w:id="330"/>
    <w:p>
      <w:pPr>
        <w:spacing w:after="0" w:line="200" w:lineRule="exact"/>
        <w:rPr>
          <w:sz w:val="20"/>
          <w:szCs w:val="20"/>
          <w:color w:val="auto"/>
        </w:rPr>
      </w:pPr>
    </w:p>
    <w:p>
      <w:pPr>
        <w:spacing w:after="0" w:line="285" w:lineRule="exact"/>
        <w:rPr>
          <w:sz w:val="20"/>
          <w:szCs w:val="20"/>
          <w:color w:val="auto"/>
        </w:rPr>
      </w:pPr>
    </w:p>
    <w:p>
      <w:pPr>
        <w:jc w:val="right"/>
        <w:ind w:right="1180"/>
        <w:spacing w:after="0"/>
        <w:rPr>
          <w:sz w:val="20"/>
          <w:szCs w:val="20"/>
          <w:color w:val="auto"/>
        </w:rPr>
      </w:pPr>
      <w:r>
        <w:rPr>
          <w:rFonts w:ascii="Times New Roman" w:cs="Times New Roman" w:eastAsia="Times New Roman" w:hAnsi="Times New Roman"/>
          <w:sz w:val="19"/>
          <w:szCs w:val="19"/>
          <w:color w:val="0000FF"/>
        </w:rPr>
        <w:t>Managing Agent for the East West Bank Lender Group:</w:t>
      </w:r>
    </w:p>
    <w:p>
      <w:pPr>
        <w:spacing w:after="0" w:line="2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0000FF"/>
        </w:rPr>
        <w:t>East West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222 West Adams Street</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Suite 1980</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Chicago, Illinois 60606</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Attn: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Fax:</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East West Bank Lender Group:</w:t>
      </w:r>
    </w:p>
    <w:p>
      <w:pPr>
        <w:spacing w:after="0" w:line="22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0000FF"/>
        </w:rPr>
        <w:t>East West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222 West Adams Street</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Suite 1980</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Chicago, Illinois 60606</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Attn: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Fax: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31" w:name="page332"/>
    <w:bookmarkEnd w:id="331"/>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Managing Agent for the Zions Bancorporation,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Zions Bancorporation, N.A.</w:t>
      </w:r>
    </w:p>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0000FF"/>
        </w:rPr>
        <w:t>d/b/a California Bank &amp; Trust</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1801 Main Street</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Houston, Texas 77002</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Attn: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Fax:</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E-mail: CBTSpecial.Processing@zionsbancorp.com</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Zions Bancorporation, N.A. Lender Group:</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Zions Bancorporation, N.A.</w:t>
      </w:r>
    </w:p>
    <w:p>
      <w:pPr>
        <w:spacing w:after="0" w:line="3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9"/>
          <w:szCs w:val="19"/>
          <w:color w:val="0000FF"/>
        </w:rPr>
        <w:t>d/b/a California Bank &amp; Trust</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1801 Main Street</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Houston, Texas 77002</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Attn:</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Fax:</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E-mail: CBTSpecial.Processing@zionsbancorp.com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32" w:name="page333"/>
    <w:bookmarkEnd w:id="332"/>
    <w:p>
      <w:pPr>
        <w:spacing w:after="0" w:line="200" w:lineRule="exact"/>
        <w:rPr>
          <w:sz w:val="20"/>
          <w:szCs w:val="20"/>
          <w:color w:val="auto"/>
        </w:rPr>
      </w:pPr>
    </w:p>
    <w:p>
      <w:pPr>
        <w:spacing w:after="0" w:line="285" w:lineRule="exact"/>
        <w:rPr>
          <w:sz w:val="20"/>
          <w:szCs w:val="20"/>
          <w:color w:val="auto"/>
        </w:rPr>
      </w:pPr>
    </w:p>
    <w:p>
      <w:pPr>
        <w:jc w:val="right"/>
        <w:ind w:right="540"/>
        <w:spacing w:after="0"/>
        <w:rPr>
          <w:sz w:val="20"/>
          <w:szCs w:val="20"/>
          <w:color w:val="auto"/>
        </w:rPr>
      </w:pPr>
      <w:r>
        <w:rPr>
          <w:rFonts w:ascii="Times New Roman" w:cs="Times New Roman" w:eastAsia="Times New Roman" w:hAnsi="Times New Roman"/>
          <w:sz w:val="19"/>
          <w:szCs w:val="19"/>
          <w:color w:val="0000FF"/>
        </w:rPr>
        <w:t>Managing Agent for the Hancock Whitney Bank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Hancock Whitney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Thomas Pericak</w:t>
      </w:r>
    </w:p>
    <w:p>
      <w:pPr>
        <w:spacing w:after="0" w:line="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0000FF"/>
        </w:rPr>
        <w:t>Director – Capital Markets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Cell: (720) 933-0888</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Email: Thomas.pericak@hancockwhitney.com</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Hancock Whitney Bank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Hancock Whitney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Thomas Pericak</w:t>
      </w:r>
    </w:p>
    <w:p>
      <w:pPr>
        <w:spacing w:after="0" w:line="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0000FF"/>
        </w:rPr>
        <w:t>Director – Capital Markets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Cell: (720) 933-0888</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Email: Thomas.pericak@hancockwhitney.com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33" w:name="page334"/>
    <w:bookmarkEnd w:id="333"/>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0000FF"/>
        </w:rPr>
        <w:t>Managing Agent for the Mitsubishi HC Capital America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Mitsubishi HC Capital America</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800 Connecticut Avenue, 4N</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Norwalk, Connecticut 06854</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Tom Bayer</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0000FF"/>
        </w:rPr>
        <w:t>Origination Leader, Syndications</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0000FF"/>
        </w:rPr>
        <w:t>Business Finance</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(203) 956-3249</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TBayer@mhccna.com</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Mitsubishi HC Capital America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Mitsubishi HC Capital America</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800 Connecticut Avenue, 4N</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Norwalk, Connecticut 06854</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Tom Bayer</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0000FF"/>
        </w:rPr>
        <w:t>Origination Leader, Syndications</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0000FF"/>
        </w:rPr>
        <w:t>Business Finance</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(203) 956-3249</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TBayer@mhccna.com</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60"/>
          </w:cols>
          <w:pgMar w:left="1440" w:top="1440" w:right="1400" w:bottom="1440" w:gutter="0" w:footer="0" w:header="0"/>
        </w:sectPr>
      </w:pPr>
    </w:p>
    <w:bookmarkStart w:id="334" w:name="page335"/>
    <w:bookmarkEnd w:id="334"/>
    <w:p>
      <w:pPr>
        <w:spacing w:after="0" w:line="200" w:lineRule="exact"/>
        <w:rPr>
          <w:sz w:val="20"/>
          <w:szCs w:val="20"/>
          <w:color w:val="auto"/>
        </w:rPr>
      </w:pPr>
    </w:p>
    <w:p>
      <w:pPr>
        <w:spacing w:after="0" w:line="285"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9"/>
          <w:szCs w:val="19"/>
          <w:color w:val="0000FF"/>
        </w:rPr>
        <w:t>Managing Agent for the Customers Bank Lender Group:</w:t>
      </w: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0000FF"/>
        </w:rPr>
        <w:t>Customers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40 General Warren Blvd</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Malvern, Pennsylvania 19355</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S. Scott Gates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(484) 302-3044</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CustomersbankSF@customersbank.com</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Customers Bank Lender Group:</w:t>
      </w: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9"/>
          <w:szCs w:val="19"/>
          <w:color w:val="0000FF"/>
        </w:rPr>
        <w:t>Customers Bank</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40 General Warren Blvd</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Malvern, Pennsylvania 19355</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S. Scott Gates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(484) 302-3044</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CustomersbankSF@customersbank.com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35" w:name="page336"/>
    <w:bookmarkEnd w:id="335"/>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Managing Agent for the Autobahn Funding Company LLC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Autobahn Funding Company LLC</w:t>
      </w:r>
    </w:p>
    <w:p>
      <w:pPr>
        <w:spacing w:after="0" w:line="226" w:lineRule="exact"/>
        <w:rPr>
          <w:sz w:val="20"/>
          <w:szCs w:val="20"/>
          <w:color w:val="auto"/>
        </w:rPr>
      </w:pPr>
    </w:p>
    <w:p>
      <w:pPr>
        <w:ind w:left="4320" w:hanging="1019"/>
        <w:spacing w:after="0" w:line="286" w:lineRule="auto"/>
        <w:rPr>
          <w:sz w:val="20"/>
          <w:szCs w:val="20"/>
          <w:color w:val="auto"/>
        </w:rPr>
      </w:pPr>
      <w:r>
        <w:rPr>
          <w:rFonts w:ascii="Times New Roman" w:cs="Times New Roman" w:eastAsia="Times New Roman" w:hAnsi="Times New Roman"/>
          <w:sz w:val="19"/>
          <w:szCs w:val="19"/>
          <w:color w:val="0000FF"/>
        </w:rPr>
        <w:t>By: DZ Bank AG Deutsche Zentral-Genossenschaftsbank, Frankfurt Am Main, New York Branch, as its attorney-in-fact</w:t>
      </w:r>
    </w:p>
    <w:p>
      <w:pPr>
        <w:spacing w:after="0" w:line="38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Autobahn Funding Company LLC</w:t>
      </w:r>
    </w:p>
    <w:p>
      <w:pPr>
        <w:spacing w:after="0" w:line="32" w:lineRule="exact"/>
        <w:rPr>
          <w:sz w:val="20"/>
          <w:szCs w:val="20"/>
          <w:color w:val="auto"/>
        </w:rPr>
      </w:pPr>
    </w:p>
    <w:p>
      <w:pPr>
        <w:ind w:left="3800" w:right="420"/>
        <w:spacing w:after="0" w:line="250" w:lineRule="auto"/>
        <w:rPr>
          <w:sz w:val="20"/>
          <w:szCs w:val="20"/>
          <w:color w:val="auto"/>
        </w:rPr>
      </w:pPr>
      <w:r>
        <w:rPr>
          <w:rFonts w:ascii="Times New Roman" w:cs="Times New Roman" w:eastAsia="Times New Roman" w:hAnsi="Times New Roman"/>
          <w:sz w:val="19"/>
          <w:szCs w:val="19"/>
          <w:color w:val="0000FF"/>
        </w:rPr>
        <w:t>c/o DZ Bank AG Deutsche Zentral-Genossenschaftsbank, Frankfurt AM Main, New York Branch</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One Vanderbilt Avenue, 49th Floor</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New York, NY, 10017</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Christian Haesslein and James Miers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(212) 745-1668; (212) 745 1672</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christian.haesslein@dzbank.de james.miers@dzbank.de</w:t>
      </w:r>
    </w:p>
    <w:p>
      <w:pPr>
        <w:spacing w:after="0" w:line="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643890</wp:posOffset>
            </wp:positionV>
            <wp:extent cx="6732905" cy="406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336" w:name="page337"/>
    <w:bookmarkEnd w:id="336"/>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Autobahn Funding Company LLC Lender Group:</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Autobahn Funding Company LLC</w:t>
      </w:r>
    </w:p>
    <w:p>
      <w:pPr>
        <w:spacing w:after="0" w:line="226" w:lineRule="exact"/>
        <w:rPr>
          <w:sz w:val="20"/>
          <w:szCs w:val="20"/>
          <w:color w:val="auto"/>
        </w:rPr>
      </w:pPr>
    </w:p>
    <w:p>
      <w:pPr>
        <w:ind w:left="4320" w:hanging="1031"/>
        <w:spacing w:after="0" w:line="286" w:lineRule="auto"/>
        <w:rPr>
          <w:sz w:val="20"/>
          <w:szCs w:val="20"/>
          <w:color w:val="auto"/>
        </w:rPr>
      </w:pPr>
      <w:r>
        <w:rPr>
          <w:rFonts w:ascii="Times New Roman" w:cs="Times New Roman" w:eastAsia="Times New Roman" w:hAnsi="Times New Roman"/>
          <w:sz w:val="19"/>
          <w:szCs w:val="19"/>
          <w:color w:val="0000FF"/>
        </w:rPr>
        <w:t>By: DZ Bank AG Deutsche Zentral-Genossenschaftsbank, Frankfurt Am Main, New York Branch, as its attorney-in-fact</w:t>
      </w:r>
    </w:p>
    <w:p>
      <w:pPr>
        <w:spacing w:after="0" w:line="200" w:lineRule="exact"/>
        <w:rPr>
          <w:sz w:val="20"/>
          <w:szCs w:val="20"/>
          <w:color w:val="auto"/>
        </w:rPr>
      </w:pPr>
    </w:p>
    <w:p>
      <w:pPr>
        <w:spacing w:after="0" w:line="24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Autobahn Funding Company LLC</w:t>
      </w:r>
    </w:p>
    <w:p>
      <w:pPr>
        <w:spacing w:after="0" w:line="32" w:lineRule="exact"/>
        <w:rPr>
          <w:sz w:val="20"/>
          <w:szCs w:val="20"/>
          <w:color w:val="auto"/>
        </w:rPr>
      </w:pPr>
    </w:p>
    <w:p>
      <w:pPr>
        <w:ind w:left="3800" w:right="400"/>
        <w:spacing w:after="0" w:line="250" w:lineRule="auto"/>
        <w:rPr>
          <w:sz w:val="20"/>
          <w:szCs w:val="20"/>
          <w:color w:val="auto"/>
        </w:rPr>
      </w:pPr>
      <w:r>
        <w:rPr>
          <w:rFonts w:ascii="Times New Roman" w:cs="Times New Roman" w:eastAsia="Times New Roman" w:hAnsi="Times New Roman"/>
          <w:sz w:val="19"/>
          <w:szCs w:val="19"/>
          <w:color w:val="0000FF"/>
        </w:rPr>
        <w:t>c/o DZ Bank AG Deutsche Zentral-Genossenschaftsbank, Frankfurt AM Main, New York Branch</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One Vanderbilt Avenue, 49th Floor</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New York, NY, 10017</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Christian Haesslein and James Miers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(212) 745-1668; (212) 745 1672</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christian.haesslein@dzbank.de james.miers@dzbank.de</w:t>
      </w:r>
    </w:p>
    <w:p>
      <w:pPr>
        <w:spacing w:after="0" w:line="16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337" w:name="page338"/>
    <w:bookmarkEnd w:id="337"/>
    <w:p>
      <w:pPr>
        <w:spacing w:after="0" w:line="200" w:lineRule="exact"/>
        <w:rPr>
          <w:sz w:val="20"/>
          <w:szCs w:val="20"/>
          <w:color w:val="auto"/>
        </w:rPr>
      </w:pPr>
    </w:p>
    <w:p>
      <w:pPr>
        <w:spacing w:after="0" w:line="285" w:lineRule="exact"/>
        <w:rPr>
          <w:sz w:val="20"/>
          <w:szCs w:val="20"/>
          <w:color w:val="auto"/>
        </w:rPr>
      </w:pPr>
    </w:p>
    <w:p>
      <w:pPr>
        <w:ind w:left="4080" w:hanging="515"/>
        <w:spacing w:after="0" w:line="286" w:lineRule="auto"/>
        <w:rPr>
          <w:sz w:val="20"/>
          <w:szCs w:val="20"/>
          <w:color w:val="auto"/>
        </w:rPr>
      </w:pPr>
      <w:r>
        <w:rPr>
          <w:rFonts w:ascii="Times New Roman" w:cs="Times New Roman" w:eastAsia="Times New Roman" w:hAnsi="Times New Roman"/>
          <w:sz w:val="19"/>
          <w:szCs w:val="19"/>
          <w:color w:val="0000FF"/>
        </w:rPr>
        <w:t>DZ Bank AG Deutsche Zentral-Genossenschaftsbank, Frankfurt Am Main, New York Branch, as Liquidity Provider</w:t>
      </w:r>
    </w:p>
    <w:p>
      <w:pPr>
        <w:spacing w:after="0" w:line="200" w:lineRule="exact"/>
        <w:rPr>
          <w:sz w:val="20"/>
          <w:szCs w:val="20"/>
          <w:color w:val="auto"/>
        </w:rPr>
      </w:pPr>
    </w:p>
    <w:p>
      <w:pPr>
        <w:spacing w:after="0" w:line="24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right="120"/>
        <w:spacing w:after="0" w:line="262" w:lineRule="auto"/>
        <w:rPr>
          <w:sz w:val="20"/>
          <w:szCs w:val="20"/>
          <w:color w:val="auto"/>
        </w:rPr>
      </w:pPr>
      <w:r>
        <w:rPr>
          <w:rFonts w:ascii="Times New Roman" w:cs="Times New Roman" w:eastAsia="Times New Roman" w:hAnsi="Times New Roman"/>
          <w:sz w:val="19"/>
          <w:szCs w:val="19"/>
          <w:color w:val="0000FF"/>
        </w:rPr>
        <w:t>DZ Bank AG Deutsche Zentral-Genossenschaftsbank, Frankfurt AM Main, New York Branch</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One Vanderbilt Avenue, 49th Floor</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New York, NY, 10017</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Christian Haesslein and James Miers</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(212) 745-1668; (212) 745 1672</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christian.haesslein@dzbank.de james.miers@dzbank.de</w:t>
      </w:r>
    </w:p>
    <w:p>
      <w:pPr>
        <w:spacing w:after="0" w:line="16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20"/>
          </w:cols>
          <w:pgMar w:left="1440" w:top="1440" w:right="740" w:bottom="1440" w:gutter="0" w:footer="0" w:header="0"/>
        </w:sectPr>
      </w:pPr>
    </w:p>
    <w:bookmarkStart w:id="338" w:name="page339"/>
    <w:bookmarkEnd w:id="338"/>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Managing Agent for the Valley National Bank Lender Group:</w:t>
      </w:r>
    </w:p>
    <w:p>
      <w:pPr>
        <w:spacing w:after="0" w:line="2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0000FF"/>
        </w:rPr>
        <w:t>Valley National 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Valley National Bank</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One North LaSalle Street, Suite 2000</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Chicago, IL. 60602</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Phillip McCaulay</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312.419.4105</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pmccaulay@valley.com</w:t>
      </w:r>
    </w:p>
    <w:p>
      <w:pPr>
        <w:spacing w:after="0" w:line="21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Lender for the Valley National Bank Lender Group:</w:t>
      </w:r>
    </w:p>
    <w:p>
      <w:pPr>
        <w:spacing w:after="0" w:line="2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9"/>
          <w:szCs w:val="19"/>
          <w:color w:val="0000FF"/>
        </w:rPr>
        <w:t>Valley National Bank</w:t>
      </w: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0000FF"/>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0000FF"/>
        </w:rPr>
        <w:t>Address:</w:t>
      </w:r>
    </w:p>
    <w:p>
      <w:pPr>
        <w:spacing w:after="0" w:line="22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Valley National Bank</w:t>
      </w:r>
    </w:p>
    <w:p>
      <w:pPr>
        <w:spacing w:after="0" w:line="32"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One North LaSalle Street, Suite 2000</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Chicago, IL. 60602</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Attn: Phillip McCaulay</w:t>
      </w:r>
    </w:p>
    <w:p>
      <w:pPr>
        <w:spacing w:after="0" w:line="1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Phone: 312.419.4105</w:t>
      </w:r>
    </w:p>
    <w:p>
      <w:pPr>
        <w:spacing w:after="0" w:line="1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0000FF"/>
        </w:rPr>
        <w:t>Email: pmccaulay@valley.com</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000FF"/>
        </w:rPr>
        <w:t>S</w:t>
      </w:r>
      <w:r>
        <w:rPr>
          <w:rFonts w:ascii="Times New Roman" w:cs="Times New Roman" w:eastAsia="Times New Roman" w:hAnsi="Times New Roman"/>
          <w:sz w:val="13"/>
          <w:szCs w:val="13"/>
          <w:color w:val="0000FF"/>
        </w:rPr>
        <w:t>IGNATURE</w:t>
      </w:r>
      <w:r>
        <w:rPr>
          <w:rFonts w:ascii="Times New Roman" w:cs="Times New Roman" w:eastAsia="Times New Roman" w:hAnsi="Times New Roman"/>
          <w:sz w:val="18"/>
          <w:szCs w:val="18"/>
          <w:color w:val="0000FF"/>
        </w:rPr>
        <w:t xml:space="preserve"> P</w:t>
      </w:r>
      <w:r>
        <w:rPr>
          <w:rFonts w:ascii="Times New Roman" w:cs="Times New Roman" w:eastAsia="Times New Roman" w:hAnsi="Times New Roman"/>
          <w:sz w:val="13"/>
          <w:szCs w:val="13"/>
          <w:color w:val="0000FF"/>
        </w:rPr>
        <w:t>AGE TO</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MENDED AND</w:t>
      </w:r>
      <w:r>
        <w:rPr>
          <w:rFonts w:ascii="Times New Roman" w:cs="Times New Roman" w:eastAsia="Times New Roman" w:hAnsi="Times New Roman"/>
          <w:sz w:val="18"/>
          <w:szCs w:val="18"/>
          <w:color w:val="0000FF"/>
        </w:rPr>
        <w:t xml:space="preserve"> R</w:t>
      </w:r>
      <w:r>
        <w:rPr>
          <w:rFonts w:ascii="Times New Roman" w:cs="Times New Roman" w:eastAsia="Times New Roman" w:hAnsi="Times New Roman"/>
          <w:sz w:val="13"/>
          <w:szCs w:val="13"/>
          <w:color w:val="0000FF"/>
        </w:rPr>
        <w:t>ESTATED</w:t>
      </w:r>
      <w:r>
        <w:rPr>
          <w:rFonts w:ascii="Times New Roman" w:cs="Times New Roman" w:eastAsia="Times New Roman" w:hAnsi="Times New Roman"/>
          <w:sz w:val="18"/>
          <w:szCs w:val="18"/>
          <w:color w:val="0000FF"/>
        </w:rPr>
        <w:t xml:space="preserve"> C</w:t>
      </w:r>
      <w:r>
        <w:rPr>
          <w:rFonts w:ascii="Times New Roman" w:cs="Times New Roman" w:eastAsia="Times New Roman" w:hAnsi="Times New Roman"/>
          <w:sz w:val="13"/>
          <w:szCs w:val="13"/>
          <w:color w:val="0000FF"/>
        </w:rPr>
        <w:t>REDIT</w:t>
      </w:r>
      <w:r>
        <w:rPr>
          <w:rFonts w:ascii="Times New Roman" w:cs="Times New Roman" w:eastAsia="Times New Roman" w:hAnsi="Times New Roman"/>
          <w:sz w:val="18"/>
          <w:szCs w:val="18"/>
          <w:color w:val="0000FF"/>
        </w:rPr>
        <w:t xml:space="preserve"> A</w:t>
      </w:r>
      <w:r>
        <w:rPr>
          <w:rFonts w:ascii="Times New Roman" w:cs="Times New Roman" w:eastAsia="Times New Roman" w:hAnsi="Times New Roman"/>
          <w:sz w:val="13"/>
          <w:szCs w:val="13"/>
          <w:color w:val="0000FF"/>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39" w:name="page340"/>
    <w:bookmarkEnd w:id="339"/>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Documentation Agent:</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 xml:space="preserve">CIBC </w:t>
      </w:r>
      <w:r>
        <w:rPr>
          <w:rFonts w:ascii="Times New Roman" w:cs="Times New Roman" w:eastAsia="Times New Roman" w:hAnsi="Times New Roman"/>
          <w:sz w:val="19"/>
          <w:szCs w:val="19"/>
          <w:color w:val="FF0000"/>
          <w:strike w:val="1"/>
        </w:rPr>
        <w:t>BANK</w:t>
      </w:r>
      <w:r>
        <w:rPr>
          <w:rFonts w:ascii="Times New Roman" w:cs="Times New Roman" w:eastAsia="Times New Roman" w:hAnsi="Times New Roman"/>
          <w:sz w:val="19"/>
          <w:szCs w:val="19"/>
          <w:color w:val="0000FF"/>
        </w:rPr>
        <w:t>Bank</w:t>
      </w:r>
      <w:r>
        <w:rPr>
          <w:rFonts w:ascii="Times New Roman" w:cs="Times New Roman" w:eastAsia="Times New Roman" w:hAnsi="Times New Roman"/>
          <w:sz w:val="19"/>
          <w:szCs w:val="19"/>
          <w:color w:val="auto"/>
        </w:rPr>
        <w:t xml:space="preserve"> USA</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w:t>
      </w:r>
    </w:p>
    <w:p>
      <w:pPr>
        <w:spacing w:after="0" w:line="3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Fax:</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40" w:name="page341"/>
    <w:bookmarkEnd w:id="340"/>
    <w:p>
      <w:pPr>
        <w:spacing w:after="0" w:line="200" w:lineRule="exact"/>
        <w:rPr>
          <w:sz w:val="20"/>
          <w:szCs w:val="20"/>
          <w:color w:val="auto"/>
        </w:rPr>
      </w:pPr>
    </w:p>
    <w:p>
      <w:pPr>
        <w:spacing w:after="0" w:line="28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Co-Documentation Agent:</w:t>
      </w:r>
    </w:p>
    <w:p>
      <w:pPr>
        <w:spacing w:after="0" w:line="22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 xml:space="preserve">MUFG </w:t>
      </w:r>
      <w:r>
        <w:rPr>
          <w:rFonts w:ascii="Times New Roman" w:cs="Times New Roman" w:eastAsia="Times New Roman" w:hAnsi="Times New Roman"/>
          <w:sz w:val="19"/>
          <w:szCs w:val="19"/>
          <w:color w:val="FF0000"/>
          <w:strike w:val="1"/>
        </w:rPr>
        <w:t>BANK</w:t>
      </w:r>
      <w:r>
        <w:rPr>
          <w:rFonts w:ascii="Times New Roman" w:cs="Times New Roman" w:eastAsia="Times New Roman" w:hAnsi="Times New Roman"/>
          <w:sz w:val="19"/>
          <w:szCs w:val="19"/>
          <w:color w:val="0000FF"/>
        </w:rPr>
        <w:t>Bank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LTD</w:t>
      </w:r>
      <w:r>
        <w:rPr>
          <w:rFonts w:ascii="Times New Roman" w:cs="Times New Roman" w:eastAsia="Times New Roman" w:hAnsi="Times New Roman"/>
          <w:sz w:val="19"/>
          <w:szCs w:val="19"/>
          <w:color w:val="0000FF"/>
        </w:rPr>
        <w:t>Ltd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9"/>
          <w:szCs w:val="19"/>
          <w:color w:val="auto"/>
        </w:rPr>
        <w:t>Title:</w:t>
      </w:r>
    </w:p>
    <w:p>
      <w:pPr>
        <w:spacing w:after="0" w:line="20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Address:</w:t>
      </w:r>
    </w:p>
    <w:p>
      <w:pPr>
        <w:spacing w:after="0" w:line="17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1221 Broadway,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9"/>
          <w:szCs w:val="19"/>
          <w:color w:val="auto"/>
        </w:rPr>
        <w:t xml:space="preserve"> Floor</w:t>
      </w:r>
    </w:p>
    <w:p>
      <w:pPr>
        <w:ind w:left="3800"/>
        <w:spacing w:after="0"/>
        <w:rPr>
          <w:sz w:val="20"/>
          <w:szCs w:val="20"/>
          <w:color w:val="auto"/>
        </w:rPr>
      </w:pPr>
      <w:r>
        <w:rPr>
          <w:rFonts w:ascii="Times New Roman" w:cs="Times New Roman" w:eastAsia="Times New Roman" w:hAnsi="Times New Roman"/>
          <w:sz w:val="19"/>
          <w:szCs w:val="19"/>
          <w:color w:val="auto"/>
        </w:rPr>
        <w:t>Oakland, CA 94612</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Attn: J. William Bloore</w:t>
      </w:r>
    </w:p>
    <w:p>
      <w:pPr>
        <w:spacing w:after="0" w:line="10"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Phone: (408) 279-7719</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3"/>
          <w:szCs w:val="13"/>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3"/>
          <w:szCs w:val="13"/>
          <w:color w:val="auto"/>
        </w:rPr>
        <w:t>AGE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MENDED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3"/>
          <w:szCs w:val="13"/>
          <w:color w:val="auto"/>
        </w:rPr>
        <w:t>ESTATED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3"/>
          <w:szCs w:val="13"/>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656590</wp:posOffset>
            </wp:positionV>
            <wp:extent cx="6732905"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41" w:name="page342"/>
    <w:bookmarkEnd w:id="341"/>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3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FORM OF BORROWER NOTICE</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Date:________, 20__</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1000 McCaslin Boulevard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Superior, Colorado 80027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Attn: Richard Andersen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Phone: (720) 304-1247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Fax: (216) 370-9166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LAS.OPERATIONS.KEF@key.com</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auto"/>
        </w:rPr>
        <w:t>Reference is made to that 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the syndication agent and as swingline lender (in such capacity, the “Swingline Lender”), each guarantor party thereto, CIBC Bank USA as documentation agent, MUFG Bank, Ltd. (as successor-in -interest to MUFG Union Bank, N.A.), as co- documentation agent, and U.S. Bank Trust Company, National Association, as successor in interest to U.S. Bank National Association, as collateral custodian and paying agent. Capitalized terms used herein and not otherwise defined herein shall have the meanings set forth in the Credit Agreement. The Borrower hereby gives you irrevocable notice, pursuant to Section 2.2, that it requests an Advance under the Credit Agreement.</w:t>
      </w:r>
    </w:p>
    <w:p>
      <w:pPr>
        <w:spacing w:after="0" w:line="19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The Borrower hereby certifies as follows:</w:t>
      </w:r>
    </w:p>
    <w:p>
      <w:pPr>
        <w:spacing w:after="0" w:line="202" w:lineRule="exact"/>
        <w:rPr>
          <w:sz w:val="20"/>
          <w:szCs w:val="20"/>
          <w:color w:val="auto"/>
        </w:rPr>
      </w:pPr>
    </w:p>
    <w:p>
      <w:pPr>
        <w:ind w:left="900" w:hanging="198"/>
        <w:spacing w:after="0"/>
        <w:tabs>
          <w:tab w:leader="none" w:pos="9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requests an Advance in the principal amount of $________.</w:t>
      </w:r>
    </w:p>
    <w:p>
      <w:pPr>
        <w:spacing w:after="0" w:line="201" w:lineRule="exact"/>
        <w:rPr>
          <w:rFonts w:ascii="Times New Roman" w:cs="Times New Roman" w:eastAsia="Times New Roman" w:hAnsi="Times New Roman"/>
          <w:sz w:val="19"/>
          <w:szCs w:val="19"/>
          <w:color w:val="auto"/>
        </w:rPr>
      </w:pPr>
    </w:p>
    <w:p>
      <w:pPr>
        <w:ind w:left="900" w:hanging="198"/>
        <w:spacing w:after="0"/>
        <w:tabs>
          <w:tab w:leader="none" w:pos="9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hereby requests that such Advance be made on the following date: _____________.</w:t>
      </w:r>
    </w:p>
    <w:p>
      <w:pPr>
        <w:spacing w:after="0" w:line="201" w:lineRule="exact"/>
        <w:rPr>
          <w:rFonts w:ascii="Times New Roman" w:cs="Times New Roman" w:eastAsia="Times New Roman" w:hAnsi="Times New Roman"/>
          <w:sz w:val="19"/>
          <w:szCs w:val="19"/>
          <w:color w:val="auto"/>
        </w:rPr>
      </w:pPr>
    </w:p>
    <w:p>
      <w:pPr>
        <w:ind w:left="900" w:hanging="198"/>
        <w:spacing w:after="0"/>
        <w:tabs>
          <w:tab w:leader="none" w:pos="900"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this Advance, the aggregate principal amount of the Advances will be $__________.</w:t>
      </w:r>
    </w:p>
    <w:p>
      <w:pPr>
        <w:spacing w:after="0" w:line="201" w:lineRule="exact"/>
        <w:rPr>
          <w:rFonts w:ascii="Times New Roman" w:cs="Times New Roman" w:eastAsia="Times New Roman" w:hAnsi="Times New Roman"/>
          <w:sz w:val="19"/>
          <w:szCs w:val="19"/>
          <w:color w:val="auto"/>
        </w:rPr>
      </w:pPr>
    </w:p>
    <w:p>
      <w:pPr>
        <w:ind w:left="700" w:right="40" w:firstLine="2"/>
        <w:spacing w:after="0" w:line="262" w:lineRule="auto"/>
        <w:tabs>
          <w:tab w:leader="none" w:pos="89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Before giving effect to such Borrowing and the Borrower’s use of the proceeds thereof, (a) the attached Schedule A hereto is a true, correct and complete calculation of the Borrowing Base and all components thereof, including without limitation, compliance with Eligible Loan criteria, and calculation of the Borrowing Base Test and (b) the Borrowing Base Test is satisfied as calculated as of the date hereof.</w:t>
      </w:r>
    </w:p>
    <w:p>
      <w:pPr>
        <w:spacing w:after="0" w:line="150" w:lineRule="exact"/>
        <w:rPr>
          <w:rFonts w:ascii="Times New Roman" w:cs="Times New Roman" w:eastAsia="Times New Roman" w:hAnsi="Times New Roman"/>
          <w:sz w:val="19"/>
          <w:szCs w:val="19"/>
          <w:color w:val="auto"/>
        </w:rPr>
      </w:pPr>
    </w:p>
    <w:p>
      <w:pPr>
        <w:ind w:left="700" w:right="60" w:firstLine="2"/>
        <w:spacing w:after="0" w:line="268" w:lineRule="auto"/>
        <w:tabs>
          <w:tab w:leader="none" w:pos="892"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After giving effect to such Borrowing and the Borrower’s use of the proceeds thereof, (a) the attached Schedule A hereto is a true, correct and complete calculation of the Borrowing Base and all components thereof, including without limitation,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880110</wp:posOffset>
            </wp:positionV>
            <wp:extent cx="6732905"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42" w:name="page343"/>
    <w:bookmarkEnd w:id="342"/>
    <w:p>
      <w:pPr>
        <w:spacing w:after="0" w:line="269"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9"/>
          <w:szCs w:val="19"/>
          <w:color w:val="auto"/>
        </w:rPr>
        <w:t>with Eligible Loan criteria, and calculation of the Borrowing Base Test and (b) the Borrowing Base Test is satisfied as calculated as of the date hereof.</w:t>
      </w:r>
    </w:p>
    <w:p>
      <w:pPr>
        <w:spacing w:after="0" w:line="127" w:lineRule="exact"/>
        <w:rPr>
          <w:sz w:val="20"/>
          <w:szCs w:val="20"/>
          <w:color w:val="auto"/>
        </w:rPr>
      </w:pPr>
    </w:p>
    <w:p>
      <w:pPr>
        <w:ind w:right="100" w:firstLine="2"/>
        <w:spacing w:after="0" w:line="286" w:lineRule="auto"/>
        <w:tabs>
          <w:tab w:leader="none" w:pos="192"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attached Schedule B hereto to this Borrower Notice is a true, correct and complete Loan List, reflecting all Loans which will become part of the Collateral on the date hereof (if any), each Loan reflected thereon being an Eligible Loan.</w:t>
      </w:r>
    </w:p>
    <w:p>
      <w:pPr>
        <w:spacing w:after="0" w:line="127" w:lineRule="exact"/>
        <w:rPr>
          <w:rFonts w:ascii="Times New Roman" w:cs="Times New Roman" w:eastAsia="Times New Roman" w:hAnsi="Times New Roman"/>
          <w:sz w:val="19"/>
          <w:szCs w:val="19"/>
          <w:color w:val="auto"/>
        </w:rPr>
      </w:pPr>
    </w:p>
    <w:p>
      <w:pPr>
        <w:ind w:firstLine="2"/>
        <w:spacing w:after="0" w:line="286" w:lineRule="auto"/>
        <w:tabs>
          <w:tab w:leader="none" w:pos="192"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of the conditions applicable to the Advance requested herein as set forth in the Credit Agreement have been satisfied as of the date hereof and will remain satisfied to the date of such Advance, including:</w:t>
      </w:r>
    </w:p>
    <w:p>
      <w:pPr>
        <w:spacing w:after="0" w:line="127" w:lineRule="exact"/>
        <w:rPr>
          <w:sz w:val="20"/>
          <w:szCs w:val="20"/>
          <w:color w:val="auto"/>
        </w:rPr>
      </w:pPr>
    </w:p>
    <w:p>
      <w:pPr>
        <w:ind w:right="140" w:firstLine="2"/>
        <w:spacing w:after="0" w:line="255" w:lineRule="auto"/>
        <w:tabs>
          <w:tab w:leader="none" w:pos="229"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of the Borrower set forth in Section 4.1 of the Credit Agreement are true and correct on and as of such date, before and after giving effect to such borrowing or reinvestment and to the application of the proceeds therefrom, as though made on and as of such date (except for representations and warranties that are qualified by materiality, a Material Adverse Effect or any similar qualifier, which representations shall be true and correct in all respects as of such date and the related Funding Date);</w:t>
      </w:r>
    </w:p>
    <w:p>
      <w:pPr>
        <w:spacing w:after="0" w:line="1" w:lineRule="exact"/>
        <w:rPr>
          <w:rFonts w:ascii="Times New Roman" w:cs="Times New Roman" w:eastAsia="Times New Roman" w:hAnsi="Times New Roman"/>
          <w:sz w:val="19"/>
          <w:szCs w:val="19"/>
          <w:color w:val="auto"/>
        </w:rPr>
      </w:pPr>
    </w:p>
    <w:p>
      <w:pPr>
        <w:ind w:right="820" w:firstLine="2"/>
        <w:spacing w:after="0" w:line="250" w:lineRule="auto"/>
        <w:tabs>
          <w:tab w:leader="none" w:pos="28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event has occurred, or would result from such Advance or from the application of the proceeds therefrom, that constitutes an Event of Default or an Unmatured Event of Default;</w:t>
      </w:r>
    </w:p>
    <w:p>
      <w:pPr>
        <w:ind w:left="340" w:hanging="338"/>
        <w:spacing w:after="0"/>
        <w:tabs>
          <w:tab w:leader="none" w:pos="34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Termination Date has not occurred;</w:t>
      </w:r>
    </w:p>
    <w:p>
      <w:pPr>
        <w:spacing w:after="0" w:line="9" w:lineRule="exact"/>
        <w:rPr>
          <w:rFonts w:ascii="Times New Roman" w:cs="Times New Roman" w:eastAsia="Times New Roman" w:hAnsi="Times New Roman"/>
          <w:sz w:val="19"/>
          <w:szCs w:val="19"/>
          <w:color w:val="auto"/>
        </w:rPr>
      </w:pPr>
    </w:p>
    <w:p>
      <w:pPr>
        <w:ind w:right="340" w:firstLine="2"/>
        <w:spacing w:after="0" w:line="250" w:lineRule="auto"/>
        <w:tabs>
          <w:tab w:leader="none" w:pos="325"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claim has been asserted or proceeding commenced challenging enforceability or validity of any of the Transaction Documents or the Loan Documents, excluding any instruments, certificates or other documents relating to Loans that are no longer outstanding or which are no longer included in the Collateral;</w:t>
      </w:r>
    </w:p>
    <w:p>
      <w:pPr>
        <w:spacing w:after="0" w:line="1" w:lineRule="exact"/>
        <w:rPr>
          <w:rFonts w:ascii="Times New Roman" w:cs="Times New Roman" w:eastAsia="Times New Roman" w:hAnsi="Times New Roman"/>
          <w:sz w:val="19"/>
          <w:szCs w:val="19"/>
          <w:color w:val="auto"/>
        </w:rPr>
      </w:pPr>
    </w:p>
    <w:p>
      <w:pPr>
        <w:ind w:left="280" w:hanging="278"/>
        <w:spacing w:after="0"/>
        <w:tabs>
          <w:tab w:leader="none" w:pos="280"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Material Adverse Change with respect to the Borrower since the preceding Advance and the acquisition of the Loan, if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applicable, will not have a Material Adverse Effect on such Loan; and</w:t>
      </w:r>
    </w:p>
    <w:p>
      <w:pPr>
        <w:spacing w:after="0" w:line="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635635</wp:posOffset>
            </wp:positionV>
            <wp:extent cx="6732905"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60"/>
          </w:cols>
          <w:pgMar w:left="1360" w:top="1440" w:right="680" w:bottom="1440" w:gutter="0" w:footer="0" w:header="0"/>
        </w:sectPr>
      </w:pPr>
    </w:p>
    <w:bookmarkStart w:id="343" w:name="page344"/>
    <w:bookmarkEnd w:id="343"/>
    <w:p>
      <w:pPr>
        <w:spacing w:after="0" w:line="269" w:lineRule="exact"/>
        <w:rPr>
          <w:sz w:val="20"/>
          <w:szCs w:val="20"/>
          <w:color w:val="auto"/>
        </w:rPr>
      </w:pPr>
    </w:p>
    <w:p>
      <w:pPr>
        <w:ind w:left="2358" w:right="1440" w:hanging="2358"/>
        <w:spacing w:after="0" w:line="276" w:lineRule="auto"/>
        <w:tabs>
          <w:tab w:leader="none" w:pos="330" w:val="left"/>
        </w:tabs>
        <w:numPr>
          <w:ilvl w:val="0"/>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Advance has been or will be made during the calendar week of the requested Funding Date. [The Remainder Of This Page Is Intentionally Left Blank]</w:t>
      </w:r>
    </w:p>
    <w:p>
      <w:pPr>
        <w:spacing w:after="0" w:line="2"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649605</wp:posOffset>
            </wp:positionV>
            <wp:extent cx="6732905"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98"/>
          </w:cols>
          <w:pgMar w:left="1362" w:top="1440" w:right="1440" w:bottom="1440" w:gutter="0" w:footer="0" w:header="0"/>
        </w:sectPr>
      </w:pPr>
    </w:p>
    <w:bookmarkStart w:id="344" w:name="page345"/>
    <w:bookmarkEnd w:id="344"/>
    <w:p>
      <w:pPr>
        <w:spacing w:after="0" w:line="2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 WITNESS WHEREOF, each of the undersigned has executed the Borrower Notice this day of _____ day of __________,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20___.</w:t>
      </w:r>
    </w:p>
    <w:p>
      <w:pPr>
        <w:spacing w:after="0" w:line="17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RUNWAY GROWTH FINANCE CORP.</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4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color w:val="0000FF"/>
        </w:rPr>
        <w:t>_____</w:t>
      </w:r>
      <w:r>
        <w:rPr>
          <w:rFonts w:ascii="Times New Roman" w:cs="Times New Roman" w:eastAsia="Times New Roman" w:hAnsi="Times New Roman"/>
          <w:sz w:val="19"/>
          <w:szCs w:val="19"/>
          <w:color w:val="auto"/>
        </w:rPr>
        <w:t>___________________________</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Name: 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-67310</wp:posOffset>
            </wp:positionV>
            <wp:extent cx="3048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4860"/>
        <w:spacing w:after="0"/>
        <w:rPr>
          <w:sz w:val="20"/>
          <w:szCs w:val="20"/>
          <w:color w:val="auto"/>
        </w:rPr>
      </w:pPr>
      <w:r>
        <w:rPr>
          <w:rFonts w:ascii="Times New Roman" w:cs="Times New Roman" w:eastAsia="Times New Roman" w:hAnsi="Times New Roman"/>
          <w:sz w:val="19"/>
          <w:szCs w:val="19"/>
          <w:color w:val="auto"/>
        </w:rPr>
        <w:t>Title: 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3349625</wp:posOffset>
            </wp:positionH>
            <wp:positionV relativeFrom="paragraph">
              <wp:posOffset>-67310</wp:posOffset>
            </wp:positionV>
            <wp:extent cx="3048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[attach Borrowing Base Certificate]</w:t>
      </w:r>
    </w:p>
    <w:p>
      <w:pPr>
        <w:spacing w:after="0" w:line="1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20"/>
          </w:cols>
          <w:pgMar w:left="660" w:top="1440" w:right="920" w:bottom="1440" w:gutter="0" w:footer="0" w:header="0"/>
        </w:sectPr>
      </w:pPr>
    </w:p>
    <w:bookmarkStart w:id="345" w:name="page346"/>
    <w:bookmarkEnd w:id="345"/>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[Attach Borrowing Base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894715</wp:posOffset>
            </wp:positionV>
            <wp:extent cx="6732905"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46" w:name="page347"/>
    <w:bookmarkEnd w:id="346"/>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SCHEDULE B</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[Attach Loan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894715</wp:posOffset>
            </wp:positionV>
            <wp:extent cx="6732905" cy="40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47" w:name="page348"/>
    <w:bookmarkEnd w:id="347"/>
    <w:p>
      <w:pPr>
        <w:spacing w:after="0" w:line="267"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9"/>
          <w:szCs w:val="19"/>
          <w:b w:val="1"/>
          <w:bCs w:val="1"/>
          <w:color w:val="auto"/>
        </w:rPr>
        <w:t>EXHIBIT B</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FORM OF ASSIGNMENT AND ACCEPTANCE</w:t>
      </w:r>
    </w:p>
    <w:p>
      <w:pPr>
        <w:spacing w:after="0" w:line="228" w:lineRule="exact"/>
        <w:rPr>
          <w:sz w:val="20"/>
          <w:szCs w:val="20"/>
          <w:color w:val="auto"/>
        </w:rPr>
      </w:pPr>
    </w:p>
    <w:p>
      <w:pPr>
        <w:ind w:right="160" w:firstLine="2113"/>
        <w:spacing w:after="0" w:line="268" w:lineRule="auto"/>
        <w:rPr>
          <w:sz w:val="20"/>
          <w:szCs w:val="20"/>
          <w:color w:val="auto"/>
        </w:rPr>
      </w:pPr>
      <w:r>
        <w:rPr>
          <w:rFonts w:ascii="Times New Roman" w:cs="Times New Roman" w:eastAsia="Times New Roman" w:hAnsi="Times New Roman"/>
          <w:sz w:val="19"/>
          <w:szCs w:val="19"/>
          <w:color w:val="auto"/>
        </w:rPr>
        <w:t>THIS ASSIGNMENT AND ACCEPTANCE AGREEMENT (this “Assignment Agreement”) is entered into as of the ___ day of ____________, 20___, by and between _____________________ (“Assignor”) and __________________ (“Assignee”).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PRELIMINARY STATEMENTS</w:t>
      </w:r>
    </w:p>
    <w:p>
      <w:pPr>
        <w:spacing w:after="0" w:line="70" w:lineRule="exact"/>
        <w:rPr>
          <w:sz w:val="20"/>
          <w:szCs w:val="20"/>
          <w:color w:val="auto"/>
        </w:rPr>
      </w:pPr>
    </w:p>
    <w:p>
      <w:pPr>
        <w:ind w:firstLine="1404"/>
        <w:spacing w:after="0" w:line="253" w:lineRule="auto"/>
        <w:rPr>
          <w:sz w:val="20"/>
          <w:szCs w:val="20"/>
          <w:color w:val="auto"/>
        </w:rPr>
      </w:pPr>
      <w:r>
        <w:rPr>
          <w:rFonts w:ascii="Cambria" w:cs="Cambria" w:eastAsia="Cambria" w:hAnsi="Cambria"/>
          <w:sz w:val="19"/>
          <w:szCs w:val="19"/>
          <w:b w:val="1"/>
          <w:bCs w:val="1"/>
          <w:color w:val="auto"/>
        </w:rPr>
        <w:t>1.</w:t>
      </w:r>
      <w:r>
        <w:rPr>
          <w:rFonts w:ascii="Times New Roman" w:cs="Times New Roman" w:eastAsia="Times New Roman" w:hAnsi="Times New Roman"/>
          <w:sz w:val="19"/>
          <w:szCs w:val="19"/>
          <w:color w:val="auto"/>
        </w:rPr>
        <w:t>This Assignment and Acceptance Agreement is being executed and delivered in accordance with Section 11.1 of that</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 xml:space="preserve">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the syndication agent, and as swingline lender (in such capacity, the </w:t>
      </w:r>
      <w:r>
        <w:rPr>
          <w:rFonts w:ascii="Times New Roman" w:cs="Times New Roman" w:eastAsia="Times New Roman" w:hAnsi="Times New Roman"/>
          <w:sz w:val="19"/>
          <w:szCs w:val="19"/>
          <w:i w:val="1"/>
          <w:iCs w:val="1"/>
          <w:color w:val="auto"/>
        </w:rPr>
        <w:t>“Swingline Lender”</w:t>
      </w:r>
      <w:r>
        <w:rPr>
          <w:rFonts w:ascii="Times New Roman" w:cs="Times New Roman" w:eastAsia="Times New Roman" w:hAnsi="Times New Roman"/>
          <w:sz w:val="19"/>
          <w:szCs w:val="19"/>
          <w:color w:val="auto"/>
        </w:rPr>
        <w:t>), each guarantor party thereto, CIBC Bank USA as documentation agent, MUFG Bank, Ltd. (as successor -in -interest to MUFG Union Bank, N.A.), as co-documentation agent, and U.S. Bank Trust Company, National Association, as successor in interest to U.S. Bank National Association, as collateral custodian and paying agent. Capitalized terms used and not otherwise defined herein are used with the meanings set forth or incorporated by reference in the Credit Agreement.</w:t>
      </w:r>
    </w:p>
    <w:p>
      <w:pPr>
        <w:spacing w:after="0" w:line="175" w:lineRule="exact"/>
        <w:rPr>
          <w:sz w:val="20"/>
          <w:szCs w:val="20"/>
          <w:color w:val="auto"/>
        </w:rPr>
      </w:pPr>
    </w:p>
    <w:p>
      <w:pPr>
        <w:ind w:right="40" w:firstLine="1404"/>
        <w:spacing w:after="0" w:line="259" w:lineRule="auto"/>
        <w:rPr>
          <w:sz w:val="20"/>
          <w:szCs w:val="20"/>
          <w:color w:val="auto"/>
        </w:rPr>
      </w:pPr>
      <w:r>
        <w:rPr>
          <w:rFonts w:ascii="Cambria" w:cs="Cambria" w:eastAsia="Cambria" w:hAnsi="Cambria"/>
          <w:sz w:val="19"/>
          <w:szCs w:val="19"/>
          <w:b w:val="1"/>
          <w:bCs w:val="1"/>
          <w:color w:val="auto"/>
        </w:rPr>
        <w:t>2.</w:t>
      </w:r>
      <w:r>
        <w:rPr>
          <w:rFonts w:ascii="Times New Roman" w:cs="Times New Roman" w:eastAsia="Times New Roman" w:hAnsi="Times New Roman"/>
          <w:sz w:val="19"/>
          <w:szCs w:val="19"/>
          <w:color w:val="auto"/>
        </w:rPr>
        <w:t>Assignor is selling and assigning to Assignee an undivided interest as set forth in Schedule I hereto (the “Transferred</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Interest”) in all of Assignor’s rights and obligations under the Credit Agreement and the Transaction Documents in the Transferred Interest. After giving effect to such sale, assignment and assumption, the outstanding principal amount of Advances and Commitment of each of the Assignor and Assignee will be as set forth on Schedule I hereto.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w:t>
      </w:r>
    </w:p>
    <w:p>
      <w:pPr>
        <w:spacing w:after="0" w:line="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parties hereto hereby agree as follows:</w:t>
      </w:r>
    </w:p>
    <w:p>
      <w:pPr>
        <w:spacing w:after="0" w:line="214" w:lineRule="exact"/>
        <w:rPr>
          <w:sz w:val="20"/>
          <w:szCs w:val="20"/>
          <w:color w:val="auto"/>
        </w:rPr>
      </w:pPr>
    </w:p>
    <w:p>
      <w:pPr>
        <w:ind w:right="60" w:firstLine="1404"/>
        <w:spacing w:after="0" w:line="255" w:lineRule="auto"/>
        <w:rPr>
          <w:sz w:val="20"/>
          <w:szCs w:val="20"/>
          <w:color w:val="auto"/>
        </w:rPr>
      </w:pPr>
      <w:r>
        <w:rPr>
          <w:rFonts w:ascii="Cambria" w:cs="Cambria" w:eastAsia="Cambria" w:hAnsi="Cambria"/>
          <w:sz w:val="19"/>
          <w:szCs w:val="19"/>
          <w:b w:val="1"/>
          <w:bCs w:val="1"/>
          <w:color w:val="auto"/>
        </w:rPr>
        <w:t>1.</w:t>
      </w:r>
      <w:r>
        <w:rPr>
          <w:rFonts w:ascii="Times New Roman" w:cs="Times New Roman" w:eastAsia="Times New Roman" w:hAnsi="Times New Roman"/>
          <w:sz w:val="19"/>
          <w:szCs w:val="19"/>
          <w:color w:val="auto"/>
        </w:rPr>
        <w:t>The sale, transfer and assignment effected by this Assignment Agreement shall become effective (the “Assignment</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Date”) two (2) Business Days (or such other date selected by the applicable Managing Agent in its sole discretion) following the date on which a notice substantially in the form of Schedule II to this Assignment Agreement (“Effective Notice”) is delivered by the Administrative Agent, the applicable Managing Agent and the applicable Lender, Assignor and Assignee. From and after the Assignment Date, Assignee shall be a Lender party to the Credit Agreement for all purposes thereof as if Assignee were an original party thereto and Assignee agrees to be bound by all of the terms and provisions contained therein.</w:t>
      </w:r>
    </w:p>
    <w:p>
      <w:pPr>
        <w:spacing w:after="0" w:line="171" w:lineRule="exact"/>
        <w:rPr>
          <w:sz w:val="20"/>
          <w:szCs w:val="20"/>
          <w:color w:val="auto"/>
        </w:rPr>
      </w:pPr>
    </w:p>
    <w:p>
      <w:pPr>
        <w:ind w:right="300" w:firstLine="1404"/>
        <w:spacing w:after="0" w:line="256" w:lineRule="auto"/>
        <w:rPr>
          <w:sz w:val="20"/>
          <w:szCs w:val="20"/>
          <w:color w:val="auto"/>
        </w:rPr>
      </w:pPr>
      <w:r>
        <w:rPr>
          <w:rFonts w:ascii="Cambria" w:cs="Cambria" w:eastAsia="Cambria" w:hAnsi="Cambria"/>
          <w:sz w:val="19"/>
          <w:szCs w:val="19"/>
          <w:b w:val="1"/>
          <w:bCs w:val="1"/>
          <w:color w:val="auto"/>
        </w:rPr>
        <w:t>2.</w:t>
      </w:r>
      <w:r>
        <w:rPr>
          <w:rFonts w:ascii="Times New Roman" w:cs="Times New Roman" w:eastAsia="Times New Roman" w:hAnsi="Times New Roman"/>
          <w:sz w:val="19"/>
          <w:szCs w:val="19"/>
          <w:color w:val="auto"/>
        </w:rPr>
        <w:t>If Assignor has no Advances outstanding under the Credit Agreement, on the Assignment Date, Assignor shall be</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deemed to have hereby transferred and assigned to Assignee, without recourse, representation or warranty (except as provided in paragraph 6 below), and the Assignee shall be deemed to have hereby irrevocably taken, received and assumed from Assignor, the Transferred Interest and all rights and obligations associated therewith under the terms of the Credit Agreement, including, without limitation, any future funding obligations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48" w:name="page349"/>
    <w:bookmarkEnd w:id="348"/>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2.1 of the Credit Agreement with respect to the Transferred Interest.</w:t>
      </w:r>
    </w:p>
    <w:p>
      <w:pPr>
        <w:spacing w:after="0" w:line="214" w:lineRule="exact"/>
        <w:rPr>
          <w:sz w:val="20"/>
          <w:szCs w:val="20"/>
          <w:color w:val="auto"/>
        </w:rPr>
      </w:pPr>
    </w:p>
    <w:p>
      <w:pPr>
        <w:ind w:right="120" w:firstLine="1404"/>
        <w:spacing w:after="0" w:line="253" w:lineRule="auto"/>
        <w:rPr>
          <w:sz w:val="20"/>
          <w:szCs w:val="20"/>
          <w:color w:val="auto"/>
        </w:rPr>
      </w:pPr>
      <w:r>
        <w:rPr>
          <w:rFonts w:ascii="Cambria" w:cs="Cambria" w:eastAsia="Cambria" w:hAnsi="Cambria"/>
          <w:sz w:val="19"/>
          <w:szCs w:val="19"/>
          <w:b w:val="1"/>
          <w:bCs w:val="1"/>
          <w:color w:val="auto"/>
        </w:rPr>
        <w:t>3.</w:t>
      </w:r>
      <w:r>
        <w:rPr>
          <w:rFonts w:ascii="Times New Roman" w:cs="Times New Roman" w:eastAsia="Times New Roman" w:hAnsi="Times New Roman"/>
          <w:sz w:val="19"/>
          <w:szCs w:val="19"/>
          <w:color w:val="auto"/>
        </w:rPr>
        <w:t>If the Transferred Interest consists of any Advances outstanding under the Credit Agreement, at or before 12:00</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noon, local time of Assignor, on the Assignment Date, Assignee shall pay to Assignor, in immediately available funds, an amount equal to the sum of (i) the Transferred Percentage of Assignor’s Advances outstanding (such amount, being hereinafter referred to as the “Assignee’s Principal”); (ii) all accrued but unpaid (whether or not then due) Interest attributable to Assignee’s Principal; and (iii) accruing but unpaid fees and other costs and expenses payable in respect of Assignee’s Principal for the period commencing upon each date such unpaid amounts commence accruing, to and including the Assignment Date (the “Assignee’s Acquisition Cost”); whereupon, Assignor shall be deemed to have sold, transferred and assigned to Assignee, without recourse, representation or warranty (except as provided in paragraph 6 below), and Assignee shall be deemed to have hereby irrevocably taken, received and assumed from Assignor, the Transferred Percentage of Assignor’s Commitment and Assignor’s Advances outstanding (if applicable) and all related rights and obligations under the Credit Agreement and the Transaction Documents, including, without limitation, the Transferred Percentage of Assignor’s future funding obligations under Section 2.1 of the Credit Agreement.</w:t>
      </w:r>
    </w:p>
    <w:p>
      <w:pPr>
        <w:spacing w:after="0" w:line="170" w:lineRule="exact"/>
        <w:rPr>
          <w:sz w:val="20"/>
          <w:szCs w:val="20"/>
          <w:color w:val="auto"/>
        </w:rPr>
      </w:pPr>
    </w:p>
    <w:p>
      <w:pPr>
        <w:ind w:right="400" w:firstLine="1404"/>
        <w:spacing w:after="0" w:line="276" w:lineRule="auto"/>
        <w:rPr>
          <w:sz w:val="20"/>
          <w:szCs w:val="20"/>
          <w:color w:val="auto"/>
        </w:rPr>
      </w:pPr>
      <w:r>
        <w:rPr>
          <w:rFonts w:ascii="Cambria" w:cs="Cambria" w:eastAsia="Cambria" w:hAnsi="Cambria"/>
          <w:sz w:val="19"/>
          <w:szCs w:val="19"/>
          <w:b w:val="1"/>
          <w:bCs w:val="1"/>
          <w:color w:val="auto"/>
        </w:rPr>
        <w:t>4.</w:t>
      </w:r>
      <w:r>
        <w:rPr>
          <w:rFonts w:ascii="Times New Roman" w:cs="Times New Roman" w:eastAsia="Times New Roman" w:hAnsi="Times New Roman"/>
          <w:sz w:val="19"/>
          <w:szCs w:val="19"/>
          <w:color w:val="auto"/>
        </w:rPr>
        <w:t>Concurrently with the execution and delivery hereof, Assignor will provide to Assignee copies of all documents</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requested by Assignee which were delivered to Assignor pursuant to the Credit Agreement.</w:t>
      </w:r>
    </w:p>
    <w:p>
      <w:pPr>
        <w:spacing w:after="0" w:line="148" w:lineRule="exact"/>
        <w:rPr>
          <w:sz w:val="20"/>
          <w:szCs w:val="20"/>
          <w:color w:val="auto"/>
        </w:rPr>
      </w:pPr>
    </w:p>
    <w:p>
      <w:pPr>
        <w:ind w:right="40" w:firstLine="1404"/>
        <w:spacing w:after="0" w:line="263" w:lineRule="auto"/>
        <w:rPr>
          <w:sz w:val="20"/>
          <w:szCs w:val="20"/>
          <w:color w:val="auto"/>
        </w:rPr>
      </w:pPr>
      <w:r>
        <w:rPr>
          <w:rFonts w:ascii="Cambria" w:cs="Cambria" w:eastAsia="Cambria" w:hAnsi="Cambria"/>
          <w:sz w:val="19"/>
          <w:szCs w:val="19"/>
          <w:b w:val="1"/>
          <w:bCs w:val="1"/>
          <w:color w:val="auto"/>
        </w:rPr>
        <w:t>5.</w:t>
      </w:r>
      <w:r>
        <w:rPr>
          <w:rFonts w:ascii="Times New Roman" w:cs="Times New Roman" w:eastAsia="Times New Roman" w:hAnsi="Times New Roman"/>
          <w:sz w:val="19"/>
          <w:szCs w:val="19"/>
          <w:color w:val="auto"/>
        </w:rPr>
        <w:t>Each of the parties to this Assignment Agreement agrees that at any time and from time to time upon the written</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request of any other party, it will execute and deliver such further documents and do such further acts and things as such other party may reasonably request in order to effect the purposes of this Assignment Agreement.</w:t>
      </w:r>
    </w:p>
    <w:p>
      <w:pPr>
        <w:spacing w:after="0" w:line="161" w:lineRule="exact"/>
        <w:rPr>
          <w:sz w:val="20"/>
          <w:szCs w:val="20"/>
          <w:color w:val="auto"/>
        </w:rPr>
      </w:pPr>
    </w:p>
    <w:p>
      <w:pPr>
        <w:ind w:firstLine="1404"/>
        <w:spacing w:after="0" w:line="252" w:lineRule="auto"/>
        <w:rPr>
          <w:sz w:val="20"/>
          <w:szCs w:val="20"/>
          <w:color w:val="auto"/>
        </w:rPr>
      </w:pPr>
      <w:r>
        <w:rPr>
          <w:rFonts w:ascii="Cambria" w:cs="Cambria" w:eastAsia="Cambria" w:hAnsi="Cambria"/>
          <w:sz w:val="19"/>
          <w:szCs w:val="19"/>
          <w:b w:val="1"/>
          <w:bCs w:val="1"/>
          <w:color w:val="auto"/>
        </w:rPr>
        <w:t>6.</w:t>
      </w:r>
      <w:r>
        <w:rPr>
          <w:rFonts w:ascii="Times New Roman" w:cs="Times New Roman" w:eastAsia="Times New Roman" w:hAnsi="Times New Roman"/>
          <w:sz w:val="19"/>
          <w:szCs w:val="19"/>
          <w:color w:val="auto"/>
        </w:rPr>
        <w:t>By executing and delivering this Assignment Agreement, Assignor and Assignee confirm to and agree with each</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other, the Administrative Agent, the Managing Agents and the other Lenders as follows: (a) other than the representation and warranty that it has not created any Lien upon any interest being transferred hereunder, Assignor makes no representation or warranty and assumes no responsibility with respect to any statements, warranties or representations made by any other Person in or in connection with the Credit Agreement or the Transaction Documents or the execution, legality, validity, enforceability, genuineness, sufficiency or value of Assignee, the Credit Agreement or any other instrument or document furnished pursuant thereto or the perfection, priority, condition, value or sufficiency of any collateral; (b) Assignor makes no representation or warranty and assumes no responsibility with respect to the financial condition of the Borrower, any Obligor or any Affiliate of the Borrower or the performance or observance by the Borrower, any Obligor, or any Affiliate of the Borrower of any of their respective obligations under the Transaction Documents or any other instrument or document furnished pursuant thereto or in connection therewith; (c) Assignee confirms that it has received a copy of the Credit Agreement and copies of such other Transaction Documents, and other documents and information as it has requested and deemed appropriate to make its own credit analysis and decision to enter into this Assignment Agreement; (d) Assignee will, independently and without reliance upon the Administrative Agent, any Managing Agent, any Lender and based on such documents and information as it shall deem appropriate at the time, continue to make its own credit decisions in taking or not taking action under the Credit Agreement and the Transaction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49" w:name="page350"/>
    <w:bookmarkEnd w:id="349"/>
    <w:p>
      <w:pPr>
        <w:spacing w:after="0" w:line="2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Documents; (e) Assignee appoints and authorizes the Administrative Agent to take such action as agent on its behalf and to exercise such powers under the Transaction Documents as are delegated to the Administrative Agent by the terms thereof, together with such powers as are reasonably incidental thereto; (f) Assignee appoints and authorizes </w:t>
      </w:r>
      <w:r>
        <w:rPr>
          <w:rFonts w:ascii="Times New Roman" w:cs="Times New Roman" w:eastAsia="Times New Roman" w:hAnsi="Times New Roman"/>
          <w:sz w:val="19"/>
          <w:szCs w:val="19"/>
          <w:b w:val="1"/>
          <w:bCs w:val="1"/>
          <w:color w:val="auto"/>
        </w:rPr>
        <w:t>[____________]</w:t>
      </w:r>
      <w:r>
        <w:rPr>
          <w:rFonts w:ascii="Times New Roman" w:cs="Times New Roman" w:eastAsia="Times New Roman" w:hAnsi="Times New Roman"/>
          <w:sz w:val="19"/>
          <w:szCs w:val="19"/>
          <w:color w:val="auto"/>
        </w:rPr>
        <w:t xml:space="preserve"> as its Managing Agent to take such action as a</w:t>
      </w:r>
    </w:p>
    <w:p>
      <w:pPr>
        <w:spacing w:after="0" w:line="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9"/>
          <w:szCs w:val="19"/>
          <w:color w:val="auto"/>
        </w:rPr>
        <w:t>managing agent on its behalf and to exercise such powers under the Transaction Documents as are delegated to the Managing Agents by the terms thereof, together with such powers as are reasonably incidental thereto; and (g) Assignee agrees that it will perform in accordance with their terms all of the obligations which, by the terms of the Credit Agreement and the other Transaction Documents, are required to be performed by it as a Lender.</w:t>
      </w:r>
    </w:p>
    <w:p>
      <w:pPr>
        <w:spacing w:after="0" w:line="169" w:lineRule="exact"/>
        <w:rPr>
          <w:sz w:val="20"/>
          <w:szCs w:val="20"/>
          <w:color w:val="auto"/>
        </w:rPr>
      </w:pPr>
    </w:p>
    <w:p>
      <w:pPr>
        <w:ind w:right="80" w:firstLine="1404"/>
        <w:spacing w:after="0" w:line="259" w:lineRule="auto"/>
        <w:rPr>
          <w:sz w:val="20"/>
          <w:szCs w:val="20"/>
          <w:color w:val="auto"/>
        </w:rPr>
      </w:pPr>
      <w:r>
        <w:rPr>
          <w:rFonts w:ascii="Cambria" w:cs="Cambria" w:eastAsia="Cambria" w:hAnsi="Cambria"/>
          <w:sz w:val="19"/>
          <w:szCs w:val="19"/>
          <w:b w:val="1"/>
          <w:bCs w:val="1"/>
          <w:color w:val="auto"/>
        </w:rPr>
        <w:t>7.</w:t>
      </w:r>
      <w:r>
        <w:rPr>
          <w:rFonts w:ascii="Times New Roman" w:cs="Times New Roman" w:eastAsia="Times New Roman" w:hAnsi="Times New Roman"/>
          <w:sz w:val="19"/>
          <w:szCs w:val="19"/>
          <w:color w:val="auto"/>
        </w:rPr>
        <w:t>Each party hereto represents and warrants to and agrees with the applicable Managing Agent and the Administrative</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Agent that it is aware of and will comply with the provisions of the Credit Agreement, including, without limitation, Sections 2.1, 12.9 and 12.12 thereof. Assignee represents and warrants for the benefit of Administrative Agent and Borrower that Assignee meets the definition of an Eligible Assignee in the Credit Agreement.</w:t>
      </w:r>
    </w:p>
    <w:p>
      <w:pPr>
        <w:spacing w:after="0" w:line="164" w:lineRule="exact"/>
        <w:rPr>
          <w:sz w:val="20"/>
          <w:szCs w:val="20"/>
          <w:color w:val="auto"/>
        </w:rPr>
      </w:pPr>
    </w:p>
    <w:p>
      <w:pPr>
        <w:ind w:right="540" w:firstLine="1404"/>
        <w:spacing w:after="0" w:line="276" w:lineRule="auto"/>
        <w:rPr>
          <w:sz w:val="20"/>
          <w:szCs w:val="20"/>
          <w:color w:val="auto"/>
        </w:rPr>
      </w:pPr>
      <w:r>
        <w:rPr>
          <w:rFonts w:ascii="Cambria" w:cs="Cambria" w:eastAsia="Cambria" w:hAnsi="Cambria"/>
          <w:sz w:val="19"/>
          <w:szCs w:val="19"/>
          <w:b w:val="1"/>
          <w:bCs w:val="1"/>
          <w:color w:val="auto"/>
        </w:rPr>
        <w:t>8.</w:t>
      </w:r>
      <w:r>
        <w:rPr>
          <w:rFonts w:ascii="Times New Roman" w:cs="Times New Roman" w:eastAsia="Times New Roman" w:hAnsi="Times New Roman"/>
          <w:sz w:val="19"/>
          <w:szCs w:val="19"/>
          <w:color w:val="auto"/>
        </w:rPr>
        <w:t>Schedule I hereto sets forth the revised Commitment of Assignor and the Commitment of Assignee, as well as</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administrative information with respect to Assignee.</w:t>
      </w:r>
    </w:p>
    <w:p>
      <w:pPr>
        <w:spacing w:after="0" w:line="148" w:lineRule="exact"/>
        <w:rPr>
          <w:sz w:val="20"/>
          <w:szCs w:val="20"/>
          <w:color w:val="auto"/>
        </w:rPr>
      </w:pPr>
    </w:p>
    <w:p>
      <w:pPr>
        <w:ind w:right="360" w:firstLine="1404"/>
        <w:spacing w:after="0" w:line="276" w:lineRule="auto"/>
        <w:rPr>
          <w:sz w:val="20"/>
          <w:szCs w:val="20"/>
          <w:color w:val="auto"/>
        </w:rPr>
      </w:pPr>
      <w:r>
        <w:rPr>
          <w:rFonts w:ascii="Cambria" w:cs="Cambria" w:eastAsia="Cambria" w:hAnsi="Cambria"/>
          <w:sz w:val="19"/>
          <w:szCs w:val="19"/>
          <w:b w:val="1"/>
          <w:bCs w:val="1"/>
          <w:color w:val="auto"/>
        </w:rPr>
        <w:t>9.</w:t>
      </w:r>
      <w:r>
        <w:rPr>
          <w:rFonts w:ascii="Times New Roman" w:cs="Times New Roman" w:eastAsia="Times New Roman" w:hAnsi="Times New Roman"/>
          <w:sz w:val="19"/>
          <w:szCs w:val="19"/>
          <w:color w:val="auto"/>
        </w:rPr>
        <w:t>THIS ASSIGNMENT AGREEMENT SHALL BE GOVERNED BY, AND CONSTRUED IN ACCORDANCE</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WITH, THE LAWS OF THE STATE OF NEW YORK.</w:t>
      </w:r>
    </w:p>
    <w:p>
      <w:pPr>
        <w:spacing w:after="0" w:line="148" w:lineRule="exact"/>
        <w:rPr>
          <w:sz w:val="20"/>
          <w:szCs w:val="20"/>
          <w:color w:val="auto"/>
        </w:rPr>
      </w:pPr>
    </w:p>
    <w:p>
      <w:pPr>
        <w:ind w:right="320" w:firstLine="1404"/>
        <w:spacing w:after="0" w:line="259" w:lineRule="auto"/>
        <w:rPr>
          <w:sz w:val="20"/>
          <w:szCs w:val="20"/>
          <w:color w:val="auto"/>
        </w:rPr>
      </w:pPr>
      <w:r>
        <w:rPr>
          <w:rFonts w:ascii="Cambria" w:cs="Cambria" w:eastAsia="Cambria" w:hAnsi="Cambria"/>
          <w:sz w:val="19"/>
          <w:szCs w:val="19"/>
          <w:b w:val="1"/>
          <w:bCs w:val="1"/>
          <w:color w:val="auto"/>
        </w:rPr>
        <w:t>10.</w:t>
      </w:r>
      <w:r>
        <w:rPr>
          <w:rFonts w:ascii="Times New Roman" w:cs="Times New Roman" w:eastAsia="Times New Roman" w:hAnsi="Times New Roman"/>
          <w:sz w:val="19"/>
          <w:szCs w:val="19"/>
          <w:color w:val="auto"/>
        </w:rPr>
        <w:t>Assignee hereby covenants and agrees that, prior to the date which is one year and one day after the payment in</w:t>
      </w:r>
      <w:r>
        <w:rPr>
          <w:rFonts w:ascii="Cambria" w:cs="Cambria" w:eastAsia="Cambria" w:hAnsi="Cambria"/>
          <w:sz w:val="19"/>
          <w:szCs w:val="19"/>
          <w:b w:val="1"/>
          <w:bCs w:val="1"/>
          <w:color w:val="auto"/>
        </w:rPr>
        <w:t xml:space="preserve"> </w:t>
      </w:r>
      <w:r>
        <w:rPr>
          <w:rFonts w:ascii="Times New Roman" w:cs="Times New Roman" w:eastAsia="Times New Roman" w:hAnsi="Times New Roman"/>
          <w:sz w:val="19"/>
          <w:szCs w:val="19"/>
          <w:color w:val="auto"/>
        </w:rPr>
        <w:t>full of all senior indebtedness for borrowed money of any Lender, it will not institute against, or join any other Person in instituting against, such Lender any bankruptcy, reorganization, arrangement, insolvency or liquidation proceedings or other similar proceeding under the laws of the United States or any state of the United States.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50" w:name="page351"/>
    <w:bookmarkEnd w:id="350"/>
    <w:p>
      <w:pPr>
        <w:spacing w:after="0" w:line="269" w:lineRule="exact"/>
        <w:rPr>
          <w:sz w:val="20"/>
          <w:szCs w:val="20"/>
          <w:color w:val="auto"/>
        </w:rPr>
      </w:pPr>
    </w:p>
    <w:p>
      <w:pPr>
        <w:ind w:left="4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hereto have caused this Assignment Agreement to be executed by their respective duly authorized officers of the date hereof.</w:t>
      </w:r>
    </w:p>
    <w:p>
      <w:pPr>
        <w:spacing w:after="0" w:line="12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9"/>
          <w:szCs w:val="19"/>
          <w:b w:val="1"/>
          <w:bCs w:val="1"/>
          <w:color w:val="auto"/>
        </w:rPr>
        <w:t>[ASSIGNOR]</w:t>
      </w:r>
    </w:p>
    <w:p>
      <w:pPr>
        <w:spacing w:after="0" w:line="20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Title:</w:t>
      </w:r>
    </w:p>
    <w:p>
      <w:pPr>
        <w:spacing w:after="0" w:line="37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9"/>
          <w:szCs w:val="19"/>
          <w:b w:val="1"/>
          <w:bCs w:val="1"/>
          <w:color w:val="auto"/>
        </w:rPr>
        <w:t>[ASSIGNEE]</w:t>
      </w:r>
    </w:p>
    <w:p>
      <w:pPr>
        <w:spacing w:after="0" w:line="20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Title: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Consented and Acknowledged:</w:t>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_________________________________________</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Title: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[RUNWAY GROWTH FINANCE CORP.</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_________________________________________</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Name:</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Title: Authorized Signatory]</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163195</wp:posOffset>
            </wp:positionV>
            <wp:extent cx="1504315" cy="482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396" w:lineRule="exact"/>
        <w:rPr>
          <w:sz w:val="20"/>
          <w:szCs w:val="20"/>
          <w:color w:val="auto"/>
        </w:rPr>
      </w:pPr>
    </w:p>
    <w:p>
      <w:pPr>
        <w:ind w:left="200" w:hanging="166"/>
        <w:spacing w:after="0"/>
        <w:tabs>
          <w:tab w:leader="none" w:pos="200" w:val="left"/>
        </w:tabs>
        <w:numPr>
          <w:ilvl w:val="0"/>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Borrower consent required unless an Event of Default or Unmatured Event of Default has occurred and is continuing</w:t>
      </w:r>
    </w:p>
    <w:p>
      <w:pPr>
        <w:spacing w:after="0" w:line="180" w:lineRule="exact"/>
        <w:rPr>
          <w:rFonts w:ascii="Times New Roman" w:cs="Times New Roman" w:eastAsia="Times New Roman" w:hAnsi="Times New Roman"/>
          <w:sz w:val="19"/>
          <w:szCs w:val="19"/>
          <w:color w:val="auto"/>
        </w:rPr>
      </w:pPr>
    </w:p>
    <w:p>
      <w:pPr>
        <w:ind w:left="52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649605</wp:posOffset>
            </wp:positionV>
            <wp:extent cx="6732905"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00"/>
          </w:cols>
          <w:pgMar w:left="620" w:top="1440" w:right="880" w:bottom="1440" w:gutter="0" w:footer="0" w:header="0"/>
        </w:sectPr>
      </w:pPr>
    </w:p>
    <w:bookmarkStart w:id="351" w:name="page352"/>
    <w:bookmarkEnd w:id="351"/>
    <w:p>
      <w:pPr>
        <w:spacing w:after="0" w:line="26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9"/>
          <w:szCs w:val="19"/>
          <w:color w:val="auto"/>
        </w:rPr>
        <w:t>SCHEDULE I TO ASSIGNMENT AGREEMENT</w:t>
      </w:r>
    </w:p>
    <w:p>
      <w:pPr>
        <w:spacing w:after="0" w:line="5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9"/>
          <w:szCs w:val="19"/>
          <w:color w:val="auto"/>
        </w:rPr>
        <w:t>LIST OF LENDING OFFICES, ADDRESSES</w:t>
      </w:r>
    </w:p>
    <w:p>
      <w:pPr>
        <w:spacing w:after="0" w:line="3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auto"/>
        </w:rPr>
        <w:t>FOR NOTICES AND COMMITMENT AMOUNTS</w:t>
      </w:r>
    </w:p>
    <w:p>
      <w:pPr>
        <w:spacing w:after="0" w:line="3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b w:val="1"/>
          <w:bCs w:val="1"/>
          <w:color w:val="auto"/>
        </w:rPr>
        <w:t>Date: _______________, 20__</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Transferred Percentage: ________%</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20" w:type="dxa"/>
            <w:vAlign w:val="bottom"/>
            <w:tcBorders>
              <w:right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240" w:type="dxa"/>
            <w:vAlign w:val="bottom"/>
            <w:tcBorders>
              <w:top w:val="single" w:sz="8" w:color="auto"/>
              <w:bottom w:val="single" w:sz="8" w:color="auto"/>
              <w:right w:val="single" w:sz="8" w:color="auto"/>
            </w:tcBorders>
          </w:tcPr>
          <w:p>
            <w:pPr>
              <w:spacing w:after="0"/>
              <w:rPr>
                <w:sz w:val="23"/>
                <w:szCs w:val="23"/>
                <w:color w:val="auto"/>
              </w:rPr>
            </w:pP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A-1</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A-2</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B-1</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B-2</w:t>
            </w:r>
          </w:p>
        </w:tc>
        <w:tc>
          <w:tcPr>
            <w:tcW w:w="1160" w:type="dxa"/>
            <w:vAlign w:val="bottom"/>
          </w:tcPr>
          <w:p>
            <w:pPr>
              <w:spacing w:after="0"/>
              <w:rPr>
                <w:sz w:val="23"/>
                <w:szCs w:val="23"/>
                <w:color w:val="auto"/>
              </w:rPr>
            </w:pPr>
          </w:p>
        </w:tc>
      </w:tr>
      <w:tr>
        <w:trPr>
          <w:trHeight w:val="210"/>
        </w:trPr>
        <w:tc>
          <w:tcPr>
            <w:tcW w:w="120" w:type="dxa"/>
            <w:vAlign w:val="bottom"/>
            <w:tcBorders>
              <w:right w:val="single" w:sz="8" w:color="auto"/>
            </w:tcBorders>
          </w:tcPr>
          <w:p>
            <w:pPr>
              <w:spacing w:after="0"/>
              <w:rPr>
                <w:sz w:val="18"/>
                <w:szCs w:val="18"/>
                <w:color w:val="auto"/>
              </w:rPr>
            </w:pPr>
          </w:p>
        </w:tc>
        <w:tc>
          <w:tcPr>
            <w:tcW w:w="1160" w:type="dxa"/>
            <w:vAlign w:val="bottom"/>
          </w:tcPr>
          <w:p>
            <w:pPr>
              <w:ind w:left="60"/>
              <w:spacing w:after="0" w:line="211" w:lineRule="exact"/>
              <w:rPr>
                <w:sz w:val="20"/>
                <w:szCs w:val="20"/>
                <w:color w:val="auto"/>
              </w:rPr>
            </w:pPr>
            <w:r>
              <w:rPr>
                <w:rFonts w:ascii="Times New Roman" w:cs="Times New Roman" w:eastAsia="Times New Roman" w:hAnsi="Times New Roman"/>
                <w:sz w:val="19"/>
                <w:szCs w:val="19"/>
                <w:b w:val="1"/>
                <w:bCs w:val="1"/>
                <w:color w:val="auto"/>
              </w:rPr>
              <w:t>Assignor</w:t>
            </w:r>
          </w:p>
        </w:tc>
        <w:tc>
          <w:tcPr>
            <w:tcW w:w="240" w:type="dxa"/>
            <w:vAlign w:val="bottom"/>
            <w:tcBorders>
              <w:right w:val="single" w:sz="8" w:color="auto"/>
            </w:tcBorders>
          </w:tcPr>
          <w:p>
            <w:pPr>
              <w:spacing w:after="0"/>
              <w:rPr>
                <w:sz w:val="18"/>
                <w:szCs w:val="18"/>
                <w:color w:val="auto"/>
              </w:rPr>
            </w:pPr>
          </w:p>
        </w:tc>
        <w:tc>
          <w:tcPr>
            <w:tcW w:w="214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rPr>
              <w:t>Commitment (prior to</w:t>
            </w:r>
          </w:p>
        </w:tc>
        <w:tc>
          <w:tcPr>
            <w:tcW w:w="19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rPr>
              <w:t>Commitment (after</w:t>
            </w:r>
          </w:p>
        </w:tc>
        <w:tc>
          <w:tcPr>
            <w:tcW w:w="1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rPr>
              <w:t>Outstanding</w:t>
            </w:r>
          </w:p>
        </w:tc>
        <w:tc>
          <w:tcPr>
            <w:tcW w:w="1880" w:type="dxa"/>
            <w:vAlign w:val="bottom"/>
            <w:tcBorders>
              <w:right w:val="single" w:sz="8" w:color="auto"/>
            </w:tcBorders>
          </w:tcPr>
          <w:p>
            <w:pPr>
              <w:jc w:val="center"/>
              <w:spacing w:after="0" w:line="211" w:lineRule="exact"/>
              <w:rPr>
                <w:sz w:val="20"/>
                <w:szCs w:val="20"/>
                <w:color w:val="auto"/>
              </w:rPr>
            </w:pPr>
            <w:r>
              <w:rPr>
                <w:rFonts w:ascii="Times New Roman" w:cs="Times New Roman" w:eastAsia="Times New Roman" w:hAnsi="Times New Roman"/>
                <w:sz w:val="19"/>
                <w:szCs w:val="19"/>
                <w:b w:val="1"/>
                <w:bCs w:val="1"/>
                <w:color w:val="auto"/>
              </w:rPr>
              <w:t>Ratable Share of</w:t>
            </w:r>
          </w:p>
        </w:tc>
        <w:tc>
          <w:tcPr>
            <w:tcW w:w="1160" w:type="dxa"/>
            <w:vAlign w:val="bottom"/>
          </w:tcPr>
          <w:p>
            <w:pPr>
              <w:spacing w:after="0"/>
              <w:rPr>
                <w:sz w:val="18"/>
                <w:szCs w:val="18"/>
                <w:color w:val="auto"/>
              </w:rPr>
            </w:pPr>
          </w:p>
        </w:tc>
      </w:tr>
      <w:tr>
        <w:trPr>
          <w:trHeight w:val="228"/>
        </w:trPr>
        <w:tc>
          <w:tcPr>
            <w:tcW w:w="12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giving effect to the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giving effect to the</w:t>
            </w:r>
          </w:p>
        </w:tc>
        <w:tc>
          <w:tcPr>
            <w:tcW w:w="188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9"/>
                <w:szCs w:val="19"/>
                <w:b w:val="1"/>
                <w:bCs w:val="1"/>
                <w:color w:val="auto"/>
              </w:rPr>
              <w:t>Advances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160" w:type="dxa"/>
            <w:vAlign w:val="bottom"/>
          </w:tcPr>
          <w:p>
            <w:pPr>
              <w:spacing w:after="0"/>
              <w:rPr>
                <w:sz w:val="19"/>
                <w:szCs w:val="19"/>
                <w:color w:val="auto"/>
              </w:rPr>
            </w:pPr>
          </w:p>
        </w:tc>
      </w:tr>
      <w:tr>
        <w:trPr>
          <w:trHeight w:val="228"/>
        </w:trPr>
        <w:tc>
          <w:tcPr>
            <w:tcW w:w="12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Assignment Agreement)</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Assignment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(if any)</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Advances</w:t>
            </w:r>
          </w:p>
        </w:tc>
        <w:tc>
          <w:tcPr>
            <w:tcW w:w="1160" w:type="dxa"/>
            <w:vAlign w:val="bottom"/>
          </w:tcPr>
          <w:p>
            <w:pPr>
              <w:spacing w:after="0"/>
              <w:rPr>
                <w:sz w:val="19"/>
                <w:szCs w:val="19"/>
                <w:color w:val="auto"/>
              </w:rPr>
            </w:pPr>
          </w:p>
        </w:tc>
      </w:tr>
      <w:tr>
        <w:trPr>
          <w:trHeight w:val="253"/>
        </w:trPr>
        <w:tc>
          <w:tcPr>
            <w:tcW w:w="120" w:type="dxa"/>
            <w:vAlign w:val="bottom"/>
            <w:tcBorders>
              <w:right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tc>
        <w:tc>
          <w:tcPr>
            <w:tcW w:w="18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1160" w:type="dxa"/>
            <w:vAlign w:val="bottom"/>
          </w:tcPr>
          <w:p>
            <w:pPr>
              <w:spacing w:after="0"/>
              <w:rPr>
                <w:sz w:val="22"/>
                <w:szCs w:val="22"/>
                <w:color w:val="auto"/>
              </w:rPr>
            </w:pPr>
          </w:p>
        </w:tc>
      </w:tr>
      <w:tr>
        <w:trPr>
          <w:trHeight w:val="218"/>
        </w:trPr>
        <w:tc>
          <w:tcPr>
            <w:tcW w:w="120" w:type="dxa"/>
            <w:vAlign w:val="bottom"/>
            <w:tcBorders>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80"/>
        </w:trPr>
        <w:tc>
          <w:tcPr>
            <w:tcW w:w="120" w:type="dxa"/>
            <w:vAlign w:val="bottom"/>
            <w:tcBorders>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245"/>
        </w:trPr>
        <w:tc>
          <w:tcPr>
            <w:tcW w:w="120" w:type="dxa"/>
            <w:vAlign w:val="bottom"/>
            <w:tcBorders>
              <w:right w:val="single" w:sz="8" w:color="auto"/>
            </w:tcBorders>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14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A-2</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B-1</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B-2</w:t>
            </w:r>
          </w:p>
        </w:tc>
        <w:tc>
          <w:tcPr>
            <w:tcW w:w="1160" w:type="dxa"/>
            <w:vAlign w:val="bottom"/>
          </w:tcPr>
          <w:p>
            <w:pPr>
              <w:spacing w:after="0"/>
              <w:rPr>
                <w:sz w:val="21"/>
                <w:szCs w:val="21"/>
                <w:color w:val="auto"/>
              </w:rPr>
            </w:pPr>
          </w:p>
        </w:tc>
      </w:tr>
      <w:tr>
        <w:trPr>
          <w:trHeight w:val="23"/>
        </w:trPr>
        <w:tc>
          <w:tcPr>
            <w:tcW w:w="120" w:type="dxa"/>
            <w:vAlign w:val="bottom"/>
            <w:tcBorders>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5"/>
        </w:trPr>
        <w:tc>
          <w:tcPr>
            <w:tcW w:w="120" w:type="dxa"/>
            <w:vAlign w:val="bottom"/>
            <w:tcBorders>
              <w:right w:val="single" w:sz="8" w:color="auto"/>
            </w:tcBorders>
          </w:tcPr>
          <w:p>
            <w:pPr>
              <w:spacing w:after="0"/>
              <w:rPr>
                <w:sz w:val="17"/>
                <w:szCs w:val="17"/>
                <w:color w:val="auto"/>
              </w:rPr>
            </w:pPr>
          </w:p>
        </w:tc>
        <w:tc>
          <w:tcPr>
            <w:tcW w:w="1160" w:type="dxa"/>
            <w:vAlign w:val="bottom"/>
          </w:tcPr>
          <w:p>
            <w:pPr>
              <w:ind w:left="340"/>
              <w:spacing w:after="0" w:line="205" w:lineRule="exact"/>
              <w:rPr>
                <w:sz w:val="20"/>
                <w:szCs w:val="20"/>
                <w:color w:val="auto"/>
              </w:rPr>
            </w:pPr>
            <w:r>
              <w:rPr>
                <w:rFonts w:ascii="Times New Roman" w:cs="Times New Roman" w:eastAsia="Times New Roman" w:hAnsi="Times New Roman"/>
                <w:sz w:val="19"/>
                <w:szCs w:val="19"/>
                <w:b w:val="1"/>
                <w:bCs w:val="1"/>
                <w:color w:val="auto"/>
              </w:rPr>
              <w:t>Assignee</w:t>
            </w:r>
          </w:p>
        </w:tc>
        <w:tc>
          <w:tcPr>
            <w:tcW w:w="2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19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9"/>
                <w:szCs w:val="19"/>
                <w:b w:val="1"/>
                <w:bCs w:val="1"/>
                <w:color w:val="auto"/>
              </w:rPr>
              <w:t>Commitment (after</w:t>
            </w:r>
          </w:p>
        </w:tc>
        <w:tc>
          <w:tcPr>
            <w:tcW w:w="18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9"/>
                <w:szCs w:val="19"/>
                <w:b w:val="1"/>
                <w:bCs w:val="1"/>
                <w:color w:val="auto"/>
              </w:rPr>
              <w:t>Outstanding</w:t>
            </w:r>
          </w:p>
        </w:tc>
        <w:tc>
          <w:tcPr>
            <w:tcW w:w="18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9"/>
                <w:szCs w:val="19"/>
                <w:b w:val="1"/>
                <w:bCs w:val="1"/>
                <w:color w:val="auto"/>
              </w:rPr>
              <w:t>Ratable Share of</w:t>
            </w:r>
          </w:p>
        </w:tc>
        <w:tc>
          <w:tcPr>
            <w:tcW w:w="1160" w:type="dxa"/>
            <w:vAlign w:val="bottom"/>
          </w:tcPr>
          <w:p>
            <w:pPr>
              <w:spacing w:after="0"/>
              <w:rPr>
                <w:sz w:val="17"/>
                <w:szCs w:val="17"/>
                <w:color w:val="auto"/>
              </w:rPr>
            </w:pPr>
          </w:p>
        </w:tc>
      </w:tr>
      <w:tr>
        <w:trPr>
          <w:trHeight w:val="228"/>
        </w:trPr>
        <w:tc>
          <w:tcPr>
            <w:tcW w:w="12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giving effect to the</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Advances</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160" w:type="dxa"/>
            <w:vAlign w:val="bottom"/>
          </w:tcPr>
          <w:p>
            <w:pPr>
              <w:spacing w:after="0"/>
              <w:rPr>
                <w:sz w:val="19"/>
                <w:szCs w:val="19"/>
                <w:color w:val="auto"/>
              </w:rPr>
            </w:pPr>
          </w:p>
        </w:tc>
      </w:tr>
      <w:tr>
        <w:trPr>
          <w:trHeight w:val="228"/>
        </w:trPr>
        <w:tc>
          <w:tcPr>
            <w:tcW w:w="120" w:type="dxa"/>
            <w:vAlign w:val="bottom"/>
            <w:tcBorders>
              <w:right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Assignment</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(if any)</w:t>
            </w: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Advances</w:t>
            </w:r>
          </w:p>
        </w:tc>
        <w:tc>
          <w:tcPr>
            <w:tcW w:w="1160" w:type="dxa"/>
            <w:vAlign w:val="bottom"/>
          </w:tcPr>
          <w:p>
            <w:pPr>
              <w:spacing w:after="0"/>
              <w:rPr>
                <w:sz w:val="19"/>
                <w:szCs w:val="19"/>
                <w:color w:val="auto"/>
              </w:rPr>
            </w:pPr>
          </w:p>
        </w:tc>
      </w:tr>
      <w:tr>
        <w:trPr>
          <w:trHeight w:val="253"/>
        </w:trPr>
        <w:tc>
          <w:tcPr>
            <w:tcW w:w="120" w:type="dxa"/>
            <w:vAlign w:val="bottom"/>
            <w:tcBorders>
              <w:right w:val="single" w:sz="8" w:color="auto"/>
            </w:tcBorders>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Agreement)</w:t>
            </w:r>
          </w:p>
        </w:tc>
        <w:tc>
          <w:tcPr>
            <w:tcW w:w="188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1160" w:type="dxa"/>
            <w:vAlign w:val="bottom"/>
          </w:tcPr>
          <w:p>
            <w:pPr>
              <w:spacing w:after="0"/>
              <w:rPr>
                <w:sz w:val="22"/>
                <w:szCs w:val="22"/>
                <w:color w:val="auto"/>
              </w:rPr>
            </w:pPr>
          </w:p>
        </w:tc>
      </w:tr>
      <w:tr>
        <w:trPr>
          <w:trHeight w:val="218"/>
        </w:trPr>
        <w:tc>
          <w:tcPr>
            <w:tcW w:w="120" w:type="dxa"/>
            <w:vAlign w:val="bottom"/>
            <w:tcBorders>
              <w:right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214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1160" w:type="dxa"/>
            <w:vAlign w:val="bottom"/>
          </w:tcPr>
          <w:p>
            <w:pPr>
              <w:spacing w:after="0"/>
              <w:rPr>
                <w:sz w:val="18"/>
                <w:szCs w:val="18"/>
                <w:color w:val="auto"/>
              </w:rPr>
            </w:pPr>
          </w:p>
        </w:tc>
      </w:tr>
      <w:tr>
        <w:trPr>
          <w:trHeight w:val="268"/>
        </w:trPr>
        <w:tc>
          <w:tcPr>
            <w:tcW w:w="120" w:type="dxa"/>
            <w:vAlign w:val="bottom"/>
            <w:tcBorders>
              <w:right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2140" w:type="dxa"/>
            <w:vAlign w:val="bottom"/>
            <w:tcBorders>
              <w:bottom w:val="single" w:sz="8" w:color="auto"/>
              <w:right w:val="single" w:sz="8" w:color="auto"/>
            </w:tcBorders>
          </w:tcPr>
          <w:p>
            <w:pPr>
              <w:spacing w:after="0"/>
              <w:rPr>
                <w:sz w:val="23"/>
                <w:szCs w:val="23"/>
                <w:color w:val="auto"/>
              </w:rPr>
            </w:pPr>
          </w:p>
        </w:tc>
        <w:tc>
          <w:tcPr>
            <w:tcW w:w="19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c>
          <w:tcPr>
            <w:tcW w:w="1160" w:type="dxa"/>
            <w:vAlign w:val="bottom"/>
          </w:tcPr>
          <w:p>
            <w:pPr>
              <w:spacing w:after="0"/>
              <w:rPr>
                <w:sz w:val="23"/>
                <w:szCs w:val="23"/>
                <w:color w:val="auto"/>
              </w:rPr>
            </w:pPr>
          </w:p>
        </w:tc>
      </w:tr>
      <w:tr>
        <w:trPr>
          <w:trHeight w:val="399"/>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9"/>
                <w:szCs w:val="19"/>
                <w:b w:val="1"/>
                <w:bCs w:val="1"/>
                <w:color w:val="auto"/>
              </w:rPr>
              <w:t>Address for Notices</w:t>
            </w:r>
          </w:p>
        </w:tc>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36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____________________</w:t>
            </w: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8"/>
        </w:trPr>
        <w:tc>
          <w:tcPr>
            <w:tcW w:w="36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____________________</w:t>
            </w: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8"/>
        </w:trPr>
        <w:tc>
          <w:tcPr>
            <w:tcW w:w="36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Attention: ____________________</w:t>
            </w: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8"/>
        </w:trPr>
        <w:tc>
          <w:tcPr>
            <w:tcW w:w="36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Phone:____________________</w:t>
            </w: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1"/>
        </w:trPr>
        <w:tc>
          <w:tcPr>
            <w:tcW w:w="366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Fax:____________________</w:t>
            </w:r>
          </w:p>
        </w:tc>
        <w:tc>
          <w:tcPr>
            <w:tcW w:w="19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1815"/>
        </w:trPr>
        <w:tc>
          <w:tcPr>
            <w:tcW w:w="12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240" w:type="dxa"/>
            <w:vAlign w:val="bottom"/>
            <w:tcBorders>
              <w:bottom w:val="single" w:sz="8" w:color="EEEEEE"/>
            </w:tcBorders>
          </w:tcPr>
          <w:p>
            <w:pPr>
              <w:spacing w:after="0"/>
              <w:rPr>
                <w:sz w:val="24"/>
                <w:szCs w:val="24"/>
                <w:color w:val="auto"/>
              </w:rPr>
            </w:pPr>
          </w:p>
        </w:tc>
        <w:tc>
          <w:tcPr>
            <w:tcW w:w="2140" w:type="dxa"/>
            <w:vAlign w:val="bottom"/>
            <w:tcBorders>
              <w:bottom w:val="single" w:sz="8" w:color="EEEEEE"/>
            </w:tcBorders>
          </w:tcPr>
          <w:p>
            <w:pPr>
              <w:spacing w:after="0"/>
              <w:rPr>
                <w:sz w:val="24"/>
                <w:szCs w:val="24"/>
                <w:color w:val="auto"/>
              </w:rPr>
            </w:pPr>
          </w:p>
        </w:tc>
        <w:tc>
          <w:tcPr>
            <w:tcW w:w="19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88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2" w:name="page353"/>
    <w:bookmarkEnd w:id="352"/>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SCHEDULE II TO ASSIGNMENT AGREEMENT</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EFFECTIVE NOTICE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________________________, Assignor</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________________________, Assignee</w:t>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________________________</w:t>
      </w:r>
    </w:p>
    <w:p>
      <w:pPr>
        <w:spacing w:after="0" w:line="180" w:lineRule="exact"/>
        <w:rPr>
          <w:sz w:val="20"/>
          <w:szCs w:val="20"/>
          <w:color w:val="auto"/>
        </w:rPr>
      </w:pPr>
    </w:p>
    <w:p>
      <w:pPr>
        <w:ind w:firstLine="696"/>
        <w:spacing w:after="0" w:line="253" w:lineRule="auto"/>
        <w:rPr>
          <w:sz w:val="20"/>
          <w:szCs w:val="20"/>
          <w:color w:val="auto"/>
        </w:rPr>
      </w:pPr>
      <w:r>
        <w:rPr>
          <w:rFonts w:ascii="Times New Roman" w:cs="Times New Roman" w:eastAsia="Times New Roman" w:hAnsi="Times New Roman"/>
          <w:sz w:val="19"/>
          <w:szCs w:val="19"/>
          <w:color w:val="auto"/>
        </w:rPr>
        <w:t xml:space="preserve">The undersigned, as Administrative Agent under that 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the syndication agent, and as swingline lender (in such capacity, the </w:t>
      </w:r>
      <w:r>
        <w:rPr>
          <w:rFonts w:ascii="Times New Roman" w:cs="Times New Roman" w:eastAsia="Times New Roman" w:hAnsi="Times New Roman"/>
          <w:sz w:val="19"/>
          <w:szCs w:val="19"/>
          <w:i w:val="1"/>
          <w:iCs w:val="1"/>
          <w:color w:val="auto"/>
        </w:rPr>
        <w:t>“Swingline Lender”</w:t>
      </w:r>
      <w:r>
        <w:rPr>
          <w:rFonts w:ascii="Times New Roman" w:cs="Times New Roman" w:eastAsia="Times New Roman" w:hAnsi="Times New Roman"/>
          <w:sz w:val="19"/>
          <w:szCs w:val="19"/>
          <w:color w:val="auto"/>
        </w:rPr>
        <w:t>), each guarantor party thereto, CIBC Bank USA as documentation agent, MUFG Bank, Ltd. (as successor-in -interest to MUFG Union Bank, N.A.), as co-documentation agent, and U.S. Bank Trust Company, National Association, as successor in interest to U.S. Bank National Association, as collateral custodian and paying agent, hereby acknowledges receipt of executed counterparts of a completed Assignment Agreement dated as of ____________, 20__ between __________________,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Assignor, and __________________, as Assignee and approved by the Administrative Agent </w:t>
      </w:r>
      <w:r>
        <w:rPr>
          <w:rFonts w:ascii="Times New Roman" w:cs="Times New Roman" w:eastAsia="Times New Roman" w:hAnsi="Times New Roman"/>
          <w:sz w:val="19"/>
          <w:szCs w:val="19"/>
          <w:b w:val="1"/>
          <w:bCs w:val="1"/>
          <w:color w:val="auto"/>
        </w:rPr>
        <w:t>[and the Borrower]</w:t>
      </w:r>
      <w:r>
        <w:rPr>
          <w:rFonts w:ascii="Times New Roman" w:cs="Times New Roman" w:eastAsia="Times New Roman" w:hAnsi="Times New Roman"/>
          <w:sz w:val="19"/>
          <w:szCs w:val="19"/>
          <w:color w:val="auto"/>
        </w:rPr>
        <w:t>. Terms defined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such Assignment Agreement are used herein as therein defined.</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1. Pursuant to such Assignment Agreement, you are advised that the Assignment Date will be ______________, 20__.</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color w:val="auto"/>
        </w:rPr>
        <w:t>[2. Pursuant to such Assignment Agreement, the Assignee is required to pay $____________ to Assignor at or before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12:00 noon (local time of Assignor) on the Assignment Date in immediately available funds.]</w:t>
      </w:r>
    </w:p>
    <w:p>
      <w:pPr>
        <w:spacing w:after="0" w:line="18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3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9"/>
          <w:szCs w:val="19"/>
          <w:color w:val="auto"/>
        </w:rPr>
        <w:t>KEYBANK NATIONAL ASSOCIATION, as</w:t>
      </w:r>
    </w:p>
    <w:p>
      <w:pPr>
        <w:spacing w:after="0" w:line="1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Administrative Agent</w:t>
      </w:r>
    </w:p>
    <w:p>
      <w:pPr>
        <w:spacing w:after="0" w:line="2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925195</wp:posOffset>
            </wp:positionV>
            <wp:extent cx="6732905" cy="406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1440" w:right="760" w:bottom="1440" w:gutter="0" w:footer="0" w:header="0"/>
        </w:sectPr>
      </w:pPr>
    </w:p>
    <w:bookmarkStart w:id="353" w:name="page354"/>
    <w:bookmarkEnd w:id="353"/>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JOINDER AGREEMENT</w:t>
      </w:r>
    </w:p>
    <w:p>
      <w:pPr>
        <w:spacing w:after="0" w:line="288" w:lineRule="exact"/>
        <w:rPr>
          <w:sz w:val="20"/>
          <w:szCs w:val="20"/>
          <w:color w:val="auto"/>
        </w:rPr>
      </w:pPr>
    </w:p>
    <w:p>
      <w:pPr>
        <w:ind w:right="80" w:firstLine="696"/>
        <w:spacing w:after="0" w:line="255" w:lineRule="auto"/>
        <w:rPr>
          <w:sz w:val="20"/>
          <w:szCs w:val="20"/>
          <w:color w:val="auto"/>
        </w:rPr>
      </w:pPr>
      <w:r>
        <w:rPr>
          <w:rFonts w:ascii="Times New Roman" w:cs="Times New Roman" w:eastAsia="Times New Roman" w:hAnsi="Times New Roman"/>
          <w:sz w:val="19"/>
          <w:szCs w:val="19"/>
          <w:color w:val="auto"/>
        </w:rPr>
        <w:t xml:space="preserve">Reference is made to the that 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syndication agent, and as swingline lender (in such capacity, the </w:t>
      </w:r>
      <w:r>
        <w:rPr>
          <w:rFonts w:ascii="Times New Roman" w:cs="Times New Roman" w:eastAsia="Times New Roman" w:hAnsi="Times New Roman"/>
          <w:sz w:val="19"/>
          <w:szCs w:val="19"/>
          <w:i w:val="1"/>
          <w:iCs w:val="1"/>
          <w:color w:val="auto"/>
        </w:rPr>
        <w:t>“Swingline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Lender”</w:t>
      </w:r>
      <w:r>
        <w:rPr>
          <w:rFonts w:ascii="Times New Roman" w:cs="Times New Roman" w:eastAsia="Times New Roman" w:hAnsi="Times New Roman"/>
          <w:sz w:val="19"/>
          <w:szCs w:val="19"/>
          <w:color w:val="auto"/>
        </w:rPr>
        <w:t>), each guarantor party thereto, CIBC Bank USA as documentation agent, MUFG Bank, Ltd. (as successor-in -interest to MUFG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Union Bank, N.A.), as co-documentation agent, and U.S. Bank Trust Company, National Association, as successor in interest to U.S. Bank National Association, as collateral custodian and paying agent. Capitalized terms used and not otherwise defined herein are used with the meanings set forth or incorporated by reference in the Credit Agreement.</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__________________ (the “New Managing Agent”), __________________ (the “New Lender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and together with the New</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Managing Agent, the “New Lender Group”), the Administrative Agent and the Borrower agree as follows:</w:t>
      </w:r>
    </w:p>
    <w:p>
      <w:pPr>
        <w:spacing w:after="0" w:line="192" w:lineRule="exact"/>
        <w:rPr>
          <w:sz w:val="20"/>
          <w:szCs w:val="20"/>
          <w:color w:val="auto"/>
        </w:rPr>
      </w:pPr>
    </w:p>
    <w:p>
      <w:pPr>
        <w:ind w:left="900" w:hanging="198"/>
        <w:spacing w:after="0"/>
        <w:tabs>
          <w:tab w:leader="none" w:pos="900" w:val="left"/>
        </w:tabs>
        <w:numPr>
          <w:ilvl w:val="1"/>
          <w:numId w:val="182"/>
        </w:numPr>
        <w:rPr>
          <w:rFonts w:ascii="Cambria" w:cs="Cambria" w:eastAsia="Cambria" w:hAnsi="Cambria"/>
          <w:sz w:val="19"/>
          <w:szCs w:val="19"/>
          <w:b w:val="1"/>
          <w:bCs w:val="1"/>
          <w:color w:val="auto"/>
        </w:rPr>
      </w:pPr>
      <w:r>
        <w:rPr>
          <w:rFonts w:ascii="Times New Roman" w:cs="Times New Roman" w:eastAsia="Times New Roman" w:hAnsi="Times New Roman"/>
          <w:sz w:val="19"/>
          <w:szCs w:val="19"/>
          <w:color w:val="auto"/>
        </w:rPr>
        <w:t>Borrower has requested that the New Lender Group become a “Lender Group” under the Credit Agreement.</w:t>
      </w:r>
    </w:p>
    <w:p>
      <w:pPr>
        <w:spacing w:after="0" w:line="209" w:lineRule="exact"/>
        <w:rPr>
          <w:rFonts w:ascii="Cambria" w:cs="Cambria" w:eastAsia="Cambria" w:hAnsi="Cambria"/>
          <w:sz w:val="19"/>
          <w:szCs w:val="19"/>
          <w:b w:val="1"/>
          <w:bCs w:val="1"/>
          <w:color w:val="auto"/>
        </w:rPr>
      </w:pPr>
    </w:p>
    <w:p>
      <w:pPr>
        <w:ind w:right="200" w:firstLine="702"/>
        <w:spacing w:after="0" w:line="281" w:lineRule="auto"/>
        <w:tabs>
          <w:tab w:leader="none" w:pos="900" w:val="left"/>
        </w:tabs>
        <w:numPr>
          <w:ilvl w:val="1"/>
          <w:numId w:val="182"/>
        </w:numPr>
        <w:rPr>
          <w:rFonts w:ascii="Cambria" w:cs="Cambria" w:eastAsia="Cambria" w:hAnsi="Cambria"/>
          <w:sz w:val="19"/>
          <w:szCs w:val="19"/>
          <w:b w:val="1"/>
          <w:bCs w:val="1"/>
          <w:color w:val="auto"/>
        </w:rPr>
      </w:pPr>
      <w:r>
        <w:rPr>
          <w:rFonts w:ascii="Times New Roman" w:cs="Times New Roman" w:eastAsia="Times New Roman" w:hAnsi="Times New Roman"/>
          <w:sz w:val="19"/>
          <w:szCs w:val="19"/>
          <w:color w:val="auto"/>
        </w:rPr>
        <w:t>The effective date (the “Joinder Date”) of this Joinder Agreement shall be the later of (i) the date on which a fully executed copy of this Joinder Agreement is delivered to the Administrative Agent and (ii) the date of this Joinder Agreement.</w:t>
      </w:r>
    </w:p>
    <w:p>
      <w:pPr>
        <w:spacing w:after="0" w:line="141" w:lineRule="exact"/>
        <w:rPr>
          <w:rFonts w:ascii="Cambria" w:cs="Cambria" w:eastAsia="Cambria" w:hAnsi="Cambria"/>
          <w:sz w:val="19"/>
          <w:szCs w:val="19"/>
          <w:b w:val="1"/>
          <w:bCs w:val="1"/>
          <w:color w:val="auto"/>
        </w:rPr>
      </w:pPr>
    </w:p>
    <w:p>
      <w:pPr>
        <w:ind w:right="60" w:firstLine="702"/>
        <w:spacing w:after="0" w:line="255" w:lineRule="auto"/>
        <w:tabs>
          <w:tab w:leader="none" w:pos="900" w:val="left"/>
        </w:tabs>
        <w:numPr>
          <w:ilvl w:val="1"/>
          <w:numId w:val="182"/>
        </w:numPr>
        <w:rPr>
          <w:rFonts w:ascii="Cambria" w:cs="Cambria" w:eastAsia="Cambria" w:hAnsi="Cambria"/>
          <w:sz w:val="19"/>
          <w:szCs w:val="19"/>
          <w:b w:val="1"/>
          <w:bCs w:val="1"/>
          <w:color w:val="auto"/>
        </w:rPr>
      </w:pPr>
      <w:r>
        <w:rPr>
          <w:rFonts w:ascii="Times New Roman" w:cs="Times New Roman" w:eastAsia="Times New Roman" w:hAnsi="Times New Roman"/>
          <w:sz w:val="19"/>
          <w:szCs w:val="19"/>
          <w:color w:val="auto"/>
        </w:rPr>
        <w:t>By executing and delivering this Joinder Agreement, both the New Managing Agent and the New Lender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(i) confirms that it has received a copy of the Credit Agreement and such Transaction Documents and other documents and information requested by it, and that it has, independently and without reliance upon Borrower, any Lender, any Managing Agent or the Administrative Agent, and based on such documentation and information as it has deemed appropriate, made its own decision to enter into this Joinder Agreement;</w:t>
      </w:r>
    </w:p>
    <w:p>
      <w:pPr>
        <w:spacing w:after="0" w:line="3" w:lineRule="exact"/>
        <w:rPr>
          <w:rFonts w:ascii="Cambria" w:cs="Cambria" w:eastAsia="Cambria" w:hAnsi="Cambria"/>
          <w:sz w:val="19"/>
          <w:szCs w:val="19"/>
          <w:b w:val="1"/>
          <w:bCs w:val="1"/>
          <w:color w:val="auto"/>
        </w:rPr>
      </w:pPr>
    </w:p>
    <w:p>
      <w:pPr>
        <w:ind w:right="40" w:firstLine="6"/>
        <w:spacing w:after="0" w:line="251" w:lineRule="auto"/>
        <w:tabs>
          <w:tab w:leader="none" w:pos="282"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that it shall, independently and without reliance upon Borrower, any Lender, any Managing Agent or the Administrative Agent, and based on such documents and information as it shall deem appropriate at the time, continue to make its own credit decisions in taking or not taking action under the Credit Agreement and any of the Transaction Documents; (iii) appoints and authorizes the Administrative Agent to take such action on its behalf and to exercise such powers and discretion under the Credit Agreement and the Transaction Documents as are delegated to the Administrative Agent by the terms hereof and thereof, together with such powers and discretion as are reasonably incidental thereto; (iv) agrees that it shall perform in accordance with their terms all of the obligations that by the terms of the Credit Agreement are required to be performed by it as a Managing Agent and a Lender, respectively; (v) specifies as its address for notices the office set forth beneath its name on the signature pages of this Joinder Agreement; and (vi), in the case of the New Lender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appoints and authorizes the New Managing Agent as its Managing Agent to take such action as a managing agent on its behalf and to exercise such powers under the Credit Agreement, as are delegated to the Managing Agents by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893445</wp:posOffset>
            </wp:positionV>
            <wp:extent cx="6732905" cy="406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4" w:name="page355"/>
    <w:bookmarkEnd w:id="354"/>
    <w:p>
      <w:pPr>
        <w:spacing w:after="0" w:line="279" w:lineRule="exact"/>
        <w:rPr>
          <w:sz w:val="20"/>
          <w:szCs w:val="20"/>
          <w:color w:val="auto"/>
        </w:rPr>
      </w:pPr>
    </w:p>
    <w:p>
      <w:pPr>
        <w:ind w:firstLine="702"/>
        <w:spacing w:after="0" w:line="266" w:lineRule="auto"/>
        <w:tabs>
          <w:tab w:leader="none" w:pos="900" w:val="left"/>
        </w:tabs>
        <w:numPr>
          <w:ilvl w:val="0"/>
          <w:numId w:val="184"/>
        </w:numPr>
        <w:rPr>
          <w:rFonts w:ascii="Cambria" w:cs="Cambria" w:eastAsia="Cambria" w:hAnsi="Cambria"/>
          <w:sz w:val="19"/>
          <w:szCs w:val="19"/>
          <w:b w:val="1"/>
          <w:bCs w:val="1"/>
          <w:color w:val="auto"/>
        </w:rPr>
      </w:pPr>
      <w:r>
        <w:rPr>
          <w:rFonts w:ascii="Times New Roman" w:cs="Times New Roman" w:eastAsia="Times New Roman" w:hAnsi="Times New Roman"/>
          <w:sz w:val="19"/>
          <w:szCs w:val="19"/>
          <w:color w:val="auto"/>
        </w:rPr>
        <w:t>On the Joinder Date of this Joinder Agreement, both of the New Managing Agent and the New Lender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shall join in and be a party to the Credit Agreement and, to the extent provided in this Joinder Agreement, shall have the rights and obligations of a Managing Agent and a Lender, respectively, under the Credit Agreement.</w:t>
      </w:r>
    </w:p>
    <w:p>
      <w:pPr>
        <w:spacing w:after="0" w:line="159" w:lineRule="exact"/>
        <w:rPr>
          <w:rFonts w:ascii="Cambria" w:cs="Cambria" w:eastAsia="Cambria" w:hAnsi="Cambria"/>
          <w:sz w:val="19"/>
          <w:szCs w:val="19"/>
          <w:b w:val="1"/>
          <w:bCs w:val="1"/>
          <w:color w:val="auto"/>
        </w:rPr>
      </w:pPr>
    </w:p>
    <w:p>
      <w:pPr>
        <w:ind w:right="240" w:firstLine="702"/>
        <w:spacing w:after="0" w:line="281" w:lineRule="auto"/>
        <w:tabs>
          <w:tab w:leader="none" w:pos="900" w:val="left"/>
        </w:tabs>
        <w:numPr>
          <w:ilvl w:val="0"/>
          <w:numId w:val="184"/>
        </w:numPr>
        <w:rPr>
          <w:rFonts w:ascii="Cambria" w:cs="Cambria" w:eastAsia="Cambria" w:hAnsi="Cambria"/>
          <w:sz w:val="19"/>
          <w:szCs w:val="19"/>
          <w:b w:val="1"/>
          <w:bCs w:val="1"/>
          <w:color w:val="auto"/>
        </w:rPr>
      </w:pPr>
      <w:r>
        <w:rPr>
          <w:rFonts w:ascii="Times New Roman" w:cs="Times New Roman" w:eastAsia="Times New Roman" w:hAnsi="Times New Roman"/>
          <w:sz w:val="19"/>
          <w:szCs w:val="19"/>
          <w:color w:val="auto"/>
        </w:rPr>
        <w:t>This Joinder Agreement may be executed by one or more of the parties on any number of separate counterparts, and all of said counterparts taken together shall be deemed to constitute one and the same instrument.</w:t>
      </w:r>
    </w:p>
    <w:p>
      <w:pPr>
        <w:spacing w:after="0" w:line="143" w:lineRule="exact"/>
        <w:rPr>
          <w:rFonts w:ascii="Cambria" w:cs="Cambria" w:eastAsia="Cambria" w:hAnsi="Cambria"/>
          <w:sz w:val="19"/>
          <w:szCs w:val="19"/>
          <w:b w:val="1"/>
          <w:bCs w:val="1"/>
          <w:color w:val="auto"/>
        </w:rPr>
      </w:pPr>
    </w:p>
    <w:p>
      <w:pPr>
        <w:ind w:left="900" w:hanging="198"/>
        <w:spacing w:after="0"/>
        <w:tabs>
          <w:tab w:leader="none" w:pos="900" w:val="left"/>
        </w:tabs>
        <w:numPr>
          <w:ilvl w:val="0"/>
          <w:numId w:val="184"/>
        </w:numPr>
        <w:rPr>
          <w:rFonts w:ascii="Cambria" w:cs="Cambria" w:eastAsia="Cambria" w:hAnsi="Cambria"/>
          <w:sz w:val="19"/>
          <w:szCs w:val="19"/>
          <w:b w:val="1"/>
          <w:bCs w:val="1"/>
          <w:color w:val="auto"/>
        </w:rPr>
      </w:pPr>
      <w:r>
        <w:rPr>
          <w:rFonts w:ascii="Times New Roman" w:cs="Times New Roman" w:eastAsia="Times New Roman" w:hAnsi="Times New Roman"/>
          <w:sz w:val="19"/>
          <w:szCs w:val="19"/>
          <w:color w:val="auto"/>
        </w:rPr>
        <w:t>This Joinder Agreement shall be governed by, and construed in accordance with, the laws of the State of New York.</w:t>
      </w:r>
    </w:p>
    <w:p>
      <w:pPr>
        <w:spacing w:after="0" w:line="195" w:lineRule="exact"/>
        <w:rPr>
          <w:rFonts w:ascii="Cambria" w:cs="Cambria" w:eastAsia="Cambria" w:hAnsi="Cambria"/>
          <w:sz w:val="19"/>
          <w:szCs w:val="19"/>
          <w:b w:val="1"/>
          <w:bCs w:val="1"/>
          <w:color w:val="auto"/>
        </w:rPr>
      </w:pPr>
    </w:p>
    <w:p>
      <w:pPr>
        <w:ind w:right="200" w:firstLine="702"/>
        <w:spacing w:after="0" w:line="288" w:lineRule="auto"/>
        <w:tabs>
          <w:tab w:leader="none" w:pos="888" w:val="left"/>
        </w:tabs>
        <w:numPr>
          <w:ilvl w:val="0"/>
          <w:numId w:val="1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New Lender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xml:space="preserve"> and New Managing Agent represents and warrants for the benefit of Administrative Agent and Borrower that such New Lender meets the definition of Eligible Assignee in the Credit Agreement.</w:t>
      </w:r>
    </w:p>
    <w:p>
      <w:pPr>
        <w:spacing w:after="0" w:line="126" w:lineRule="exact"/>
        <w:rPr>
          <w:sz w:val="20"/>
          <w:szCs w:val="20"/>
          <w:color w:val="auto"/>
        </w:rPr>
      </w:pPr>
    </w:p>
    <w:p>
      <w:pPr>
        <w:ind w:right="240" w:firstLine="696"/>
        <w:spacing w:after="0" w:line="286" w:lineRule="auto"/>
        <w:rPr>
          <w:sz w:val="20"/>
          <w:szCs w:val="20"/>
          <w:color w:val="auto"/>
        </w:rPr>
      </w:pPr>
      <w:r>
        <w:rPr>
          <w:rFonts w:ascii="Times New Roman" w:cs="Times New Roman" w:eastAsia="Times New Roman" w:hAnsi="Times New Roman"/>
          <w:sz w:val="19"/>
          <w:szCs w:val="19"/>
          <w:color w:val="auto"/>
        </w:rPr>
        <w:t>IN WITNESS WHEREOF, the parties hereto have caused this Joinder Agreement to be executed by their respective officers thereunto duly authorized, as of the date first above written, such execution being made on Schedule I hereto.</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 * * * *</w:t>
      </w:r>
    </w:p>
    <w:p>
      <w:pPr>
        <w:spacing w:after="0" w:line="2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355" w:name="page356"/>
    <w:bookmarkEnd w:id="355"/>
    <w:p>
      <w:pPr>
        <w:spacing w:after="0" w:line="26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Schedule I</w:t>
      </w:r>
    </w:p>
    <w:p>
      <w:pPr>
        <w:spacing w:after="0" w:line="58"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9"/>
          <w:szCs w:val="19"/>
          <w:color w:val="auto"/>
        </w:rPr>
        <w:t>to</w:t>
      </w:r>
    </w:p>
    <w:p>
      <w:pPr>
        <w:spacing w:after="0" w:line="5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9"/>
          <w:szCs w:val="19"/>
          <w:color w:val="auto"/>
        </w:rPr>
        <w:t>Joinder Agreement</w:t>
      </w:r>
    </w:p>
    <w:p>
      <w:pPr>
        <w:spacing w:after="0" w:line="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Dated ______ __, 20__</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Section 1.</w:t>
      </w:r>
    </w:p>
    <w:p>
      <w:pPr>
        <w:spacing w:after="0" w:line="2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The “Commitment</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 with respect to the New Lender</w:t>
      </w:r>
      <w:r>
        <w:rPr>
          <w:rFonts w:ascii="Times New Roman" w:cs="Times New Roman" w:eastAsia="Times New Roman" w:hAnsi="Times New Roman"/>
          <w:sz w:val="19"/>
          <w:szCs w:val="19"/>
          <w:b w:val="1"/>
          <w:bCs w:val="1"/>
          <w:color w:val="auto"/>
        </w:rPr>
        <w:t>[s] [is][are]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460"/>
        <w:spacing w:after="0"/>
        <w:tabs>
          <w:tab w:leader="none" w:pos="2780" w:val="left"/>
        </w:tabs>
        <w:rPr>
          <w:sz w:val="20"/>
          <w:szCs w:val="20"/>
          <w:color w:val="auto"/>
        </w:rPr>
      </w:pPr>
      <w:r>
        <w:rPr>
          <w:rFonts w:ascii="Times New Roman" w:cs="Times New Roman" w:eastAsia="Times New Roman" w:hAnsi="Times New Roman"/>
          <w:sz w:val="19"/>
          <w:szCs w:val="19"/>
          <w:b w:val="1"/>
          <w:bCs w:val="1"/>
          <w:color w:val="auto"/>
        </w:rPr>
        <w:t>[New Lender]</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[______________]</w:t>
      </w:r>
    </w:p>
    <w:p>
      <w:pPr>
        <w:spacing w:after="0" w:line="20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Section 2.</w:t>
      </w:r>
    </w:p>
    <w:p>
      <w:pPr>
        <w:spacing w:after="0" w:line="20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The “Group Advance Limit” with respect to the New Lender Group is $</w:t>
      </w:r>
      <w:r>
        <w:rPr>
          <w:rFonts w:ascii="Times New Roman" w:cs="Times New Roman" w:eastAsia="Times New Roman" w:hAnsi="Times New Roman"/>
          <w:sz w:val="19"/>
          <w:szCs w:val="19"/>
          <w:b w:val="1"/>
          <w:bCs w:val="1"/>
          <w:color w:val="auto"/>
        </w:rPr>
        <w:t>[_____]</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9"/>
          <w:szCs w:val="19"/>
          <w:color w:val="auto"/>
        </w:rPr>
        <w:t>NEW LENDER</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8"/>
          <w:szCs w:val="18"/>
          <w:b w:val="1"/>
          <w:bCs w:val="1"/>
          <w:color w:val="auto"/>
        </w:rPr>
        <w:t>[NEW LENDER]</w:t>
      </w:r>
    </w:p>
    <w:p>
      <w:pPr>
        <w:spacing w:after="0" w:line="396" w:lineRule="exact"/>
        <w:rPr>
          <w:sz w:val="20"/>
          <w:szCs w:val="20"/>
          <w:color w:val="auto"/>
        </w:rPr>
      </w:pPr>
    </w:p>
    <w:p>
      <w:pPr>
        <w:ind w:left="4920"/>
        <w:spacing w:after="0"/>
        <w:tabs>
          <w:tab w:leader="none" w:pos="8020" w:val="left"/>
        </w:tabs>
        <w:rPr>
          <w:sz w:val="20"/>
          <w:szCs w:val="20"/>
          <w:color w:val="auto"/>
        </w:rPr>
      </w:pPr>
      <w:r>
        <w:rPr>
          <w:rFonts w:ascii="Times New Roman" w:cs="Times New Roman" w:eastAsia="Times New Roman" w:hAnsi="Times New Roman"/>
          <w:sz w:val="19"/>
          <w:szCs w:val="19"/>
          <w:color w:val="auto"/>
        </w:rPr>
        <w:t>By:_______________________</w:t>
      </w:r>
      <w:r>
        <w:rPr>
          <w:sz w:val="20"/>
          <w:szCs w:val="20"/>
          <w:color w:val="auto"/>
        </w:rPr>
        <w:tab/>
      </w:r>
      <w:r>
        <w:rPr>
          <w:rFonts w:ascii="Times New Roman" w:cs="Times New Roman" w:eastAsia="Times New Roman" w:hAnsi="Times New Roman"/>
          <w:sz w:val="18"/>
          <w:szCs w:val="18"/>
          <w:color w:val="auto"/>
        </w:rPr>
        <w:t>Name:</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Address for notices:</w:t>
      </w:r>
    </w:p>
    <w:p>
      <w:pPr>
        <w:spacing w:after="0" w:line="3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1382395</wp:posOffset>
            </wp:positionV>
            <wp:extent cx="6732905"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356" w:name="page357"/>
    <w:bookmarkEnd w:id="356"/>
    <w:p>
      <w:pPr>
        <w:spacing w:after="0" w:line="267"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9"/>
          <w:szCs w:val="19"/>
          <w:color w:val="auto"/>
        </w:rPr>
        <w:t>NEW MANAGING AGENT:</w:t>
      </w:r>
      <w:r>
        <w:rPr>
          <w:sz w:val="20"/>
          <w:szCs w:val="20"/>
          <w:color w:val="auto"/>
        </w:rPr>
        <w:tab/>
      </w:r>
      <w:r>
        <w:rPr>
          <w:rFonts w:ascii="Times New Roman" w:cs="Times New Roman" w:eastAsia="Times New Roman" w:hAnsi="Times New Roman"/>
          <w:sz w:val="19"/>
          <w:szCs w:val="19"/>
          <w:b w:val="1"/>
          <w:bCs w:val="1"/>
          <w:color w:val="auto"/>
        </w:rPr>
        <w:t>[NEW MANAGING AGENT]</w:t>
      </w:r>
    </w:p>
    <w:p>
      <w:pPr>
        <w:spacing w:after="0" w:line="396" w:lineRule="exact"/>
        <w:rPr>
          <w:sz w:val="20"/>
          <w:szCs w:val="20"/>
          <w:color w:val="auto"/>
        </w:rPr>
      </w:pPr>
    </w:p>
    <w:p>
      <w:pPr>
        <w:ind w:left="4920"/>
        <w:spacing w:after="0"/>
        <w:tabs>
          <w:tab w:leader="none" w:pos="8060" w:val="left"/>
        </w:tabs>
        <w:rPr>
          <w:sz w:val="20"/>
          <w:szCs w:val="20"/>
          <w:color w:val="auto"/>
        </w:rPr>
      </w:pPr>
      <w:r>
        <w:rPr>
          <w:rFonts w:ascii="Times New Roman" w:cs="Times New Roman" w:eastAsia="Times New Roman" w:hAnsi="Times New Roman"/>
          <w:sz w:val="19"/>
          <w:szCs w:val="19"/>
          <w:color w:val="auto"/>
        </w:rPr>
        <w:t>By:_______________________</w:t>
      </w:r>
      <w:r>
        <w:rPr>
          <w:sz w:val="20"/>
          <w:szCs w:val="20"/>
          <w:color w:val="auto"/>
        </w:rPr>
        <w:tab/>
      </w:r>
      <w:r>
        <w:rPr>
          <w:rFonts w:ascii="Times New Roman" w:cs="Times New Roman" w:eastAsia="Times New Roman" w:hAnsi="Times New Roman"/>
          <w:sz w:val="19"/>
          <w:szCs w:val="19"/>
          <w:color w:val="auto"/>
        </w:rPr>
        <w:t>Name:</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9"/>
          <w:szCs w:val="19"/>
          <w:color w:val="auto"/>
        </w:rPr>
        <w:t>Title:</w:t>
      </w:r>
    </w:p>
    <w:p>
      <w:pPr>
        <w:spacing w:after="0" w:line="37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color w:val="auto"/>
        </w:rPr>
        <w:t>Address for notices:</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9"/>
          <w:szCs w:val="19"/>
          <w:b w:val="1"/>
          <w:bCs w:val="1"/>
          <w:color w:val="auto"/>
        </w:rPr>
        <w:t>[Address]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Consented to this ___ day of ___________, 20__ by: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KEYBANK NATIONAL ASSOCIATION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Administrative Agent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By:_______________________</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Title: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RUNWAY GROWTH FINANCE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By:_______________________</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Name: ____________________</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auto"/>
        </w:rPr>
        <w:t>Title: Authorized Signatory</w:t>
      </w:r>
    </w:p>
    <w:p>
      <w:pPr>
        <w:spacing w:after="0" w:line="1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357" w:name="page358"/>
    <w:bookmarkEnd w:id="357"/>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D</w:t>
      </w:r>
    </w:p>
    <w:p>
      <w:pPr>
        <w:spacing w:after="0" w:line="202"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9"/>
          <w:szCs w:val="19"/>
          <w:b w:val="1"/>
          <w:bCs w:val="1"/>
          <w:color w:val="auto"/>
        </w:rPr>
        <w:t>FORM OF MONTHLY REPORT</w:t>
      </w:r>
    </w:p>
    <w:p>
      <w:pPr>
        <w:spacing w:after="0" w:line="23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970915</wp:posOffset>
            </wp:positionV>
            <wp:extent cx="6732905" cy="406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358" w:name="page359"/>
    <w:bookmarkEnd w:id="358"/>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FORM OF BORROWER’S CERTIFICATE</w:t>
      </w:r>
    </w:p>
    <w:p>
      <w:pPr>
        <w:spacing w:after="0" w:line="200" w:lineRule="exact"/>
        <w:rPr>
          <w:sz w:val="20"/>
          <w:szCs w:val="20"/>
          <w:color w:val="auto"/>
        </w:rPr>
      </w:pPr>
    </w:p>
    <w:p>
      <w:pPr>
        <w:spacing w:after="0" w:line="254" w:lineRule="exact"/>
        <w:rPr>
          <w:sz w:val="20"/>
          <w:szCs w:val="20"/>
          <w:color w:val="auto"/>
        </w:rPr>
      </w:pPr>
    </w:p>
    <w:p>
      <w:pPr>
        <w:ind w:right="20" w:firstLine="1548"/>
        <w:spacing w:after="0" w:line="255" w:lineRule="auto"/>
        <w:rPr>
          <w:sz w:val="20"/>
          <w:szCs w:val="20"/>
          <w:color w:val="auto"/>
        </w:rPr>
      </w:pPr>
      <w:r>
        <w:rPr>
          <w:rFonts w:ascii="Times New Roman" w:cs="Times New Roman" w:eastAsia="Times New Roman" w:hAnsi="Times New Roman"/>
          <w:sz w:val="19"/>
          <w:szCs w:val="19"/>
          <w:color w:val="auto"/>
        </w:rPr>
        <w:t xml:space="preserve">This Borrower’s Certificate is delivered pursuant to the provisions of Section 7.11(b) of that certain Amended and Restated Credit Agreement dated as of April 20, 2022 (as the same may be amended, supplemented, restated or otherwise modified from time to time, the “Credit Agreement”), by and among Runway Growth Finance Corp., as Borrower (the “Borrower”), the Lenders from time to time party thereto, KeyBank National Association, as the Administrative Agent (the “Administrative Agent”) and the syndication agent, and as swingline lender (in such capacity, the </w:t>
      </w:r>
      <w:r>
        <w:rPr>
          <w:rFonts w:ascii="Times New Roman" w:cs="Times New Roman" w:eastAsia="Times New Roman" w:hAnsi="Times New Roman"/>
          <w:sz w:val="19"/>
          <w:szCs w:val="19"/>
          <w:i w:val="1"/>
          <w:iCs w:val="1"/>
          <w:color w:val="auto"/>
        </w:rPr>
        <w:t>“Swingline Lender”</w:t>
      </w:r>
      <w:r>
        <w:rPr>
          <w:rFonts w:ascii="Times New Roman" w:cs="Times New Roman" w:eastAsia="Times New Roman" w:hAnsi="Times New Roman"/>
          <w:sz w:val="19"/>
          <w:szCs w:val="19"/>
          <w:color w:val="auto"/>
        </w:rPr>
        <w:t>), each guarantor party thereto, CIBC Bank USA as documentation agent, MUFG Bank, Ltd. (as successor-in- interest to MUFG Union Bank, N.A.), as co-documentation agent, and U.S. Bank Trust Company, National Association, as successor in interest to U.S. Bank National Association, as collateral custodian and paying agent. This Borrower’s Certificate relates to the applicable Settlement Period and related Reporting Date, and the Monthly Report for such Settlement Period, which Monthly Report is set forth on attached Schedule A.</w:t>
      </w:r>
    </w:p>
    <w:p>
      <w:pPr>
        <w:spacing w:after="0" w:line="155" w:lineRule="exact"/>
        <w:rPr>
          <w:sz w:val="20"/>
          <w:szCs w:val="20"/>
          <w:color w:val="auto"/>
        </w:rPr>
      </w:pPr>
    </w:p>
    <w:p>
      <w:pPr>
        <w:ind w:left="360" w:right="140"/>
        <w:spacing w:after="0" w:line="286" w:lineRule="auto"/>
        <w:rPr>
          <w:sz w:val="20"/>
          <w:szCs w:val="20"/>
          <w:color w:val="auto"/>
        </w:rPr>
      </w:pPr>
      <w:r>
        <w:rPr>
          <w:rFonts w:ascii="Times New Roman" w:cs="Times New Roman" w:eastAsia="Times New Roman" w:hAnsi="Times New Roman"/>
          <w:sz w:val="19"/>
          <w:szCs w:val="19"/>
          <w:color w:val="auto"/>
        </w:rPr>
        <w:t>A. Capitalized terms used and not otherwise defined herein have the meanings assigned them in the Credit Agreement. References herein to certain subsections are referenced to the respective subsections of the Credit Agreement.</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9"/>
          <w:szCs w:val="19"/>
          <w:color w:val="auto"/>
        </w:rPr>
        <w:t>B. The undersigned is the Borrower under the Credit Agreement.</w:t>
      </w:r>
    </w:p>
    <w:p>
      <w:pPr>
        <w:spacing w:after="0" w:line="106" w:lineRule="exact"/>
        <w:rPr>
          <w:sz w:val="20"/>
          <w:szCs w:val="20"/>
          <w:color w:val="auto"/>
        </w:rPr>
      </w:pPr>
    </w:p>
    <w:p>
      <w:pPr>
        <w:ind w:left="360" w:right="40"/>
        <w:spacing w:after="0" w:line="286" w:lineRule="auto"/>
        <w:rPr>
          <w:sz w:val="20"/>
          <w:szCs w:val="20"/>
          <w:color w:val="auto"/>
        </w:rPr>
      </w:pPr>
      <w:r>
        <w:rPr>
          <w:rFonts w:ascii="Times New Roman" w:cs="Times New Roman" w:eastAsia="Times New Roman" w:hAnsi="Times New Roman"/>
          <w:sz w:val="19"/>
          <w:szCs w:val="19"/>
          <w:color w:val="auto"/>
        </w:rPr>
        <w:t>C. The undersigned hereby certifies to the Administrative Agent and the Secured Parties that all of the foregoing information and all of the information set forth on attached Schedule A is true and accurate in all material respects of the date hereof.</w:t>
      </w:r>
    </w:p>
    <w:p>
      <w:pPr>
        <w:spacing w:after="0" w:line="3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9"/>
          <w:szCs w:val="19"/>
          <w:color w:val="auto"/>
        </w:rPr>
        <w:t>IN WITNESS WHEREOF, the undersigned has caused this Borrower’s Certificate to be duly executed this _____ day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 _______, 20__.</w:t>
      </w:r>
    </w:p>
    <w:p>
      <w:pPr>
        <w:spacing w:after="0" w:line="20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RUNWAY GROWTH FINANCE CORP.,</w:t>
      </w:r>
    </w:p>
    <w:p>
      <w:pPr>
        <w:spacing w:after="0" w:line="3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9"/>
          <w:szCs w:val="19"/>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908685</wp:posOffset>
            </wp:positionV>
            <wp:extent cx="6732905"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59" w:name="page360"/>
    <w:bookmarkEnd w:id="359"/>
    <w:p>
      <w:pPr>
        <w:spacing w:after="0" w:line="26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9"/>
          <w:szCs w:val="19"/>
          <w:b w:val="1"/>
          <w:bCs w:val="1"/>
          <w:color w:val="auto"/>
        </w:rPr>
        <w:t>Schedule A</w:t>
      </w:r>
    </w:p>
    <w:p>
      <w:pPr>
        <w:spacing w:after="0" w:line="3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9"/>
          <w:szCs w:val="19"/>
          <w:b w:val="1"/>
          <w:bCs w:val="1"/>
          <w:color w:val="auto"/>
        </w:rPr>
        <w:t>Monthly Report</w:t>
      </w:r>
    </w:p>
    <w:p>
      <w:pPr>
        <w:spacing w:after="0" w:line="1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9"/>
          <w:szCs w:val="19"/>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894715</wp:posOffset>
            </wp:positionV>
            <wp:extent cx="6732905"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360" w:name="page361"/>
    <w:bookmarkEnd w:id="360"/>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F</w:t>
      </w:r>
    </w:p>
    <w:p>
      <w:pPr>
        <w:spacing w:after="0" w:line="200" w:lineRule="exact"/>
        <w:rPr>
          <w:sz w:val="20"/>
          <w:szCs w:val="20"/>
          <w:color w:val="auto"/>
        </w:rPr>
      </w:pPr>
    </w:p>
    <w:p>
      <w:pPr>
        <w:spacing w:after="0" w:line="23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1062355</wp:posOffset>
            </wp:positionV>
            <wp:extent cx="6732905" cy="406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361" w:name="page362"/>
    <w:bookmarkEnd w:id="361"/>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G</w:t>
      </w:r>
    </w:p>
    <w:p>
      <w:pPr>
        <w:spacing w:after="0" w:line="2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b w:val="1"/>
          <w:bCs w:val="1"/>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940435</wp:posOffset>
            </wp:positionV>
            <wp:extent cx="6732905" cy="406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362" w:name="page363"/>
    <w:bookmarkEnd w:id="362"/>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H</w:t>
      </w:r>
    </w:p>
    <w:p>
      <w:pPr>
        <w:spacing w:after="0" w:line="20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9"/>
          <w:szCs w:val="19"/>
          <w:b w:val="1"/>
          <w:bCs w:val="1"/>
          <w:color w:val="auto"/>
        </w:rPr>
        <w:t>FORM OF BORROWING BASE CERTIFICATE</w:t>
      </w:r>
    </w:p>
    <w:p>
      <w:pPr>
        <w:spacing w:after="0" w:line="39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1397635</wp:posOffset>
            </wp:positionV>
            <wp:extent cx="6732905" cy="406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363" w:name="page364"/>
    <w:bookmarkEnd w:id="363"/>
    <w:p>
      <w:pPr>
        <w:spacing w:after="0" w:line="267"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9"/>
          <w:szCs w:val="19"/>
          <w:b w:val="1"/>
          <w:bCs w:val="1"/>
          <w:color w:val="auto"/>
        </w:rPr>
        <w:t>EXHIBIT I</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ADDITIONAL GUARANTOR SUPPLEMENT</w:t>
      </w:r>
    </w:p>
    <w:p>
      <w:pPr>
        <w:spacing w:after="0" w:line="396"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9"/>
          <w:szCs w:val="19"/>
          <w:color w:val="auto"/>
        </w:rPr>
        <w:t>______________, 20___</w:t>
      </w:r>
    </w:p>
    <w:p>
      <w:pPr>
        <w:spacing w:after="0" w:line="226" w:lineRule="exact"/>
        <w:rPr>
          <w:sz w:val="20"/>
          <w:szCs w:val="20"/>
          <w:color w:val="auto"/>
        </w:rPr>
      </w:pPr>
    </w:p>
    <w:p>
      <w:pPr>
        <w:ind w:right="3660"/>
        <w:spacing w:after="0" w:line="255" w:lineRule="auto"/>
        <w:rPr>
          <w:sz w:val="20"/>
          <w:szCs w:val="20"/>
          <w:color w:val="auto"/>
        </w:rPr>
      </w:pPr>
      <w:r>
        <w:rPr>
          <w:rFonts w:ascii="Times New Roman" w:cs="Times New Roman" w:eastAsia="Times New Roman" w:hAnsi="Times New Roman"/>
          <w:sz w:val="19"/>
          <w:szCs w:val="19"/>
          <w:color w:val="auto"/>
        </w:rPr>
        <w:t xml:space="preserve">KeyBank National Association, as Administrative Agent for the Lenders party to the Amended and Restated Credit Agreement dated as of April 20, 2022, among Runway Growth Finance Corp., as Borrower, the Guarantors referred to therein, the Lenders party thereto from time to time, the Administrative Agent and syndication agent, and as swingline lender, each guarantor party thereto, CIBC Bank USA as documentation agent, MUFG Bank, Ltd. (as successor-in-interest to MUFG Union Bank, N.A.), as co-documentation agent, and U.S. Bank Trust Company, National Association, as successor in interest to U.S. Bank National Association, as collateral custodian and paying agent (as extended, renewed, amended or restated from time to time, the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Ladies and Gentlemen:</w:t>
      </w:r>
    </w:p>
    <w:p>
      <w:pPr>
        <w:spacing w:after="0" w:line="166" w:lineRule="exact"/>
        <w:rPr>
          <w:sz w:val="20"/>
          <w:szCs w:val="20"/>
          <w:color w:val="auto"/>
        </w:rPr>
      </w:pPr>
    </w:p>
    <w:p>
      <w:pPr>
        <w:ind w:right="740" w:firstLine="696"/>
        <w:spacing w:after="0" w:line="286" w:lineRule="auto"/>
        <w:rPr>
          <w:sz w:val="20"/>
          <w:szCs w:val="20"/>
          <w:color w:val="auto"/>
        </w:rPr>
      </w:pPr>
      <w:r>
        <w:rPr>
          <w:rFonts w:ascii="Times New Roman" w:cs="Times New Roman" w:eastAsia="Times New Roman" w:hAnsi="Times New Roman"/>
          <w:sz w:val="19"/>
          <w:szCs w:val="19"/>
          <w:color w:val="auto"/>
        </w:rPr>
        <w:t>Reference is made to the Credit Agreement described above. Terms not defined herein which are defined in the Credit Agreement shall have for the purposes hereof the meaning provided therein.</w:t>
      </w:r>
    </w:p>
    <w:p>
      <w:pPr>
        <w:spacing w:after="0" w:line="89" w:lineRule="exact"/>
        <w:rPr>
          <w:sz w:val="20"/>
          <w:szCs w:val="20"/>
          <w:color w:val="auto"/>
        </w:rPr>
      </w:pPr>
    </w:p>
    <w:p>
      <w:pPr>
        <w:ind w:right="60" w:firstLine="696"/>
        <w:spacing w:after="0" w:line="260" w:lineRule="auto"/>
        <w:rPr>
          <w:sz w:val="20"/>
          <w:szCs w:val="20"/>
          <w:color w:val="auto"/>
        </w:rPr>
      </w:pPr>
      <w:r>
        <w:rPr>
          <w:rFonts w:ascii="Times New Roman" w:cs="Times New Roman" w:eastAsia="Times New Roman" w:hAnsi="Times New Roman"/>
          <w:sz w:val="19"/>
          <w:szCs w:val="19"/>
          <w:color w:val="auto"/>
        </w:rPr>
        <w:t xml:space="preserve">The undersigned, </w:t>
      </w:r>
      <w:r>
        <w:rPr>
          <w:rFonts w:ascii="Times New Roman" w:cs="Times New Roman" w:eastAsia="Times New Roman" w:hAnsi="Times New Roman"/>
          <w:sz w:val="19"/>
          <w:szCs w:val="19"/>
          <w:b w:val="1"/>
          <w:bCs w:val="1"/>
          <w:color w:val="auto"/>
        </w:rPr>
        <w:t>[name of Guarantor]</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b w:val="1"/>
          <w:bCs w:val="1"/>
          <w:color w:val="auto"/>
        </w:rPr>
        <w:t>[jurisdiction of incorporation or organization]</w:t>
      </w:r>
      <w:r>
        <w:rPr>
          <w:rFonts w:ascii="Times New Roman" w:cs="Times New Roman" w:eastAsia="Times New Roman" w:hAnsi="Times New Roman"/>
          <w:sz w:val="19"/>
          <w:szCs w:val="19"/>
          <w:color w:val="auto"/>
        </w:rPr>
        <w:t xml:space="preserve"> hereby elects to be a </w:t>
      </w:r>
      <w:r>
        <w:rPr>
          <w:rFonts w:ascii="Times New Roman" w:cs="Times New Roman" w:eastAsia="Times New Roman" w:hAnsi="Times New Roman"/>
          <w:sz w:val="19"/>
          <w:szCs w:val="19"/>
          <w:i w:val="1"/>
          <w:iCs w:val="1"/>
          <w:color w:val="auto"/>
        </w:rPr>
        <w:t>“Guarantor”</w:t>
      </w:r>
      <w:r>
        <w:rPr>
          <w:rFonts w:ascii="Times New Roman" w:cs="Times New Roman" w:eastAsia="Times New Roman" w:hAnsi="Times New Roman"/>
          <w:sz w:val="19"/>
          <w:szCs w:val="19"/>
          <w:color w:val="auto"/>
        </w:rPr>
        <w:t xml:space="preserve"> for all purposes of the Credit Agreement, effective from the date hereof. Without limiting the generality of the foregoing, the undersigned hereby agrees to perform all the obligations of a Guarantor under, and to be bound in all respects by the terms of, the Credit Agreement, including without limitation Article VI (and the grant of the Collateral therein) and Article XV thereof, to the same extent and with the same force and effect as if the undersigned were a signatory party thereto.</w:t>
      </w:r>
    </w:p>
    <w:p>
      <w:pPr>
        <w:spacing w:after="0" w:line="115" w:lineRule="exact"/>
        <w:rPr>
          <w:sz w:val="20"/>
          <w:szCs w:val="20"/>
          <w:color w:val="auto"/>
        </w:rPr>
      </w:pPr>
    </w:p>
    <w:p>
      <w:pPr>
        <w:jc w:val="both"/>
        <w:ind w:right="120" w:firstLine="696"/>
        <w:spacing w:after="0" w:line="262" w:lineRule="auto"/>
        <w:rPr>
          <w:sz w:val="20"/>
          <w:szCs w:val="20"/>
          <w:color w:val="auto"/>
        </w:rPr>
      </w:pPr>
      <w:r>
        <w:rPr>
          <w:rFonts w:ascii="Times New Roman" w:cs="Times New Roman" w:eastAsia="Times New Roman" w:hAnsi="Times New Roman"/>
          <w:sz w:val="19"/>
          <w:szCs w:val="19"/>
          <w:color w:val="auto"/>
        </w:rPr>
        <w:t>The undersigned (i) has all necessary power and authority and legal right to (A) execute and deliver this Additional Guarantor Supplement, (B) carry out the terms of the Credit Agreement applicable to a Guarantor and (C) grant Liens in the Collateral and (ii) has duly authorized by all necessary corporate action the execution, delivery and performance of this Additional Guarantor Supplement and the Lien in the Collateral on the terms and conditions herein provided.</w:t>
      </w:r>
    </w:p>
    <w:p>
      <w:pPr>
        <w:spacing w:after="0" w:line="114"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9"/>
          <w:szCs w:val="19"/>
          <w:color w:val="auto"/>
        </w:rPr>
        <w:t>The undersigned acknowledges that this Additional Guarantor Supplement shall be effective upon its execution and delivery by the undersigned to the Administrative Agent, and it shall not be necessary for the Administrative Agent or any Lender, or any of their Affiliates entitled to the benefits hereof, to execute this Additional Guarantor Supplement or any other acceptance hereof. This Additional Guarantor Supplement shall be construed in accordance with and</w:t>
      </w:r>
    </w:p>
    <w:p>
      <w:pPr>
        <w:spacing w:after="0"/>
        <w:rPr>
          <w:sz w:val="20"/>
          <w:szCs w:val="20"/>
          <w:color w:val="auto"/>
        </w:rPr>
      </w:pPr>
      <w:r>
        <w:rPr>
          <w:rFonts w:ascii="Times New Roman" w:cs="Times New Roman" w:eastAsia="Times New Roman" w:hAnsi="Times New Roman"/>
          <w:sz w:val="14"/>
          <w:szCs w:val="14"/>
          <w:color w:val="FF0000"/>
          <w:strike w:val="1"/>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675640</wp:posOffset>
            </wp:positionV>
            <wp:extent cx="6732905" cy="406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4" w:name="page365"/>
    <w:bookmarkEnd w:id="364"/>
    <w:p>
      <w:pPr>
        <w:spacing w:after="0" w:line="200" w:lineRule="exact"/>
        <w:rPr>
          <w:sz w:val="20"/>
          <w:szCs w:val="20"/>
          <w:color w:val="auto"/>
        </w:rPr>
      </w:pPr>
    </w:p>
    <w:p>
      <w:pPr>
        <w:spacing w:after="0" w:line="206" w:lineRule="exact"/>
        <w:rPr>
          <w:sz w:val="20"/>
          <w:szCs w:val="20"/>
          <w:color w:val="auto"/>
        </w:rPr>
      </w:pPr>
    </w:p>
    <w:p>
      <w:pPr>
        <w:spacing w:after="0" w:line="249" w:lineRule="exact"/>
        <w:rPr>
          <w:sz w:val="20"/>
          <w:szCs w:val="20"/>
          <w:color w:val="auto"/>
        </w:rPr>
      </w:pPr>
      <w:r>
        <w:rPr>
          <w:rFonts w:ascii="Times New Roman" w:cs="Times New Roman" w:eastAsia="Times New Roman" w:hAnsi="Times New Roman"/>
          <w:sz w:val="19"/>
          <w:szCs w:val="19"/>
          <w:color w:val="auto"/>
        </w:rPr>
        <w:t>governed by the internal laws of the State of New York (including Section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1401 and Section 5</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1402 of the General Obligations law of the State of New York).</w:t>
      </w:r>
    </w:p>
    <w:p>
      <w:pPr>
        <w:spacing w:after="0" w:line="19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color w:val="auto"/>
        </w:rPr>
        <w:t>Very truly yours,</w:t>
      </w:r>
    </w:p>
    <w:p>
      <w:pPr>
        <w:spacing w:after="0" w:line="2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3"/>
          <w:szCs w:val="13"/>
          <w:b w:val="1"/>
          <w:bCs w:val="1"/>
          <w:color w:val="auto"/>
        </w:rPr>
        <w:t>AME OF</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3"/>
          <w:szCs w:val="13"/>
          <w:b w:val="1"/>
          <w:bCs w:val="1"/>
          <w:color w:val="auto"/>
        </w:rPr>
        <w:t>UBSIDIARY</w:t>
      </w:r>
      <w:r>
        <w:rPr>
          <w:rFonts w:ascii="Times New Roman" w:cs="Times New Roman" w:eastAsia="Times New Roman" w:hAnsi="Times New Roman"/>
          <w:sz w:val="19"/>
          <w:szCs w:val="19"/>
          <w:b w:val="1"/>
          <w:bCs w:val="1"/>
          <w:color w:val="auto"/>
        </w:rPr>
        <w:t xml:space="preserve"> G</w:t>
      </w:r>
      <w:r>
        <w:rPr>
          <w:rFonts w:ascii="Times New Roman" w:cs="Times New Roman" w:eastAsia="Times New Roman" w:hAnsi="Times New Roman"/>
          <w:sz w:val="13"/>
          <w:szCs w:val="13"/>
          <w:b w:val="1"/>
          <w:bCs w:val="1"/>
          <w:color w:val="auto"/>
        </w:rPr>
        <w:t>UARANTOR</w:t>
      </w:r>
      <w:r>
        <w:rPr>
          <w:rFonts w:ascii="Times New Roman" w:cs="Times New Roman" w:eastAsia="Times New Roman" w:hAnsi="Times New Roman"/>
          <w:sz w:val="19"/>
          <w:szCs w:val="19"/>
          <w:b w:val="1"/>
          <w:bCs w:val="1"/>
          <w:color w:val="auto"/>
        </w:rPr>
        <w:t>]</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Title</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649605</wp:posOffset>
            </wp:positionV>
            <wp:extent cx="6732905"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365" w:name="page366"/>
    <w:bookmarkEnd w:id="365"/>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86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2740" w:type="dxa"/>
            <w:vAlign w:val="bottom"/>
            <w:gridSpan w:val="2"/>
          </w:tcPr>
          <w:p>
            <w:pPr>
              <w:ind w:left="1560"/>
              <w:spacing w:after="0"/>
              <w:rPr>
                <w:sz w:val="20"/>
                <w:szCs w:val="20"/>
                <w:color w:val="auto"/>
              </w:rPr>
            </w:pPr>
            <w:r>
              <w:rPr>
                <w:rFonts w:ascii="Times New Roman" w:cs="Times New Roman" w:eastAsia="Times New Roman" w:hAnsi="Times New Roman"/>
                <w:sz w:val="19"/>
                <w:szCs w:val="19"/>
                <w:b w:val="1"/>
                <w:bCs w:val="1"/>
                <w:color w:val="auto"/>
                <w:w w:val="99"/>
              </w:rPr>
              <w:t>SCHEDULE I</w:t>
            </w:r>
          </w:p>
        </w:tc>
      </w:tr>
      <w:tr>
        <w:trPr>
          <w:trHeight w:val="612"/>
        </w:trPr>
        <w:tc>
          <w:tcPr>
            <w:tcW w:w="3860" w:type="dxa"/>
            <w:vAlign w:val="bottom"/>
          </w:tcPr>
          <w:p>
            <w:pPr>
              <w:spacing w:after="0"/>
              <w:rPr>
                <w:sz w:val="24"/>
                <w:szCs w:val="24"/>
                <w:color w:val="auto"/>
              </w:rPr>
            </w:pPr>
          </w:p>
        </w:tc>
        <w:tc>
          <w:tcPr>
            <w:tcW w:w="3980" w:type="dxa"/>
            <w:vAlign w:val="bottom"/>
          </w:tcPr>
          <w:p>
            <w:pPr>
              <w:jc w:val="right"/>
              <w:ind w:right="2024"/>
              <w:spacing w:after="0"/>
              <w:rPr>
                <w:sz w:val="20"/>
                <w:szCs w:val="20"/>
                <w:color w:val="auto"/>
              </w:rPr>
            </w:pPr>
            <w:r>
              <w:rPr>
                <w:rFonts w:ascii="Times New Roman" w:cs="Times New Roman" w:eastAsia="Times New Roman" w:hAnsi="Times New Roman"/>
                <w:sz w:val="19"/>
                <w:szCs w:val="19"/>
                <w:b w:val="1"/>
                <w:bCs w:val="1"/>
                <w:color w:val="FF0000"/>
                <w:strike w:val="1"/>
              </w:rPr>
              <w:t>[Reserved]</w:t>
            </w: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4"/>
        </w:trPr>
        <w:tc>
          <w:tcPr>
            <w:tcW w:w="3860" w:type="dxa"/>
            <w:vAlign w:val="bottom"/>
          </w:tcPr>
          <w:p>
            <w:pPr>
              <w:spacing w:after="0"/>
              <w:rPr>
                <w:sz w:val="24"/>
                <w:szCs w:val="24"/>
                <w:color w:val="auto"/>
              </w:rPr>
            </w:pPr>
          </w:p>
        </w:tc>
        <w:tc>
          <w:tcPr>
            <w:tcW w:w="3980" w:type="dxa"/>
            <w:vAlign w:val="bottom"/>
          </w:tcPr>
          <w:p>
            <w:pPr>
              <w:jc w:val="right"/>
              <w:ind w:right="1924"/>
              <w:spacing w:after="0"/>
              <w:rPr>
                <w:sz w:val="20"/>
                <w:szCs w:val="20"/>
                <w:color w:val="auto"/>
              </w:rPr>
            </w:pPr>
            <w:r>
              <w:rPr>
                <w:rFonts w:ascii="Times New Roman" w:cs="Times New Roman" w:eastAsia="Times New Roman" w:hAnsi="Times New Roman"/>
                <w:sz w:val="19"/>
                <w:szCs w:val="19"/>
                <w:color w:val="0000FF"/>
              </w:rPr>
              <w:t>Commitments</w:t>
            </w: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5"/>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0000FF"/>
              </w:rPr>
              <w:t>Lender</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b w:val="1"/>
                <w:bCs w:val="1"/>
                <w:color w:val="0000FF"/>
              </w:rPr>
              <w:t>Commitment</w:t>
            </w:r>
          </w:p>
        </w:tc>
        <w:tc>
          <w:tcPr>
            <w:tcW w:w="2740" w:type="dxa"/>
            <w:vAlign w:val="bottom"/>
            <w:gridSpan w:val="2"/>
          </w:tcPr>
          <w:p>
            <w:pPr>
              <w:ind w:left="1220"/>
              <w:spacing w:after="0"/>
              <w:rPr>
                <w:sz w:val="20"/>
                <w:szCs w:val="20"/>
                <w:color w:val="auto"/>
              </w:rPr>
            </w:pPr>
            <w:r>
              <w:rPr>
                <w:rFonts w:ascii="Times New Roman" w:cs="Times New Roman" w:eastAsia="Times New Roman" w:hAnsi="Times New Roman"/>
                <w:sz w:val="19"/>
                <w:szCs w:val="19"/>
                <w:b w:val="1"/>
                <w:bCs w:val="1"/>
                <w:color w:val="0000FF"/>
              </w:rPr>
              <w:t>Pro Rata Share</w:t>
            </w: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KeyBank N.A.</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$85,000,000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15.5%</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CIBC Bank USA</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75,000,000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13.6%</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DZ Bank AG</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50,000,000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9.1%</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MUFG 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50,000,000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9.1%</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Everbank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50,000,000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9.1%</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WebBank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40,000,000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7.3%</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Customers 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35,000,000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6.4%</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Hancock Whitney 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25,000,000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4.6%</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East West 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25,000,000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4.6%</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Bank of Hope</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25,000,000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4.6%</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First Foundation 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25,000,000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4.6%</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California Bank &amp; Trust</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25,000,000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4.6%</w:t>
            </w:r>
          </w:p>
        </w:tc>
        <w:tc>
          <w:tcPr>
            <w:tcW w:w="20" w:type="dxa"/>
            <w:vAlign w:val="bottom"/>
          </w:tcPr>
          <w:p>
            <w:pPr>
              <w:spacing w:after="0"/>
              <w:rPr>
                <w:sz w:val="19"/>
                <w:szCs w:val="19"/>
                <w:color w:val="auto"/>
              </w:rPr>
            </w:pPr>
          </w:p>
        </w:tc>
      </w:tr>
      <w:tr>
        <w:trPr>
          <w:trHeight w:val="228"/>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Valley National Bank</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20,000,000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3.6%</w:t>
            </w:r>
          </w:p>
        </w:tc>
        <w:tc>
          <w:tcPr>
            <w:tcW w:w="20" w:type="dxa"/>
            <w:vAlign w:val="bottom"/>
          </w:tcPr>
          <w:p>
            <w:pPr>
              <w:spacing w:after="0"/>
              <w:rPr>
                <w:sz w:val="19"/>
                <w:szCs w:val="19"/>
                <w:color w:val="auto"/>
              </w:rPr>
            </w:pPr>
          </w:p>
        </w:tc>
      </w:tr>
      <w:tr>
        <w:trPr>
          <w:trHeight w:val="226"/>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color w:val="0000FF"/>
              </w:rPr>
              <w:t>Mitsubishi HC Capital America, Inc.</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color w:val="0000FF"/>
              </w:rPr>
              <w:t>20,000,000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0000FF"/>
              </w:rPr>
              <w:t>3.6%</w:t>
            </w:r>
          </w:p>
        </w:tc>
        <w:tc>
          <w:tcPr>
            <w:tcW w:w="20" w:type="dxa"/>
            <w:vAlign w:val="bottom"/>
          </w:tcPr>
          <w:p>
            <w:pPr>
              <w:spacing w:after="0"/>
              <w:rPr>
                <w:sz w:val="19"/>
                <w:szCs w:val="19"/>
                <w:color w:val="auto"/>
              </w:rPr>
            </w:pPr>
          </w:p>
        </w:tc>
      </w:tr>
      <w:tr>
        <w:trPr>
          <w:trHeight w:val="253"/>
        </w:trPr>
        <w:tc>
          <w:tcPr>
            <w:tcW w:w="3860" w:type="dxa"/>
            <w:vAlign w:val="bottom"/>
          </w:tcPr>
          <w:p>
            <w:pPr>
              <w:ind w:left="160"/>
              <w:spacing w:after="0"/>
              <w:rPr>
                <w:sz w:val="20"/>
                <w:szCs w:val="20"/>
                <w:color w:val="auto"/>
              </w:rPr>
            </w:pPr>
            <w:r>
              <w:rPr>
                <w:rFonts w:ascii="Times New Roman" w:cs="Times New Roman" w:eastAsia="Times New Roman" w:hAnsi="Times New Roman"/>
                <w:sz w:val="19"/>
                <w:szCs w:val="19"/>
                <w:b w:val="1"/>
                <w:bCs w:val="1"/>
                <w:color w:val="0000FF"/>
              </w:rPr>
              <w:t>Aggregate</w:t>
            </w:r>
          </w:p>
        </w:tc>
        <w:tc>
          <w:tcPr>
            <w:tcW w:w="3980" w:type="dxa"/>
            <w:vAlign w:val="bottom"/>
          </w:tcPr>
          <w:p>
            <w:pPr>
              <w:jc w:val="right"/>
              <w:ind w:right="1144"/>
              <w:spacing w:after="0"/>
              <w:rPr>
                <w:sz w:val="20"/>
                <w:szCs w:val="20"/>
                <w:color w:val="auto"/>
              </w:rPr>
            </w:pPr>
            <w:r>
              <w:rPr>
                <w:rFonts w:ascii="Times New Roman" w:cs="Times New Roman" w:eastAsia="Times New Roman" w:hAnsi="Times New Roman"/>
                <w:sz w:val="19"/>
                <w:szCs w:val="19"/>
                <w:b w:val="1"/>
                <w:bCs w:val="1"/>
                <w:color w:val="0000FF"/>
              </w:rPr>
              <w:t>$550,000,000</w:t>
            </w:r>
          </w:p>
        </w:tc>
        <w:tc>
          <w:tcPr>
            <w:tcW w:w="2720" w:type="dxa"/>
            <w:vAlign w:val="bottom"/>
          </w:tcPr>
          <w:p>
            <w:pPr>
              <w:jc w:val="right"/>
              <w:ind w:right="124"/>
              <w:spacing w:after="0"/>
              <w:rPr>
                <w:sz w:val="20"/>
                <w:szCs w:val="20"/>
                <w:color w:val="auto"/>
              </w:rPr>
            </w:pPr>
            <w:r>
              <w:rPr>
                <w:rFonts w:ascii="Times New Roman" w:cs="Times New Roman" w:eastAsia="Times New Roman" w:hAnsi="Times New Roman"/>
                <w:sz w:val="19"/>
                <w:szCs w:val="19"/>
                <w:b w:val="1"/>
                <w:bCs w:val="1"/>
                <w:color w:val="0000FF"/>
              </w:rPr>
              <w:t>100.0%</w:t>
            </w:r>
          </w:p>
        </w:tc>
        <w:tc>
          <w:tcPr>
            <w:tcW w:w="20" w:type="dxa"/>
            <w:vAlign w:val="bottom"/>
          </w:tcPr>
          <w:p>
            <w:pPr>
              <w:spacing w:after="0"/>
              <w:rPr>
                <w:sz w:val="22"/>
                <w:szCs w:val="22"/>
                <w:color w:val="auto"/>
              </w:rPr>
            </w:pPr>
          </w:p>
        </w:tc>
      </w:tr>
      <w:tr>
        <w:trPr>
          <w:trHeight w:val="1875"/>
        </w:trPr>
        <w:tc>
          <w:tcPr>
            <w:tcW w:w="3860" w:type="dxa"/>
            <w:vAlign w:val="bottom"/>
            <w:tcBorders>
              <w:bottom w:val="single" w:sz="8" w:color="EEEEEE"/>
            </w:tcBorders>
          </w:tcPr>
          <w:p>
            <w:pPr>
              <w:spacing w:after="0"/>
              <w:rPr>
                <w:sz w:val="24"/>
                <w:szCs w:val="24"/>
                <w:color w:val="auto"/>
              </w:rPr>
            </w:pPr>
          </w:p>
        </w:tc>
        <w:tc>
          <w:tcPr>
            <w:tcW w:w="3980" w:type="dxa"/>
            <w:vAlign w:val="bottom"/>
            <w:tcBorders>
              <w:bottom w:val="single" w:sz="8" w:color="EEEEEE"/>
            </w:tcBorders>
          </w:tcPr>
          <w:p>
            <w:pPr>
              <w:spacing w:after="0"/>
              <w:rPr>
                <w:sz w:val="24"/>
                <w:szCs w:val="24"/>
                <w:color w:val="auto"/>
              </w:rPr>
            </w:pPr>
          </w:p>
        </w:tc>
        <w:tc>
          <w:tcPr>
            <w:tcW w:w="272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66" w:name="page367"/>
    <w:bookmarkEnd w:id="366"/>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I-2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Schedule of Documents</w:t>
      </w:r>
    </w:p>
    <w:p>
      <w:pPr>
        <w:spacing w:after="0" w:line="226" w:lineRule="exact"/>
        <w:rPr>
          <w:sz w:val="20"/>
          <w:szCs w:val="20"/>
          <w:color w:val="auto"/>
        </w:rPr>
      </w:pPr>
    </w:p>
    <w:p>
      <w:pPr>
        <w:ind w:right="20" w:firstLine="1404"/>
        <w:spacing w:after="0" w:line="268" w:lineRule="auto"/>
        <w:rPr>
          <w:sz w:val="20"/>
          <w:szCs w:val="20"/>
          <w:color w:val="auto"/>
        </w:rPr>
      </w:pPr>
      <w:r>
        <w:rPr>
          <w:rFonts w:ascii="Times New Roman" w:cs="Times New Roman" w:eastAsia="Times New Roman" w:hAnsi="Times New Roman"/>
          <w:sz w:val="19"/>
          <w:szCs w:val="19"/>
          <w:color w:val="auto"/>
        </w:rPr>
        <w:t>In addition to, and not in limitation of, the conditions specified in Section 3.3 of the Agreement described below, the following documents must be received by the Administrative Agent in form and substance satisfactory to the Administrative Agent on or prior to the Restatement Effective Date:</w:t>
      </w:r>
    </w:p>
    <w:p>
      <w:pPr>
        <w:spacing w:after="0" w:line="168" w:lineRule="exact"/>
        <w:rPr>
          <w:sz w:val="20"/>
          <w:szCs w:val="20"/>
          <w:color w:val="auto"/>
        </w:rPr>
      </w:pPr>
    </w:p>
    <w:p>
      <w:pPr>
        <w:ind w:left="240" w:hanging="186"/>
        <w:spacing w:after="0"/>
        <w:tabs>
          <w:tab w:leader="none" w:pos="24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copies of the Credit Agreement, duly executed by the parties thereto complete with all Exhibits and Schedules thereto.</w:t>
      </w:r>
    </w:p>
    <w:p>
      <w:pPr>
        <w:spacing w:after="0" w:line="225" w:lineRule="exact"/>
        <w:rPr>
          <w:rFonts w:ascii="Times New Roman" w:cs="Times New Roman" w:eastAsia="Times New Roman" w:hAnsi="Times New Roman"/>
          <w:sz w:val="19"/>
          <w:szCs w:val="19"/>
          <w:color w:val="auto"/>
        </w:rPr>
      </w:pPr>
    </w:p>
    <w:p>
      <w:pPr>
        <w:ind w:left="240" w:hanging="186"/>
        <w:spacing w:after="0"/>
        <w:tabs>
          <w:tab w:leader="none" w:pos="24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certificate of the Borrower certifying:</w:t>
      </w:r>
    </w:p>
    <w:p>
      <w:pPr>
        <w:spacing w:after="0" w:line="225" w:lineRule="exact"/>
        <w:rPr>
          <w:rFonts w:ascii="Times New Roman" w:cs="Times New Roman" w:eastAsia="Times New Roman" w:hAnsi="Times New Roman"/>
          <w:sz w:val="19"/>
          <w:szCs w:val="19"/>
          <w:color w:val="auto"/>
        </w:rPr>
      </w:pPr>
    </w:p>
    <w:p>
      <w:pPr>
        <w:ind w:left="700" w:right="40" w:firstLine="50"/>
        <w:spacing w:after="0" w:line="286" w:lineRule="auto"/>
        <w:tabs>
          <w:tab w:leader="none" w:pos="1009"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certified copy of the resolutions authorizing such Person’s execution, delivery and performance of this Agreement and the other documents to be delivered by it hereunder;</w:t>
      </w:r>
    </w:p>
    <w:p>
      <w:pPr>
        <w:spacing w:after="0" w:line="151" w:lineRule="exact"/>
        <w:rPr>
          <w:rFonts w:ascii="Times New Roman" w:cs="Times New Roman" w:eastAsia="Times New Roman" w:hAnsi="Times New Roman"/>
          <w:sz w:val="19"/>
          <w:szCs w:val="19"/>
          <w:color w:val="auto"/>
        </w:rPr>
      </w:pPr>
    </w:p>
    <w:p>
      <w:pPr>
        <w:ind w:left="700" w:right="180" w:firstLine="50"/>
        <w:spacing w:after="0" w:line="286" w:lineRule="auto"/>
        <w:tabs>
          <w:tab w:leader="none" w:pos="1020"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names and signatures of the officers authorized on its behalf to execute this Agreement and any other documents to be delivered by it hereunder;</w:t>
      </w:r>
    </w:p>
    <w:p>
      <w:pPr>
        <w:spacing w:after="0" w:line="132" w:lineRule="exact"/>
        <w:rPr>
          <w:rFonts w:ascii="Times New Roman" w:cs="Times New Roman" w:eastAsia="Times New Roman" w:hAnsi="Times New Roman"/>
          <w:sz w:val="19"/>
          <w:szCs w:val="19"/>
          <w:color w:val="auto"/>
        </w:rPr>
      </w:pPr>
    </w:p>
    <w:p>
      <w:pPr>
        <w:ind w:left="700" w:right="240" w:firstLine="50"/>
        <w:spacing w:after="0" w:line="249" w:lineRule="exact"/>
        <w:tabs>
          <w:tab w:leader="none" w:pos="1009"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copy of such Person’s By</w:t>
      </w:r>
      <w:r>
        <w:rPr>
          <w:rFonts w:ascii="MS PGothic" w:cs="MS PGothic" w:eastAsia="MS PGothic" w:hAnsi="MS PGothic"/>
          <w:sz w:val="19"/>
          <w:szCs w:val="19"/>
          <w:color w:val="FF0000"/>
          <w:strike w:val="1"/>
        </w:rPr>
        <w:t>‑</w:t>
      </w:r>
      <w:r>
        <w:rPr>
          <w:rFonts w:ascii="Times New Roman" w:cs="Times New Roman" w:eastAsia="Times New Roman" w:hAnsi="Times New Roman"/>
          <w:sz w:val="19"/>
          <w:szCs w:val="19"/>
          <w:color w:val="0000FF"/>
        </w:rPr>
        <w:t>-</w:t>
      </w:r>
      <w:r>
        <w:rPr>
          <w:rFonts w:ascii="Times New Roman" w:cs="Times New Roman" w:eastAsia="Times New Roman" w:hAnsi="Times New Roman"/>
          <w:sz w:val="19"/>
          <w:szCs w:val="19"/>
          <w:color w:val="auto"/>
        </w:rPr>
        <w:t xml:space="preserve">Laws, Limited Liability Company Agreement, Operating Agreement or Trust Agreement, as applicable; </w:t>
      </w:r>
      <w:r>
        <w:rPr>
          <w:rFonts w:ascii="Times New Roman" w:cs="Times New Roman" w:eastAsia="Times New Roman" w:hAnsi="Times New Roman"/>
          <w:sz w:val="19"/>
          <w:szCs w:val="19"/>
          <w:color w:val="FF0000"/>
          <w:strike w:val="1"/>
        </w:rPr>
        <w:t>and</w:t>
      </w:r>
    </w:p>
    <w:p>
      <w:pPr>
        <w:spacing w:after="0" w:line="194"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Person’s articles or certificate of incorporation, certificate of formation or certificate of trust, as applicable; and</w:t>
      </w:r>
    </w:p>
    <w:p>
      <w:pPr>
        <w:spacing w:after="0" w:line="225" w:lineRule="exact"/>
        <w:rPr>
          <w:rFonts w:ascii="Times New Roman" w:cs="Times New Roman" w:eastAsia="Times New Roman" w:hAnsi="Times New Roman"/>
          <w:sz w:val="19"/>
          <w:szCs w:val="19"/>
          <w:color w:val="auto"/>
        </w:rPr>
      </w:pPr>
    </w:p>
    <w:p>
      <w:pPr>
        <w:ind w:left="1020" w:hanging="270"/>
        <w:spacing w:after="0"/>
        <w:tabs>
          <w:tab w:leader="none" w:pos="1020" w:val="left"/>
        </w:tabs>
        <w:numPr>
          <w:ilvl w:val="2"/>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the absence of an Event of Default or Unmatured Event of Default under the Credit Agreement.</w:t>
      </w:r>
    </w:p>
    <w:p>
      <w:pPr>
        <w:spacing w:after="0" w:line="225" w:lineRule="exact"/>
        <w:rPr>
          <w:rFonts w:ascii="Times New Roman" w:cs="Times New Roman" w:eastAsia="Times New Roman" w:hAnsi="Times New Roman"/>
          <w:sz w:val="19"/>
          <w:szCs w:val="19"/>
          <w:color w:val="auto"/>
        </w:rPr>
      </w:pPr>
    </w:p>
    <w:p>
      <w:pPr>
        <w:ind w:left="240" w:hanging="186"/>
        <w:spacing w:after="0"/>
        <w:tabs>
          <w:tab w:leader="none" w:pos="24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good standing certificate for the Borrower issued by the secretary of state of its state of incorporation/formation.</w:t>
      </w:r>
    </w:p>
    <w:p>
      <w:pPr>
        <w:spacing w:after="0" w:line="225" w:lineRule="exact"/>
        <w:rPr>
          <w:rFonts w:ascii="Times New Roman" w:cs="Times New Roman" w:eastAsia="Times New Roman" w:hAnsi="Times New Roman"/>
          <w:sz w:val="19"/>
          <w:szCs w:val="19"/>
          <w:color w:val="auto"/>
        </w:rPr>
      </w:pPr>
    </w:p>
    <w:p>
      <w:pPr>
        <w:ind w:right="120" w:firstLine="54"/>
        <w:spacing w:after="0" w:line="286" w:lineRule="auto"/>
        <w:tabs>
          <w:tab w:leader="none" w:pos="24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State and federal tax lien, judgment lien and UCC lien searches against the Borrower from the applicable jurisdiction of organization and from the jurisdiction where its chief executive office is located.</w:t>
      </w:r>
    </w:p>
    <w:p>
      <w:pPr>
        <w:spacing w:after="0" w:line="151" w:lineRule="exact"/>
        <w:rPr>
          <w:rFonts w:ascii="Times New Roman" w:cs="Times New Roman" w:eastAsia="Times New Roman" w:hAnsi="Times New Roman"/>
          <w:sz w:val="19"/>
          <w:szCs w:val="19"/>
          <w:color w:val="auto"/>
        </w:rPr>
      </w:pPr>
    </w:p>
    <w:p>
      <w:pPr>
        <w:ind w:left="240" w:hanging="186"/>
        <w:spacing w:after="0"/>
        <w:tabs>
          <w:tab w:leader="none" w:pos="24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Third Amended and Restated Lender Fee Letter executed by the parties thereto.</w:t>
      </w:r>
    </w:p>
    <w:p>
      <w:pPr>
        <w:spacing w:after="0" w:line="225" w:lineRule="exact"/>
        <w:rPr>
          <w:rFonts w:ascii="Times New Roman" w:cs="Times New Roman" w:eastAsia="Times New Roman" w:hAnsi="Times New Roman"/>
          <w:sz w:val="19"/>
          <w:szCs w:val="19"/>
          <w:color w:val="auto"/>
        </w:rPr>
      </w:pPr>
    </w:p>
    <w:p>
      <w:pPr>
        <w:ind w:left="300" w:hanging="246"/>
        <w:spacing w:after="0"/>
        <w:tabs>
          <w:tab w:leader="none" w:pos="30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Opinions of legal counsel for the Borrower reasonably acceptable to the Agent:</w:t>
      </w:r>
    </w:p>
    <w:p>
      <w:pPr>
        <w:spacing w:after="0" w:line="225" w:lineRule="exact"/>
        <w:rPr>
          <w:rFonts w:ascii="Times New Roman" w:cs="Times New Roman" w:eastAsia="Times New Roman" w:hAnsi="Times New Roman"/>
          <w:sz w:val="19"/>
          <w:szCs w:val="19"/>
          <w:color w:val="auto"/>
        </w:rPr>
      </w:pPr>
    </w:p>
    <w:p>
      <w:pPr>
        <w:ind w:left="360" w:hanging="258"/>
        <w:spacing w:after="0"/>
        <w:tabs>
          <w:tab w:leader="none" w:pos="360"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Enforceability, Non-Contravention, Corporate Matters of the Borrower; and</w:t>
      </w:r>
    </w:p>
    <w:p>
      <w:pPr>
        <w:spacing w:after="0" w:line="225" w:lineRule="exact"/>
        <w:rPr>
          <w:rFonts w:ascii="Times New Roman" w:cs="Times New Roman" w:eastAsia="Times New Roman" w:hAnsi="Times New Roman"/>
          <w:sz w:val="19"/>
          <w:szCs w:val="19"/>
          <w:color w:val="auto"/>
        </w:rPr>
      </w:pPr>
    </w:p>
    <w:p>
      <w:pPr>
        <w:ind w:left="380" w:hanging="278"/>
        <w:spacing w:after="0"/>
        <w:tabs>
          <w:tab w:leader="none" w:pos="380"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UCC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794385</wp:posOffset>
            </wp:positionV>
            <wp:extent cx="6732905" cy="4064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67" w:name="page368"/>
    <w:bookmarkEnd w:id="367"/>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FF0000"/>
          <w:strike w:val="1"/>
        </w:rPr>
        <w:t>8</w:t>
      </w:r>
      <w:r>
        <w:rPr>
          <w:rFonts w:ascii="Times New Roman" w:cs="Times New Roman" w:eastAsia="Times New Roman" w:hAnsi="Times New Roman"/>
          <w:sz w:val="19"/>
          <w:szCs w:val="19"/>
          <w:color w:val="0000FF"/>
        </w:rPr>
        <w:t>7</w:t>
      </w:r>
      <w:r>
        <w:rPr>
          <w:rFonts w:ascii="Times New Roman" w:cs="Times New Roman" w:eastAsia="Times New Roman" w:hAnsi="Times New Roman"/>
          <w:sz w:val="19"/>
          <w:szCs w:val="19"/>
          <w:color w:val="000000"/>
        </w:rPr>
        <w:t>. Administrative Agent Fee Letter executed by the parties thereto.</w:t>
      </w:r>
    </w:p>
    <w:p>
      <w:pPr>
        <w:spacing w:after="0" w:line="32" w:lineRule="exact"/>
        <w:rPr>
          <w:sz w:val="20"/>
          <w:szCs w:val="20"/>
          <w:color w:val="auto"/>
        </w:rPr>
      </w:pPr>
    </w:p>
    <w:p>
      <w:pPr>
        <w:jc w:val="right"/>
        <w:ind w:right="44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9"/>
          <w:szCs w:val="19"/>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635635</wp:posOffset>
            </wp:positionV>
            <wp:extent cx="6732905" cy="406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40"/>
          </w:cols>
          <w:pgMar w:left="720" w:top="1440" w:right="1440" w:bottom="1440" w:gutter="0" w:footer="0" w:header="0"/>
        </w:sectPr>
      </w:pPr>
    </w:p>
    <w:bookmarkStart w:id="368" w:name="page369"/>
    <w:bookmarkEnd w:id="368"/>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II</w:t>
      </w:r>
    </w:p>
    <w:p>
      <w:pPr>
        <w:spacing w:after="0" w:line="20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color w:val="auto"/>
        </w:rPr>
        <w:t>Loan List</w:t>
      </w:r>
    </w:p>
    <w:p>
      <w:pPr>
        <w:spacing w:after="0" w:line="22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b w:val="1"/>
          <w:bCs w:val="1"/>
          <w:color w:val="auto"/>
        </w:rPr>
        <w:t>[on file with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1153795</wp:posOffset>
            </wp:positionV>
            <wp:extent cx="6732905" cy="406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1440" w:top="1440" w:right="660" w:bottom="1440" w:gutter="0" w:footer="0" w:header="0"/>
        </w:sectPr>
      </w:pPr>
    </w:p>
    <w:bookmarkStart w:id="369" w:name="page370"/>
    <w:bookmarkEnd w:id="369"/>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III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Reserved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52546582.3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0" w:name="page371"/>
    <w:bookmarkEnd w:id="370"/>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IV</w:t>
      </w: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Places of Business; Locations of Records</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ief Executive Office and Places of Business: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Runway Growth Finance Corp.</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205 N. Michigan Ave., Suite 4200</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Chicago, IL 60601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cation of Records:</w:t>
      </w: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Runway Growth Finance Corp.</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205 N. Michigan Ave., Suite 4200</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9"/>
          <w:szCs w:val="19"/>
          <w:color w:val="auto"/>
        </w:rPr>
        <w:t>Chicago, IL 60601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1839595</wp:posOffset>
            </wp:positionV>
            <wp:extent cx="6732905" cy="406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40"/>
          </w:cols>
          <w:pgMar w:left="580" w:top="1440" w:right="680" w:bottom="1440" w:gutter="0" w:footer="0" w:header="0"/>
        </w:sectPr>
      </w:pPr>
    </w:p>
    <w:bookmarkStart w:id="371" w:name="page372"/>
    <w:bookmarkEnd w:id="371"/>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V</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180" w:type="dxa"/>
            <w:vAlign w:val="bottom"/>
          </w:tcPr>
          <w:p>
            <w:pPr>
              <w:ind w:left="2920"/>
              <w:spacing w:after="0"/>
              <w:rPr>
                <w:sz w:val="20"/>
                <w:szCs w:val="20"/>
                <w:color w:val="auto"/>
              </w:rPr>
            </w:pPr>
            <w:r>
              <w:rPr>
                <w:rFonts w:ascii="Times New Roman" w:cs="Times New Roman" w:eastAsia="Times New Roman" w:hAnsi="Times New Roman"/>
                <w:sz w:val="19"/>
                <w:szCs w:val="19"/>
                <w:b w:val="1"/>
                <w:bCs w:val="1"/>
                <w:color w:val="auto"/>
              </w:rPr>
              <w:t>Proprietary Risk Rating</w:t>
            </w:r>
          </w:p>
        </w:tc>
      </w:tr>
      <w:tr>
        <w:trPr>
          <w:trHeight w:val="419"/>
        </w:trPr>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Investment</w:t>
            </w:r>
          </w:p>
        </w:tc>
        <w:tc>
          <w:tcPr>
            <w:tcW w:w="120" w:type="dxa"/>
            <w:vAlign w:val="bottom"/>
          </w:tcPr>
          <w:p>
            <w:pPr>
              <w:spacing w:after="0"/>
              <w:rPr>
                <w:sz w:val="24"/>
                <w:szCs w:val="24"/>
                <w:color w:val="auto"/>
              </w:rPr>
            </w:pPr>
          </w:p>
        </w:tc>
        <w:tc>
          <w:tcPr>
            <w:tcW w:w="9180" w:type="dxa"/>
            <w:vAlign w:val="bottom"/>
          </w:tcPr>
          <w:p>
            <w:pPr>
              <w:spacing w:after="0"/>
              <w:rPr>
                <w:sz w:val="24"/>
                <w:szCs w:val="24"/>
                <w:color w:val="auto"/>
              </w:rPr>
            </w:pPr>
          </w:p>
        </w:tc>
      </w:tr>
      <w:tr>
        <w:trPr>
          <w:trHeight w:val="253"/>
        </w:trPr>
        <w:tc>
          <w:tcPr>
            <w:tcW w:w="12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Rating</w:t>
            </w:r>
          </w:p>
        </w:tc>
        <w:tc>
          <w:tcPr>
            <w:tcW w:w="120" w:type="dxa"/>
            <w:vAlign w:val="bottom"/>
          </w:tcPr>
          <w:p>
            <w:pPr>
              <w:spacing w:after="0"/>
              <w:rPr>
                <w:sz w:val="22"/>
                <w:szCs w:val="22"/>
                <w:color w:val="auto"/>
              </w:rPr>
            </w:pPr>
          </w:p>
        </w:tc>
        <w:tc>
          <w:tcPr>
            <w:tcW w:w="9180" w:type="dxa"/>
            <w:vAlign w:val="bottom"/>
          </w:tcPr>
          <w:p>
            <w:pPr>
              <w:ind w:left="3880"/>
              <w:spacing w:after="0"/>
              <w:rPr>
                <w:sz w:val="20"/>
                <w:szCs w:val="20"/>
                <w:color w:val="auto"/>
              </w:rPr>
            </w:pPr>
            <w:r>
              <w:rPr>
                <w:rFonts w:ascii="Times New Roman" w:cs="Times New Roman" w:eastAsia="Times New Roman" w:hAnsi="Times New Roman"/>
                <w:sz w:val="19"/>
                <w:szCs w:val="19"/>
                <w:b w:val="1"/>
                <w:bCs w:val="1"/>
                <w:color w:val="auto"/>
              </w:rPr>
              <w:t>Rating Definition</w:t>
            </w:r>
          </w:p>
        </w:tc>
      </w:tr>
      <w:tr>
        <w:trPr>
          <w:trHeight w:val="182"/>
        </w:trPr>
        <w:tc>
          <w:tcPr>
            <w:tcW w:w="12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18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7" w:lineRule="exact"/>
        <w:rPr>
          <w:sz w:val="20"/>
          <w:szCs w:val="20"/>
          <w:color w:val="auto"/>
        </w:rPr>
      </w:pPr>
    </w:p>
    <w:p>
      <w:pPr>
        <w:ind w:left="1380" w:right="600" w:hanging="792"/>
        <w:spacing w:after="0" w:line="286" w:lineRule="auto"/>
        <w:tabs>
          <w:tab w:leader="none" w:pos="1380" w:val="left"/>
        </w:tabs>
        <w:numPr>
          <w:ilvl w:val="0"/>
          <w:numId w:val="18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Performing above plan and/or strong enterprise profile, value, financial performance/coverage. Maintaining full covenant and payment compliance as agreed.</w:t>
      </w:r>
    </w:p>
    <w:p>
      <w:pPr>
        <w:spacing w:after="0" w:line="127" w:lineRule="exact"/>
        <w:rPr>
          <w:sz w:val="20"/>
          <w:szCs w:val="20"/>
          <w:color w:val="auto"/>
        </w:rPr>
      </w:pPr>
    </w:p>
    <w:p>
      <w:pPr>
        <w:ind w:left="1380" w:right="700" w:hanging="792"/>
        <w:spacing w:after="0" w:line="286" w:lineRule="auto"/>
        <w:tabs>
          <w:tab w:leader="none" w:pos="1380" w:val="left"/>
        </w:tabs>
        <w:numPr>
          <w:ilvl w:val="0"/>
          <w:numId w:val="18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Performing at or reasonably close to plan. Acceptable business prospects, enterprise value, financial coverage. Maintaining key covenant and payment compliance as agreed. All new loans are initially graded Category 2.</w:t>
      </w:r>
    </w:p>
    <w:p>
      <w:pPr>
        <w:spacing w:after="0" w:line="127" w:lineRule="exact"/>
        <w:rPr>
          <w:sz w:val="20"/>
          <w:szCs w:val="20"/>
          <w:color w:val="auto"/>
        </w:rPr>
      </w:pPr>
    </w:p>
    <w:p>
      <w:pPr>
        <w:ind w:left="1380" w:right="100" w:hanging="792"/>
        <w:spacing w:after="0" w:line="286" w:lineRule="auto"/>
        <w:tabs>
          <w:tab w:leader="none" w:pos="1380" w:val="left"/>
        </w:tabs>
        <w:numPr>
          <w:ilvl w:val="0"/>
          <w:numId w:val="1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Performing below plan of record. Potential elements of concern over performance, trends and business outlook. Loan-to-value remains adequate. Potential key covenant non-compliance. Full payment compliance.</w:t>
      </w:r>
    </w:p>
    <w:p>
      <w:pPr>
        <w:spacing w:after="0" w:line="127" w:lineRule="exact"/>
        <w:rPr>
          <w:sz w:val="20"/>
          <w:szCs w:val="20"/>
          <w:color w:val="auto"/>
        </w:rPr>
      </w:pPr>
    </w:p>
    <w:p>
      <w:pPr>
        <w:ind w:left="1380" w:right="240" w:hanging="792"/>
        <w:spacing w:after="0" w:line="262" w:lineRule="auto"/>
        <w:tabs>
          <w:tab w:leader="none" w:pos="1380" w:val="left"/>
        </w:tabs>
        <w:numPr>
          <w:ilvl w:val="0"/>
          <w:numId w:val="18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150" w:lineRule="exact"/>
        <w:rPr>
          <w:sz w:val="20"/>
          <w:szCs w:val="20"/>
          <w:color w:val="auto"/>
        </w:rPr>
      </w:pPr>
    </w:p>
    <w:p>
      <w:pPr>
        <w:ind w:left="1380" w:right="40" w:hanging="792"/>
        <w:spacing w:after="0" w:line="268" w:lineRule="auto"/>
        <w:tabs>
          <w:tab w:leader="none" w:pos="1380" w:val="left"/>
        </w:tabs>
        <w:numPr>
          <w:ilvl w:val="0"/>
          <w:numId w:val="1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1261110</wp:posOffset>
            </wp:positionV>
            <wp:extent cx="6732905" cy="406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2" w:name="page373"/>
    <w:bookmarkEnd w:id="372"/>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VI</w:t>
      </w:r>
    </w:p>
    <w:p>
      <w:pPr>
        <w:spacing w:after="0" w:line="20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9"/>
          <w:szCs w:val="19"/>
          <w:color w:val="auto"/>
        </w:rPr>
        <w:t>Investment Policy</w:t>
      </w:r>
    </w:p>
    <w:p>
      <w:pPr>
        <w:spacing w:after="0" w:line="200" w:lineRule="exact"/>
        <w:rPr>
          <w:sz w:val="20"/>
          <w:szCs w:val="20"/>
          <w:color w:val="auto"/>
        </w:rPr>
      </w:pPr>
    </w:p>
    <w:p>
      <w:pPr>
        <w:spacing w:after="0" w:line="2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1275715</wp:posOffset>
            </wp:positionV>
            <wp:extent cx="6732905" cy="406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373" w:name="page374"/>
    <w:bookmarkEnd w:id="373"/>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VII</w:t>
      </w:r>
    </w:p>
    <w:p>
      <w:pPr>
        <w:spacing w:after="0" w:line="20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9"/>
          <w:szCs w:val="19"/>
          <w:color w:val="auto"/>
        </w:rPr>
        <w:t>Forms of Borrower’s Standard Documents</w:t>
      </w:r>
    </w:p>
    <w:p>
      <w:pPr>
        <w:spacing w:after="0" w:line="200" w:lineRule="exact"/>
        <w:rPr>
          <w:sz w:val="20"/>
          <w:szCs w:val="20"/>
          <w:color w:val="auto"/>
        </w:rPr>
      </w:pPr>
    </w:p>
    <w:p>
      <w:pPr>
        <w:spacing w:after="0" w:line="2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1275715</wp:posOffset>
            </wp:positionV>
            <wp:extent cx="6732905" cy="406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374" w:name="page375"/>
    <w:bookmarkEnd w:id="374"/>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SCHEDULE VIII</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400" w:type="dxa"/>
            <w:vAlign w:val="bottom"/>
          </w:tcPr>
          <w:p>
            <w:pPr>
              <w:spacing w:after="0"/>
              <w:rPr>
                <w:sz w:val="21"/>
                <w:szCs w:val="21"/>
                <w:color w:val="auto"/>
              </w:rPr>
            </w:pPr>
          </w:p>
        </w:tc>
        <w:tc>
          <w:tcPr>
            <w:tcW w:w="7160" w:type="dxa"/>
            <w:vAlign w:val="bottom"/>
          </w:tcPr>
          <w:p>
            <w:pPr>
              <w:ind w:left="840"/>
              <w:spacing w:after="0"/>
              <w:rPr>
                <w:sz w:val="20"/>
                <w:szCs w:val="20"/>
                <w:color w:val="auto"/>
              </w:rPr>
            </w:pPr>
            <w:r>
              <w:rPr>
                <w:rFonts w:ascii="Times New Roman" w:cs="Times New Roman" w:eastAsia="Times New Roman" w:hAnsi="Times New Roman"/>
                <w:sz w:val="19"/>
                <w:szCs w:val="19"/>
                <w:color w:val="auto"/>
              </w:rPr>
              <w:t>Collection Account Details</w:t>
            </w:r>
          </w:p>
        </w:tc>
      </w:tr>
      <w:tr>
        <w:trPr>
          <w:trHeight w:val="889"/>
        </w:trPr>
        <w:tc>
          <w:tcPr>
            <w:tcW w:w="34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Collection Account</w:t>
            </w: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U.S. Bank National Association</w:t>
            </w:r>
          </w:p>
        </w:tc>
      </w:tr>
      <w:tr>
        <w:trPr>
          <w:trHeight w:val="251"/>
        </w:trPr>
        <w:tc>
          <w:tcPr>
            <w:tcW w:w="3400" w:type="dxa"/>
            <w:vAlign w:val="bottom"/>
          </w:tcPr>
          <w:p>
            <w:pPr>
              <w:spacing w:after="0"/>
              <w:rPr>
                <w:sz w:val="21"/>
                <w:szCs w:val="21"/>
                <w:color w:val="auto"/>
              </w:rPr>
            </w:pP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Account Number 185014-200</w:t>
            </w:r>
          </w:p>
        </w:tc>
      </w:tr>
      <w:tr>
        <w:trPr>
          <w:trHeight w:val="421"/>
        </w:trPr>
        <w:tc>
          <w:tcPr>
            <w:tcW w:w="34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Interest Collection Subaccount</w:t>
            </w: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U.S. Bank National Association</w:t>
            </w:r>
          </w:p>
        </w:tc>
      </w:tr>
      <w:tr>
        <w:trPr>
          <w:trHeight w:val="251"/>
        </w:trPr>
        <w:tc>
          <w:tcPr>
            <w:tcW w:w="3400" w:type="dxa"/>
            <w:vAlign w:val="bottom"/>
          </w:tcPr>
          <w:p>
            <w:pPr>
              <w:spacing w:after="0"/>
              <w:rPr>
                <w:sz w:val="21"/>
                <w:szCs w:val="21"/>
                <w:color w:val="auto"/>
              </w:rPr>
            </w:pP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Account Number 185014-201</w:t>
            </w:r>
          </w:p>
        </w:tc>
      </w:tr>
      <w:tr>
        <w:trPr>
          <w:trHeight w:val="421"/>
        </w:trPr>
        <w:tc>
          <w:tcPr>
            <w:tcW w:w="34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Principal Collection Subaccount</w:t>
            </w: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U.S. Bank National Association</w:t>
            </w:r>
          </w:p>
        </w:tc>
      </w:tr>
      <w:tr>
        <w:trPr>
          <w:trHeight w:val="251"/>
        </w:trPr>
        <w:tc>
          <w:tcPr>
            <w:tcW w:w="3400" w:type="dxa"/>
            <w:vAlign w:val="bottom"/>
          </w:tcPr>
          <w:p>
            <w:pPr>
              <w:spacing w:after="0"/>
              <w:rPr>
                <w:sz w:val="21"/>
                <w:szCs w:val="21"/>
                <w:color w:val="auto"/>
              </w:rPr>
            </w:pP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Account Number 185014-202</w:t>
            </w:r>
          </w:p>
        </w:tc>
      </w:tr>
      <w:tr>
        <w:trPr>
          <w:trHeight w:val="421"/>
        </w:trPr>
        <w:tc>
          <w:tcPr>
            <w:tcW w:w="340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CIBC Loan Agency Account</w:t>
            </w: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CIBC Bank USA</w:t>
            </w:r>
          </w:p>
        </w:tc>
      </w:tr>
      <w:tr>
        <w:trPr>
          <w:trHeight w:val="251"/>
        </w:trPr>
        <w:tc>
          <w:tcPr>
            <w:tcW w:w="3400" w:type="dxa"/>
            <w:vAlign w:val="bottom"/>
          </w:tcPr>
          <w:p>
            <w:pPr>
              <w:spacing w:after="0"/>
              <w:rPr>
                <w:sz w:val="21"/>
                <w:szCs w:val="21"/>
                <w:color w:val="auto"/>
              </w:rPr>
            </w:pPr>
          </w:p>
        </w:tc>
        <w:tc>
          <w:tcPr>
            <w:tcW w:w="71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Account Number 0002637324</w:t>
            </w:r>
          </w:p>
        </w:tc>
      </w:tr>
      <w:tr>
        <w:trPr>
          <w:trHeight w:val="1646"/>
        </w:trPr>
        <w:tc>
          <w:tcPr>
            <w:tcW w:w="3400" w:type="dxa"/>
            <w:vAlign w:val="bottom"/>
            <w:tcBorders>
              <w:bottom w:val="single" w:sz="8" w:color="EEEEEE"/>
            </w:tcBorders>
          </w:tcPr>
          <w:p>
            <w:pPr>
              <w:spacing w:after="0"/>
              <w:rPr>
                <w:sz w:val="24"/>
                <w:szCs w:val="24"/>
                <w:color w:val="auto"/>
              </w:rPr>
            </w:pPr>
          </w:p>
        </w:tc>
        <w:tc>
          <w:tcPr>
            <w:tcW w:w="71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5" w:name="page376"/>
    <w:bookmarkEnd w:id="375"/>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J</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OF COMPLIANCE CERTIFICATE</w:t>
      </w:r>
    </w:p>
    <w:p>
      <w:pPr>
        <w:spacing w:after="0" w:line="240" w:lineRule="exact"/>
        <w:rPr>
          <w:sz w:val="20"/>
          <w:szCs w:val="20"/>
          <w:color w:val="auto"/>
        </w:rPr>
      </w:pPr>
    </w:p>
    <w:p>
      <w:pPr>
        <w:ind w:right="80" w:firstLine="48"/>
        <w:spacing w:after="0" w:line="254" w:lineRule="auto"/>
        <w:rPr>
          <w:sz w:val="20"/>
          <w:szCs w:val="20"/>
          <w:color w:val="auto"/>
        </w:rPr>
      </w:pPr>
      <w:r>
        <w:rPr>
          <w:rFonts w:ascii="Times New Roman" w:cs="Times New Roman" w:eastAsia="Times New Roman" w:hAnsi="Times New Roman"/>
          <w:sz w:val="19"/>
          <w:szCs w:val="19"/>
          <w:color w:val="auto"/>
        </w:rPr>
        <w:t xml:space="preserve">Pursuant to Section 7.11(c) of that certain Amended and Restated Credit Agreement dated as of April 20, 2022 (as amended, restated, modified or supplemented from time to time, the </w:t>
      </w:r>
      <w:r>
        <w:rPr>
          <w:rFonts w:ascii="Times New Roman" w:cs="Times New Roman" w:eastAsia="Times New Roman" w:hAnsi="Times New Roman"/>
          <w:sz w:val="19"/>
          <w:szCs w:val="19"/>
          <w:i w:val="1"/>
          <w:iCs w:val="1"/>
          <w:color w:val="auto"/>
        </w:rPr>
        <w:t>“Credit Agreement”</w:t>
      </w:r>
      <w:r>
        <w:rPr>
          <w:rFonts w:ascii="Times New Roman" w:cs="Times New Roman" w:eastAsia="Times New Roman" w:hAnsi="Times New Roman"/>
          <w:sz w:val="19"/>
          <w:szCs w:val="19"/>
          <w:color w:val="auto"/>
        </w:rPr>
        <w:t xml:space="preserve">), among Runway Growth Finance Corp., a Maryland corporation, as borrower (the </w:t>
      </w:r>
      <w:r>
        <w:rPr>
          <w:rFonts w:ascii="Times New Roman" w:cs="Times New Roman" w:eastAsia="Times New Roman" w:hAnsi="Times New Roman"/>
          <w:sz w:val="19"/>
          <w:szCs w:val="19"/>
          <w:i w:val="1"/>
          <w:iCs w:val="1"/>
          <w:color w:val="auto"/>
        </w:rPr>
        <w:t>“Borrower”</w:t>
      </w:r>
      <w:r>
        <w:rPr>
          <w:rFonts w:ascii="Times New Roman" w:cs="Times New Roman" w:eastAsia="Times New Roman" w:hAnsi="Times New Roman"/>
          <w:sz w:val="19"/>
          <w:szCs w:val="19"/>
          <w:color w:val="auto"/>
        </w:rPr>
        <w:t xml:space="preserve">); each Guarantor party thereto; the financial institutions currently party thereto as lenders (the </w:t>
      </w:r>
      <w:r>
        <w:rPr>
          <w:rFonts w:ascii="Times New Roman" w:cs="Times New Roman" w:eastAsia="Times New Roman" w:hAnsi="Times New Roman"/>
          <w:sz w:val="19"/>
          <w:szCs w:val="19"/>
          <w:i w:val="1"/>
          <w:iCs w:val="1"/>
          <w:color w:val="auto"/>
        </w:rPr>
        <w:t>“Lenders”</w:t>
      </w:r>
      <w:r>
        <w:rPr>
          <w:rFonts w:ascii="Times New Roman" w:cs="Times New Roman" w:eastAsia="Times New Roman" w:hAnsi="Times New Roman"/>
          <w:sz w:val="19"/>
          <w:szCs w:val="19"/>
          <w:color w:val="auto"/>
        </w:rPr>
        <w:t xml:space="preserve">); KeyBank National Association, as administrative agent for the Lenders (in such capacity, together with its successors and assigns, the </w:t>
      </w:r>
      <w:r>
        <w:rPr>
          <w:rFonts w:ascii="Times New Roman" w:cs="Times New Roman" w:eastAsia="Times New Roman" w:hAnsi="Times New Roman"/>
          <w:sz w:val="19"/>
          <w:szCs w:val="19"/>
          <w:i w:val="1"/>
          <w:iCs w:val="1"/>
          <w:color w:val="auto"/>
        </w:rPr>
        <w:t>“Administrative Agent”</w:t>
      </w:r>
      <w:r>
        <w:rPr>
          <w:rFonts w:ascii="Times New Roman" w:cs="Times New Roman" w:eastAsia="Times New Roman" w:hAnsi="Times New Roman"/>
          <w:sz w:val="19"/>
          <w:szCs w:val="19"/>
          <w:color w:val="auto"/>
        </w:rPr>
        <w:t>); CIBC Bank USA, as documentation agent (together with its successors and assigns, the</w:t>
      </w:r>
      <w:r>
        <w:rPr>
          <w:rFonts w:ascii="Times New Roman" w:cs="Times New Roman" w:eastAsia="Times New Roman" w:hAnsi="Times New Roman"/>
          <w:sz w:val="19"/>
          <w:szCs w:val="19"/>
          <w:i w:val="1"/>
          <w:iCs w:val="1"/>
          <w:color w:val="auto"/>
        </w:rPr>
        <w:t xml:space="preserve"> “Documentation Agent”</w:t>
      </w:r>
      <w:r>
        <w:rPr>
          <w:rFonts w:ascii="Times New Roman" w:cs="Times New Roman" w:eastAsia="Times New Roman" w:hAnsi="Times New Roman"/>
          <w:sz w:val="19"/>
          <w:szCs w:val="19"/>
          <w:color w:val="auto"/>
        </w:rPr>
        <w:t>); MUFG Bank, Ltd. (as successor-in-interest to MUFG Union Bank, N.A.), as co- documentation agent (together with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successors and assigns, the </w:t>
      </w:r>
      <w:r>
        <w:rPr>
          <w:rFonts w:ascii="Times New Roman" w:cs="Times New Roman" w:eastAsia="Times New Roman" w:hAnsi="Times New Roman"/>
          <w:sz w:val="19"/>
          <w:szCs w:val="19"/>
          <w:i w:val="1"/>
          <w:iCs w:val="1"/>
          <w:color w:val="auto"/>
        </w:rPr>
        <w:t>“Co-Documentation Agent”</w:t>
      </w:r>
      <w:r>
        <w:rPr>
          <w:rFonts w:ascii="Times New Roman" w:cs="Times New Roman" w:eastAsia="Times New Roman" w:hAnsi="Times New Roman"/>
          <w:sz w:val="19"/>
          <w:szCs w:val="19"/>
          <w:color w:val="auto"/>
        </w:rPr>
        <w:t xml:space="preserve">); and U.S. Bank Trust Company, National Association, not in its individual capacity but as successor in interest to U.S. Bank National Association as the paying agent (together with its successors and assigns, the </w:t>
      </w:r>
      <w:r>
        <w:rPr>
          <w:rFonts w:ascii="Times New Roman" w:cs="Times New Roman" w:eastAsia="Times New Roman" w:hAnsi="Times New Roman"/>
          <w:sz w:val="19"/>
          <w:szCs w:val="19"/>
          <w:i w:val="1"/>
          <w:iCs w:val="1"/>
          <w:color w:val="auto"/>
        </w:rPr>
        <w:t>“Paying Agent”</w:t>
      </w:r>
      <w:r>
        <w:rPr>
          <w:rFonts w:ascii="Times New Roman" w:cs="Times New Roman" w:eastAsia="Times New Roman" w:hAnsi="Times New Roman"/>
          <w:sz w:val="19"/>
          <w:szCs w:val="19"/>
          <w:color w:val="auto"/>
        </w:rPr>
        <w:t>) and collateral custodian (together with its successors and assigns in such capacity, the “</w:t>
      </w:r>
      <w:r>
        <w:rPr>
          <w:rFonts w:ascii="Times New Roman" w:cs="Times New Roman" w:eastAsia="Times New Roman" w:hAnsi="Times New Roman"/>
          <w:sz w:val="19"/>
          <w:szCs w:val="19"/>
          <w:i w:val="1"/>
          <w:iCs w:val="1"/>
          <w:color w:val="auto"/>
        </w:rPr>
        <w:t>Collateral Custodian</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does hereby certify that as of the last day of the fiscal quarter most recently ended (the “</w:t>
      </w:r>
      <w:r>
        <w:rPr>
          <w:rFonts w:ascii="Times New Roman" w:cs="Times New Roman" w:eastAsia="Times New Roman" w:hAnsi="Times New Roman"/>
          <w:sz w:val="19"/>
          <w:szCs w:val="19"/>
          <w:i w:val="1"/>
          <w:iCs w:val="1"/>
          <w:color w:val="auto"/>
        </w:rPr>
        <w:t>Compliance Date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ind w:left="940" w:hanging="190"/>
        <w:spacing w:after="0"/>
        <w:tabs>
          <w:tab w:leader="none" w:pos="94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calculation of the Borrower's Tangible Net Worth is set forth on Schedule I hereto.</w:t>
      </w:r>
    </w:p>
    <w:p>
      <w:pPr>
        <w:spacing w:after="0" w:line="225" w:lineRule="exact"/>
        <w:rPr>
          <w:rFonts w:ascii="Times New Roman" w:cs="Times New Roman" w:eastAsia="Times New Roman" w:hAnsi="Times New Roman"/>
          <w:sz w:val="19"/>
          <w:szCs w:val="19"/>
          <w:color w:val="auto"/>
        </w:rPr>
      </w:pPr>
    </w:p>
    <w:p>
      <w:pPr>
        <w:ind w:left="940" w:hanging="190"/>
        <w:spacing w:after="0"/>
        <w:tabs>
          <w:tab w:leader="none" w:pos="94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calculation of the Borrower's Asset Coverage Ratio is set forth on Schedule I hereto.</w:t>
      </w:r>
    </w:p>
    <w:p>
      <w:pPr>
        <w:spacing w:after="0" w:line="225" w:lineRule="exact"/>
        <w:rPr>
          <w:rFonts w:ascii="Times New Roman" w:cs="Times New Roman" w:eastAsia="Times New Roman" w:hAnsi="Times New Roman"/>
          <w:sz w:val="19"/>
          <w:szCs w:val="19"/>
          <w:color w:val="auto"/>
        </w:rPr>
      </w:pPr>
    </w:p>
    <w:p>
      <w:pPr>
        <w:ind w:left="700" w:right="80" w:firstLine="50"/>
        <w:spacing w:after="0" w:line="262" w:lineRule="auto"/>
        <w:tabs>
          <w:tab w:leader="none" w:pos="940" w:val="left"/>
        </w:tabs>
        <w:numPr>
          <w:ilvl w:val="0"/>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calculation of (i) the aggregate amount of unencumbered cash and cash equivalents of the Borrower plus (ii) the Availability under the Credit Agreement (determined on a pro forma basis, including newly originated or acquired Eligible Loans) plus (iii) the aggregate amounts available to be drawn under any other committed capital facilities of the Borrower is set forth on Schedule I hereto.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4</w:t>
      </w:r>
      <w:r>
        <w:rPr>
          <w:rFonts w:ascii="Times New Roman" w:cs="Times New Roman" w:eastAsia="Times New Roman" w:hAnsi="Times New Roman"/>
          <w:sz w:val="19"/>
          <w:szCs w:val="19"/>
          <w:color w:val="FF0000"/>
          <w:strike w:val="1"/>
        </w:rPr>
        <w:t>. The calculation of the Borrower’s Interest Coverage Ratio is set forth on Schedule I hereto.</w:t>
      </w:r>
    </w:p>
    <w:p>
      <w:pPr>
        <w:spacing w:after="0" w:line="226" w:lineRule="exact"/>
        <w:rPr>
          <w:sz w:val="20"/>
          <w:szCs w:val="20"/>
          <w:color w:val="auto"/>
        </w:rPr>
      </w:pPr>
    </w:p>
    <w:p>
      <w:pPr>
        <w:ind w:left="700" w:right="100" w:firstLine="48"/>
        <w:spacing w:after="0" w:line="286" w:lineRule="auto"/>
        <w:rPr>
          <w:sz w:val="20"/>
          <w:szCs w:val="20"/>
          <w:color w:val="auto"/>
        </w:rPr>
      </w:pPr>
      <w:r>
        <w:rPr>
          <w:rFonts w:ascii="Times New Roman" w:cs="Times New Roman" w:eastAsia="Times New Roman" w:hAnsi="Times New Roman"/>
          <w:sz w:val="19"/>
          <w:szCs w:val="19"/>
          <w:color w:val="FF0000"/>
        </w:rPr>
        <w:t>5</w:t>
      </w:r>
      <w:r>
        <w:rPr>
          <w:rFonts w:ascii="Times New Roman" w:cs="Times New Roman" w:eastAsia="Times New Roman" w:hAnsi="Times New Roman"/>
          <w:sz w:val="19"/>
          <w:szCs w:val="19"/>
          <w:color w:val="000000"/>
        </w:rPr>
        <w:t>. The Borrower’s net income is set forth on Schedule I hereto. The net income of the Borrower calculated in accordance with</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GAAP has not been negative for any two consecutive fiscal quarters or any trailing twelve-month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-245745</wp:posOffset>
            </wp:positionV>
            <wp:extent cx="9144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6">
                      <a:extLst>
                        <a:ext uri="{28A0092B-C50C-407E-A947-70E740481C1C}"/>
                      </a:extLst>
                    </a:blip>
                    <a:srcRect/>
                    <a:stretch>
                      <a:fillRect/>
                    </a:stretch>
                  </pic:blipFill>
                  <pic:spPr bwMode="auto">
                    <a:xfrm>
                      <a:off x="0" y="0"/>
                      <a:ext cx="91440" cy="7620"/>
                    </a:xfrm>
                    <a:prstGeom prst="rect">
                      <a:avLst/>
                    </a:prstGeom>
                    <a:noFill/>
                  </pic:spPr>
                </pic:pic>
              </a:graphicData>
            </a:graphic>
          </wp:anchor>
        </w:drawing>
      </w:r>
    </w:p>
    <w:p>
      <w:pPr>
        <w:spacing w:after="0" w:line="131" w:lineRule="exact"/>
        <w:rPr>
          <w:sz w:val="20"/>
          <w:szCs w:val="20"/>
          <w:color w:val="auto"/>
        </w:rPr>
      </w:pPr>
    </w:p>
    <w:p>
      <w:pPr>
        <w:ind w:left="700" w:right="340" w:firstLine="48"/>
        <w:spacing w:after="0" w:line="259" w:lineRule="auto"/>
        <w:rPr>
          <w:sz w:val="20"/>
          <w:szCs w:val="20"/>
          <w:color w:val="auto"/>
        </w:rPr>
      </w:pPr>
      <w:r>
        <w:rPr>
          <w:rFonts w:ascii="Times New Roman" w:cs="Times New Roman" w:eastAsia="Times New Roman" w:hAnsi="Times New Roman"/>
          <w:sz w:val="19"/>
          <w:szCs w:val="19"/>
          <w:color w:val="FF0000"/>
          <w:strike w:val="1"/>
        </w:rPr>
        <w:t>6</w:t>
      </w:r>
      <w:r>
        <w:rPr>
          <w:rFonts w:ascii="Times New Roman" w:cs="Times New Roman" w:eastAsia="Times New Roman" w:hAnsi="Times New Roman"/>
          <w:sz w:val="19"/>
          <w:szCs w:val="19"/>
          <w:color w:val="0000FF"/>
        </w:rPr>
        <w:t>5</w:t>
      </w:r>
      <w:r>
        <w:rPr>
          <w:rFonts w:ascii="Times New Roman" w:cs="Times New Roman" w:eastAsia="Times New Roman" w:hAnsi="Times New Roman"/>
          <w:sz w:val="19"/>
          <w:szCs w:val="19"/>
          <w:color w:val="000000"/>
        </w:rPr>
        <w:t>. On such Compliance Date, each financial covenant was satisfied and no Default or Event of Default has occurred and is</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continuing under the Credit Agreement.</w:t>
      </w:r>
    </w:p>
    <w:p>
      <w:pPr>
        <w:spacing w:after="0"/>
        <w:rPr>
          <w:sz w:val="20"/>
          <w:szCs w:val="20"/>
          <w:color w:val="auto"/>
        </w:rPr>
      </w:pPr>
      <w:r>
        <w:rPr>
          <w:rFonts w:ascii="Times New Roman" w:cs="Times New Roman" w:eastAsia="Times New Roman" w:hAnsi="Times New Roman"/>
          <w:sz w:val="13"/>
          <w:szCs w:val="13"/>
          <w:color w:val="auto"/>
        </w:rPr>
        <w:t>49297782.3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683260</wp:posOffset>
            </wp:positionV>
            <wp:extent cx="6732905" cy="406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76" w:name="page377"/>
    <w:bookmarkEnd w:id="376"/>
    <w:p>
      <w:pPr>
        <w:spacing w:after="0" w:line="200" w:lineRule="exact"/>
        <w:rPr>
          <w:sz w:val="20"/>
          <w:szCs w:val="20"/>
          <w:color w:val="auto"/>
        </w:rPr>
      </w:pPr>
    </w:p>
    <w:p>
      <w:pPr>
        <w:spacing w:after="0" w:line="2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Capitalized terms used but not defined herein shall have the meaning given to such terms in the Credit Agreement.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49297782.3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683260</wp:posOffset>
            </wp:positionV>
            <wp:extent cx="6732905" cy="406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377" w:name="page378"/>
    <w:bookmarkEnd w:id="377"/>
    <w:p>
      <w:pPr>
        <w:spacing w:after="0" w:line="269" w:lineRule="exact"/>
        <w:rPr>
          <w:sz w:val="20"/>
          <w:szCs w:val="20"/>
          <w:color w:val="auto"/>
        </w:rPr>
      </w:pPr>
    </w:p>
    <w:p>
      <w:pPr>
        <w:ind w:firstLine="1452"/>
        <w:spacing w:after="0" w:line="286" w:lineRule="auto"/>
        <w:rPr>
          <w:sz w:val="20"/>
          <w:szCs w:val="20"/>
          <w:color w:val="auto"/>
        </w:rPr>
      </w:pPr>
      <w:r>
        <w:rPr>
          <w:rFonts w:ascii="Times New Roman" w:cs="Times New Roman" w:eastAsia="Times New Roman" w:hAnsi="Times New Roman"/>
          <w:sz w:val="19"/>
          <w:szCs w:val="19"/>
          <w:color w:val="auto"/>
        </w:rPr>
        <w:t>IN WITNESS WHEREOF, the Borrower has caused this Compliance Certificate to be duly executed as of the day and year first above written.</w:t>
      </w:r>
    </w:p>
    <w:p>
      <w:pPr>
        <w:spacing w:after="0" w:line="1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Runway Growth Finance Corp., as Borrower</w:t>
      </w:r>
    </w:p>
    <w:p>
      <w:pPr>
        <w:spacing w:after="0" w:line="200" w:lineRule="exact"/>
        <w:rPr>
          <w:sz w:val="20"/>
          <w:szCs w:val="20"/>
          <w:color w:val="auto"/>
        </w:rPr>
      </w:pPr>
    </w:p>
    <w:p>
      <w:pPr>
        <w:spacing w:after="0" w:line="38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9"/>
          <w:szCs w:val="19"/>
          <w:color w:val="auto"/>
        </w:rPr>
        <w:t>By:</w:t>
      </w:r>
    </w:p>
    <w:p>
      <w:pPr>
        <w:spacing w:after="0" w:line="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color w:val="auto"/>
        </w:rPr>
        <w:t>Name:</w:t>
      </w:r>
    </w:p>
    <w:p>
      <w:pPr>
        <w:spacing w:after="0" w:line="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Title: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49297782.3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683260</wp:posOffset>
            </wp:positionV>
            <wp:extent cx="6732905" cy="406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78" w:name="page379"/>
    <w:bookmarkEnd w:id="378"/>
    <w:p>
      <w:pPr>
        <w:spacing w:after="0" w:line="267" w:lineRule="exact"/>
        <w:rPr>
          <w:sz w:val="20"/>
          <w:szCs w:val="20"/>
          <w:color w:val="auto"/>
        </w:rPr>
      </w:pPr>
    </w:p>
    <w:p>
      <w:pPr>
        <w:jc w:val="right"/>
        <w:ind w:right="2960"/>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3"/>
          <w:szCs w:val="13"/>
          <w:b w:val="1"/>
          <w:bCs w:val="1"/>
          <w:color w:val="auto"/>
        </w:rPr>
        <w:t>CHEDULE</w:t>
      </w:r>
      <w:r>
        <w:rPr>
          <w:rFonts w:ascii="Times New Roman" w:cs="Times New Roman" w:eastAsia="Times New Roman" w:hAnsi="Times New Roman"/>
          <w:sz w:val="19"/>
          <w:szCs w:val="19"/>
          <w:b w:val="1"/>
          <w:bCs w:val="1"/>
          <w:color w:val="auto"/>
        </w:rPr>
        <w:t xml:space="preserve"> I </w:t>
      </w:r>
      <w:r>
        <w:rPr>
          <w:rFonts w:ascii="Times New Roman" w:cs="Times New Roman" w:eastAsia="Times New Roman" w:hAnsi="Times New Roman"/>
          <w:sz w:val="13"/>
          <w:szCs w:val="13"/>
          <w:b w:val="1"/>
          <w:bCs w:val="1"/>
          <w:color w:val="auto"/>
        </w:rPr>
        <w:t>TO</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OMPLIANCE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3"/>
          <w:szCs w:val="13"/>
          <w:b w:val="1"/>
          <w:bCs w:val="1"/>
          <w:color w:val="auto"/>
        </w:rPr>
        <w:t>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49297782.3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692150</wp:posOffset>
            </wp:positionV>
            <wp:extent cx="6732905" cy="406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1440" w:right="1440" w:bottom="1440" w:gutter="0" w:footer="0" w:header="0"/>
        </w:sectPr>
      </w:pPr>
    </w:p>
    <w:bookmarkStart w:id="379" w:name="page380"/>
    <w:bookmarkEnd w:id="379"/>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CAPITAL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ADMINISTRATOR SERVICES LLC</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BACKGROUND</w:t>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All personal securities trades by Covered Persons are subject to these Insider Trading Policies and Procedures. Moreover, compliance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personal securities trading restrictions imposed by the Joint Code of Ethics (the “</w:t>
      </w:r>
      <w:r>
        <w:rPr>
          <w:rFonts w:ascii="Times New Roman" w:cs="Times New Roman" w:eastAsia="Times New Roman" w:hAnsi="Times New Roman"/>
          <w:sz w:val="18"/>
          <w:szCs w:val="18"/>
          <w:b w:val="1"/>
          <w:bCs w:val="1"/>
          <w:color w:val="auto"/>
        </w:rPr>
        <w:t>Joint Code of Ethics</w:t>
      </w:r>
      <w:r>
        <w:rPr>
          <w:rFonts w:ascii="Times New Roman" w:cs="Times New Roman" w:eastAsia="Times New Roman" w:hAnsi="Times New Roman"/>
          <w:sz w:val="18"/>
          <w:szCs w:val="18"/>
          <w:color w:val="auto"/>
        </w:rPr>
        <w:t>”) adopted by Runway Growth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Finance Corp</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Runway Growth Capital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and Runway Administrator Services LLC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and these procedures by no means assures full compliance with the prohibition on insider trading, as defined in these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procedures.</w:t>
      </w:r>
    </w:p>
    <w:p>
      <w:pPr>
        <w:spacing w:after="0" w:line="399"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Insider trading—trading securities while in possession of material, nonpublic information or improperly communicating such information to others (“tipping”)—may expose a person to stringent penalties. Under federal securities laws, individuals who engage in insider trading or tipping can be liable for substantial criminal and civil penalties, including (1) imprisonment for up to 20 years, (2) criminal fines of up to $5 million, and (3) civil penalties of up to three times the profit gained or loss avoided.</w:t>
      </w:r>
    </w:p>
    <w:p>
      <w:pPr>
        <w:spacing w:after="0" w:line="372" w:lineRule="exact"/>
        <w:rPr>
          <w:sz w:val="20"/>
          <w:szCs w:val="20"/>
          <w:color w:val="auto"/>
        </w:rPr>
      </w:pPr>
    </w:p>
    <w:p>
      <w:pPr>
        <w:ind w:right="20" w:firstLine="696"/>
        <w:spacing w:after="0" w:line="258" w:lineRule="auto"/>
        <w:rPr>
          <w:sz w:val="20"/>
          <w:szCs w:val="20"/>
          <w:color w:val="auto"/>
        </w:rPr>
      </w:pPr>
      <w:r>
        <w:rPr>
          <w:rFonts w:ascii="Times New Roman" w:cs="Times New Roman" w:eastAsia="Times New Roman" w:hAnsi="Times New Roman"/>
          <w:sz w:val="18"/>
          <w:szCs w:val="18"/>
          <w:color w:val="auto"/>
        </w:rPr>
        <w:t>In addition, if a company fails to take appropriate steps to prevent unlawful insider trading, it could have “controlling person” liability for a trading violation by a director, officer or employee, with civil penalties of up to the greater of (i) three times the profit gained or loss avoided and (ii) $1 million, and a criminal penalty of up to $25 million. The Company’s directors, officers and other supervisory personnel could also be personally liable for civil penalties as “controlling persons” if they fail to take appropriate steps to prevent unlawful insider trading. In addition, investors may sue seeking to recover damages for insider trading violations.</w:t>
      </w:r>
    </w:p>
    <w:p>
      <w:pPr>
        <w:spacing w:after="0" w:line="372" w:lineRule="exact"/>
        <w:rPr>
          <w:sz w:val="20"/>
          <w:szCs w:val="20"/>
          <w:color w:val="auto"/>
        </w:rPr>
      </w:pPr>
    </w:p>
    <w:p>
      <w:pPr>
        <w:ind w:firstLine="696"/>
        <w:spacing w:after="0" w:line="262" w:lineRule="auto"/>
        <w:rPr>
          <w:sz w:val="20"/>
          <w:szCs w:val="20"/>
          <w:color w:val="auto"/>
        </w:rPr>
      </w:pPr>
      <w:r>
        <w:rPr>
          <w:rFonts w:ascii="Times New Roman" w:cs="Times New Roman" w:eastAsia="Times New Roman" w:hAnsi="Times New Roman"/>
          <w:sz w:val="18"/>
          <w:szCs w:val="18"/>
          <w:color w:val="auto"/>
        </w:rPr>
        <w:t>These Insider Trading Policies and Procedures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are drafted broadly and will be applied and interpreted in a similar manner. Regardless of whether a federal inquiry or violation of law occurs, the Company, the Adviser and the Administrator view seriously any violation of the Policy. Any violation constitutes grounds for disciplinary sanctions, including, but not limited to, dismissal and/or referral to civil or governmental authorities for possible civil or criminal prosecution.</w:t>
      </w:r>
    </w:p>
    <w:p>
      <w:pPr>
        <w:spacing w:after="0" w:line="373" w:lineRule="exact"/>
        <w:rPr>
          <w:sz w:val="20"/>
          <w:szCs w:val="20"/>
          <w:color w:val="auto"/>
        </w:rPr>
      </w:pPr>
    </w:p>
    <w:p>
      <w:pPr>
        <w:ind w:right="180" w:firstLine="696"/>
        <w:spacing w:after="0" w:line="238" w:lineRule="auto"/>
        <w:rPr>
          <w:sz w:val="20"/>
          <w:szCs w:val="20"/>
          <w:color w:val="auto"/>
        </w:rPr>
      </w:pPr>
      <w:r>
        <w:rPr>
          <w:rFonts w:ascii="Times New Roman" w:cs="Times New Roman" w:eastAsia="Times New Roman" w:hAnsi="Times New Roman"/>
          <w:sz w:val="18"/>
          <w:szCs w:val="18"/>
          <w:color w:val="auto"/>
        </w:rPr>
        <w:t>The law of insider trading is complex; a Covered Person</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legitimately may be uncertain about the application of this Policy in a particular circumstance. A question timely asked, in good faith, to an appropriate Company or Adviser officer could forestall disciplinary action or complex legal problems. Covered Persons should direct any questions relating to this Policy to the Company’s or the Adviser’s Chief Compliance Officer. Subject to the provisions and protections of the SEC Whistleblower Program, a Covered Person must also notify the Chief Compliance Officer immediately if he or she knows or has reason to believe that a violation of this Policy has occurred or is about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46990</wp:posOffset>
            </wp:positionV>
            <wp:extent cx="1504315" cy="4826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1">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167" w:lineRule="exact"/>
        <w:rPr>
          <w:sz w:val="20"/>
          <w:szCs w:val="20"/>
          <w:color w:val="auto"/>
        </w:rPr>
      </w:pPr>
    </w:p>
    <w:p>
      <w:pPr>
        <w:ind w:left="100" w:hanging="94"/>
        <w:spacing w:after="0"/>
        <w:tabs>
          <w:tab w:leader="none" w:pos="100" w:val="left"/>
        </w:tabs>
        <w:numPr>
          <w:ilvl w:val="0"/>
          <w:numId w:val="19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term “Covered Person” has the same meaning as in the Joint Code of Ethics.</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Adopted: [</w:t>
      </w:r>
      <w:r>
        <w:rPr>
          <w:rFonts w:ascii="Arial" w:cs="Arial" w:eastAsia="Arial" w:hAnsi="Arial"/>
          <w:sz w:val="16"/>
          <w:szCs w:val="16"/>
          <w:color w:val="auto"/>
        </w:rPr>
        <w: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0" w:name="page381"/>
    <w:bookmarkEnd w:id="380"/>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hanging="314"/>
        <w:spacing w:after="0"/>
        <w:tabs>
          <w:tab w:leader="none" w:pos="32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FIRM POLICY</w:t>
      </w:r>
    </w:p>
    <w:p>
      <w:pPr>
        <w:spacing w:after="0" w:line="200" w:lineRule="exact"/>
        <w:rPr>
          <w:rFonts w:ascii="Times New Roman" w:cs="Times New Roman" w:eastAsia="Times New Roman" w:hAnsi="Times New Roman"/>
          <w:sz w:val="18"/>
          <w:szCs w:val="18"/>
          <w:b w:val="1"/>
          <w:bCs w:val="1"/>
          <w:color w:val="auto"/>
        </w:rPr>
      </w:pPr>
    </w:p>
    <w:p>
      <w:pPr>
        <w:spacing w:after="0" w:line="221" w:lineRule="exact"/>
        <w:rPr>
          <w:rFonts w:ascii="Times New Roman" w:cs="Times New Roman" w:eastAsia="Times New Roman" w:hAnsi="Times New Roman"/>
          <w:sz w:val="18"/>
          <w:szCs w:val="18"/>
          <w:b w:val="1"/>
          <w:bCs w:val="1"/>
          <w:color w:val="auto"/>
        </w:rPr>
      </w:pPr>
    </w:p>
    <w:p>
      <w:pPr>
        <w:ind w:left="920" w:hanging="218"/>
        <w:spacing w:after="0"/>
        <w:tabs>
          <w:tab w:leader="none" w:pos="9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Covered Persons must comply with this Policy as set forth herein.</w:t>
      </w: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920" w:hanging="218"/>
        <w:spacing w:after="0"/>
        <w:tabs>
          <w:tab w:leader="none" w:pos="9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the interests of the Adviser’s clients (“</w:t>
      </w:r>
      <w:r>
        <w:rPr>
          <w:rFonts w:ascii="Times New Roman" w:cs="Times New Roman" w:eastAsia="Times New Roman" w:hAnsi="Times New Roman"/>
          <w:sz w:val="18"/>
          <w:szCs w:val="18"/>
          <w:b w:val="1"/>
          <w:bCs w:val="1"/>
          <w:color w:val="auto"/>
        </w:rPr>
        <w:t>Clients</w:t>
      </w:r>
      <w:r>
        <w:rPr>
          <w:rFonts w:ascii="Times New Roman" w:cs="Times New Roman" w:eastAsia="Times New Roman" w:hAnsi="Times New Roman"/>
          <w:sz w:val="18"/>
          <w:szCs w:val="18"/>
          <w:color w:val="auto"/>
        </w:rPr>
        <w:t>”) must prevail over the Covered Person’s interest.</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firstLine="702"/>
        <w:spacing w:after="0" w:line="241" w:lineRule="auto"/>
        <w:tabs>
          <w:tab w:leader="none" w:pos="99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Buying or selling Securities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 the public markets on the basis of material, nonpublic information (“</w:t>
      </w:r>
      <w:r>
        <w:rPr>
          <w:rFonts w:ascii="Times New Roman" w:cs="Times New Roman" w:eastAsia="Times New Roman" w:hAnsi="Times New Roman"/>
          <w:sz w:val="18"/>
          <w:szCs w:val="18"/>
          <w:b w:val="1"/>
          <w:bCs w:val="1"/>
          <w:color w:val="auto"/>
        </w:rPr>
        <w:t>MNPI</w:t>
      </w:r>
      <w:r>
        <w:rPr>
          <w:rFonts w:ascii="Times New Roman" w:cs="Times New Roman" w:eastAsia="Times New Roman" w:hAnsi="Times New Roman"/>
          <w:sz w:val="18"/>
          <w:szCs w:val="18"/>
          <w:color w:val="auto"/>
        </w:rPr>
        <w:t>”) is prohibited. Similarly, buying and selling Securities in a private transaction on the basis of MNPI is prohibited, except in the limited circumstance in which the information is obtained in connection with a private transaction with the issuer of the securities involved, in which case the private transaction itself is permitted. A prohibited transaction would include purchasing or selling (i) for a Covered Person’s own account or one in which the Covered Person has direct or indirect influence or control, (ii) for a Client’s account, or (iii) for the Adviser’s inventory account. If any Covered Person is uncertain as to whether information is “material” or “nonpublic,” he or she should consult the Chief Compliance Officer.</w:t>
      </w:r>
    </w:p>
    <w:p>
      <w:pPr>
        <w:spacing w:after="0" w:line="392" w:lineRule="exact"/>
        <w:rPr>
          <w:rFonts w:ascii="Times New Roman" w:cs="Times New Roman" w:eastAsia="Times New Roman" w:hAnsi="Times New Roman"/>
          <w:sz w:val="18"/>
          <w:szCs w:val="18"/>
          <w:color w:val="auto"/>
        </w:rPr>
      </w:pPr>
    </w:p>
    <w:p>
      <w:pPr>
        <w:ind w:right="160" w:firstLine="702"/>
        <w:spacing w:after="0" w:line="261" w:lineRule="auto"/>
        <w:tabs>
          <w:tab w:leader="none" w:pos="100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Disclosing MNPI to inappropriate personnel, whether or not for consideration, i.e., “tipping,” is prohibited. MNPI may be disseminated on a “need to know basis” only to appropriate personnel. This would include any confidential discussions between the issuer of Securities and personnel of the Adviser. The Chief Compliance Officer should be consulted should a question arise as to who is or may be made privy to MNPI.</w:t>
      </w:r>
    </w:p>
    <w:p>
      <w:pPr>
        <w:spacing w:after="0" w:line="371" w:lineRule="exact"/>
        <w:rPr>
          <w:rFonts w:ascii="Times New Roman" w:cs="Times New Roman" w:eastAsia="Times New Roman" w:hAnsi="Times New Roman"/>
          <w:sz w:val="18"/>
          <w:szCs w:val="18"/>
          <w:color w:val="auto"/>
        </w:rPr>
      </w:pPr>
    </w:p>
    <w:p>
      <w:pPr>
        <w:ind w:left="940" w:hanging="238"/>
        <w:spacing w:after="0"/>
        <w:tabs>
          <w:tab w:leader="none" w:pos="94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anyone who is transacting business on the basis of MNPI through a third party is prohibited.</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right="40" w:firstLine="702"/>
        <w:spacing w:after="0" w:line="258" w:lineRule="auto"/>
        <w:tabs>
          <w:tab w:leader="none" w:pos="931"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is responsible for making sure that he or she complies with this Policy, and that any family member, household member or entity whose transactions are subject to this Policy, as discussed below, also comply herewith. In all cases, the responsibility for determining whether an individual is in possession of MNPI rests with that individual, and any action on the part of either Company, the Adviser, a Chief Compliance Officer or any other employee or director pursuant to this Policy (or otherwise) does not in any way constitute legal advice or insulate an individual from liability under applicable securities laws.</w:t>
      </w:r>
    </w:p>
    <w:p>
      <w:pPr>
        <w:spacing w:after="0" w:line="275" w:lineRule="exact"/>
        <w:rPr>
          <w:rFonts w:ascii="Times New Roman" w:cs="Times New Roman" w:eastAsia="Times New Roman" w:hAnsi="Times New Roman"/>
          <w:sz w:val="18"/>
          <w:szCs w:val="18"/>
          <w:color w:val="auto"/>
        </w:rPr>
      </w:pPr>
    </w:p>
    <w:p>
      <w:pPr>
        <w:jc w:val="both"/>
        <w:ind w:right="60" w:firstLine="702"/>
        <w:spacing w:after="0" w:line="262" w:lineRule="auto"/>
        <w:tabs>
          <w:tab w:leader="none" w:pos="91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enforcement proceedings, it is clear that when a portfolio manager is in a position, due to his or her official duties at an issuer, to have access to MNPI on a relatively continuous basis, self-reporting procedures are not adequate to detect and prevent insider trading. Accordingly, no Covered Person may trade in any Securities issued by any company of which such Covered Person is an employee or has access to MNPI on a regular basis. All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33655</wp:posOffset>
            </wp:positionV>
            <wp:extent cx="1504315" cy="4826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3">
                      <a:extLst>
                        <a:ext uri="{28A0092B-C50C-407E-A947-70E740481C1C}"/>
                      </a:extLst>
                    </a:blip>
                    <a:srcRect/>
                    <a:stretch>
                      <a:fillRect/>
                    </a:stretch>
                  </pic:blipFill>
                  <pic:spPr bwMode="auto">
                    <a:xfrm>
                      <a:off x="0" y="0"/>
                      <a:ext cx="1504315" cy="48260"/>
                    </a:xfrm>
                    <a:prstGeom prst="rect">
                      <a:avLst/>
                    </a:prstGeom>
                    <a:noFill/>
                  </pic:spPr>
                </pic:pic>
              </a:graphicData>
            </a:graphic>
          </wp:anchor>
        </w:drawing>
      </w:r>
    </w:p>
    <w:p>
      <w:pPr>
        <w:spacing w:after="0" w:line="146" w:lineRule="exact"/>
        <w:rPr>
          <w:sz w:val="20"/>
          <w:szCs w:val="20"/>
          <w:color w:val="auto"/>
        </w:rPr>
      </w:pPr>
    </w:p>
    <w:p>
      <w:pPr>
        <w:ind w:left="100" w:hanging="94"/>
        <w:spacing w:after="0"/>
        <w:tabs>
          <w:tab w:leader="none" w:pos="100" w:val="left"/>
        </w:tabs>
        <w:numPr>
          <w:ilvl w:val="0"/>
          <w:numId w:val="19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shall have the same meaning in this Policy as the term “</w:t>
      </w:r>
      <w:r>
        <w:rPr>
          <w:rFonts w:ascii="Times New Roman" w:cs="Times New Roman" w:eastAsia="Times New Roman" w:hAnsi="Times New Roman"/>
          <w:sz w:val="16"/>
          <w:szCs w:val="16"/>
          <w:b w:val="1"/>
          <w:bCs w:val="1"/>
          <w:color w:val="auto"/>
        </w:rPr>
        <w:t>Covered Security</w:t>
      </w:r>
      <w:r>
        <w:rPr>
          <w:rFonts w:ascii="Times New Roman" w:cs="Times New Roman" w:eastAsia="Times New Roman" w:hAnsi="Times New Roman"/>
          <w:sz w:val="16"/>
          <w:szCs w:val="16"/>
          <w:color w:val="auto"/>
        </w:rPr>
        <w:t>” is defined in the Joint Code of Ethics.</w:t>
      </w: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Adopted: [</w:t>
      </w:r>
      <w:r>
        <w:rPr>
          <w:rFonts w:ascii="Arial" w:cs="Arial" w:eastAsia="Arial" w:hAnsi="Arial"/>
          <w:sz w:val="16"/>
          <w:szCs w:val="16"/>
          <w:color w:val="auto"/>
        </w:rPr>
        <w: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1" w:name="page382"/>
    <w:bookmarkEnd w:id="381"/>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 must report to the Chief Compliance Officer or designee any affiliation or business relationship they may have with any issuer.</w:t>
      </w: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  The following summarizes principles important to this Policy:</w:t>
      </w:r>
    </w:p>
    <w:p>
      <w:pPr>
        <w:spacing w:after="0" w:line="200" w:lineRule="exact"/>
        <w:rPr>
          <w:sz w:val="20"/>
          <w:szCs w:val="20"/>
          <w:color w:val="auto"/>
        </w:rPr>
      </w:pP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1.  What is “Material” Information?</w:t>
      </w:r>
    </w:p>
    <w:p>
      <w:pPr>
        <w:spacing w:after="0" w:line="200" w:lineRule="exact"/>
        <w:rPr>
          <w:sz w:val="20"/>
          <w:szCs w:val="20"/>
          <w:color w:val="auto"/>
        </w:rPr>
      </w:pPr>
    </w:p>
    <w:p>
      <w:pPr>
        <w:spacing w:after="0" w:line="219" w:lineRule="exact"/>
        <w:rPr>
          <w:sz w:val="20"/>
          <w:szCs w:val="20"/>
          <w:color w:val="auto"/>
        </w:rPr>
      </w:pPr>
    </w:p>
    <w:p>
      <w:pPr>
        <w:ind w:right="160" w:firstLine="696"/>
        <w:spacing w:after="0" w:line="256" w:lineRule="auto"/>
        <w:rPr>
          <w:sz w:val="20"/>
          <w:szCs w:val="20"/>
          <w:color w:val="auto"/>
        </w:rPr>
      </w:pPr>
      <w:r>
        <w:rPr>
          <w:rFonts w:ascii="Times New Roman" w:cs="Times New Roman" w:eastAsia="Times New Roman" w:hAnsi="Times New Roman"/>
          <w:sz w:val="18"/>
          <w:szCs w:val="18"/>
          <w:color w:val="auto"/>
        </w:rPr>
        <w:t>Information is “material” when there is a substantial likelihood that a reasonable investor would consider it important in making his or her investment decisions. Any information that could be expected to affect a company’s stock price, whether it is positive or negative, should be considered material. No simple “bright line” test exists to determine whether information is material; assessments of materiality involve highly fact-specific inquiries, and is often evaluated by enforcement authorities with the benefit of hindsight. However, if the information you have received is or could be a factor in your trading decision, you must assume that the information is material. Covered Persons should direct any questions regarding the materiality of information to the Chief Compliance Officer or designee.</w:t>
      </w:r>
    </w:p>
    <w:p>
      <w:pPr>
        <w:spacing w:after="0" w:line="380" w:lineRule="exact"/>
        <w:rPr>
          <w:sz w:val="20"/>
          <w:szCs w:val="20"/>
          <w:color w:val="auto"/>
        </w:rPr>
      </w:pPr>
    </w:p>
    <w:p>
      <w:pPr>
        <w:ind w:right="40" w:firstLine="696"/>
        <w:spacing w:after="0" w:line="255" w:lineRule="auto"/>
        <w:rPr>
          <w:sz w:val="20"/>
          <w:szCs w:val="20"/>
          <w:color w:val="auto"/>
        </w:rPr>
      </w:pPr>
      <w:r>
        <w:rPr>
          <w:rFonts w:ascii="Times New Roman" w:cs="Times New Roman" w:eastAsia="Times New Roman" w:hAnsi="Times New Roman"/>
          <w:sz w:val="18"/>
          <w:szCs w:val="18"/>
          <w:color w:val="auto"/>
        </w:rPr>
        <w:t>Material information often relates to a company’s results and operations, including, for example, dividend changes, earnings results or expectations for the quarter or year, financial forecasts or estimates, changes in previously released earnings estimates, possible mergers, acquisitions, joint ventures and other purchases and sales of companies and investments in companies, major financing developments, major litigation, liquidation problems, certain developments at significant portfolio companies or with significant customers, obtaining or losing important contacts, major personnel changes and extraordinary management developments. Material information may also relate to the market for a Security. Information about a significant order to purchase or sell Securities, in some contexts, may be deemed material; similarly, prepublication information regarding reports in the financial press may also be deemed material.</w:t>
      </w:r>
    </w:p>
    <w:p>
      <w:pPr>
        <w:spacing w:after="0" w:line="3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2. What is “Nonpublic” Information?</w:t>
      </w:r>
    </w:p>
    <w:p>
      <w:pPr>
        <w:spacing w:after="0" w:line="200" w:lineRule="exact"/>
        <w:rPr>
          <w:sz w:val="20"/>
          <w:szCs w:val="20"/>
          <w:color w:val="auto"/>
        </w:rPr>
      </w:pPr>
    </w:p>
    <w:p>
      <w:pPr>
        <w:spacing w:after="0" w:line="219" w:lineRule="exact"/>
        <w:rPr>
          <w:sz w:val="20"/>
          <w:szCs w:val="20"/>
          <w:color w:val="auto"/>
        </w:rPr>
      </w:pPr>
    </w:p>
    <w:p>
      <w:pPr>
        <w:ind w:right="100" w:firstLine="696"/>
        <w:spacing w:after="0" w:line="256" w:lineRule="auto"/>
        <w:rPr>
          <w:sz w:val="20"/>
          <w:szCs w:val="20"/>
          <w:color w:val="auto"/>
        </w:rPr>
      </w:pPr>
      <w:r>
        <w:rPr>
          <w:rFonts w:ascii="Times New Roman" w:cs="Times New Roman" w:eastAsia="Times New Roman" w:hAnsi="Times New Roman"/>
          <w:sz w:val="18"/>
          <w:szCs w:val="18"/>
          <w:color w:val="auto"/>
        </w:rPr>
        <w:t xml:space="preserve">Information is “nonpublic” until it has been disseminated broadly to investors in the marketplace. Tangible evidence of this dissemination is the best indication that the information is public. For example, information is public after it has become available to the general public through a public filing with the Commission or some other government agency, through a press release, or available to the Dow Jones “tape” or The Wall Street Journal or some other general circulation publication, and after sufficient time has passed so that the information has been disseminated widely. </w:t>
      </w:r>
      <w:r>
        <w:rPr>
          <w:rFonts w:ascii="Times New Roman" w:cs="Times New Roman" w:eastAsia="Times New Roman" w:hAnsi="Times New Roman"/>
          <w:sz w:val="18"/>
          <w:szCs w:val="18"/>
          <w:b w:val="1"/>
          <w:bCs w:val="1"/>
          <w:i w:val="1"/>
          <w:iCs w:val="1"/>
          <w:color w:val="auto"/>
        </w:rPr>
        <w:t>If you believe that you have information concerning an issuer that gives you an advantage over other investors,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information is, in all likelihood, non-public.</w:t>
      </w:r>
    </w:p>
    <w:p>
      <w:pPr>
        <w:spacing w:after="0" w:line="3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Identifying MNPI.</w:t>
      </w:r>
    </w:p>
    <w:p>
      <w:pPr>
        <w:spacing w:after="0" w:line="200" w:lineRule="exact"/>
        <w:rPr>
          <w:sz w:val="20"/>
          <w:szCs w:val="20"/>
          <w:color w:val="auto"/>
        </w:rPr>
      </w:pPr>
    </w:p>
    <w:p>
      <w:pPr>
        <w:spacing w:after="0" w:line="217" w:lineRule="exact"/>
        <w:rPr>
          <w:sz w:val="20"/>
          <w:szCs w:val="20"/>
          <w:color w:val="auto"/>
        </w:rPr>
      </w:pPr>
    </w:p>
    <w:p>
      <w:pPr>
        <w:ind w:right="220" w:firstLine="696"/>
        <w:spacing w:after="0" w:line="282" w:lineRule="auto"/>
        <w:rPr>
          <w:sz w:val="20"/>
          <w:szCs w:val="20"/>
          <w:color w:val="auto"/>
        </w:rPr>
      </w:pPr>
      <w:r>
        <w:rPr>
          <w:rFonts w:ascii="Times New Roman" w:cs="Times New Roman" w:eastAsia="Times New Roman" w:hAnsi="Times New Roman"/>
          <w:sz w:val="18"/>
          <w:szCs w:val="18"/>
          <w:color w:val="auto"/>
        </w:rPr>
        <w:t>Before executing any Securities trade for oneself or others, including Clients, a Covered Person must determine whether he or she has access to MNPI with respect to such Securities. If a Covered Person believes he or she might have access to MNPI, he or she must:</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Adopted: [</w:t>
      </w:r>
      <w:r>
        <w:rPr>
          <w:rFonts w:ascii="Arial" w:cs="Arial" w:eastAsia="Arial" w:hAnsi="Arial"/>
          <w:sz w:val="16"/>
          <w:szCs w:val="16"/>
          <w:color w:val="auto"/>
        </w:rPr>
        <w: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2" w:name="page383"/>
    <w:bookmarkEnd w:id="382"/>
    <w:p>
      <w:pPr>
        <w:spacing w:after="0" w:line="362" w:lineRule="exact"/>
        <w:rPr>
          <w:sz w:val="20"/>
          <w:szCs w:val="20"/>
          <w:color w:val="auto"/>
        </w:rPr>
      </w:pPr>
    </w:p>
    <w:p>
      <w:pPr>
        <w:ind w:left="1060" w:right="120" w:hanging="394"/>
        <w:spacing w:after="0" w:line="262" w:lineRule="auto"/>
        <w:tabs>
          <w:tab w:leader="none" w:pos="9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alert the Chief Compliance Officer or designee, so that the applicable Security is placed on the “</w:t>
      </w:r>
      <w:r>
        <w:rPr>
          <w:rFonts w:ascii="Times New Roman" w:cs="Times New Roman" w:eastAsia="Times New Roman" w:hAnsi="Times New Roman"/>
          <w:sz w:val="18"/>
          <w:szCs w:val="18"/>
          <w:b w:val="1"/>
          <w:bCs w:val="1"/>
          <w:color w:val="auto"/>
        </w:rPr>
        <w:t>Restricted List</w:t>
      </w:r>
      <w:r>
        <w:rPr>
          <w:rFonts w:ascii="Times New Roman" w:cs="Times New Roman" w:eastAsia="Times New Roman" w:hAnsi="Times New Roman"/>
          <w:sz w:val="18"/>
          <w:szCs w:val="18"/>
          <w:color w:val="auto"/>
        </w:rPr>
        <w:t xml:space="preserve">” maintained by the Adviser’s Chief Compliance Officer. See the Joint Code of Ethics for a description of the purpose and mode of operation of the Restricted List. </w:t>
      </w:r>
      <w:r>
        <w:rPr>
          <w:rFonts w:ascii="Times New Roman" w:cs="Times New Roman" w:eastAsia="Times New Roman" w:hAnsi="Times New Roman"/>
          <w:sz w:val="18"/>
          <w:szCs w:val="18"/>
          <w:b w:val="1"/>
          <w:bCs w:val="1"/>
          <w:color w:val="auto"/>
        </w:rPr>
        <w:t>Independent Directors</w:t>
      </w:r>
      <w:r>
        <w:rPr>
          <w:rFonts w:ascii="Times New Roman" w:cs="Times New Roman" w:eastAsia="Times New Roman" w:hAnsi="Times New Roman"/>
          <w:sz w:val="18"/>
          <w:szCs w:val="18"/>
          <w:color w:val="auto"/>
        </w:rPr>
        <w:t xml:space="preserve"> (as defined in the Joint Code of Ethics) of the Company are not subject to this Section II.I.1 but are encouraged to comply with its provisions.</w:t>
      </w:r>
    </w:p>
    <w:p>
      <w:pPr>
        <w:spacing w:after="0" w:line="372" w:lineRule="exact"/>
        <w:rPr>
          <w:rFonts w:ascii="Times New Roman" w:cs="Times New Roman" w:eastAsia="Times New Roman" w:hAnsi="Times New Roman"/>
          <w:sz w:val="18"/>
          <w:szCs w:val="18"/>
          <w:color w:val="auto"/>
        </w:rPr>
      </w:pPr>
    </w:p>
    <w:p>
      <w:pPr>
        <w:ind w:left="1060" w:hanging="394"/>
        <w:spacing w:after="0" w:line="266" w:lineRule="auto"/>
        <w:tabs>
          <w:tab w:leader="none" w:pos="9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purchase or sell the Securities on his or her behalf or for others, including Clients (except in the limited circumstance in which the information is obtained in connection with a private transaction with an issuer of securities, in which case the private transaction itself is permitted).</w:t>
      </w:r>
    </w:p>
    <w:p>
      <w:pPr>
        <w:spacing w:after="0" w:line="368" w:lineRule="exact"/>
        <w:rPr>
          <w:rFonts w:ascii="Times New Roman" w:cs="Times New Roman" w:eastAsia="Times New Roman" w:hAnsi="Times New Roman"/>
          <w:sz w:val="18"/>
          <w:szCs w:val="18"/>
          <w:color w:val="auto"/>
        </w:rPr>
      </w:pPr>
    </w:p>
    <w:p>
      <w:pPr>
        <w:ind w:left="1060" w:right="280" w:hanging="394"/>
        <w:spacing w:after="0" w:line="266" w:lineRule="auto"/>
        <w:tabs>
          <w:tab w:leader="none" w:pos="94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communicate the information inside or outside of the Company or the Adviser, other than to the Chief Compliance Officer or designee (or, in the limited circumstance of a private transaction with the issuer of the securities involved, to Covered Persons within the Adviser involved in the transaction with a need to know the information).</w:t>
      </w:r>
    </w:p>
    <w:p>
      <w:pPr>
        <w:spacing w:after="0" w:line="368" w:lineRule="exact"/>
        <w:rPr>
          <w:sz w:val="20"/>
          <w:szCs w:val="20"/>
          <w:color w:val="auto"/>
        </w:rPr>
      </w:pPr>
    </w:p>
    <w:p>
      <w:pPr>
        <w:ind w:right="820" w:firstLine="696"/>
        <w:spacing w:after="0" w:line="282" w:lineRule="auto"/>
        <w:rPr>
          <w:sz w:val="20"/>
          <w:szCs w:val="20"/>
          <w:color w:val="auto"/>
        </w:rPr>
      </w:pPr>
      <w:r>
        <w:rPr>
          <w:rFonts w:ascii="Times New Roman" w:cs="Times New Roman" w:eastAsia="Times New Roman" w:hAnsi="Times New Roman"/>
          <w:sz w:val="18"/>
          <w:szCs w:val="18"/>
          <w:color w:val="auto"/>
        </w:rPr>
        <w:t>The Chief Compliance Officer, with the assistance as necessary of legal counsel, will review the issue, determine whether the information is material and nonpublic, and, if so, what action the Adviser should take.</w:t>
      </w:r>
    </w:p>
    <w:p>
      <w:pPr>
        <w:spacing w:after="0" w:line="3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  Contacts with Public Companies; Tender Offers.</w:t>
      </w:r>
    </w:p>
    <w:p>
      <w:pPr>
        <w:spacing w:after="0" w:line="200" w:lineRule="exact"/>
        <w:rPr>
          <w:sz w:val="20"/>
          <w:szCs w:val="20"/>
          <w:color w:val="auto"/>
        </w:rPr>
      </w:pPr>
    </w:p>
    <w:p>
      <w:pPr>
        <w:spacing w:after="0" w:line="217" w:lineRule="exact"/>
        <w:rPr>
          <w:sz w:val="20"/>
          <w:szCs w:val="20"/>
          <w:color w:val="auto"/>
        </w:rPr>
      </w:pPr>
    </w:p>
    <w:p>
      <w:pPr>
        <w:ind w:right="60" w:firstLine="696"/>
        <w:spacing w:after="0" w:line="255" w:lineRule="auto"/>
        <w:rPr>
          <w:sz w:val="20"/>
          <w:szCs w:val="20"/>
          <w:color w:val="auto"/>
        </w:rPr>
      </w:pPr>
      <w:r>
        <w:rPr>
          <w:rFonts w:ascii="Times New Roman" w:cs="Times New Roman" w:eastAsia="Times New Roman" w:hAnsi="Times New Roman"/>
          <w:sz w:val="18"/>
          <w:szCs w:val="18"/>
          <w:color w:val="auto"/>
        </w:rPr>
        <w:t>Contacts with public companies may represent part of the Adviser’s research efforts and the Adviser may make investment decisions on the basis of its conclusions formed through these contacts and analysis of publicly available information. Difficult legal issues may arise, however, when a Covered Person, in the course of these contacts, becomes aware of MNPI. For example, a company’s chief financial officer could prematurely disclose quarterly results, or an investor relations representative could make selective disclosure of adverse news to certain investors. In these situations, the Adviser must make a judgment about its further conduct. To protect oneself, Clients, and the Adviser, a Covered Person should immediately contact the Chief Compliance Officer if he or she believes he or she may have received MNPI under these or other similar circumstances.</w:t>
      </w:r>
    </w:p>
    <w:p>
      <w:pPr>
        <w:spacing w:after="0" w:line="381" w:lineRule="exact"/>
        <w:rPr>
          <w:sz w:val="20"/>
          <w:szCs w:val="20"/>
          <w:color w:val="auto"/>
        </w:rPr>
      </w:pPr>
    </w:p>
    <w:p>
      <w:pPr>
        <w:ind w:right="80" w:firstLine="696"/>
        <w:spacing w:after="0" w:line="256" w:lineRule="auto"/>
        <w:rPr>
          <w:sz w:val="20"/>
          <w:szCs w:val="20"/>
          <w:color w:val="auto"/>
        </w:rPr>
      </w:pPr>
      <w:r>
        <w:rPr>
          <w:rFonts w:ascii="Times New Roman" w:cs="Times New Roman" w:eastAsia="Times New Roman" w:hAnsi="Times New Roman"/>
          <w:sz w:val="18"/>
          <w:szCs w:val="18"/>
          <w:color w:val="auto"/>
        </w:rPr>
        <w:t>Tender offers represent a particular concern in the law of insider trading for two reasons. First, tender offer activity often produces extraordinary movement in the price of the target company’s securities. Trading during this time is more likely to attract regulatory attention, and produces a disproportionate percentage of insider trading cases. Second, the Commission has adopted a rule expressly forbidding trading and “tipping” while in possession of MNPI regarding a tender offer received from the company making the tender offer, the target company, or anyone acting on behalf of either. Covered Persons must exercise particular caution any time they become aware of nonpublic information relating to a tender offer.</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INSIDER TRADING PROCEDURES</w:t>
      </w:r>
    </w:p>
    <w:p>
      <w:pPr>
        <w:spacing w:after="0" w:line="2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Adopted: [</w:t>
      </w:r>
      <w:r>
        <w:rPr>
          <w:rFonts w:ascii="Arial" w:cs="Arial" w:eastAsia="Arial" w:hAnsi="Arial"/>
          <w:sz w:val="16"/>
          <w:szCs w:val="16"/>
          <w:color w:val="auto"/>
        </w:rPr>
        <w: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3" w:name="page384"/>
    <w:bookmarkEnd w:id="383"/>
    <w:p>
      <w:pPr>
        <w:spacing w:after="0" w:line="366" w:lineRule="exact"/>
        <w:rPr>
          <w:sz w:val="20"/>
          <w:szCs w:val="20"/>
          <w:color w:val="auto"/>
        </w:rPr>
      </w:pPr>
    </w:p>
    <w:p>
      <w:pPr>
        <w:ind w:right="100" w:firstLine="696"/>
        <w:spacing w:after="0" w:line="261" w:lineRule="auto"/>
        <w:rPr>
          <w:sz w:val="20"/>
          <w:szCs w:val="20"/>
          <w:color w:val="auto"/>
        </w:rPr>
      </w:pPr>
      <w:r>
        <w:rPr>
          <w:rFonts w:ascii="Times New Roman" w:cs="Times New Roman" w:eastAsia="Times New Roman" w:hAnsi="Times New Roman"/>
          <w:sz w:val="18"/>
          <w:szCs w:val="18"/>
          <w:color w:val="auto"/>
        </w:rPr>
        <w:t xml:space="preserve">The following procedures have been established to aid Covered Persons in avoiding insider trading, and to aid the Company and the Adviser in preventing, detecting and imposing sanctions against insider trading. </w:t>
      </w:r>
      <w:r>
        <w:rPr>
          <w:rFonts w:ascii="Times New Roman" w:cs="Times New Roman" w:eastAsia="Times New Roman" w:hAnsi="Times New Roman"/>
          <w:sz w:val="18"/>
          <w:szCs w:val="18"/>
          <w:b w:val="1"/>
          <w:bCs w:val="1"/>
          <w:i w:val="1"/>
          <w:iCs w:val="1"/>
          <w:color w:val="auto"/>
        </w:rPr>
        <w:t>Every Covered Person must follow these procedures as detailed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in this Policy or risk serious sanctions, including dismissal, substantial personal liability and criminal penalties. </w:t>
      </w:r>
      <w:r>
        <w:rPr>
          <w:rFonts w:ascii="Times New Roman" w:cs="Times New Roman" w:eastAsia="Times New Roman" w:hAnsi="Times New Roman"/>
          <w:sz w:val="18"/>
          <w:szCs w:val="18"/>
          <w:color w:val="auto"/>
        </w:rPr>
        <w:t>If a Covered Person has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questions about these procedures, he or she should consult the Chief Compliance Officer or designee.</w:t>
      </w:r>
    </w:p>
    <w:p>
      <w:pPr>
        <w:spacing w:after="0" w:line="372" w:lineRule="exact"/>
        <w:rPr>
          <w:sz w:val="20"/>
          <w:szCs w:val="20"/>
          <w:color w:val="auto"/>
        </w:rPr>
      </w:pPr>
    </w:p>
    <w:p>
      <w:pPr>
        <w:ind w:right="20" w:firstLine="696"/>
        <w:spacing w:after="0" w:line="254" w:lineRule="auto"/>
        <w:rPr>
          <w:sz w:val="20"/>
          <w:szCs w:val="20"/>
          <w:color w:val="auto"/>
        </w:rPr>
      </w:pPr>
      <w:r>
        <w:rPr>
          <w:rFonts w:ascii="Times New Roman" w:cs="Times New Roman" w:eastAsia="Times New Roman" w:hAnsi="Times New Roman"/>
          <w:sz w:val="18"/>
          <w:szCs w:val="18"/>
          <w:color w:val="auto"/>
        </w:rPr>
        <w:t>This Policy also applies to each Covered Person’s family members who reside with such Covered Person (including a spouse, a child, a child away at college, stepchildren, grandchildren, parents, stepparents, grandparents, siblings and in-laws), anyone else who lives in the Covered Person’s household, and any family members who do not live in such household but whose transactions in the Company’s Securities are directed by the Covered Person or are subject to the Covered Person’s influence or control, such as parents or children who consult with the Covered Person before they trade in the Company’s Securities (collectively referred to as “</w:t>
      </w:r>
      <w:r>
        <w:rPr>
          <w:rFonts w:ascii="Times New Roman" w:cs="Times New Roman" w:eastAsia="Times New Roman" w:hAnsi="Times New Roman"/>
          <w:sz w:val="18"/>
          <w:szCs w:val="18"/>
          <w:b w:val="1"/>
          <w:bCs w:val="1"/>
          <w:color w:val="auto"/>
        </w:rPr>
        <w:t>Family Members</w:t>
      </w:r>
      <w:r>
        <w:rPr>
          <w:rFonts w:ascii="Times New Roman" w:cs="Times New Roman" w:eastAsia="Times New Roman" w:hAnsi="Times New Roman"/>
          <w:sz w:val="18"/>
          <w:szCs w:val="18"/>
          <w:color w:val="auto"/>
        </w:rPr>
        <w:t>”). Each Covered Person is responsible for the transactions of these other persons and therefore should make them aware of the need to confer with the Covered Person before they trade in the Company’s Securities, and the relevant Covered Person should treat all such transactions for the purposes of this Policy and applicable securities laws as if the transactions were for his or her own account. This Policy does not, however, apply to personal securities transactions of Family Members where the purchase or sale decision is made by a third party not controlled by, influenced by or related to the Covered Person or his or her Family Members.</w:t>
      </w:r>
    </w:p>
    <w:p>
      <w:pPr>
        <w:spacing w:after="0" w:line="378" w:lineRule="exact"/>
        <w:rPr>
          <w:sz w:val="20"/>
          <w:szCs w:val="20"/>
          <w:color w:val="auto"/>
        </w:rPr>
      </w:pPr>
    </w:p>
    <w:p>
      <w:pPr>
        <w:jc w:val="both"/>
        <w:ind w:right="200" w:firstLine="696"/>
        <w:spacing w:after="0" w:line="266" w:lineRule="auto"/>
        <w:rPr>
          <w:sz w:val="20"/>
          <w:szCs w:val="20"/>
          <w:color w:val="auto"/>
        </w:rPr>
      </w:pPr>
      <w:r>
        <w:rPr>
          <w:rFonts w:ascii="Times New Roman" w:cs="Times New Roman" w:eastAsia="Times New Roman" w:hAnsi="Times New Roman"/>
          <w:sz w:val="18"/>
          <w:szCs w:val="18"/>
          <w:color w:val="auto"/>
        </w:rPr>
        <w:t>In addition, this Policy applies to any entities that a Covered Person influences or controls, including any corporations, partnerships or trusts (collectively referred to as “</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 the Covered Person’s own account.</w:t>
      </w:r>
    </w:p>
    <w:p>
      <w:pPr>
        <w:spacing w:after="0" w:line="36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  Responsibilities of Covered Persons.</w:t>
      </w:r>
    </w:p>
    <w:p>
      <w:pPr>
        <w:spacing w:after="0" w:line="200" w:lineRule="exact"/>
        <w:rPr>
          <w:sz w:val="20"/>
          <w:szCs w:val="20"/>
          <w:color w:val="auto"/>
        </w:rPr>
      </w:pPr>
    </w:p>
    <w:p>
      <w:pPr>
        <w:spacing w:after="0" w:line="221" w:lineRule="exact"/>
        <w:rPr>
          <w:sz w:val="20"/>
          <w:szCs w:val="20"/>
          <w:color w:val="auto"/>
        </w:rPr>
      </w:pPr>
    </w:p>
    <w:p>
      <w:pPr>
        <w:ind w:right="300" w:firstLine="696"/>
        <w:spacing w:after="0" w:line="282" w:lineRule="auto"/>
        <w:rPr>
          <w:sz w:val="20"/>
          <w:szCs w:val="20"/>
          <w:color w:val="auto"/>
        </w:rPr>
      </w:pPr>
      <w:r>
        <w:rPr>
          <w:rFonts w:ascii="Times New Roman" w:cs="Times New Roman" w:eastAsia="Times New Roman" w:hAnsi="Times New Roman"/>
          <w:sz w:val="18"/>
          <w:szCs w:val="18"/>
          <w:color w:val="auto"/>
        </w:rPr>
        <w:t>All Covered Persons must make a diligent effort to ensure that a violation of this Policy does not either intentionally or inadvertently occur. In this regard, all Covered Persons are responsible for:</w:t>
      </w:r>
    </w:p>
    <w:p>
      <w:pPr>
        <w:spacing w:after="0" w:line="42" w:lineRule="exact"/>
        <w:rPr>
          <w:sz w:val="20"/>
          <w:szCs w:val="20"/>
          <w:color w:val="auto"/>
        </w:rPr>
      </w:pPr>
    </w:p>
    <w:p>
      <w:pPr>
        <w:ind w:left="60" w:right="120"/>
        <w:spacing w:after="0" w:line="282" w:lineRule="auto"/>
        <w:rPr>
          <w:sz w:val="20"/>
          <w:szCs w:val="20"/>
          <w:color w:val="auto"/>
        </w:rPr>
      </w:pPr>
      <w:r>
        <w:rPr>
          <w:rFonts w:ascii="Times New Roman" w:cs="Times New Roman" w:eastAsia="Times New Roman" w:hAnsi="Times New Roman"/>
          <w:sz w:val="18"/>
          <w:szCs w:val="18"/>
          <w:color w:val="auto"/>
        </w:rPr>
        <w:t xml:space="preserve">1.Reading, understanding and consenting to comply with this Policy. Covered Persons will be required to sign an acknowledgment substantially in the form of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that they have read and understand this Policy.</w:t>
      </w:r>
    </w:p>
    <w:p>
      <w:pPr>
        <w:spacing w:after="0" w:line="354" w:lineRule="exact"/>
        <w:rPr>
          <w:sz w:val="20"/>
          <w:szCs w:val="20"/>
          <w:color w:val="auto"/>
        </w:rPr>
      </w:pPr>
    </w:p>
    <w:p>
      <w:pPr>
        <w:ind w:left="60"/>
        <w:spacing w:after="0" w:line="266" w:lineRule="auto"/>
        <w:rPr>
          <w:sz w:val="20"/>
          <w:szCs w:val="20"/>
          <w:color w:val="auto"/>
        </w:rPr>
      </w:pPr>
      <w:r>
        <w:rPr>
          <w:rFonts w:ascii="Times New Roman" w:cs="Times New Roman" w:eastAsia="Times New Roman" w:hAnsi="Times New Roman"/>
          <w:sz w:val="18"/>
          <w:szCs w:val="18"/>
          <w:color w:val="auto"/>
        </w:rPr>
        <w:t>2.Ensuring that no trading occurs for their account, for any account over which they have direct or indirect influence or control or for any Client’s account in Securities for which they have MNPI (except in the limited circumstance in which the information is obtained in connection with a private transaction with the issuer of the securities involved, in which case the private transaction itself is permitted).</w:t>
      </w:r>
    </w:p>
    <w:p>
      <w:pPr>
        <w:spacing w:after="0" w:line="368" w:lineRule="exact"/>
        <w:rPr>
          <w:sz w:val="20"/>
          <w:szCs w:val="20"/>
          <w:color w:val="auto"/>
        </w:rPr>
      </w:pPr>
    </w:p>
    <w:p>
      <w:pPr>
        <w:ind w:left="60" w:right="440"/>
        <w:spacing w:after="0" w:line="282" w:lineRule="auto"/>
        <w:rPr>
          <w:sz w:val="20"/>
          <w:szCs w:val="20"/>
          <w:color w:val="auto"/>
        </w:rPr>
      </w:pPr>
      <w:r>
        <w:rPr>
          <w:rFonts w:ascii="Times New Roman" w:cs="Times New Roman" w:eastAsia="Times New Roman" w:hAnsi="Times New Roman"/>
          <w:sz w:val="18"/>
          <w:szCs w:val="18"/>
          <w:color w:val="auto"/>
        </w:rPr>
        <w:t>3.Ensuring that any Family Member or Controlled Entity of such Covered Person whose transactions are subject to this Policy, as discussed herein, with the requirements of this Policy.</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Adopted: [</w:t>
      </w:r>
      <w:r>
        <w:rPr>
          <w:rFonts w:ascii="Arial" w:cs="Arial" w:eastAsia="Arial" w:hAnsi="Arial"/>
          <w:sz w:val="16"/>
          <w:szCs w:val="16"/>
          <w:color w:val="auto"/>
        </w:rPr>
        <w: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4" w:name="page385"/>
    <w:bookmarkEnd w:id="384"/>
    <w:p>
      <w:pPr>
        <w:spacing w:after="0" w:line="3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4.Not disclosing MNPI obtained from any source whatsoever to inappropriate persons. Disclosure to family, friends or acquaintances will be grounds for immediate termination and/or referral to civil or governmental authorities for possible civil or criminal prosecution.</w:t>
      </w:r>
    </w:p>
    <w:p>
      <w:pPr>
        <w:spacing w:after="0" w:line="3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5.Consulting the Chief Compliance Officer or designee when questions arise regarding insider trading or when potential violations of this Policy are suspected.</w:t>
      </w:r>
    </w:p>
    <w:p>
      <w:pPr>
        <w:spacing w:after="0" w:line="3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6.Ensuring that the Adviser receives copies of confirmations and statements from both internal and external brokerage firms for accounts of Covered Persons (other than Independent Directors (as defined in the Joint Code of Ethics)) and Family Members and Controlled Entities of such Covered Persons.</w:t>
      </w:r>
    </w:p>
    <w:p>
      <w:pPr>
        <w:spacing w:after="0" w:line="3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7.Advising the Chief Compliance Officer or designee of all outside business activities, directorships, or ownership of over 5% of the shares of a public company. No Covered Person (other than the Company’s Independent Directors (as defined in the Joint Code of Ethics)) may engage in any outside business activities as employee, proprietor, partner, consultant, trustee, officer or director without prior written consent of the Company’s Chief Compliance Officer, or a designee of the Company’s Chief Compliance Officer. Officers and directors (other than Independent Directors (as defined in the Joint Code of Ethics)) of the Company must make reasonable efforts to notify the Company’s Chief Compliance Officer before engaging in any outside business activities as employee, proprietor, partner, consultant, trustee, officer or director of another entity or enterprise presenting an actual, potential or apparent conflict of interest with those of the Company or its investors.</w:t>
      </w:r>
    </w:p>
    <w:p>
      <w:pPr>
        <w:spacing w:after="0" w:line="3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8.Being aware of, and monitoring, any Clients who are shareholders, directors, and/or senior officers of public companies. Any unusual activity including a purchase or sale of restricted stock must be brought to the attention of the Chief Compliance Officer or designee.</w:t>
      </w:r>
    </w:p>
    <w:p>
      <w:pPr>
        <w:spacing w:after="0" w:line="3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 Information Security.</w:t>
      </w: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order to prevent accidental dissemination of MNPI, Covered Persons must adhere to the following guidelines:</w:t>
      </w:r>
    </w:p>
    <w:p>
      <w:pPr>
        <w:spacing w:after="0" w:line="200" w:lineRule="exact"/>
        <w:rPr>
          <w:sz w:val="20"/>
          <w:szCs w:val="20"/>
          <w:color w:val="auto"/>
        </w:rPr>
      </w:pPr>
    </w:p>
    <w:p>
      <w:pPr>
        <w:spacing w:after="0" w:line="217" w:lineRule="exact"/>
        <w:rPr>
          <w:sz w:val="20"/>
          <w:szCs w:val="20"/>
          <w:color w:val="auto"/>
        </w:rPr>
      </w:pPr>
    </w:p>
    <w:p>
      <w:pPr>
        <w:ind w:left="920" w:hanging="278"/>
        <w:spacing w:after="0"/>
        <w:tabs>
          <w:tab w:leader="none" w:pos="9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management when unauthorized personnel enter the premises.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920" w:hanging="278"/>
        <w:spacing w:after="0"/>
        <w:tabs>
          <w:tab w:leader="none" w:pos="9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 doors at all times in areas that have confidential and secure files.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920" w:hanging="278"/>
        <w:spacing w:after="0"/>
        <w:tabs>
          <w:tab w:leader="none" w:pos="9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discussing sensitive information in public areas.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920" w:hanging="278"/>
        <w:spacing w:after="0"/>
        <w:tabs>
          <w:tab w:leader="none" w:pos="9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leaving confidential information on message devices.</w:t>
      </w:r>
    </w:p>
    <w:p>
      <w:pPr>
        <w:spacing w:after="0" w:line="2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Adopted: [</w:t>
      </w:r>
      <w:r>
        <w:rPr>
          <w:rFonts w:ascii="Arial" w:cs="Arial" w:eastAsia="Arial" w:hAnsi="Arial"/>
          <w:sz w:val="16"/>
          <w:szCs w:val="16"/>
          <w:color w:val="auto"/>
        </w:rPr>
        <w: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671195</wp:posOffset>
            </wp:positionV>
            <wp:extent cx="6732905" cy="406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720" w:top="1440" w:right="680" w:bottom="1440" w:gutter="0" w:footer="0" w:header="0"/>
        </w:sectPr>
      </w:pPr>
    </w:p>
    <w:bookmarkStart w:id="385" w:name="page386"/>
    <w:bookmarkEnd w:id="385"/>
    <w:p>
      <w:pPr>
        <w:spacing w:after="0" w:line="366" w:lineRule="exact"/>
        <w:rPr>
          <w:sz w:val="20"/>
          <w:szCs w:val="20"/>
          <w:color w:val="auto"/>
        </w:rPr>
      </w:pPr>
    </w:p>
    <w:p>
      <w:pPr>
        <w:ind w:left="980" w:hanging="278"/>
        <w:spacing w:after="0"/>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control of sensitive documents, including handouts and copies, intended for internal dissemination only.</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right="60" w:firstLine="702"/>
        <w:spacing w:after="0" w:line="282" w:lineRule="auto"/>
        <w:tabs>
          <w:tab w:leader="none" w:pos="96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faxes and e-mail messages containing sensitive information are properly sent, and confirm that the recipient has received the intended message.</w:t>
      </w:r>
    </w:p>
    <w:p>
      <w:pPr>
        <w:spacing w:after="0" w:line="353" w:lineRule="exact"/>
        <w:rPr>
          <w:rFonts w:ascii="Times New Roman" w:cs="Times New Roman" w:eastAsia="Times New Roman" w:hAnsi="Times New Roman"/>
          <w:sz w:val="18"/>
          <w:szCs w:val="18"/>
          <w:color w:val="auto"/>
        </w:rPr>
      </w:pPr>
    </w:p>
    <w:p>
      <w:pPr>
        <w:ind w:left="980" w:hanging="278"/>
        <w:spacing w:after="0"/>
        <w:tabs>
          <w:tab w:leader="none" w:pos="9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allow passwords to be given to unauthorized personnel.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SUPERVISORY PROCEDURES</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Supervisory procedures can be divided into two classifications — prevention of insider trading and detection of insider trading.</w:t>
      </w: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  Prevention of Insider Trading</w:t>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prevent insider trading, the Company’s Chief Compliance Officer or designee should:</w:t>
      </w:r>
    </w:p>
    <w:p>
      <w:pPr>
        <w:spacing w:after="0" w:line="200" w:lineRule="exact"/>
        <w:rPr>
          <w:sz w:val="20"/>
          <w:szCs w:val="20"/>
          <w:color w:val="auto"/>
        </w:rPr>
      </w:pPr>
    </w:p>
    <w:p>
      <w:pPr>
        <w:spacing w:after="0" w:line="217" w:lineRule="exact"/>
        <w:rPr>
          <w:sz w:val="20"/>
          <w:szCs w:val="20"/>
          <w:color w:val="auto"/>
        </w:rPr>
      </w:pPr>
    </w:p>
    <w:p>
      <w:pPr>
        <w:ind w:left="960" w:hanging="318"/>
        <w:spacing w:after="0"/>
        <w:tabs>
          <w:tab w:leader="none" w:pos="9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answer questions regarding the Company’s and the Adviser’s policies and procedures;</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140" w:right="220" w:hanging="498"/>
        <w:spacing w:after="0" w:line="282" w:lineRule="auto"/>
        <w:tabs>
          <w:tab w:leader="none" w:pos="91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issues of whether information received by a Covered Person constitutes MNPI and determine what action, if any, should be taken;</w:t>
      </w:r>
    </w:p>
    <w:p>
      <w:pPr>
        <w:spacing w:after="0" w:line="3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this Policy on a regular basis and update it as necessary;</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has been determined that a Covered Person is in possession of MNPI:</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840" w:right="140" w:hanging="526"/>
        <w:spacing w:after="0" w:line="282" w:lineRule="auto"/>
        <w:tabs>
          <w:tab w:leader="none" w:pos="1601"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measures to prevent dissemination of such information other than to appropriate Covered Persons on a “need to know” basis, and</w:t>
      </w:r>
    </w:p>
    <w:p>
      <w:pPr>
        <w:spacing w:after="0" w:line="353" w:lineRule="exact"/>
        <w:rPr>
          <w:rFonts w:ascii="Times New Roman" w:cs="Times New Roman" w:eastAsia="Times New Roman" w:hAnsi="Times New Roman"/>
          <w:sz w:val="18"/>
          <w:szCs w:val="18"/>
          <w:color w:val="auto"/>
        </w:rPr>
      </w:pPr>
    </w:p>
    <w:p>
      <w:pPr>
        <w:ind w:left="1840" w:hanging="526"/>
        <w:spacing w:after="0" w:line="266" w:lineRule="auto"/>
        <w:tabs>
          <w:tab w:leader="none" w:pos="1702" w:val="left"/>
        </w:tabs>
        <w:numPr>
          <w:ilvl w:val="2"/>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permit any Adviser employee to execute any transaction in any securities of the issuer in question (except in the limited circumstance in which the information is obtained in connection with a private transaction with the issuer of the securities involved, in which case the private transaction itself is permitted);</w:t>
      </w:r>
    </w:p>
    <w:p>
      <w:pPr>
        <w:spacing w:after="0" w:line="368" w:lineRule="exact"/>
        <w:rPr>
          <w:rFonts w:ascii="Times New Roman" w:cs="Times New Roman" w:eastAsia="Times New Roman" w:hAnsi="Times New Roman"/>
          <w:sz w:val="18"/>
          <w:szCs w:val="18"/>
          <w:color w:val="auto"/>
        </w:rPr>
      </w:pPr>
    </w:p>
    <w:p>
      <w:pPr>
        <w:ind w:left="900" w:hanging="318"/>
        <w:spacing w:after="0"/>
        <w:tabs>
          <w:tab w:leader="none" w:pos="9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program of periodic “reminder” notices regarding insider trading; and</w:t>
      </w:r>
    </w:p>
    <w:p>
      <w:pPr>
        <w:spacing w:after="0" w:line="285"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color w:val="auto"/>
        </w:rPr>
        <w:t>Adopted: [</w:t>
      </w:r>
      <w:r>
        <w:rPr>
          <w:rFonts w:ascii="Arial" w:cs="Arial" w:eastAsia="Arial" w:hAnsi="Arial"/>
          <w:sz w:val="14"/>
          <w:szCs w:val="14"/>
          <w:color w:val="auto"/>
        </w:rPr>
        <w:t>●</w:t>
      </w:r>
      <w:r>
        <w:rPr>
          <w:rFonts w:ascii="Times New Roman" w:cs="Times New Roman" w:eastAsia="Times New Roman" w:hAnsi="Times New Roman"/>
          <w:sz w:val="14"/>
          <w:szCs w:val="14"/>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685800</wp:posOffset>
            </wp:positionV>
            <wp:extent cx="6732905" cy="406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6" w:name="page387"/>
    <w:bookmarkEnd w:id="386"/>
    <w:p>
      <w:pPr>
        <w:spacing w:after="0" w:line="366" w:lineRule="exact"/>
        <w:rPr>
          <w:sz w:val="20"/>
          <w:szCs w:val="20"/>
          <w:color w:val="auto"/>
        </w:rPr>
      </w:pPr>
    </w:p>
    <w:p>
      <w:pPr>
        <w:ind w:left="1060" w:hanging="490"/>
        <w:spacing w:after="0" w:line="258" w:lineRule="auto"/>
        <w:tabs>
          <w:tab w:leader="none" w:pos="98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compile and maintain, with the continuous assistance of the senior management of the Adviser in accordance with the Joint Code of Ethics, a Restricted List of Securities in which no Covered Person (excluding Independent Directors (as defined in the Joint Code of Ethics) of the Company and their Family Members or Controlled Entities so long as they otherwise possess no MNPI) may trade because the Company or the Adviser is deemed to possess MNPI concerning the issuers of such Securities and determine when to remove Securities from the Restricted List.</w:t>
      </w:r>
    </w:p>
    <w:p>
      <w:pPr>
        <w:spacing w:after="0" w:line="371" w:lineRule="exact"/>
        <w:rPr>
          <w:rFonts w:ascii="Times New Roman" w:cs="Times New Roman" w:eastAsia="Times New Roman" w:hAnsi="Times New Roman"/>
          <w:sz w:val="18"/>
          <w:szCs w:val="18"/>
          <w:color w:val="auto"/>
        </w:rPr>
      </w:pPr>
    </w:p>
    <w:p>
      <w:pPr>
        <w:ind w:left="1000" w:hanging="298"/>
        <w:spacing w:after="0"/>
        <w:tabs>
          <w:tab w:leader="none" w:pos="1000" w:val="left"/>
        </w:tabs>
        <w:numPr>
          <w:ilvl w:val="1"/>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Detection of Insider Trading</w:t>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detect insider trading, the Company’s Chief Compliance Officer or designee should:</w:t>
      </w: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  review quarterly trading activity reports filed by those Covered Persons required to file such reports under the Joint Code of Ethics;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3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2.  promptly investigate all reports of any possible violations of this Policy.</w:t>
      </w:r>
    </w:p>
    <w:p>
      <w:pPr>
        <w:spacing w:after="0" w:line="200" w:lineRule="exact"/>
        <w:rPr>
          <w:sz w:val="20"/>
          <w:szCs w:val="20"/>
          <w:color w:val="auto"/>
        </w:rPr>
      </w:pPr>
    </w:p>
    <w:p>
      <w:pPr>
        <w:spacing w:after="0" w:line="21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  Special Reports to Management</w:t>
      </w:r>
    </w:p>
    <w:p>
      <w:pPr>
        <w:spacing w:after="0" w:line="200" w:lineRule="exact"/>
        <w:rPr>
          <w:sz w:val="20"/>
          <w:szCs w:val="20"/>
          <w:color w:val="auto"/>
        </w:rPr>
      </w:pPr>
    </w:p>
    <w:p>
      <w:pPr>
        <w:spacing w:after="0" w:line="221" w:lineRule="exact"/>
        <w:rPr>
          <w:sz w:val="20"/>
          <w:szCs w:val="20"/>
          <w:color w:val="auto"/>
        </w:rPr>
      </w:pPr>
    </w:p>
    <w:p>
      <w:pPr>
        <w:ind w:right="60" w:firstLine="696"/>
        <w:spacing w:after="0" w:line="261" w:lineRule="auto"/>
        <w:rPr>
          <w:sz w:val="20"/>
          <w:szCs w:val="20"/>
          <w:color w:val="auto"/>
        </w:rPr>
      </w:pPr>
      <w:r>
        <w:rPr>
          <w:rFonts w:ascii="Times New Roman" w:cs="Times New Roman" w:eastAsia="Times New Roman" w:hAnsi="Times New Roman"/>
          <w:sz w:val="18"/>
          <w:szCs w:val="18"/>
          <w:color w:val="auto"/>
        </w:rPr>
        <w:t>Promptly upon learning of a potential violation of this Policy, the Chief Compliance Officer or designee shall prepare a written report to management providing full details, which may include (1) details of the particular Securities and activity involved, (2) the date(s) the Adviser or the Company learned of the potential violation and began investigating; (3) the accounts and individuals involved; (4) actions taken as a result of the investigation, if any; and (5) recommendations for further action.</w:t>
      </w:r>
    </w:p>
    <w:p>
      <w:pPr>
        <w:spacing w:after="0" w:line="3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  Regular Reports to Management</w:t>
      </w:r>
    </w:p>
    <w:p>
      <w:pPr>
        <w:spacing w:after="0" w:line="200" w:lineRule="exact"/>
        <w:rPr>
          <w:sz w:val="20"/>
          <w:szCs w:val="20"/>
          <w:color w:val="auto"/>
        </w:rPr>
      </w:pP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least annually, the Company’s Chief Compliance Officer will prepare a written report to senior management of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setting forth some or all of the following:</w:t>
      </w:r>
    </w:p>
    <w:p>
      <w:pPr>
        <w:spacing w:after="0" w:line="399" w:lineRule="exact"/>
        <w:rPr>
          <w:sz w:val="20"/>
          <w:szCs w:val="20"/>
          <w:color w:val="auto"/>
        </w:rPr>
      </w:pPr>
    </w:p>
    <w:p>
      <w:pPr>
        <w:ind w:left="940" w:hanging="274"/>
        <w:spacing w:after="0"/>
        <w:tabs>
          <w:tab w:leader="none" w:pos="9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existing procedures to detect and prevent insider trading;</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940" w:hanging="274"/>
        <w:spacing w:after="0"/>
        <w:tabs>
          <w:tab w:leader="none" w:pos="94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changes in procedures made in the last year;</w:t>
      </w:r>
    </w:p>
    <w:p>
      <w:pPr>
        <w:spacing w:after="0" w:line="200" w:lineRule="exact"/>
        <w:rPr>
          <w:rFonts w:ascii="Times New Roman" w:cs="Times New Roman" w:eastAsia="Times New Roman" w:hAnsi="Times New Roman"/>
          <w:sz w:val="18"/>
          <w:szCs w:val="18"/>
          <w:color w:val="auto"/>
        </w:rPr>
      </w:pPr>
    </w:p>
    <w:p>
      <w:pPr>
        <w:spacing w:after="0" w:line="217" w:lineRule="exact"/>
        <w:rPr>
          <w:rFonts w:ascii="Times New Roman" w:cs="Times New Roman" w:eastAsia="Times New Roman" w:hAnsi="Times New Roman"/>
          <w:sz w:val="18"/>
          <w:szCs w:val="18"/>
          <w:color w:val="auto"/>
        </w:rPr>
      </w:pPr>
    </w:p>
    <w:p>
      <w:pPr>
        <w:ind w:left="1060" w:right="360" w:hanging="394"/>
        <w:spacing w:after="0" w:line="313" w:lineRule="auto"/>
        <w:tabs>
          <w:tab w:leader="none" w:pos="94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details of any investigation, whether internal or by a regulatory agency, since the last report regarding any suspected insider trading, the results of the investigation and a description of any changes in procedures prompted by any such investigation; and</w:t>
      </w:r>
    </w:p>
    <w:p>
      <w:pPr>
        <w:spacing w:after="0" w:line="330" w:lineRule="exact"/>
        <w:rPr>
          <w:rFonts w:ascii="Times New Roman" w:cs="Times New Roman" w:eastAsia="Times New Roman" w:hAnsi="Times New Roman"/>
          <w:sz w:val="17"/>
          <w:szCs w:val="17"/>
          <w:color w:val="auto"/>
        </w:rPr>
      </w:pPr>
    </w:p>
    <w:p>
      <w:pPr>
        <w:ind w:left="980" w:hanging="278"/>
        <w:spacing w:after="0"/>
        <w:tabs>
          <w:tab w:leader="none" w:pos="98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the current procedures and a description of anticipated changes in procedures.</w:t>
      </w:r>
    </w:p>
    <w:p>
      <w:pPr>
        <w:spacing w:after="0" w:line="2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color w:val="auto"/>
        </w:rPr>
        <w:t>Adopted: [</w:t>
      </w:r>
      <w:r>
        <w:rPr>
          <w:rFonts w:ascii="Arial" w:cs="Arial" w:eastAsia="Arial" w:hAnsi="Arial"/>
          <w:sz w:val="14"/>
          <w:szCs w:val="14"/>
          <w:color w:val="auto"/>
        </w:rPr>
        <w:t>●</w:t>
      </w:r>
      <w:r>
        <w:rPr>
          <w:rFonts w:ascii="Times New Roman" w:cs="Times New Roman" w:eastAsia="Times New Roman" w:hAnsi="Times New Roman"/>
          <w:sz w:val="14"/>
          <w:szCs w:val="14"/>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674370</wp:posOffset>
            </wp:positionV>
            <wp:extent cx="6732905" cy="4064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7" w:name="page388"/>
    <w:bookmarkEnd w:id="387"/>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TRANSACTIONS IN COMPANY-ISSUED OR RELATED SECURITIES</w:t>
      </w:r>
    </w:p>
    <w:p>
      <w:pPr>
        <w:spacing w:after="0" w:line="229" w:lineRule="exact"/>
        <w:rPr>
          <w:sz w:val="20"/>
          <w:szCs w:val="20"/>
          <w:color w:val="auto"/>
        </w:rPr>
      </w:pPr>
    </w:p>
    <w:p>
      <w:pPr>
        <w:ind w:right="180" w:firstLine="696"/>
        <w:spacing w:after="0" w:line="289" w:lineRule="auto"/>
        <w:rPr>
          <w:sz w:val="20"/>
          <w:szCs w:val="20"/>
          <w:color w:val="auto"/>
        </w:rPr>
      </w:pPr>
      <w:r>
        <w:rPr>
          <w:rFonts w:ascii="Times New Roman" w:cs="Times New Roman" w:eastAsia="Times New Roman" w:hAnsi="Times New Roman"/>
          <w:sz w:val="17"/>
          <w:szCs w:val="17"/>
          <w:color w:val="auto"/>
        </w:rPr>
        <w:t xml:space="preserve">The Adviser and the Company have established the below additional procedures in order to assist the Adviser and the Company in the administration of this Policy, to facilitate compliance with laws prohibiting insider trading while in possession of MNPI, and to avoid the appearance of any impropriety. </w:t>
      </w:r>
      <w:r>
        <w:rPr>
          <w:rFonts w:ascii="Times New Roman" w:cs="Times New Roman" w:eastAsia="Times New Roman" w:hAnsi="Times New Roman"/>
          <w:sz w:val="17"/>
          <w:szCs w:val="17"/>
          <w:b w:val="1"/>
          <w:bCs w:val="1"/>
          <w:color w:val="auto"/>
        </w:rPr>
        <w:t>These additional procedures apply to the individuals and Securities, as applicable and as described below</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920" w:hanging="218"/>
        <w:spacing w:after="0"/>
        <w:tabs>
          <w:tab w:leader="none" w:pos="9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Pre-Clearance Procedures.</w:t>
      </w:r>
    </w:p>
    <w:p>
      <w:pPr>
        <w:spacing w:after="0" w:line="169" w:lineRule="exact"/>
        <w:rPr>
          <w:sz w:val="20"/>
          <w:szCs w:val="20"/>
          <w:color w:val="auto"/>
        </w:rPr>
      </w:pPr>
    </w:p>
    <w:p>
      <w:pPr>
        <w:ind w:firstLine="696"/>
        <w:spacing w:after="0" w:line="261" w:lineRule="auto"/>
        <w:rPr>
          <w:sz w:val="20"/>
          <w:szCs w:val="20"/>
          <w:color w:val="auto"/>
        </w:rPr>
      </w:pPr>
      <w:r>
        <w:rPr>
          <w:rFonts w:ascii="Times New Roman" w:cs="Times New Roman" w:eastAsia="Times New Roman" w:hAnsi="Times New Roman"/>
          <w:sz w:val="18"/>
          <w:szCs w:val="18"/>
          <w:color w:val="auto"/>
        </w:rPr>
        <w:t>To help prevent inadvertent violations of the federal securities laws and to avoid even the appearance of trading on inside information, Covered Persons, as well as Family Members and Controlled Entities of such persons, may not engage in any transaction involving the Company’s Securities (including any stock plan transaction, gift, loan or pledge or hedge, contribution to a trust, or any other transfer or derivative thereof) without first obtaining pre-clearance of the transaction from the Company’s Chief Compliance Officer.</w:t>
      </w:r>
    </w:p>
    <w:p>
      <w:pPr>
        <w:spacing w:after="0" w:line="180" w:lineRule="exact"/>
        <w:rPr>
          <w:sz w:val="20"/>
          <w:szCs w:val="20"/>
          <w:color w:val="auto"/>
        </w:rPr>
      </w:pPr>
    </w:p>
    <w:p>
      <w:pPr>
        <w:jc w:val="both"/>
        <w:ind w:right="60" w:firstLine="696"/>
        <w:spacing w:after="0" w:line="266" w:lineRule="auto"/>
        <w:rPr>
          <w:sz w:val="20"/>
          <w:szCs w:val="20"/>
          <w:color w:val="auto"/>
        </w:rPr>
      </w:pPr>
      <w:r>
        <w:rPr>
          <w:rFonts w:ascii="Times New Roman" w:cs="Times New Roman" w:eastAsia="Times New Roman" w:hAnsi="Times New Roman"/>
          <w:sz w:val="18"/>
          <w:szCs w:val="18"/>
          <w:color w:val="auto"/>
        </w:rPr>
        <w:t>A request for pre-clearance should be emailed to the Company’s Chief Compliance Officer at least two business days in advance of the proposed transaction. The Chief Compliance Officer is under no obligation to approve a trade submitted for pre-clearance, and may determine not to permit the trade.</w:t>
      </w:r>
    </w:p>
    <w:p>
      <w:pPr>
        <w:spacing w:after="0" w:line="176" w:lineRule="exact"/>
        <w:rPr>
          <w:sz w:val="20"/>
          <w:szCs w:val="20"/>
          <w:color w:val="auto"/>
        </w:rPr>
      </w:pPr>
    </w:p>
    <w:p>
      <w:pPr>
        <w:ind w:firstLine="696"/>
        <w:spacing w:after="0" w:line="256"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MNPI about the Company, and should describe fully those circumstances to the Company’s Chief Compliance Officer. The requestor should also indicate whether he or she has effected any “opposite-way” transactions within the past six months, and should be prepared to timely report the proposed transaction on an appropriate Form 4 or Form 5. The requestor should also be prepared to comply with the Commission’s Rule 144 and file a Form 144, if necessary, at the time of any sale. See the Company’s “</w:t>
      </w:r>
      <w:r>
        <w:rPr>
          <w:rFonts w:ascii="Times New Roman" w:cs="Times New Roman" w:eastAsia="Times New Roman" w:hAnsi="Times New Roman"/>
          <w:sz w:val="18"/>
          <w:szCs w:val="18"/>
          <w:i w:val="1"/>
          <w:iCs w:val="1"/>
          <w:color w:val="auto"/>
        </w:rPr>
        <w:t>Section 16 Procedures</w:t>
      </w:r>
      <w:r>
        <w:rPr>
          <w:rFonts w:ascii="Times New Roman" w:cs="Times New Roman" w:eastAsia="Times New Roman" w:hAnsi="Times New Roman"/>
          <w:sz w:val="18"/>
          <w:szCs w:val="18"/>
          <w:color w:val="auto"/>
        </w:rPr>
        <w:t>” attached as an appendix to the Company’s Rule 38a-1 Compliance Manual.</w:t>
      </w:r>
    </w:p>
    <w:p>
      <w:pPr>
        <w:spacing w:after="0" w:line="184" w:lineRule="exact"/>
        <w:rPr>
          <w:sz w:val="20"/>
          <w:szCs w:val="20"/>
          <w:color w:val="auto"/>
        </w:rPr>
      </w:pPr>
    </w:p>
    <w:p>
      <w:pPr>
        <w:ind w:left="920" w:hanging="218"/>
        <w:spacing w:after="0"/>
        <w:tabs>
          <w:tab w:leader="none" w:pos="92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10b5-1 Trading Plans.</w:t>
      </w:r>
    </w:p>
    <w:p>
      <w:pPr>
        <w:spacing w:after="0" w:line="165" w:lineRule="exact"/>
        <w:rPr>
          <w:sz w:val="20"/>
          <w:szCs w:val="20"/>
          <w:color w:val="auto"/>
        </w:rPr>
      </w:pPr>
    </w:p>
    <w:p>
      <w:pPr>
        <w:ind w:right="160" w:firstLine="696"/>
        <w:spacing w:after="0" w:line="262" w:lineRule="auto"/>
        <w:rPr>
          <w:sz w:val="20"/>
          <w:szCs w:val="20"/>
          <w:color w:val="auto"/>
        </w:rPr>
      </w:pPr>
      <w:r>
        <w:rPr>
          <w:rFonts w:ascii="Times New Roman" w:cs="Times New Roman" w:eastAsia="Times New Roman" w:hAnsi="Times New Roman"/>
          <w:sz w:val="18"/>
          <w:szCs w:val="18"/>
          <w:color w:val="auto"/>
        </w:rPr>
        <w:t>Notwithstanding the prohibition against insider trading, Rule 10b5-l (“</w:t>
      </w:r>
      <w:r>
        <w:rPr>
          <w:rFonts w:ascii="Times New Roman" w:cs="Times New Roman" w:eastAsia="Times New Roman" w:hAnsi="Times New Roman"/>
          <w:sz w:val="18"/>
          <w:szCs w:val="18"/>
          <w:b w:val="1"/>
          <w:bCs w:val="1"/>
          <w:color w:val="auto"/>
        </w:rPr>
        <w:t>Rule 10b5-1</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this Policy permit a Covered Person to trade Securities issued by the Company regardless of his or her awareness of MNPI regarding the Company or the market for its Securities if the transaction is made pursuant to a pre-arranged trading plan that was entered into when the Covered Person was not in possession of such MNPI and which otherwise fully complies with Rule 10b5-1.</w:t>
      </w:r>
    </w:p>
    <w:p>
      <w:pPr>
        <w:spacing w:after="0" w:line="176" w:lineRule="exact"/>
        <w:rPr>
          <w:sz w:val="20"/>
          <w:szCs w:val="20"/>
          <w:color w:val="auto"/>
        </w:rPr>
      </w:pPr>
    </w:p>
    <w:p>
      <w:pPr>
        <w:ind w:right="80" w:firstLine="696"/>
        <w:spacing w:after="0" w:line="253" w:lineRule="auto"/>
        <w:rPr>
          <w:sz w:val="20"/>
          <w:szCs w:val="20"/>
          <w:color w:val="auto"/>
        </w:rPr>
      </w:pPr>
      <w:r>
        <w:rPr>
          <w:rFonts w:ascii="Times New Roman" w:cs="Times New Roman" w:eastAsia="Times New Roman" w:hAnsi="Times New Roman"/>
          <w:sz w:val="18"/>
          <w:szCs w:val="18"/>
          <w:color w:val="auto"/>
        </w:rPr>
        <w:t>A Rule 10b5-1 trading plan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must be written and must either (i) specify the amount, pricing and timing of transactions in advance, (ii) establish a formula for determining such items, or (iii) delegate discretion on these matters to an independent third party. A Covered Person who wishes to enter into a Trading Plan, or any amendment of a previously adopted plan, must email the Trading Plan or amendment to the Company’s Chief Compliance Officer for his or her approval prior to adoption of the Trading Plan or the amendment. Further, Trading Plans (including amendments) must meet the requirements of Rule 10b5-1 and may not be adopted when the Covered Person is in possession of MNPI about any Securities which are subject to the plan. Once adopted, no further pre-approval of transactions conducted during the term of and pursuant to the Trading Plan will be required; however, a Covered Person may adopt, amend or replace his or her Trading Plan only during periods when trading is permitted in accordance with this Policy. See “Blackout Trading Restrictions” below.</w:t>
      </w:r>
    </w:p>
    <w:p>
      <w:pPr>
        <w:spacing w:after="0" w:line="4"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color w:val="auto"/>
        </w:rPr>
        <w:t>Adopted: [</w:t>
      </w:r>
      <w:r>
        <w:rPr>
          <w:rFonts w:ascii="Arial" w:cs="Arial" w:eastAsia="Arial" w:hAnsi="Arial"/>
          <w:sz w:val="14"/>
          <w:szCs w:val="14"/>
          <w:color w:val="auto"/>
        </w:rPr>
        <w:t>●</w:t>
      </w:r>
      <w:r>
        <w:rPr>
          <w:rFonts w:ascii="Times New Roman" w:cs="Times New Roman" w:eastAsia="Times New Roman" w:hAnsi="Times New Roman"/>
          <w:sz w:val="14"/>
          <w:szCs w:val="14"/>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674370</wp:posOffset>
            </wp:positionV>
            <wp:extent cx="6732905" cy="406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8" w:name="page389"/>
    <w:bookmarkEnd w:id="388"/>
    <w:p>
      <w:pPr>
        <w:spacing w:after="0" w:line="200" w:lineRule="exact"/>
        <w:rPr>
          <w:sz w:val="20"/>
          <w:szCs w:val="20"/>
          <w:color w:val="auto"/>
        </w:rPr>
      </w:pPr>
    </w:p>
    <w:p>
      <w:pPr>
        <w:spacing w:after="0" w:line="286" w:lineRule="exact"/>
        <w:rPr>
          <w:sz w:val="20"/>
          <w:szCs w:val="20"/>
          <w:color w:val="auto"/>
        </w:rPr>
      </w:pPr>
    </w:p>
    <w:p>
      <w:pPr>
        <w:ind w:right="520" w:firstLine="696"/>
        <w:spacing w:after="0" w:line="282" w:lineRule="auto"/>
        <w:rPr>
          <w:sz w:val="20"/>
          <w:szCs w:val="20"/>
          <w:color w:val="auto"/>
        </w:rPr>
      </w:pPr>
      <w:r>
        <w:rPr>
          <w:rFonts w:ascii="Times New Roman" w:cs="Times New Roman" w:eastAsia="Times New Roman" w:hAnsi="Times New Roman"/>
          <w:sz w:val="18"/>
          <w:szCs w:val="18"/>
          <w:color w:val="auto"/>
        </w:rPr>
        <w:t>Once a Trading Plan is adopted, the Covered Person generally must not exercise any influence over the amount of Securities to be traded, the price at which they are to be traded or the date of the trade.</w:t>
      </w:r>
    </w:p>
    <w:p>
      <w:pPr>
        <w:spacing w:after="0" w:line="162" w:lineRule="exact"/>
        <w:rPr>
          <w:sz w:val="20"/>
          <w:szCs w:val="20"/>
          <w:color w:val="auto"/>
        </w:rPr>
      </w:pPr>
    </w:p>
    <w:p>
      <w:pPr>
        <w:ind w:right="240" w:firstLine="696"/>
        <w:spacing w:after="0" w:line="258" w:lineRule="auto"/>
        <w:rPr>
          <w:sz w:val="20"/>
          <w:szCs w:val="20"/>
          <w:color w:val="auto"/>
        </w:rPr>
      </w:pPr>
      <w:r>
        <w:rPr>
          <w:rFonts w:ascii="Times New Roman" w:cs="Times New Roman" w:eastAsia="Times New Roman" w:hAnsi="Times New Roman"/>
          <w:sz w:val="18"/>
          <w:szCs w:val="18"/>
          <w:color w:val="auto"/>
        </w:rPr>
        <w:t>In December 2022, the SEC adopted amendments to Rule 10b5-1, which became effective on February 27, 2023. The amended Rule 10b5-1 includes, among other changes, (1) implementation of a “cooling-off” period for trading under Trading Plans; (2) required certifications about knowledge of material, non-public information and good faith; (3) changes to how Trading Plans may be used; and (4) new disclosure requirements for registrants and individuals. A cooling-off period is an established amount of time between the adoption of a Trading Plan and when trading can begin.</w:t>
      </w:r>
    </w:p>
    <w:p>
      <w:pPr>
        <w:spacing w:after="0" w:line="184" w:lineRule="exact"/>
        <w:rPr>
          <w:sz w:val="20"/>
          <w:szCs w:val="20"/>
          <w:color w:val="auto"/>
        </w:rPr>
      </w:pPr>
    </w:p>
    <w:p>
      <w:pPr>
        <w:ind w:firstLine="696"/>
        <w:spacing w:after="0" w:line="255" w:lineRule="auto"/>
        <w:rPr>
          <w:sz w:val="20"/>
          <w:szCs w:val="20"/>
          <w:color w:val="auto"/>
        </w:rPr>
      </w:pPr>
      <w:r>
        <w:rPr>
          <w:rFonts w:ascii="Times New Roman" w:cs="Times New Roman" w:eastAsia="Times New Roman" w:hAnsi="Times New Roman"/>
          <w:sz w:val="18"/>
          <w:szCs w:val="18"/>
          <w:color w:val="auto"/>
        </w:rPr>
        <w:t>Pursuant to the amended Rule 10b5-1, the cooling-off period for officers and directors of the Company will be either 90 days following adoption or modification of a Trading Plan, or two business days following the disclosure of the Company’s financial results in a Form 10-Q or Form 10-K for the fiscal quarter in which the Trading Plan was adopted, whichever is later. This timeline results in a mandatory cooling-off period of 90 to 120 days. For persons other than officers and directors of the Company, the cooling-off period is 30 days following adoption or modification of a Trading Plan. Further, pursuant to the amended Rule 10b5-1, officers and directors must certify at the time they enter into or modify a Trading Plan that (1) they are not aware of material nonpublic information about the issuer or its securities; and (2) they are adopting the contract, instruction, or plan “in good faith and not as part of a plan or scheme to evade the prohibitions” of Rule 10b5-1. Further, an insider of the Company is prohibited from having multiple overlapping Trading Plans in place.</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color w:val="auto"/>
        </w:rPr>
        <w:t>Blackout Trading Restrictions.</w:t>
      </w:r>
    </w:p>
    <w:p>
      <w:pPr>
        <w:spacing w:after="0" w:line="16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Quarterly Blackout Periods. The Company’s announcement of its quarterly financial results almost always has the potential to have a material effect on the market for the Company’s Securities. During the period prior to the release of quarterly financial results, Covered Persons may possess MNPI. Therefore, you can anticipate that, to avoid even the appearance of trading while in possession of MNPI, Covered Persons, as well as their Family Members and Controlled Entities, will not be pre-cleared to trade in Company Securities during the period beginning one week prior to the end of each fiscal quarter and ending after the second full business day following the public release of the Company’s earnings results for that quarter.</w:t>
      </w:r>
    </w:p>
    <w:p>
      <w:pPr>
        <w:spacing w:after="0" w:line="18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Event-specific Blackout Periods. From time to time, an event may occur that is material to the Company or the market for its Securities and is known by only a few Covered Persons. So long as the event remains material and non-public, no Covered Persons may trade in the Company’s Securities. This restriction applies regardless of whether such persons have actual knowledge of the material event in question. </w:t>
      </w:r>
      <w:r>
        <w:rPr>
          <w:rFonts w:ascii="Times New Roman" w:cs="Times New Roman" w:eastAsia="Times New Roman" w:hAnsi="Times New Roman"/>
          <w:sz w:val="18"/>
          <w:szCs w:val="18"/>
          <w:b w:val="1"/>
          <w:bCs w:val="1"/>
          <w:color w:val="auto"/>
        </w:rPr>
        <w:t>The existence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 event-specific blackout will not be announced</w:t>
      </w:r>
      <w:r>
        <w:rPr>
          <w:rFonts w:ascii="Times New Roman" w:cs="Times New Roman" w:eastAsia="Times New Roman" w:hAnsi="Times New Roman"/>
          <w:sz w:val="18"/>
          <w:szCs w:val="18"/>
          <w:color w:val="auto"/>
        </w:rPr>
        <w:t>, other than to those who are aware of the event giving rise to the blackout. If, however,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whose trades are subject to pre-clearance requests permission to trade in Company Securities during an event-specific blackout, the Company’s Chief Compliance Officer will inform the requestor of the existence of a blackout period, without disclosing the reason for the blackout. Any person made aware of the existence of an event-specific blackout should not disclose the existence of the blackout to any other person. The failure of the Chief Compliance Officer to designate a person as being subject to an event-specific blackout will not relieve that person of the obligation not to trade while in possession of MNPI regarding the Company or the market for its Securities.</w:t>
      </w:r>
    </w:p>
    <w:p>
      <w:pPr>
        <w:spacing w:after="0" w:line="18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Hardship Exceptions. A person who is subject to a quarterly earnings blackout period and who has an unexpected and urgent need to sell Company Securities in order to generate cash may, in appropriate circumstances, be permitted to sell such Securities even during the quarterly blackout period. Hardship exceptions may be granted only by the Company’s Chief Compliance Officer and must be requested at least two business days in advance of the proposed trade. A hardship exception may be granted only if the Chief</w:t>
      </w:r>
    </w:p>
    <w:p>
      <w:pPr>
        <w:spacing w:after="0" w:line="2"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color w:val="auto"/>
        </w:rPr>
        <w:t>Adopted: [</w:t>
      </w:r>
      <w:r>
        <w:rPr>
          <w:rFonts w:ascii="Arial" w:cs="Arial" w:eastAsia="Arial" w:hAnsi="Arial"/>
          <w:sz w:val="14"/>
          <w:szCs w:val="14"/>
          <w:color w:val="auto"/>
        </w:rPr>
        <w:t>●</w:t>
      </w:r>
      <w:r>
        <w:rPr>
          <w:rFonts w:ascii="Times New Roman" w:cs="Times New Roman" w:eastAsia="Times New Roman" w:hAnsi="Times New Roman"/>
          <w:sz w:val="14"/>
          <w:szCs w:val="14"/>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674370</wp:posOffset>
            </wp:positionV>
            <wp:extent cx="6732905" cy="406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89" w:name="page390"/>
    <w:bookmarkEnd w:id="389"/>
    <w:p>
      <w:pPr>
        <w:spacing w:after="0" w:line="27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Compliance Officer concludes that the Company’s earnings information for the applicable quarter does not constitute MNPI. Under no circumstance will a hardship exception be granted during an event-specific blackout period.</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8"/>
          <w:szCs w:val="18"/>
          <w:b w:val="1"/>
          <w:bCs w:val="1"/>
          <w:color w:val="auto"/>
        </w:rPr>
        <w:t>Transactions Pursuant to Dividend Reinvestment Plans</w:t>
      </w:r>
    </w:p>
    <w:p>
      <w:pPr>
        <w:spacing w:after="0" w:line="169" w:lineRule="exact"/>
        <w:rPr>
          <w:sz w:val="20"/>
          <w:szCs w:val="20"/>
          <w:color w:val="auto"/>
        </w:rPr>
      </w:pPr>
    </w:p>
    <w:p>
      <w:pPr>
        <w:ind w:right="20" w:firstLine="696"/>
        <w:spacing w:after="0" w:line="256" w:lineRule="auto"/>
        <w:rPr>
          <w:sz w:val="20"/>
          <w:szCs w:val="20"/>
          <w:color w:val="auto"/>
        </w:rPr>
      </w:pPr>
      <w:r>
        <w:rPr>
          <w:rFonts w:ascii="Times New Roman" w:cs="Times New Roman" w:eastAsia="Times New Roman" w:hAnsi="Times New Roman"/>
          <w:sz w:val="18"/>
          <w:szCs w:val="18"/>
          <w:color w:val="auto"/>
        </w:rPr>
        <w:t xml:space="preserve">If you participate in an automatic dividend reinvestment plan, including with respect to the Company’s Securities, this Policy does not apply to purchases of Securities under that dividend reinvestment plan resulting from your </w:t>
      </w:r>
      <w:r>
        <w:rPr>
          <w:rFonts w:ascii="Times New Roman" w:cs="Times New Roman" w:eastAsia="Times New Roman" w:hAnsi="Times New Roman"/>
          <w:sz w:val="18"/>
          <w:szCs w:val="18"/>
          <w:i w:val="1"/>
          <w:iCs w:val="1"/>
          <w:color w:val="auto"/>
        </w:rPr>
        <w:t>automatic</w:t>
      </w:r>
      <w:r>
        <w:rPr>
          <w:rFonts w:ascii="Times New Roman" w:cs="Times New Roman" w:eastAsia="Times New Roman" w:hAnsi="Times New Roman"/>
          <w:sz w:val="18"/>
          <w:szCs w:val="18"/>
          <w:color w:val="auto"/>
        </w:rPr>
        <w:t xml:space="preserve"> reinvestment of dividends paid on the subject securities. This Policy, including any black-out periods applicable to transacting in the Company’s Securities, does apply, however, to voluntary purchases of Securities resulting from additional contributions you choose to make to the dividend reinvestment plan, and to your election to participate in the dividend reinvestment plan, or to increase your level of participation in the plan. This Policy also applies to your sale of any Securities purchased pursuant to the plan.</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color w:val="auto"/>
        </w:rPr>
        <w:t>Additional Prohibited Transactions</w:t>
      </w:r>
    </w:p>
    <w:p>
      <w:pPr>
        <w:spacing w:after="0" w:line="229" w:lineRule="exact"/>
        <w:rPr>
          <w:sz w:val="20"/>
          <w:szCs w:val="20"/>
          <w:color w:val="auto"/>
        </w:rPr>
      </w:pPr>
    </w:p>
    <w:p>
      <w:pPr>
        <w:ind w:right="160" w:firstLine="696"/>
        <w:spacing w:after="0" w:line="266" w:lineRule="auto"/>
        <w:rPr>
          <w:sz w:val="20"/>
          <w:szCs w:val="20"/>
          <w:color w:val="auto"/>
        </w:rPr>
      </w:pPr>
      <w:r>
        <w:rPr>
          <w:rFonts w:ascii="Times New Roman" w:cs="Times New Roman" w:eastAsia="Times New Roman" w:hAnsi="Times New Roman"/>
          <w:sz w:val="18"/>
          <w:szCs w:val="18"/>
          <w:color w:val="auto"/>
        </w:rPr>
        <w:t>The Company and the Adviser consider it improper and inappropriate for any Covered Person to engage in short-term or speculative transactions in the Company’s Securities or certain derivatives thereof. Accordingly, the following additional policies also apply with respect to the trading activities of Covered Persons:</w:t>
      </w:r>
    </w:p>
    <w:p>
      <w:pPr>
        <w:spacing w:after="0" w:line="176" w:lineRule="exact"/>
        <w:rPr>
          <w:sz w:val="20"/>
          <w:szCs w:val="20"/>
          <w:color w:val="auto"/>
        </w:rPr>
      </w:pPr>
    </w:p>
    <w:p>
      <w:pPr>
        <w:ind w:right="20" w:firstLine="792"/>
        <w:spacing w:after="0" w:line="255" w:lineRule="auto"/>
        <w:rPr>
          <w:sz w:val="20"/>
          <w:szCs w:val="20"/>
          <w:color w:val="auto"/>
        </w:rPr>
      </w:pPr>
      <w:r>
        <w:rPr>
          <w:rFonts w:ascii="Times New Roman" w:cs="Times New Roman" w:eastAsia="Times New Roman" w:hAnsi="Times New Roman"/>
          <w:sz w:val="18"/>
          <w:szCs w:val="18"/>
          <w:color w:val="auto"/>
        </w:rPr>
        <w:t>Short-Term Trading. Short-term trading of the Company’s Securities by a Covered Person may be distracting to such person and may unduly focus such person on the Company’s short-term performance instead of the Company’s long-term business objectives. For these reasons, any Covered Person who purchases the Company’s Securities may not sell any Securities of the same class for that Company during the six months following such purchase. In addition, Section 16(b) of the Exchange Act imposes short-swing profit restrictions on the purchase or sale of the Company’s equity securities by such Company’s officers and directors and certain other persons. Restrictions pursuant to section 16(b) apply to transactions on a matched basis, regardless of the results of trading of actual security positions. See the Company’s “</w:t>
      </w:r>
      <w:r>
        <w:rPr>
          <w:rFonts w:ascii="Times New Roman" w:cs="Times New Roman" w:eastAsia="Times New Roman" w:hAnsi="Times New Roman"/>
          <w:sz w:val="18"/>
          <w:szCs w:val="18"/>
          <w:i w:val="1"/>
          <w:iCs w:val="1"/>
          <w:color w:val="auto"/>
        </w:rPr>
        <w:t>Section 16 Procedures</w:t>
      </w:r>
      <w:r>
        <w:rPr>
          <w:rFonts w:ascii="Times New Roman" w:cs="Times New Roman" w:eastAsia="Times New Roman" w:hAnsi="Times New Roman"/>
          <w:sz w:val="18"/>
          <w:szCs w:val="18"/>
          <w:color w:val="auto"/>
        </w:rPr>
        <w:t>” attached as an appendix to the Company’s Rule 38a-1 Compliance Manual.</w:t>
      </w:r>
    </w:p>
    <w:p>
      <w:pPr>
        <w:spacing w:after="0" w:line="189" w:lineRule="exact"/>
        <w:rPr>
          <w:sz w:val="20"/>
          <w:szCs w:val="20"/>
          <w:color w:val="auto"/>
        </w:rPr>
      </w:pPr>
    </w:p>
    <w:p>
      <w:pPr>
        <w:ind w:right="40" w:firstLine="792"/>
        <w:spacing w:after="0" w:line="258" w:lineRule="auto"/>
        <w:rPr>
          <w:sz w:val="20"/>
          <w:szCs w:val="20"/>
          <w:color w:val="auto"/>
        </w:rPr>
      </w:pPr>
      <w:r>
        <w:rPr>
          <w:rFonts w:ascii="Times New Roman" w:cs="Times New Roman" w:eastAsia="Times New Roman" w:hAnsi="Times New Roman"/>
          <w:sz w:val="18"/>
          <w:szCs w:val="18"/>
          <w:color w:val="auto"/>
        </w:rPr>
        <w:t>Short Sales. Short sales of the Company’s Securities evidence an expectation on the part of the seller that the Securities will decline in value, and therefore signal to the market that the seller lacks confidence in the Company or its short-term prospects. In addition, short sales may reduce the seller’s incentive to improve the Company’s performance. For these reasons, Covered Persons are prohibited from engaging in short sales of Company Securities. In addition, Section 16(c) of the Exchange Act prohibits the Company’s officers and directors, and certain other persons, from engaging in short sales of the Company’s Securities.</w:t>
      </w:r>
    </w:p>
    <w:p>
      <w:pPr>
        <w:spacing w:after="0" w:line="184" w:lineRule="exact"/>
        <w:rPr>
          <w:sz w:val="20"/>
          <w:szCs w:val="20"/>
          <w:color w:val="auto"/>
        </w:rPr>
      </w:pPr>
    </w:p>
    <w:p>
      <w:pPr>
        <w:ind w:right="60" w:firstLine="792"/>
        <w:spacing w:after="0" w:line="255" w:lineRule="auto"/>
        <w:rPr>
          <w:sz w:val="20"/>
          <w:szCs w:val="20"/>
          <w:color w:val="auto"/>
        </w:rPr>
      </w:pPr>
      <w:r>
        <w:rPr>
          <w:rFonts w:ascii="Times New Roman" w:cs="Times New Roman" w:eastAsia="Times New Roman" w:hAnsi="Times New Roman"/>
          <w:sz w:val="18"/>
          <w:szCs w:val="18"/>
          <w:color w:val="auto"/>
        </w:rPr>
        <w:t>Publicly Traded Options. A transaction in options, puts, calls or other derivative securities concerning the Company’s Securities is, in effect, a bet on the short-term movement of the Company’s Securities and therefore may create the appearance that a Covered Person is trading based on MNPI concerning the Company or the market for its Securities. Transactions of this sort also may unduly focus such person on the Company’s short-term performance instead of the Company’s long-term business objectives. Accordingly, Covered Persons are prohibited from engaging in transactions in put options, call options or other derivative securities, on an exchange or in any other organized market, relating to the Company’s Securities. (Option positions arising from certain types of hedging transactions are governed by the next paragraph below captioned “Hedging Transactions.”)</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Adopted: [</w:t>
      </w:r>
      <w:r>
        <w:rPr>
          <w:rFonts w:ascii="Arial" w:cs="Arial" w:eastAsia="Arial" w:hAnsi="Arial"/>
          <w:sz w:val="16"/>
          <w:szCs w:val="16"/>
          <w:color w:val="auto"/>
        </w:rPr>
        <w: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671195</wp:posOffset>
            </wp:positionV>
            <wp:extent cx="6732905" cy="406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90" w:name="page391"/>
    <w:bookmarkEnd w:id="390"/>
    <w:p>
      <w:pPr>
        <w:spacing w:after="0" w:line="270" w:lineRule="exact"/>
        <w:rPr>
          <w:sz w:val="20"/>
          <w:szCs w:val="20"/>
          <w:color w:val="auto"/>
        </w:rPr>
      </w:pPr>
    </w:p>
    <w:p>
      <w:pPr>
        <w:ind w:firstLine="792"/>
        <w:spacing w:after="0" w:line="258" w:lineRule="auto"/>
        <w:rPr>
          <w:sz w:val="20"/>
          <w:szCs w:val="20"/>
          <w:color w:val="auto"/>
        </w:rPr>
      </w:pPr>
      <w:r>
        <w:rPr>
          <w:rFonts w:ascii="Times New Roman" w:cs="Times New Roman" w:eastAsia="Times New Roman" w:hAnsi="Times New Roman"/>
          <w:sz w:val="18"/>
          <w:szCs w:val="18"/>
          <w:color w:val="auto"/>
        </w:rPr>
        <w:t>Hedging Transactions. Hedging or monetization transactions can be accomplished through a number of possible mechanisms, including through the use of financial instruments such as prepaid variable forward contracts, equity swaps, collars and exchange funds. Such transactions may permit a Covered Person to continue to own the Company’s Securities, but without the full risks and rewards of ownership. When that occurs, the Covered Person may no longer have the same objectives as the Company’s other shareholders. Therefore, Covered Persons are strongly discouraged from engaging in any such transactions.</w:t>
      </w:r>
    </w:p>
    <w:p>
      <w:pPr>
        <w:spacing w:after="0" w:line="184" w:lineRule="exact"/>
        <w:rPr>
          <w:sz w:val="20"/>
          <w:szCs w:val="20"/>
          <w:color w:val="auto"/>
        </w:rPr>
      </w:pPr>
    </w:p>
    <w:p>
      <w:pPr>
        <w:ind w:firstLine="792"/>
        <w:spacing w:after="0" w:line="270" w:lineRule="auto"/>
        <w:rPr>
          <w:sz w:val="20"/>
          <w:szCs w:val="20"/>
          <w:color w:val="auto"/>
        </w:rPr>
      </w:pPr>
      <w:r>
        <w:rPr>
          <w:rFonts w:ascii="Times New Roman" w:cs="Times New Roman" w:eastAsia="Times New Roman" w:hAnsi="Times New Roman"/>
          <w:sz w:val="17"/>
          <w:szCs w:val="17"/>
          <w:color w:val="auto"/>
        </w:rPr>
        <w:t>Margin Accounts and Pledged Securities.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MNPI or otherwise is not permitted to trade in the Company’s Securities, Covered Persons are prohibited from holding the Company’s Securities in a margin account as collateral for a margin loan or otherwise pledging the Company’s Securities as collateral for a loan. An exception to this prohibition may be granted where a Covered Person wishes to pledge the Company’s Securities in a margin account or as collateral for a loan and clearly demonstrates the financial capacity to repay the loan without resort to the pledged Securities. Any Covered Person who wishes to pledge the Company’s Securities in a margin account or as collateral for a loan must submit a request for approval to the Company’s Chief Compliance Officer at least two weeks prior to the proposed execution of documents evidencing the proposed pledge. (Pledges of the Company’s Securities arising from certain types of hedging transactions are governed by the paragraph above captioned “Hedging Transactions.”)</w:t>
      </w:r>
    </w:p>
    <w:p>
      <w:pPr>
        <w:spacing w:after="0" w:line="200" w:lineRule="exact"/>
        <w:rPr>
          <w:sz w:val="20"/>
          <w:szCs w:val="20"/>
          <w:color w:val="auto"/>
        </w:rPr>
      </w:pPr>
    </w:p>
    <w:p>
      <w:pPr>
        <w:spacing w:after="0" w:line="2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8"/>
          <w:szCs w:val="18"/>
          <w:b w:val="1"/>
          <w:bCs w:val="1"/>
          <w:color w:val="auto"/>
        </w:rPr>
        <w:t>Post-Termination Transactions</w:t>
      </w:r>
    </w:p>
    <w:p>
      <w:pPr>
        <w:spacing w:after="0" w:line="169" w:lineRule="exact"/>
        <w:rPr>
          <w:sz w:val="20"/>
          <w:szCs w:val="20"/>
          <w:color w:val="auto"/>
        </w:rPr>
      </w:pPr>
    </w:p>
    <w:p>
      <w:pPr>
        <w:ind w:right="60" w:firstLine="696"/>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the Company’s Securities even after termination of service to the Adviser or the Company. If an individual is in possession of MNPI when his or her service terminates, that individual may not trade in the Company’s Securities until that information has become public or is no longer material. The pre-clearance procedures specified under Section V.A above, however, will cease to apply to transactions in the Company’s Securities upon the expiration of any blackout period or other Company-imposed trading restrictions applicable at the time of the termination of service.</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b w:val="1"/>
          <w:bCs w:val="1"/>
          <w:color w:val="auto"/>
        </w:rPr>
        <w:t>Questions About This Policy</w:t>
      </w:r>
    </w:p>
    <w:p>
      <w:pPr>
        <w:spacing w:after="0" w:line="229" w:lineRule="exact"/>
        <w:rPr>
          <w:sz w:val="20"/>
          <w:szCs w:val="20"/>
          <w:color w:val="auto"/>
        </w:rPr>
      </w:pPr>
    </w:p>
    <w:p>
      <w:pPr>
        <w:ind w:right="320" w:firstLine="528"/>
        <w:spacing w:after="0" w:line="257" w:lineRule="auto"/>
        <w:rPr>
          <w:sz w:val="20"/>
          <w:szCs w:val="20"/>
          <w:color w:val="auto"/>
        </w:rPr>
      </w:pPr>
      <w:r>
        <w:rPr>
          <w:rFonts w:ascii="Times New Roman" w:cs="Times New Roman" w:eastAsia="Times New Roman" w:hAnsi="Times New Roman"/>
          <w:sz w:val="18"/>
          <w:szCs w:val="18"/>
          <w:color w:val="auto"/>
        </w:rPr>
        <w:t>Compliance by all Covered Persons with this policy is of the utmost importance both for you, the Company, the Adviser and the Administrator. If you have any questions about the application of this policy to any particular case, please immediately contact the Company’s Chief Compliance Officer.</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b w:val="1"/>
          <w:bCs w:val="1"/>
          <w:color w:val="auto"/>
        </w:rPr>
        <w:t>Your failure to observe this policy could lead to significant legal problems, as well as other serious consequences, including termination of your employment.</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H.Certifications</w:t>
      </w:r>
    </w:p>
    <w:p>
      <w:pPr>
        <w:spacing w:after="0" w:line="225" w:lineRule="exact"/>
        <w:rPr>
          <w:sz w:val="20"/>
          <w:szCs w:val="20"/>
          <w:color w:val="auto"/>
        </w:rPr>
      </w:pPr>
    </w:p>
    <w:p>
      <w:pPr>
        <w:ind w:right="160" w:firstLine="696"/>
        <w:spacing w:after="0" w:line="282" w:lineRule="auto"/>
        <w:rPr>
          <w:sz w:val="20"/>
          <w:szCs w:val="20"/>
          <w:color w:val="auto"/>
        </w:rPr>
      </w:pPr>
      <w:r>
        <w:rPr>
          <w:rFonts w:ascii="Times New Roman" w:cs="Times New Roman" w:eastAsia="Times New Roman" w:hAnsi="Times New Roman"/>
          <w:sz w:val="18"/>
          <w:szCs w:val="18"/>
          <w:color w:val="auto"/>
        </w:rPr>
        <w:t>All Covered Persons must certify their understanding of, and intent to comply with, this policy. A copy of the certification that all such persons must sign is attached to this policy.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March [</w:t>
      </w:r>
      <w:r>
        <w:rPr>
          <w:rFonts w:ascii="Arial" w:cs="Arial" w:eastAsia="Arial" w:hAnsi="Arial"/>
          <w:sz w:val="18"/>
          <w:szCs w:val="18"/>
          <w:b w:val="1"/>
          <w:bCs w:val="1"/>
          <w:color w:val="auto"/>
        </w:rPr>
        <w:t>●</w:t>
      </w:r>
      <w:r>
        <w:rPr>
          <w:rFonts w:ascii="Times New Roman" w:cs="Times New Roman" w:eastAsia="Times New Roman" w:hAnsi="Times New Roman"/>
          <w:sz w:val="18"/>
          <w:szCs w:val="18"/>
          <w:b w:val="1"/>
          <w:bCs w:val="1"/>
          <w:color w:val="auto"/>
        </w:rPr>
        <w:t>], 2023</w:t>
      </w:r>
    </w:p>
    <w:p>
      <w:pPr>
        <w:spacing w:after="0" w:line="200" w:lineRule="exact"/>
        <w:rPr>
          <w:sz w:val="20"/>
          <w:szCs w:val="20"/>
          <w:color w:val="auto"/>
        </w:rPr>
      </w:pPr>
    </w:p>
    <w:p>
      <w:pPr>
        <w:spacing w:after="0" w:line="31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color w:val="auto"/>
        </w:rPr>
        <w:t>Adopted: [</w:t>
      </w:r>
      <w:r>
        <w:rPr>
          <w:rFonts w:ascii="Arial" w:cs="Arial" w:eastAsia="Arial" w:hAnsi="Arial"/>
          <w:sz w:val="14"/>
          <w:szCs w:val="14"/>
          <w:color w:val="auto"/>
        </w:rPr>
        <w:t>●</w:t>
      </w:r>
      <w:r>
        <w:rPr>
          <w:rFonts w:ascii="Times New Roman" w:cs="Times New Roman" w:eastAsia="Times New Roman" w:hAnsi="Times New Roman"/>
          <w:sz w:val="14"/>
          <w:szCs w:val="14"/>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685800</wp:posOffset>
            </wp:positionV>
            <wp:extent cx="6732905" cy="406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91" w:name="page392"/>
    <w:bookmarkEnd w:id="391"/>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color w:val="auto"/>
        </w:rPr>
        <w:t>Adopted: [</w:t>
      </w:r>
      <w:r>
        <w:rPr>
          <w:rFonts w:ascii="Arial" w:cs="Arial" w:eastAsia="Arial" w:hAnsi="Arial"/>
          <w:sz w:val="14"/>
          <w:szCs w:val="14"/>
          <w:color w:val="auto"/>
        </w:rPr>
        <w:t>●</w:t>
      </w:r>
      <w:r>
        <w:rPr>
          <w:rFonts w:ascii="Times New Roman" w:cs="Times New Roman" w:eastAsia="Times New Roman" w:hAnsi="Times New Roman"/>
          <w:sz w:val="14"/>
          <w:szCs w:val="14"/>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685800</wp:posOffset>
            </wp:positionV>
            <wp:extent cx="6732905" cy="406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780"/>
          </w:cols>
          <w:pgMar w:left="1440" w:top="1440" w:right="680" w:bottom="1440" w:gutter="0" w:footer="0" w:header="0"/>
        </w:sectPr>
      </w:pPr>
    </w:p>
    <w:bookmarkStart w:id="392" w:name="page393"/>
    <w:bookmarkEnd w:id="392"/>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RUNWAY GROWTH CAPITAL LLC</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RUNWAY ADMINISTRATOR SERVICES LLC</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A to</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ACKNOWLEDGMENT AND CERTIFICATION</w:t>
      </w:r>
    </w:p>
    <w:p>
      <w:pPr>
        <w:spacing w:after="0" w:line="204" w:lineRule="exact"/>
        <w:rPr>
          <w:sz w:val="20"/>
          <w:szCs w:val="20"/>
          <w:color w:val="auto"/>
        </w:rPr>
      </w:pPr>
    </w:p>
    <w:p>
      <w:pPr>
        <w:ind w:firstLine="696"/>
        <w:spacing w:after="0" w:line="254" w:lineRule="auto"/>
        <w:rPr>
          <w:sz w:val="20"/>
          <w:szCs w:val="20"/>
          <w:color w:val="auto"/>
        </w:rPr>
      </w:pPr>
      <w:r>
        <w:rPr>
          <w:rFonts w:ascii="Times New Roman" w:cs="Times New Roman" w:eastAsia="Times New Roman" w:hAnsi="Times New Roman"/>
          <w:sz w:val="18"/>
          <w:szCs w:val="18"/>
          <w:color w:val="auto"/>
        </w:rPr>
        <w:t>I acknowledge receipt of the Insider Trading Policies and Procedures (the “</w:t>
      </w:r>
      <w:r>
        <w:rPr>
          <w:rFonts w:ascii="Times New Roman" w:cs="Times New Roman" w:eastAsia="Times New Roman" w:hAnsi="Times New Roman"/>
          <w:sz w:val="18"/>
          <w:szCs w:val="18"/>
          <w:b w:val="1"/>
          <w:bCs w:val="1"/>
          <w:color w:val="auto"/>
        </w:rPr>
        <w:t>Policies and Procedures</w:t>
      </w:r>
      <w:r>
        <w:rPr>
          <w:rFonts w:ascii="Times New Roman" w:cs="Times New Roman" w:eastAsia="Times New Roman" w:hAnsi="Times New Roman"/>
          <w:sz w:val="18"/>
          <w:szCs w:val="18"/>
          <w:color w:val="auto"/>
        </w:rPr>
        <w:t xml:space="preserve">”) of Runway Growth </w:t>
      </w:r>
      <w:r>
        <w:rPr>
          <w:rFonts w:ascii="Times New Roman" w:cs="Times New Roman" w:eastAsia="Times New Roman" w:hAnsi="Times New Roman"/>
          <w:sz w:val="19"/>
          <w:szCs w:val="19"/>
          <w:color w:val="auto"/>
        </w:rPr>
        <w:t>Finance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Corp</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Runway Growth Capital LLC (the “</w:t>
      </w:r>
      <w:r>
        <w:rPr>
          <w:rFonts w:ascii="Times New Roman" w:cs="Times New Roman" w:eastAsia="Times New Roman" w:hAnsi="Times New Roman"/>
          <w:sz w:val="18"/>
          <w:szCs w:val="18"/>
          <w:b w:val="1"/>
          <w:bCs w:val="1"/>
          <w:color w:val="auto"/>
        </w:rPr>
        <w:t>Adviser</w:t>
      </w:r>
      <w:r>
        <w:rPr>
          <w:rFonts w:ascii="Times New Roman" w:cs="Times New Roman" w:eastAsia="Times New Roman" w:hAnsi="Times New Roman"/>
          <w:sz w:val="18"/>
          <w:szCs w:val="18"/>
          <w:color w:val="auto"/>
        </w:rPr>
        <w:t>”) and Runway Administrator Services LLC (the “</w:t>
      </w:r>
      <w:r>
        <w:rPr>
          <w:rFonts w:ascii="Times New Roman" w:cs="Times New Roman" w:eastAsia="Times New Roman" w:hAnsi="Times New Roman"/>
          <w:sz w:val="18"/>
          <w:szCs w:val="18"/>
          <w:b w:val="1"/>
          <w:bCs w:val="1"/>
          <w:color w:val="auto"/>
        </w:rPr>
        <w:t>Administrator</w:t>
      </w:r>
      <w:r>
        <w:rPr>
          <w:rFonts w:ascii="Times New Roman" w:cs="Times New Roman" w:eastAsia="Times New Roman" w:hAnsi="Times New Roman"/>
          <w:sz w:val="18"/>
          <w:szCs w:val="18"/>
          <w:color w:val="auto"/>
        </w:rPr>
        <w:t>”). I have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read and understand the Policies and Procedures and agree to be governed by the same at all times with respect to the Company and/or Adviser. Further, if I have been subject to the Policies and Procedures during the preceding year, I certify that I have fully complied with the requirements of the Policies and Procedures and am not personally aware of any actual or apparent violation, by others, of the Policies and Procedures which I have not previously reported to management, the Company’s and Adviser’s Chief Compliance Officer or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1029970</wp:posOffset>
            </wp:positionV>
            <wp:extent cx="6732905" cy="406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393" w:name="page394"/>
    <w:bookmarkEnd w:id="393"/>
    <w:p>
      <w:pPr>
        <w:jc w:val="right"/>
        <w:spacing w:after="0"/>
        <w:rPr>
          <w:sz w:val="20"/>
          <w:szCs w:val="20"/>
          <w:color w:val="auto"/>
        </w:rPr>
      </w:pPr>
      <w:r>
        <w:rPr>
          <w:rFonts w:ascii="Times New Roman" w:cs="Times New Roman" w:eastAsia="Times New Roman" w:hAnsi="Times New Roman"/>
          <w:sz w:val="13"/>
          <w:szCs w:val="13"/>
          <w:b w:val="1"/>
          <w:bCs w:val="1"/>
          <w:color w:val="231F20"/>
        </w:rPr>
        <w:t>Exhibit 23.1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CONSENT OF INDEPENDENT REGISTERED PUBLIC ACCOUNTING FIRM</w:t>
      </w:r>
    </w:p>
    <w:p>
      <w:pPr>
        <w:spacing w:after="0" w:line="18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3"/>
          <w:szCs w:val="13"/>
          <w:color w:val="231F20"/>
        </w:rPr>
        <w:t>We consent to the incorporation by reference in the Registration Statement on Form N-2 of Runway Growth Finance Corp. of our report dated March 7, 2024, relating to the consolidated financial statements, including the senior securities table, of Runway Growth Finance Corp., appearing in the Annual Report on Form 10-K of Runway Growth Finance Corp. for the year ended December 31, 2023.</w:t>
      </w: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color w:val="231F20"/>
        </w:rPr>
        <w:t>/s/ RSM US LLP</w:t>
      </w:r>
    </w:p>
    <w:p>
      <w:pPr>
        <w:spacing w:after="0" w:line="3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231F20"/>
        </w:rPr>
        <w:t>Chicago, Illinois</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231F20"/>
        </w:rPr>
        <w:t>March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629920</wp:posOffset>
            </wp:positionV>
            <wp:extent cx="6732905" cy="406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94" w:name="page395"/>
    <w:bookmarkEnd w:id="394"/>
    <w:p>
      <w:pPr>
        <w:jc w:val="right"/>
        <w:spacing w:after="0"/>
        <w:rPr>
          <w:sz w:val="20"/>
          <w:szCs w:val="20"/>
          <w:color w:val="auto"/>
        </w:rPr>
      </w:pPr>
      <w:r>
        <w:rPr>
          <w:rFonts w:ascii="Times New Roman" w:cs="Times New Roman" w:eastAsia="Times New Roman" w:hAnsi="Times New Roman"/>
          <w:sz w:val="13"/>
          <w:szCs w:val="13"/>
          <w:b w:val="1"/>
          <w:bCs w:val="1"/>
          <w:color w:val="231F20"/>
        </w:rPr>
        <w:t>Exhibit 31.1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RULE 13A-14 UNDER THE EXCHANGE ACT OF 1934,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I, R. David Spreng, as Chief Executive Officer, certify that:</w:t>
      </w:r>
    </w:p>
    <w:p>
      <w:pPr>
        <w:spacing w:after="0" w:line="163" w:lineRule="exact"/>
        <w:rPr>
          <w:sz w:val="20"/>
          <w:szCs w:val="20"/>
          <w:color w:val="auto"/>
        </w:rPr>
      </w:pPr>
    </w:p>
    <w:p>
      <w:pPr>
        <w:ind w:left="480" w:hanging="138"/>
        <w:spacing w:after="0"/>
        <w:tabs>
          <w:tab w:leader="none" w:pos="480" w:val="left"/>
        </w:tabs>
        <w:numPr>
          <w:ilvl w:val="0"/>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 have reviewed this annual report on Form 10-K of Runway Growth Finance Corp.;</w:t>
      </w:r>
    </w:p>
    <w:p>
      <w:pPr>
        <w:spacing w:after="0" w:line="162" w:lineRule="exact"/>
        <w:rPr>
          <w:rFonts w:ascii="Times New Roman" w:cs="Times New Roman" w:eastAsia="Times New Roman" w:hAnsi="Times New Roman"/>
          <w:sz w:val="13"/>
          <w:szCs w:val="13"/>
          <w:color w:val="231F20"/>
        </w:rPr>
      </w:pPr>
    </w:p>
    <w:p>
      <w:pPr>
        <w:ind w:left="700" w:right="720" w:hanging="358"/>
        <w:spacing w:after="0" w:line="286" w:lineRule="auto"/>
        <w:tabs>
          <w:tab w:leader="none" w:pos="472" w:val="left"/>
        </w:tabs>
        <w:numPr>
          <w:ilvl w:val="0"/>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231F20"/>
        </w:rPr>
      </w:pPr>
    </w:p>
    <w:p>
      <w:pPr>
        <w:ind w:left="700" w:right="220" w:hanging="358"/>
        <w:spacing w:after="0" w:line="286" w:lineRule="auto"/>
        <w:tabs>
          <w:tab w:leader="none" w:pos="472" w:val="left"/>
        </w:tabs>
        <w:numPr>
          <w:ilvl w:val="0"/>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231F20"/>
        </w:rPr>
      </w:pPr>
    </w:p>
    <w:p>
      <w:pPr>
        <w:ind w:left="700" w:right="60" w:hanging="358"/>
        <w:spacing w:after="0" w:line="277" w:lineRule="auto"/>
        <w:tabs>
          <w:tab w:leader="none" w:pos="472" w:val="left"/>
        </w:tabs>
        <w:numPr>
          <w:ilvl w:val="0"/>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79" w:lineRule="exact"/>
        <w:rPr>
          <w:rFonts w:ascii="Times New Roman" w:cs="Times New Roman" w:eastAsia="Times New Roman" w:hAnsi="Times New Roman"/>
          <w:sz w:val="13"/>
          <w:szCs w:val="13"/>
          <w:color w:val="231F20"/>
        </w:rPr>
      </w:pPr>
    </w:p>
    <w:p>
      <w:pPr>
        <w:ind w:left="1060" w:right="60" w:hanging="394"/>
        <w:spacing w:after="0" w:line="286" w:lineRule="auto"/>
        <w:tabs>
          <w:tab w:leader="none" w:pos="855" w:val="left"/>
        </w:tabs>
        <w:numPr>
          <w:ilvl w:val="1"/>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231F20"/>
        </w:rPr>
      </w:pPr>
    </w:p>
    <w:p>
      <w:pPr>
        <w:ind w:left="1060" w:right="120" w:hanging="394"/>
        <w:spacing w:after="0" w:line="286" w:lineRule="auto"/>
        <w:tabs>
          <w:tab w:leader="none" w:pos="863" w:val="left"/>
        </w:tabs>
        <w:numPr>
          <w:ilvl w:val="1"/>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231F20"/>
        </w:rPr>
      </w:pPr>
    </w:p>
    <w:p>
      <w:pPr>
        <w:ind w:left="1060" w:right="280" w:hanging="394"/>
        <w:spacing w:after="0" w:line="286" w:lineRule="auto"/>
        <w:tabs>
          <w:tab w:leader="none" w:pos="855" w:val="left"/>
        </w:tabs>
        <w:numPr>
          <w:ilvl w:val="1"/>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1" w:lineRule="exact"/>
        <w:rPr>
          <w:rFonts w:ascii="Times New Roman" w:cs="Times New Roman" w:eastAsia="Times New Roman" w:hAnsi="Times New Roman"/>
          <w:sz w:val="13"/>
          <w:szCs w:val="13"/>
          <w:color w:val="231F20"/>
        </w:rPr>
      </w:pPr>
    </w:p>
    <w:p>
      <w:pPr>
        <w:ind w:left="1060" w:right="180" w:hanging="394"/>
        <w:spacing w:after="0" w:line="286" w:lineRule="auto"/>
        <w:tabs>
          <w:tab w:leader="none" w:pos="863" w:val="left"/>
        </w:tabs>
        <w:numPr>
          <w:ilvl w:val="1"/>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231F20"/>
        </w:rPr>
      </w:pPr>
    </w:p>
    <w:p>
      <w:pPr>
        <w:ind w:left="700" w:right="380" w:hanging="358"/>
        <w:spacing w:after="0" w:line="286" w:lineRule="auto"/>
        <w:tabs>
          <w:tab w:leader="none" w:pos="472" w:val="left"/>
        </w:tabs>
        <w:numPr>
          <w:ilvl w:val="0"/>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231F20"/>
        </w:rPr>
      </w:pPr>
    </w:p>
    <w:p>
      <w:pPr>
        <w:ind w:left="1060" w:hanging="394"/>
        <w:spacing w:after="0" w:line="286" w:lineRule="auto"/>
        <w:tabs>
          <w:tab w:leader="none" w:pos="855" w:val="left"/>
        </w:tabs>
        <w:numPr>
          <w:ilvl w:val="1"/>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231F20"/>
        </w:rPr>
      </w:pPr>
    </w:p>
    <w:p>
      <w:pPr>
        <w:ind w:left="860" w:hanging="194"/>
        <w:spacing w:after="0"/>
        <w:tabs>
          <w:tab w:leader="none" w:pos="860" w:val="left"/>
        </w:tabs>
        <w:numPr>
          <w:ilvl w:val="1"/>
          <w:numId w:val="20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March 20, 2025</w:t>
      </w:r>
    </w:p>
    <w:p>
      <w:pPr>
        <w:spacing w:after="0" w:line="3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/s/ R. David Spreng</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R. David Spreng</w:t>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Chief Executive Officer</w:t>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i w:val="1"/>
          <w:iCs w:val="1"/>
          <w:color w:val="231F20"/>
        </w:rPr>
        <w:t>(Principal Executive Officer)</w:t>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530860</wp:posOffset>
            </wp:positionV>
            <wp:extent cx="6732905" cy="406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95" w:name="page396"/>
    <w:bookmarkEnd w:id="395"/>
    <w:p>
      <w:pPr>
        <w:jc w:val="right"/>
        <w:spacing w:after="0"/>
        <w:rPr>
          <w:sz w:val="20"/>
          <w:szCs w:val="20"/>
          <w:color w:val="auto"/>
        </w:rPr>
      </w:pPr>
      <w:r>
        <w:rPr>
          <w:rFonts w:ascii="Times New Roman" w:cs="Times New Roman" w:eastAsia="Times New Roman" w:hAnsi="Times New Roman"/>
          <w:sz w:val="13"/>
          <w:szCs w:val="13"/>
          <w:b w:val="1"/>
          <w:bCs w:val="1"/>
          <w:color w:val="231F20"/>
        </w:rPr>
        <w:t>Exhibit 31.2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RULE 13A-14 UNDER THE EXCHANGE ACT OF 1934,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SECTION 302 OF THE SARBANES-OXLEY ACT OF 2002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I, Thomas B. Raterman, as Chief Financial Officer, certify that:</w:t>
      </w:r>
    </w:p>
    <w:p>
      <w:pPr>
        <w:spacing w:after="0" w:line="163" w:lineRule="exact"/>
        <w:rPr>
          <w:sz w:val="20"/>
          <w:szCs w:val="20"/>
          <w:color w:val="auto"/>
        </w:rPr>
      </w:pPr>
    </w:p>
    <w:p>
      <w:pPr>
        <w:ind w:left="480" w:hanging="138"/>
        <w:spacing w:after="0"/>
        <w:tabs>
          <w:tab w:leader="none" w:pos="480" w:val="left"/>
        </w:tabs>
        <w:numPr>
          <w:ilvl w:val="0"/>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I have reviewed this annual report on Form 10-K of Runway Growth Finance Corp.;</w:t>
      </w:r>
    </w:p>
    <w:p>
      <w:pPr>
        <w:spacing w:after="0" w:line="162" w:lineRule="exact"/>
        <w:rPr>
          <w:rFonts w:ascii="Times New Roman" w:cs="Times New Roman" w:eastAsia="Times New Roman" w:hAnsi="Times New Roman"/>
          <w:sz w:val="13"/>
          <w:szCs w:val="13"/>
          <w:color w:val="231F20"/>
        </w:rPr>
      </w:pPr>
    </w:p>
    <w:p>
      <w:pPr>
        <w:ind w:left="700" w:right="720" w:hanging="358"/>
        <w:spacing w:after="0" w:line="286" w:lineRule="auto"/>
        <w:tabs>
          <w:tab w:leader="none" w:pos="472" w:val="left"/>
        </w:tabs>
        <w:numPr>
          <w:ilvl w:val="0"/>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3"/>
          <w:szCs w:val="13"/>
          <w:color w:val="231F20"/>
        </w:rPr>
      </w:pPr>
    </w:p>
    <w:p>
      <w:pPr>
        <w:ind w:left="700" w:right="220" w:hanging="358"/>
        <w:spacing w:after="0" w:line="286" w:lineRule="auto"/>
        <w:tabs>
          <w:tab w:leader="none" w:pos="472" w:val="left"/>
        </w:tabs>
        <w:numPr>
          <w:ilvl w:val="0"/>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Times New Roman" w:cs="Times New Roman" w:eastAsia="Times New Roman" w:hAnsi="Times New Roman"/>
          <w:sz w:val="13"/>
          <w:szCs w:val="13"/>
          <w:color w:val="231F20"/>
        </w:rPr>
      </w:pPr>
    </w:p>
    <w:p>
      <w:pPr>
        <w:ind w:left="700" w:right="60" w:hanging="358"/>
        <w:spacing w:after="0" w:line="277" w:lineRule="auto"/>
        <w:tabs>
          <w:tab w:leader="none" w:pos="472" w:val="left"/>
        </w:tabs>
        <w:numPr>
          <w:ilvl w:val="0"/>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79" w:lineRule="exact"/>
        <w:rPr>
          <w:rFonts w:ascii="Times New Roman" w:cs="Times New Roman" w:eastAsia="Times New Roman" w:hAnsi="Times New Roman"/>
          <w:sz w:val="13"/>
          <w:szCs w:val="13"/>
          <w:color w:val="231F20"/>
        </w:rPr>
      </w:pPr>
    </w:p>
    <w:p>
      <w:pPr>
        <w:ind w:left="1060" w:right="60" w:hanging="394"/>
        <w:spacing w:after="0" w:line="286" w:lineRule="auto"/>
        <w:tabs>
          <w:tab w:leader="none" w:pos="855" w:val="left"/>
        </w:tabs>
        <w:numPr>
          <w:ilvl w:val="1"/>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3"/>
          <w:szCs w:val="13"/>
          <w:color w:val="231F20"/>
        </w:rPr>
      </w:pPr>
    </w:p>
    <w:p>
      <w:pPr>
        <w:ind w:left="1060" w:right="120" w:hanging="394"/>
        <w:spacing w:after="0" w:line="286" w:lineRule="auto"/>
        <w:tabs>
          <w:tab w:leader="none" w:pos="863" w:val="left"/>
        </w:tabs>
        <w:numPr>
          <w:ilvl w:val="1"/>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3"/>
          <w:szCs w:val="13"/>
          <w:color w:val="231F20"/>
        </w:rPr>
      </w:pPr>
    </w:p>
    <w:p>
      <w:pPr>
        <w:ind w:left="1060" w:right="280" w:hanging="394"/>
        <w:spacing w:after="0" w:line="286" w:lineRule="auto"/>
        <w:tabs>
          <w:tab w:leader="none" w:pos="855" w:val="left"/>
        </w:tabs>
        <w:numPr>
          <w:ilvl w:val="1"/>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11" w:lineRule="exact"/>
        <w:rPr>
          <w:rFonts w:ascii="Times New Roman" w:cs="Times New Roman" w:eastAsia="Times New Roman" w:hAnsi="Times New Roman"/>
          <w:sz w:val="13"/>
          <w:szCs w:val="13"/>
          <w:color w:val="231F20"/>
        </w:rPr>
      </w:pPr>
    </w:p>
    <w:p>
      <w:pPr>
        <w:ind w:left="1060" w:right="180" w:hanging="394"/>
        <w:spacing w:after="0" w:line="286" w:lineRule="auto"/>
        <w:tabs>
          <w:tab w:leader="none" w:pos="863" w:val="left"/>
        </w:tabs>
        <w:numPr>
          <w:ilvl w:val="1"/>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3"/>
          <w:szCs w:val="13"/>
          <w:color w:val="231F20"/>
        </w:rPr>
      </w:pPr>
    </w:p>
    <w:p>
      <w:pPr>
        <w:ind w:left="700" w:right="380" w:hanging="358"/>
        <w:spacing w:after="0" w:line="286" w:lineRule="auto"/>
        <w:tabs>
          <w:tab w:leader="none" w:pos="472" w:val="left"/>
        </w:tabs>
        <w:numPr>
          <w:ilvl w:val="0"/>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Times New Roman" w:cs="Times New Roman" w:eastAsia="Times New Roman" w:hAnsi="Times New Roman"/>
          <w:sz w:val="13"/>
          <w:szCs w:val="13"/>
          <w:color w:val="231F20"/>
        </w:rPr>
      </w:pPr>
    </w:p>
    <w:p>
      <w:pPr>
        <w:ind w:left="1060" w:hanging="394"/>
        <w:spacing w:after="0" w:line="286" w:lineRule="auto"/>
        <w:tabs>
          <w:tab w:leader="none" w:pos="855" w:val="left"/>
        </w:tabs>
        <w:numPr>
          <w:ilvl w:val="1"/>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3"/>
          <w:szCs w:val="13"/>
          <w:color w:val="231F20"/>
        </w:rPr>
      </w:pPr>
    </w:p>
    <w:p>
      <w:pPr>
        <w:ind w:left="860" w:hanging="194"/>
        <w:spacing w:after="0"/>
        <w:tabs>
          <w:tab w:leader="none" w:pos="860" w:val="left"/>
        </w:tabs>
        <w:numPr>
          <w:ilvl w:val="1"/>
          <w:numId w:val="20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Date: March 20, 2025</w:t>
      </w:r>
    </w:p>
    <w:p>
      <w:pPr>
        <w:spacing w:after="0" w:line="34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/s/ Thomas B. Raterman</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Thomas B. Raterman</w:t>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Chief Financial Officer</w:t>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i w:val="1"/>
          <w:iCs w:val="1"/>
          <w:color w:val="231F20"/>
        </w:rPr>
        <w:t>(Principal Financial Officer)</w:t>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231F20"/>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530860</wp:posOffset>
            </wp:positionV>
            <wp:extent cx="6732905" cy="406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96" w:name="page397"/>
    <w:bookmarkEnd w:id="396"/>
    <w:p>
      <w:pPr>
        <w:jc w:val="right"/>
        <w:spacing w:after="0"/>
        <w:rPr>
          <w:sz w:val="20"/>
          <w:szCs w:val="20"/>
          <w:color w:val="auto"/>
        </w:rPr>
      </w:pPr>
      <w:r>
        <w:rPr>
          <w:rFonts w:ascii="Times New Roman" w:cs="Times New Roman" w:eastAsia="Times New Roman" w:hAnsi="Times New Roman"/>
          <w:sz w:val="13"/>
          <w:szCs w:val="13"/>
          <w:b w:val="1"/>
          <w:bCs w:val="1"/>
          <w:color w:val="231F20"/>
        </w:rPr>
        <w:t>Exhibit 32.1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CERTIFICATION OF CHIEF EXECUTIVE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SECTION 906 OF THE SARBANES-OXLEY ACT OF 2002</w:t>
      </w:r>
    </w:p>
    <w:p>
      <w:pPr>
        <w:spacing w:after="0" w:line="149" w:lineRule="exact"/>
        <w:rPr>
          <w:sz w:val="20"/>
          <w:szCs w:val="20"/>
          <w:color w:val="auto"/>
        </w:rPr>
      </w:pPr>
    </w:p>
    <w:p>
      <w:pPr>
        <w:ind w:right="140" w:firstLine="348"/>
        <w:spacing w:after="0" w:line="286" w:lineRule="auto"/>
        <w:rPr>
          <w:sz w:val="20"/>
          <w:szCs w:val="20"/>
          <w:color w:val="auto"/>
        </w:rPr>
      </w:pPr>
      <w:r>
        <w:rPr>
          <w:rFonts w:ascii="Times New Roman" w:cs="Times New Roman" w:eastAsia="Times New Roman" w:hAnsi="Times New Roman"/>
          <w:sz w:val="13"/>
          <w:szCs w:val="13"/>
          <w:color w:val="231F20"/>
        </w:rPr>
        <w:t>I, R. David Spreng, Chief Executive Officer, in connection with the Annual Report of Runway Growth Finance Corp. (the “Company”), on Form 10-K for the year ended December 31, 2024, as filed with the U.S. Securities and Exchange Commission on the date hereof (the “Annual Report”), certify, pursuant to Section 906 of the Sarbanes-Oxley Act of 2002, that:</w:t>
      </w:r>
    </w:p>
    <w:p>
      <w:pPr>
        <w:spacing w:after="0" w:line="112" w:lineRule="exact"/>
        <w:rPr>
          <w:sz w:val="20"/>
          <w:szCs w:val="20"/>
          <w:color w:val="auto"/>
        </w:rPr>
      </w:pPr>
    </w:p>
    <w:p>
      <w:pPr>
        <w:ind w:left="520" w:hanging="178"/>
        <w:spacing w:after="0"/>
        <w:tabs>
          <w:tab w:leader="none" w:pos="520" w:val="left"/>
        </w:tabs>
        <w:numPr>
          <w:ilvl w:val="0"/>
          <w:numId w:val="20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Annual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3"/>
          <w:szCs w:val="13"/>
          <w:color w:val="231F20"/>
        </w:rPr>
      </w:pPr>
    </w:p>
    <w:p>
      <w:pPr>
        <w:ind w:right="2000" w:firstLine="342"/>
        <w:spacing w:after="0" w:line="536" w:lineRule="auto"/>
        <w:tabs>
          <w:tab w:leader="none" w:pos="523" w:val="left"/>
        </w:tabs>
        <w:numPr>
          <w:ilvl w:val="0"/>
          <w:numId w:val="20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the information contained in the Annual Report fairly presents, in all material respects, the financial condition and results of operations of the Company. </w:t>
      </w:r>
      <w:r>
        <w:rPr>
          <w:rFonts w:ascii="Times New Roman" w:cs="Times New Roman" w:eastAsia="Times New Roman" w:hAnsi="Times New Roman"/>
          <w:sz w:val="13"/>
          <w:szCs w:val="13"/>
          <w:color w:val="000000"/>
        </w:rPr>
        <w:t>Date: March 20, 2025</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/s/ R. David Spreng</w:t>
      </w:r>
    </w:p>
    <w:p>
      <w:pPr>
        <w:spacing w:after="0" w:line="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231F20"/>
        </w:rPr>
        <w:t>R. David Spreng</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Chief Executive Officer</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530860</wp:posOffset>
            </wp:positionV>
            <wp:extent cx="6732905" cy="406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97" w:name="page398"/>
    <w:bookmarkEnd w:id="397"/>
    <w:p>
      <w:pPr>
        <w:jc w:val="right"/>
        <w:spacing w:after="0"/>
        <w:rPr>
          <w:sz w:val="20"/>
          <w:szCs w:val="20"/>
          <w:color w:val="auto"/>
        </w:rPr>
      </w:pPr>
      <w:r>
        <w:rPr>
          <w:rFonts w:ascii="Times New Roman" w:cs="Times New Roman" w:eastAsia="Times New Roman" w:hAnsi="Times New Roman"/>
          <w:sz w:val="13"/>
          <w:szCs w:val="13"/>
          <w:b w:val="1"/>
          <w:bCs w:val="1"/>
          <w:color w:val="231F20"/>
        </w:rPr>
        <w:t>Exhibit 32.2</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CERTIFICATION OF CHIEF FINANCIAL OFFICER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231F20"/>
        </w:rPr>
        <w:t>PURSUANT TO 18 U.S.C. SECTION 1350, AS ADOPTED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231F20"/>
        </w:rPr>
        <w:t>PURSUANT TO SECTION 906 OF THE SARBANES-OXLEY ACT OF 2002</w:t>
      </w:r>
    </w:p>
    <w:p>
      <w:pPr>
        <w:spacing w:after="0" w:line="1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3"/>
          <w:szCs w:val="13"/>
          <w:color w:val="231F20"/>
        </w:rPr>
        <w:t>I, Thomas B. Raterman, the Chief Financial Officer, in connection with the Annual Report of Runway Growth Finance Corp. (the “Company”), on Form 10- K for the year ended December 31, 2024, as filed with the U.S. Securities and Exchange Commission on the date hereof (the “Annual Report”), certify, pursuant to Section 906 of the Sarbanes-Oxley Act of 2002, that:</w:t>
      </w:r>
    </w:p>
    <w:p>
      <w:pPr>
        <w:spacing w:after="0" w:line="1" w:lineRule="exact"/>
        <w:rPr>
          <w:sz w:val="20"/>
          <w:szCs w:val="20"/>
          <w:color w:val="auto"/>
        </w:rPr>
      </w:pPr>
    </w:p>
    <w:p>
      <w:pPr>
        <w:ind w:left="260" w:hanging="254"/>
        <w:spacing w:after="0"/>
        <w:tabs>
          <w:tab w:leader="none" w:pos="260" w:val="left"/>
        </w:tabs>
        <w:numPr>
          <w:ilvl w:val="0"/>
          <w:numId w:val="20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Annual Report fully complies with the requirements of Section 13(a) or 15(d) of the Securities Exchange Act of 1934, as amended; and</w:t>
      </w:r>
    </w:p>
    <w:p>
      <w:pPr>
        <w:spacing w:after="0" w:line="6" w:lineRule="exact"/>
        <w:rPr>
          <w:rFonts w:ascii="Times New Roman" w:cs="Times New Roman" w:eastAsia="Times New Roman" w:hAnsi="Times New Roman"/>
          <w:sz w:val="13"/>
          <w:szCs w:val="13"/>
          <w:color w:val="231F20"/>
        </w:rPr>
      </w:pPr>
    </w:p>
    <w:p>
      <w:pPr>
        <w:ind w:left="260" w:hanging="254"/>
        <w:spacing w:after="0"/>
        <w:tabs>
          <w:tab w:leader="none" w:pos="260" w:val="left"/>
        </w:tabs>
        <w:numPr>
          <w:ilvl w:val="0"/>
          <w:numId w:val="207"/>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information contained in the Annual Report fairly presents, in all material respects, the financial condition and results of operations of the Company.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March 20, 2025</w:t>
      </w:r>
    </w:p>
    <w:p>
      <w:pPr>
        <w:spacing w:after="0" w:line="3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 xml:space="preserve">/s/ </w:t>
      </w:r>
      <w:r>
        <w:rPr>
          <w:rFonts w:ascii="Times New Roman" w:cs="Times New Roman" w:eastAsia="Times New Roman" w:hAnsi="Times New Roman"/>
          <w:sz w:val="13"/>
          <w:szCs w:val="13"/>
          <w:color w:val="231F20"/>
        </w:rPr>
        <w:t>Thomas B. Raterman</w:t>
      </w:r>
    </w:p>
    <w:p>
      <w:pPr>
        <w:spacing w:after="0" w:line="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231F20"/>
        </w:rPr>
        <w:t>Thomas B. Raterman</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Chief Financial Officer</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color w:val="auto"/>
        </w:rPr>
        <w:t>Runway Growth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530860</wp:posOffset>
            </wp:positionV>
            <wp:extent cx="6732905" cy="406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132" w:right="680" w:bottom="1440" w:gutter="0" w:footer="0" w:header="0"/>
        </w:sectPr>
      </w:pPr>
    </w:p>
    <w:bookmarkStart w:id="398" w:name="page399"/>
    <w:bookmarkEnd w:id="398"/>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231F20"/>
        </w:rPr>
        <w:t>Exhibit 97.1</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DODD-FRANK COMPENSATION RECOUPMENT POLICY</w:t>
      </w:r>
    </w:p>
    <w:p>
      <w:pPr>
        <w:spacing w:after="0" w:line="178" w:lineRule="exact"/>
        <w:rPr>
          <w:sz w:val="20"/>
          <w:szCs w:val="20"/>
          <w:color w:val="auto"/>
        </w:rPr>
      </w:pPr>
    </w:p>
    <w:p>
      <w:pPr>
        <w:ind w:left="80" w:right="20"/>
        <w:spacing w:after="0" w:line="284" w:lineRule="auto"/>
        <w:rPr>
          <w:sz w:val="20"/>
          <w:szCs w:val="20"/>
          <w:color w:val="auto"/>
        </w:rPr>
      </w:pPr>
      <w:r>
        <w:rPr>
          <w:rFonts w:ascii="Times New Roman" w:cs="Times New Roman" w:eastAsia="Times New Roman" w:hAnsi="Times New Roman"/>
          <w:sz w:val="14"/>
          <w:szCs w:val="14"/>
          <w:color w:val="auto"/>
        </w:rPr>
        <w:t>The Board of Directors of Runway Growth Finance Corp. has adopted the following Dodd-Frank Compensation Recoupment Policy effective as of October 2, 2023. It is the intention of the Board that this Dodd- Frank Compensation Recoupment Policy be interpreted and administered in a manner consistent with applicable laws and regulations and Securities Exchange listing requirements, including Section 304 of the Sarbanes-Oxley Act of 2002, Section 954 of the Dodd-Frank Wall Street Reform and Consumer Protection Act of 2010 (and Rule 10D-1 promulgated thereunder), and Nasdaq Listing Rules 5608 and 5810(c)(2)(A)(iii). This Dodd-Frank Compensation Recoupment Policy applies to awards of Incentive-Based Compensation received on or after the Effective Date by Executive Officers of the Company.</w:t>
      </w:r>
    </w:p>
    <w:p>
      <w:pPr>
        <w:spacing w:after="0" w:line="1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“Board” means the Board of Directors of the Company.</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“Committee” means the Compensation Committee of the Board of Directors of the Company.</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“Company” means Runway Growth Finance Corp.</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“Effective Date” means October 2, 2023.</w:t>
      </w:r>
    </w:p>
    <w:p>
      <w:pPr>
        <w:spacing w:after="0" w:line="176" w:lineRule="exact"/>
        <w:rPr>
          <w:sz w:val="20"/>
          <w:szCs w:val="20"/>
          <w:color w:val="auto"/>
        </w:rPr>
      </w:pPr>
    </w:p>
    <w:p>
      <w:pPr>
        <w:ind w:left="80" w:right="120"/>
        <w:spacing w:after="0" w:line="243" w:lineRule="auto"/>
        <w:rPr>
          <w:sz w:val="20"/>
          <w:szCs w:val="20"/>
          <w:color w:val="auto"/>
        </w:rPr>
      </w:pPr>
      <w:r>
        <w:rPr>
          <w:rFonts w:ascii="Times New Roman" w:cs="Times New Roman" w:eastAsia="Times New Roman" w:hAnsi="Times New Roman"/>
          <w:sz w:val="16"/>
          <w:szCs w:val="16"/>
          <w:color w:val="auto"/>
        </w:rPr>
        <w:t>“Executive Officer” means the Company’s president, principal financial officer, principal accounting officer (or if there is no such accounting officer, the controller), any vice- 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policymaking functions for the Company.</w:t>
      </w:r>
    </w:p>
    <w:p>
      <w:pPr>
        <w:spacing w:after="0" w:line="167" w:lineRule="exact"/>
        <w:rPr>
          <w:sz w:val="20"/>
          <w:szCs w:val="20"/>
          <w:color w:val="auto"/>
        </w:rPr>
      </w:pPr>
    </w:p>
    <w:p>
      <w:pPr>
        <w:ind w:left="80" w:right="80"/>
        <w:spacing w:after="0" w:line="239" w:lineRule="auto"/>
        <w:rPr>
          <w:sz w:val="20"/>
          <w:szCs w:val="20"/>
          <w:color w:val="auto"/>
        </w:rPr>
      </w:pPr>
      <w:r>
        <w:rPr>
          <w:rFonts w:ascii="Times New Roman" w:cs="Times New Roman" w:eastAsia="Times New Roman" w:hAnsi="Times New Roman"/>
          <w:sz w:val="16"/>
          <w:szCs w:val="16"/>
          <w:color w:val="auto"/>
        </w:rPr>
        <w:t>“Excess Incentive-Based Compensation” means the amount of Incentive-Based Compensation received by a current or former Executive Officer that exceeds the amount of Incentive-Based Compensation that otherwise would have been received had the amount of such Incentive-Based Compensation been determined based on the accounting restatement, computed without regard to taxes paid by the Executive Officer. With regards to Incentive-Based Compensation based on stock price or total shareholder return, where the amount of Excess Incentive- Based Compensation is not subject to mathematical recalculation directly from the information in an accounting restatement, Excess Incentive-Based Compensation means a reasonable estimate of the effect of the accounting restatement on the applicable Financial Reporting Measure.</w:t>
      </w:r>
    </w:p>
    <w:p>
      <w:pPr>
        <w:spacing w:after="0" w:line="161" w:lineRule="exact"/>
        <w:rPr>
          <w:sz w:val="20"/>
          <w:szCs w:val="20"/>
          <w:color w:val="auto"/>
        </w:rPr>
      </w:pPr>
    </w:p>
    <w:p>
      <w:pPr>
        <w:ind w:left="80" w:right="180"/>
        <w:spacing w:after="0" w:line="243" w:lineRule="auto"/>
        <w:rPr>
          <w:sz w:val="20"/>
          <w:szCs w:val="20"/>
          <w:color w:val="auto"/>
        </w:rPr>
      </w:pPr>
      <w:r>
        <w:rPr>
          <w:rFonts w:ascii="Times New Roman" w:cs="Times New Roman" w:eastAsia="Times New Roman" w:hAnsi="Times New Roman"/>
          <w:sz w:val="16"/>
          <w:szCs w:val="16"/>
          <w:color w:val="auto"/>
        </w:rPr>
        <w:t>“Financial Reporting Measure” means any measure that is determined and presented in accordance with the accounting principles used to prepare the Company’s financial statements, and any measures that are derived wholly or in part from such measures. “Stock price” and “total shareholder return” metrics are also Financial Reporting Measures. For the avoidance of doubt, a Financial Reporting Measure need not be presented in the Company’s financial statements or included in a filing with the U.S. Securities and Exchange Commission.</w:t>
      </w:r>
    </w:p>
    <w:p>
      <w:pPr>
        <w:spacing w:after="0" w:line="167" w:lineRule="exact"/>
        <w:rPr>
          <w:sz w:val="20"/>
          <w:szCs w:val="20"/>
          <w:color w:val="auto"/>
        </w:rPr>
      </w:pPr>
    </w:p>
    <w:p>
      <w:pPr>
        <w:ind w:left="80" w:right="380"/>
        <w:spacing w:after="0" w:line="259" w:lineRule="auto"/>
        <w:rPr>
          <w:sz w:val="20"/>
          <w:szCs w:val="20"/>
          <w:color w:val="auto"/>
        </w:rPr>
      </w:pPr>
      <w:r>
        <w:rPr>
          <w:rFonts w:ascii="Times New Roman" w:cs="Times New Roman" w:eastAsia="Times New Roman" w:hAnsi="Times New Roman"/>
          <w:sz w:val="16"/>
          <w:szCs w:val="16"/>
          <w:color w:val="auto"/>
        </w:rPr>
        <w:t>“Incentive-Based Compensation” means any compensation that is granted, earned, or vested based wholly or in part upon the attainment of a Financial Reporting Measure.</w:t>
      </w:r>
    </w:p>
    <w:p>
      <w:pPr>
        <w:spacing w:after="0" w:line="155" w:lineRule="exact"/>
        <w:rPr>
          <w:sz w:val="20"/>
          <w:szCs w:val="20"/>
          <w:color w:val="auto"/>
        </w:rPr>
      </w:pPr>
    </w:p>
    <w:p>
      <w:pPr>
        <w:ind w:left="80" w:right="100"/>
        <w:spacing w:after="0" w:line="241" w:lineRule="auto"/>
        <w:rPr>
          <w:sz w:val="20"/>
          <w:szCs w:val="20"/>
          <w:color w:val="auto"/>
        </w:rPr>
      </w:pPr>
      <w:r>
        <w:rPr>
          <w:rFonts w:ascii="Times New Roman" w:cs="Times New Roman" w:eastAsia="Times New Roman" w:hAnsi="Times New Roman"/>
          <w:sz w:val="16"/>
          <w:szCs w:val="16"/>
          <w:color w:val="auto"/>
        </w:rPr>
        <w:t>“Lookback Period” means the three completed fiscal years preceding the date on which the Company is required to prepare an accounting restatement, and if the Company changes its fiscal year, any transition period of less than nine months within or immediately following those three completed fiscal years. For purposes of this definition, the date on which the Company is required to prepare an accounting restatement shall be deemed to be the earlier of (i) the date the Company’s Board, a committee of the Board, or the officer(s) of the Company authorized to take such action (if Board action is not required) concludes, or reasonably should have concluded, that the Company is required to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F2F2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588645</wp:posOffset>
            </wp:positionV>
            <wp:extent cx="6732905" cy="406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700" w:top="1440" w:right="680" w:bottom="1440" w:gutter="0" w:footer="0" w:header="0"/>
        </w:sectPr>
      </w:pPr>
    </w:p>
    <w:bookmarkStart w:id="399" w:name="page400"/>
    <w:bookmarkEnd w:id="399"/>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prepare an accounting restatement; and (ii) the date a court, regulator, or other legally authorized body directs the Company to prepare an accounting restatement.</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“Securities Exchange” means the securities exchange upon which the Company’s Common Stock, par value $0.01 per share, trades.</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Recoupment for an Accounting Restatement</w:t>
      </w:r>
    </w:p>
    <w:p>
      <w:pPr>
        <w:spacing w:after="0" w:line="250" w:lineRule="exact"/>
        <w:rPr>
          <w:sz w:val="20"/>
          <w:szCs w:val="20"/>
          <w:color w:val="auto"/>
        </w:rPr>
      </w:pPr>
    </w:p>
    <w:p>
      <w:pPr>
        <w:ind w:left="80"/>
        <w:spacing w:after="0" w:line="238" w:lineRule="auto"/>
        <w:rPr>
          <w:sz w:val="20"/>
          <w:szCs w:val="20"/>
          <w:color w:val="auto"/>
        </w:rPr>
      </w:pPr>
      <w:r>
        <w:rPr>
          <w:rFonts w:ascii="Times New Roman" w:cs="Times New Roman" w:eastAsia="Times New Roman" w:hAnsi="Times New Roman"/>
          <w:sz w:val="16"/>
          <w:szCs w:val="16"/>
          <w:color w:val="auto"/>
        </w:rPr>
        <w:t>The Company shall recover reasonably promptly any Excess Incentive-Based Compensation in the event that the Company is required to restate its financial statements due to the material noncompliance of the Company with any financial reporting requirement under the federal securities laws, including any required accounting restatement to correct an error (i) in previously issued financial statements that is material to the previously issued financial statements or (ii) that would result in a material misstatement if the error were corrected in the current period or left uncorrected in the current period. The preceding sentence shall apply to Excess Incentive- Based Compensation received by any current or former Executive Officer: (a) after beginning service as an Executive Officer; (b) who served as an Executive Officer at any time during the performance period for the applicable Incentive-Based Compensation; (c) while the Company has a class of securities listed on a national securities exchange or a national securities association; and (d) during the Lookback Period. For purposes of this paragraph, Incentive- Based Compensation is deemed “received” in the Company’s fiscal period during which the Financial Reporting Measure specified in the Incentive-Based Compensation is attained, even if the payment or grant of the Incentive-Based Compensation occurs after the end of that period.</w:t>
      </w:r>
    </w:p>
    <w:p>
      <w:pPr>
        <w:spacing w:after="0" w:line="158" w:lineRule="exact"/>
        <w:rPr>
          <w:sz w:val="20"/>
          <w:szCs w:val="20"/>
          <w:color w:val="auto"/>
        </w:rPr>
      </w:pPr>
    </w:p>
    <w:p>
      <w:pPr>
        <w:jc w:val="both"/>
        <w:ind w:left="80" w:right="580"/>
        <w:spacing w:after="0" w:line="247" w:lineRule="auto"/>
        <w:rPr>
          <w:sz w:val="20"/>
          <w:szCs w:val="20"/>
          <w:color w:val="auto"/>
        </w:rPr>
      </w:pPr>
      <w:r>
        <w:rPr>
          <w:rFonts w:ascii="Times New Roman" w:cs="Times New Roman" w:eastAsia="Times New Roman" w:hAnsi="Times New Roman"/>
          <w:sz w:val="16"/>
          <w:szCs w:val="16"/>
          <w:color w:val="auto"/>
        </w:rPr>
        <w:t>If the Company is required to recoup Excess Incentive-Based Compensation following an accounting restatement based on adjustments to stock price or total shareholder return, the Company shall determine the amount of such Excess Incentive-Based Compensation subject to recoupment, which amount shall be a reasonable estimate of the effect of the accounting restatement on the applicable Financial Reporting Measure.</w:t>
      </w:r>
    </w:p>
    <w:p>
      <w:pPr>
        <w:spacing w:after="0" w:line="152" w:lineRule="exact"/>
        <w:rPr>
          <w:sz w:val="20"/>
          <w:szCs w:val="20"/>
          <w:color w:val="auto"/>
        </w:rPr>
      </w:pPr>
    </w:p>
    <w:p>
      <w:pPr>
        <w:ind w:left="80" w:right="340"/>
        <w:spacing w:after="0" w:line="259" w:lineRule="auto"/>
        <w:rPr>
          <w:sz w:val="20"/>
          <w:szCs w:val="20"/>
          <w:color w:val="auto"/>
        </w:rPr>
      </w:pPr>
      <w:r>
        <w:rPr>
          <w:rFonts w:ascii="Times New Roman" w:cs="Times New Roman" w:eastAsia="Times New Roman" w:hAnsi="Times New Roman"/>
          <w:sz w:val="16"/>
          <w:szCs w:val="16"/>
          <w:color w:val="auto"/>
        </w:rPr>
        <w:t>Notwithstanding the foregoing, if the Committee makes a determination that recovery would be impracticable, and one of the following enumerated conditions is satisfied, the Company need not recover such Excess Incentive-Based Compensation.</w:t>
      </w:r>
    </w:p>
    <w:p>
      <w:pPr>
        <w:spacing w:after="0" w:line="143" w:lineRule="exact"/>
        <w:rPr>
          <w:sz w:val="20"/>
          <w:szCs w:val="20"/>
          <w:color w:val="auto"/>
        </w:rPr>
      </w:pPr>
    </w:p>
    <w:p>
      <w:pPr>
        <w:ind w:left="420" w:right="260"/>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Expenses Exceed Recovery Amount: The Company need not recover the Excess Incentive-Based Compensation at issue if the direct expense to be paid to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third party to assist in enforcing this Dodd-Frank Compensation Recoupment Policy would exceed the amount to be recovered; provided, however, that the Company must make a reasonable attempt to recover the Excess Incentive-Based Compensation and document such attempt(s) prior to the Committee’s determination that recovery would be impracticable. The Company must provide the documentation evidencing the attempt(s) to the Securities Exchange consistent with the listing standards of the Securities Exchange.</w:t>
      </w:r>
    </w:p>
    <w:p>
      <w:pPr>
        <w:spacing w:after="0" w:line="1" w:lineRule="exact"/>
        <w:rPr>
          <w:sz w:val="20"/>
          <w:szCs w:val="20"/>
          <w:color w:val="auto"/>
        </w:rPr>
      </w:pPr>
    </w:p>
    <w:p>
      <w:pPr>
        <w:ind w:left="420" w:right="140"/>
        <w:spacing w:after="0" w:line="25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Recovery Would Violate Home Country Law: The Company need not recover the Excess Incentive-Based Compensation at issue if recovery would violate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home country law where that law was adopted prior to November 28, 2022; provided, however, that the Company must obtain an opinion of home country counsel, in a form acceptable to the Securities Exchange, that recovery would result in such violation. The Company must provide the opinion to the Securities Exchange consistent with the listing standards of the Securities Exchange.</w:t>
      </w:r>
    </w:p>
    <w:p>
      <w:pPr>
        <w:spacing w:after="0" w:line="2" w:lineRule="exact"/>
        <w:rPr>
          <w:sz w:val="20"/>
          <w:szCs w:val="20"/>
          <w:color w:val="auto"/>
        </w:rPr>
      </w:pPr>
    </w:p>
    <w:p>
      <w:pPr>
        <w:jc w:val="both"/>
        <w:ind w:left="420" w:right="200"/>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Recovery Would Violate ERISA Anti-Alienation Provisions: The Company need not recover the Excess Incentive-Based Compensation at issue if recovery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would violate the anti-alienation provisions of the Employee Retirement Income Security Act of 1974, as amended, contained in 26 U.S.C. § 401(a)(13) or 26 U.S.C. § 411(a), or regulations promulgated thereunder.</w:t>
      </w:r>
    </w:p>
    <w:p>
      <w:pPr>
        <w:spacing w:after="0" w:line="1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Method of Recoupment</w:t>
      </w:r>
    </w:p>
    <w:p>
      <w:pPr>
        <w:spacing w:after="0" w:line="178" w:lineRule="exact"/>
        <w:rPr>
          <w:sz w:val="20"/>
          <w:szCs w:val="20"/>
          <w:color w:val="auto"/>
        </w:rPr>
      </w:pPr>
    </w:p>
    <w:p>
      <w:pPr>
        <w:ind w:left="80" w:right="340"/>
        <w:spacing w:after="0" w:line="247" w:lineRule="auto"/>
        <w:rPr>
          <w:sz w:val="20"/>
          <w:szCs w:val="20"/>
          <w:color w:val="auto"/>
        </w:rPr>
      </w:pPr>
      <w:r>
        <w:rPr>
          <w:rFonts w:ascii="Times New Roman" w:cs="Times New Roman" w:eastAsia="Times New Roman" w:hAnsi="Times New Roman"/>
          <w:sz w:val="16"/>
          <w:szCs w:val="16"/>
          <w:color w:val="auto"/>
        </w:rPr>
        <w:t>The Committee shall have the sole discretion and authority to determine the means, timing (which shall in all circumstances be reasonably prompt) and any other requirements by which any recoupment required by this Dodd-Frank Compensation Recoupment Policy shall occur and impose any other terms, conditions or procedures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F2F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588645</wp:posOffset>
            </wp:positionV>
            <wp:extent cx="6732905" cy="406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700" w:top="1440" w:right="720" w:bottom="1440" w:gutter="0" w:footer="0" w:header="0"/>
        </w:sectPr>
      </w:pPr>
    </w:p>
    <w:bookmarkStart w:id="400" w:name="page401"/>
    <w:bookmarkEnd w:id="400"/>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imposition of interest charges on un-repaid amounts) to govern the current or former Executive Officer’s repayment of Excess Incentive-Based Compensation.</w:t>
      </w:r>
    </w:p>
    <w:p>
      <w:pPr>
        <w:spacing w:after="0" w:line="1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Other Policy Terms</w:t>
      </w:r>
    </w:p>
    <w:p>
      <w:pPr>
        <w:spacing w:after="0" w:line="190" w:lineRule="exact"/>
        <w:rPr>
          <w:sz w:val="20"/>
          <w:szCs w:val="20"/>
          <w:color w:val="auto"/>
        </w:rPr>
      </w:pPr>
    </w:p>
    <w:p>
      <w:pPr>
        <w:ind w:left="80" w:right="40"/>
        <w:spacing w:after="0" w:line="241" w:lineRule="auto"/>
        <w:rPr>
          <w:sz w:val="20"/>
          <w:szCs w:val="20"/>
          <w:color w:val="auto"/>
        </w:rPr>
      </w:pPr>
      <w:r>
        <w:rPr>
          <w:rFonts w:ascii="Times New Roman" w:cs="Times New Roman" w:eastAsia="Times New Roman" w:hAnsi="Times New Roman"/>
          <w:sz w:val="16"/>
          <w:szCs w:val="16"/>
          <w:color w:val="auto"/>
        </w:rPr>
        <w:t>Any applicable award agreement, plan or other document setting forth the terms and conditions of any Incentive-Based Compensation or other compensation covered by this Dodd-Frank Compensation Recoupment Policy received on or after the Effective Date shall be deemed to (i) include the restrictions imposed herein; (ii) incorporate the Dodd -Frank Compensation Recoupment Policy by reference; and (iii) govern the terms of such award agreement, plan or other document in the event of any inconsistency. Eligibility for participation in and for payment under any such award agreement, plan or other document is contingent upon acceptance of the terms of this Dodd-Frank Compensation Recoupment Policy.</w:t>
      </w:r>
    </w:p>
    <w:p>
      <w:pPr>
        <w:spacing w:after="0" w:line="169" w:lineRule="exact"/>
        <w:rPr>
          <w:sz w:val="20"/>
          <w:szCs w:val="20"/>
          <w:color w:val="auto"/>
        </w:rPr>
      </w:pPr>
    </w:p>
    <w:p>
      <w:pPr>
        <w:ind w:left="80" w:right="160"/>
        <w:spacing w:after="0" w:line="289" w:lineRule="auto"/>
        <w:rPr>
          <w:sz w:val="20"/>
          <w:szCs w:val="20"/>
          <w:color w:val="auto"/>
        </w:rPr>
      </w:pPr>
      <w:r>
        <w:rPr>
          <w:rFonts w:ascii="Times New Roman" w:cs="Times New Roman" w:eastAsia="Times New Roman" w:hAnsi="Times New Roman"/>
          <w:sz w:val="14"/>
          <w:szCs w:val="14"/>
          <w:color w:val="auto"/>
        </w:rPr>
        <w:t>Any recoupment under this Dodd-Frank Compensation Recoupment Policy is in addition to, and not in lieu of, any other remedies or rights that may be available to the Company or its affiliates under applicable law, including, without limitation: (i) dismissing the current or former Executive Officer; (ii) adjusting the future compensation of the current or former Executive Officer; or (iii) authorizing legal action or taking such other action to enforce the current or former Executive Officer’s obligations to the Company or its affiliates as it may deem appropriate in view of all of the facts and circumstances surrounding the particular case.</w:t>
      </w:r>
    </w:p>
    <w:p>
      <w:pPr>
        <w:spacing w:after="0" w:line="125" w:lineRule="exact"/>
        <w:rPr>
          <w:sz w:val="20"/>
          <w:szCs w:val="20"/>
          <w:color w:val="auto"/>
        </w:rPr>
      </w:pPr>
    </w:p>
    <w:p>
      <w:pPr>
        <w:ind w:left="80" w:right="160"/>
        <w:spacing w:after="0" w:line="243" w:lineRule="auto"/>
        <w:rPr>
          <w:sz w:val="20"/>
          <w:szCs w:val="20"/>
          <w:color w:val="auto"/>
        </w:rPr>
      </w:pPr>
      <w:r>
        <w:rPr>
          <w:rFonts w:ascii="Times New Roman" w:cs="Times New Roman" w:eastAsia="Times New Roman" w:hAnsi="Times New Roman"/>
          <w:sz w:val="16"/>
          <w:szCs w:val="16"/>
          <w:color w:val="auto"/>
        </w:rPr>
        <w:t>Incentive-Based Compensation and other compensation paid to employees of the Company and its affiliates may also be subject to other recoupment or similar policies, and this policy does not supersede any such other policies. However, in the event of any conflict between any such policy and this Dodd -Frank Compensation Recoupment Policy, this policy shall govern. In addition, no Executive Officer shall be subject to recoupment more than one time with respect to the same compensation.</w:t>
      </w:r>
    </w:p>
    <w:p>
      <w:pPr>
        <w:spacing w:after="0" w:line="155" w:lineRule="exact"/>
        <w:rPr>
          <w:sz w:val="20"/>
          <w:szCs w:val="20"/>
          <w:color w:val="auto"/>
        </w:rPr>
      </w:pPr>
    </w:p>
    <w:p>
      <w:pPr>
        <w:ind w:left="80" w:right="400"/>
        <w:spacing w:after="0" w:line="259" w:lineRule="auto"/>
        <w:rPr>
          <w:sz w:val="20"/>
          <w:szCs w:val="20"/>
          <w:color w:val="auto"/>
        </w:rPr>
      </w:pPr>
      <w:r>
        <w:rPr>
          <w:rFonts w:ascii="Times New Roman" w:cs="Times New Roman" w:eastAsia="Times New Roman" w:hAnsi="Times New Roman"/>
          <w:sz w:val="16"/>
          <w:szCs w:val="16"/>
          <w:color w:val="auto"/>
        </w:rPr>
        <w:t>Current or former Executive Officers shall not be entitled to any indemnification by or from the Company or its affiliates with respect to any amounts subject to recoupment pursuant to this Dodd-Frank Compensation Recoupment Policy.</w:t>
      </w:r>
    </w:p>
    <w:p>
      <w:pPr>
        <w:spacing w:after="0" w:line="1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Administration</w:t>
      </w:r>
    </w:p>
    <w:p>
      <w:pPr>
        <w:spacing w:after="0" w:line="178" w:lineRule="exact"/>
        <w:rPr>
          <w:sz w:val="20"/>
          <w:szCs w:val="20"/>
          <w:color w:val="auto"/>
        </w:rPr>
      </w:pPr>
    </w:p>
    <w:p>
      <w:pPr>
        <w:ind w:left="80"/>
        <w:spacing w:after="0" w:line="239" w:lineRule="auto"/>
        <w:rPr>
          <w:sz w:val="20"/>
          <w:szCs w:val="20"/>
          <w:color w:val="auto"/>
        </w:rPr>
      </w:pPr>
      <w:r>
        <w:rPr>
          <w:rFonts w:ascii="Times New Roman" w:cs="Times New Roman" w:eastAsia="Times New Roman" w:hAnsi="Times New Roman"/>
          <w:sz w:val="16"/>
          <w:szCs w:val="16"/>
          <w:color w:val="auto"/>
        </w:rPr>
        <w:t>The Board has delegated the administration of this policy to the Committee. The Committee is responsible for monitoring the application of this policy with respect to all Executive Officers. The Committee shall have the sole authority to review, interpret, construe and implement the provisions of this Dodd-Frank Compensation Recoupment Policy and to delegate to one or more executive officers and/or employees certain administrative and record-keeping responsibilities, as appropriate, with respect to the implementation of this Dodd-Frank Compensation Recoupment Policy; provided, however, that no such action shall contravene the federal securities laws. Any determinations of the Board or Committee under this Dodd-Frank Compensation Recoupment Policy shall be binding on the applicable individual.</w:t>
      </w:r>
    </w:p>
    <w:p>
      <w:pPr>
        <w:spacing w:after="0" w:line="161" w:lineRule="exact"/>
        <w:rPr>
          <w:sz w:val="20"/>
          <w:szCs w:val="20"/>
          <w:color w:val="auto"/>
        </w:rPr>
      </w:pPr>
    </w:p>
    <w:p>
      <w:pPr>
        <w:ind w:left="80" w:right="80"/>
        <w:spacing w:after="0" w:line="259" w:lineRule="auto"/>
        <w:rPr>
          <w:sz w:val="20"/>
          <w:szCs w:val="20"/>
          <w:color w:val="auto"/>
        </w:rPr>
      </w:pPr>
      <w:r>
        <w:rPr>
          <w:rFonts w:ascii="Times New Roman" w:cs="Times New Roman" w:eastAsia="Times New Roman" w:hAnsi="Times New Roman"/>
          <w:sz w:val="16"/>
          <w:szCs w:val="16"/>
          <w:color w:val="auto"/>
        </w:rPr>
        <w:t>The Board may amend, modify or change this Dodd-Frank Compensation Recoupment Policy, as well as any related rules and procedures, at any time and from time to time as it may determine, in its sole discretion, is necessary or appropriate.</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Approved by the Board of Directors of the Company on November 2, 2023.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F2F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588645</wp:posOffset>
            </wp:positionV>
            <wp:extent cx="6732905" cy="406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700" w:top="1440" w:right="740" w:bottom="1440" w:gutter="0" w:footer="0" w:header="0"/>
        </w:sectPr>
      </w:pPr>
    </w:p>
    <w:bookmarkStart w:id="401" w:name="page402"/>
    <w:bookmarkEnd w:id="40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1"/>
      <w:numFmt w:val="bullet"/>
      <w:start w:val="1"/>
    </w:lvl>
  </w:abstractNum>
  <w:abstractNum w:abstractNumId="3">
    <w:nsid w:val="53299938"/>
    <w:multiLevelType w:val="hybridMultilevel"/>
    <w:lvl w:ilvl="0">
      <w:lvlJc w:val="left"/>
      <w:lvlText w:val="2"/>
      <w:numFmt w:val="bullet"/>
      <w:start w:val="1"/>
    </w:lvl>
  </w:abstractNum>
  <w:abstractNum w:abstractNumId="4">
    <w:nsid w:val="1FBFE8E0"/>
    <w:multiLevelType w:val="hybridMultilevel"/>
    <w:lvl w:ilvl="0">
      <w:lvlJc w:val="left"/>
      <w:lvlText w:val="3"/>
      <w:numFmt w:val="bullet"/>
      <w:start w:val="1"/>
    </w:lvl>
  </w:abstractNum>
  <w:abstractNum w:abstractNumId="5">
    <w:nsid w:val="5092CA79"/>
    <w:multiLevelType w:val="hybridMultilevel"/>
    <w:lvl w:ilvl="0">
      <w:lvlJc w:val="left"/>
      <w:lvlText w:val="4"/>
      <w:numFmt w:val="bullet"/>
      <w:start w:val="1"/>
    </w:lvl>
  </w:abstractNum>
  <w:abstractNum w:abstractNumId="6">
    <w:nsid w:val="1D545C4D"/>
    <w:multiLevelType w:val="hybridMultilevel"/>
    <w:lvl w:ilvl="0">
      <w:lvlJc w:val="left"/>
      <w:lvlText w:val="5"/>
      <w:numFmt w:val="bullet"/>
      <w:start w:val="1"/>
    </w:lvl>
  </w:abstractNum>
  <w:abstractNum w:abstractNumId="7">
    <w:nsid w:val="59ADEA3D"/>
    <w:multiLevelType w:val="hybridMultilevel"/>
    <w:lvl w:ilvl="0">
      <w:lvlJc w:val="left"/>
      <w:lvlText w:val="(%1)"/>
      <w:numFmt w:val="decimal"/>
      <w:start w:val="1"/>
    </w:lvl>
  </w:abstractNum>
  <w:abstractNum w:abstractNumId="8">
    <w:nsid w:val="288F1A34"/>
    <w:multiLevelType w:val="hybridMultilevel"/>
    <w:lvl w:ilvl="0">
      <w:lvlJc w:val="left"/>
      <w:lvlText w:val="(%1)"/>
      <w:numFmt w:val="decimal"/>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1)"/>
      <w:numFmt w:val="lowerLetter"/>
      <w:start w:val="1"/>
    </w:lvl>
  </w:abstractNum>
  <w:abstractNum w:abstractNumId="12">
    <w:nsid w:val="51088277"/>
    <w:multiLevelType w:val="hybridMultilevel"/>
    <w:lvl w:ilvl="0">
      <w:lvlJc w:val="left"/>
      <w:lvlText w:val="%1"/>
      <w:numFmt w:val="decimal"/>
      <w:start w:val="104"/>
    </w:lvl>
  </w:abstractNum>
  <w:abstractNum w:abstractNumId="13">
    <w:nsid w:val="1CA0C5FA"/>
    <w:multiLevelType w:val="hybridMultilevel"/>
    <w:lvl w:ilvl="0">
      <w:lvlJc w:val="left"/>
      <w:lvlText w:val="(%1)"/>
      <w:numFmt w:val="decimal"/>
      <w:start w:val="1"/>
    </w:lvl>
  </w:abstractNum>
  <w:abstractNum w:abstractNumId="14">
    <w:nsid w:val="53584BCB"/>
    <w:multiLevelType w:val="hybridMultilevel"/>
    <w:lvl w:ilvl="0">
      <w:lvlJc w:val="left"/>
      <w:lvlText w:val="(%1)"/>
      <w:numFmt w:val="lowerLetter"/>
      <w:start w:val="2"/>
    </w:lvl>
  </w:abstractNum>
  <w:abstractNum w:abstractNumId="15">
    <w:nsid w:val="415E286C"/>
    <w:multiLevelType w:val="hybridMultilevel"/>
    <w:lvl w:ilvl="0">
      <w:lvlJc w:val="left"/>
      <w:lvlText w:val="(%1)"/>
      <w:numFmt w:val="lowerRoman"/>
      <w:start w:val="1"/>
    </w:lvl>
  </w:abstractNum>
  <w:abstractNum w:abstractNumId="16">
    <w:nsid w:val="7C58FD05"/>
    <w:multiLevelType w:val="hybridMultilevel"/>
    <w:lvl w:ilvl="0">
      <w:lvlJc w:val="left"/>
      <w:lvlText w:val="(%1)"/>
      <w:numFmt w:val="lowerLetter"/>
      <w:start w:val="1"/>
    </w:lvl>
  </w:abstractNum>
  <w:abstractNum w:abstractNumId="17">
    <w:nsid w:val="23D86AAC"/>
    <w:multiLevelType w:val="hybridMultilevel"/>
    <w:lvl w:ilvl="0">
      <w:lvlJc w:val="left"/>
      <w:lvlText w:val="(%1)"/>
      <w:numFmt w:val="lowerLetter"/>
      <w:start w:val="2"/>
    </w:lvl>
  </w:abstractNum>
  <w:abstractNum w:abstractNumId="18">
    <w:nsid w:val="45E6D486"/>
    <w:multiLevelType w:val="hybridMultilevel"/>
    <w:lvl w:ilvl="0">
      <w:lvlJc w:val="left"/>
      <w:lvlText w:val="(%1)"/>
      <w:numFmt w:val="lowerLetter"/>
      <w:start w:val="1"/>
    </w:lvl>
  </w:abstractNum>
  <w:abstractNum w:abstractNumId="19">
    <w:nsid w:val="5C10FE21"/>
    <w:multiLevelType w:val="hybridMultilevel"/>
    <w:lvl w:ilvl="0">
      <w:lvlJc w:val="left"/>
      <w:lvlText w:val="(%1)"/>
      <w:numFmt w:val="lowerLetter"/>
      <w:start w:val="3"/>
    </w:lvl>
  </w:abstractNum>
  <w:abstractNum w:abstractNumId="20">
    <w:nsid w:val="E7FFA2B"/>
    <w:multiLevelType w:val="hybridMultilevel"/>
    <w:lvl w:ilvl="0">
      <w:lvlJc w:val="left"/>
      <w:lvlText w:val="(%1)"/>
      <w:numFmt w:val="lowerLetter"/>
      <w:start w:val="2"/>
    </w:lvl>
  </w:abstractNum>
  <w:abstractNum w:abstractNumId="21">
    <w:nsid w:val="3C5991AA"/>
    <w:multiLevelType w:val="hybridMultilevel"/>
    <w:lvl w:ilvl="0">
      <w:lvlJc w:val="left"/>
      <w:lvlText w:val="(%1)"/>
      <w:numFmt w:val="lowerRoman"/>
      <w:start w:val="1"/>
    </w:lvl>
  </w:abstractNum>
  <w:abstractNum w:abstractNumId="22">
    <w:nsid w:val="4BD8591A"/>
    <w:multiLevelType w:val="hybridMultilevel"/>
    <w:lvl w:ilvl="0">
      <w:lvlJc w:val="left"/>
      <w:lvlText w:val="(%1)"/>
      <w:numFmt w:val="lowerLetter"/>
      <w:start w:val="1"/>
    </w:lvl>
  </w:abstractNum>
  <w:abstractNum w:abstractNumId="23">
    <w:nsid w:val="78DF6A55"/>
    <w:multiLevelType w:val="hybridMultilevel"/>
    <w:lvl w:ilvl="0">
      <w:lvlJc w:val="left"/>
      <w:lvlText w:val="(%1)"/>
      <w:numFmt w:val="lowerLetter"/>
      <w:start w:val="2"/>
    </w:lvl>
  </w:abstractNum>
  <w:abstractNum w:abstractNumId="24">
    <w:nsid w:val="39B7AAA2"/>
    <w:multiLevelType w:val="hybridMultilevel"/>
    <w:lvl w:ilvl="0">
      <w:lvlJc w:val="left"/>
      <w:lvlText w:val="(%1)"/>
      <w:numFmt w:val="lowerLetter"/>
      <w:start w:val="1"/>
    </w:lvl>
  </w:abstractNum>
  <w:abstractNum w:abstractNumId="25">
    <w:nsid w:val="2B0D8DBE"/>
    <w:multiLevelType w:val="hybridMultilevel"/>
    <w:lvl w:ilvl="0">
      <w:lvlJc w:val="left"/>
      <w:lvlText w:val="(%1)"/>
      <w:numFmt w:val="decimal"/>
      <w:start w:val="1"/>
    </w:lvl>
  </w:abstractNum>
  <w:abstractNum w:abstractNumId="26">
    <w:nsid w:val="6C80EC70"/>
    <w:multiLevelType w:val="hybridMultilevel"/>
    <w:lvl w:ilvl="0">
      <w:lvlJc w:val="left"/>
      <w:lvlText w:val="(%1)"/>
      <w:numFmt w:val="lowerRoman"/>
      <w:start w:val="1"/>
    </w:lvl>
  </w:abstractNum>
  <w:abstractNum w:abstractNumId="27">
    <w:nsid w:val="379E21B5"/>
    <w:multiLevelType w:val="hybridMultilevel"/>
    <w:lvl w:ilvl="0">
      <w:lvlJc w:val="left"/>
      <w:lvlText w:val="(%1)"/>
      <w:numFmt w:val="lowerRoman"/>
      <w:start w:val="3"/>
    </w:lvl>
  </w:abstractNum>
  <w:abstractNum w:abstractNumId="28">
    <w:nsid w:val="69E373"/>
    <w:multiLevelType w:val="hybridMultilevel"/>
    <w:lvl w:ilvl="0">
      <w:lvlJc w:val="left"/>
      <w:lvlText w:val="(%1)"/>
      <w:numFmt w:val="lowerRoman"/>
      <w:start w:val="10"/>
    </w:lvl>
    <w:lvl w:ilvl="1">
      <w:lvlJc w:val="left"/>
      <w:lvlText w:val="(%2)"/>
      <w:numFmt w:val="lowerRoman"/>
      <w:start w:val="16"/>
    </w:lvl>
  </w:abstractNum>
  <w:abstractNum w:abstractNumId="29">
    <w:nsid w:val="2C27173B"/>
    <w:multiLevelType w:val="hybridMultilevel"/>
    <w:lvl w:ilvl="0">
      <w:lvlJc w:val="left"/>
      <w:lvlText w:val="(%1)"/>
      <w:numFmt w:val="lowerRoman"/>
      <w:start w:val="17"/>
    </w:lvl>
  </w:abstractNum>
  <w:abstractNum w:abstractNumId="30">
    <w:nsid w:val="4C9B0904"/>
    <w:multiLevelType w:val="hybridMultilevel"/>
    <w:lvl w:ilvl="0">
      <w:lvlJc w:val="left"/>
      <w:lvlText w:val="(%1)"/>
      <w:numFmt w:val="lowerRoman"/>
      <w:start w:val="20"/>
    </w:lvl>
  </w:abstractNum>
  <w:abstractNum w:abstractNumId="31">
    <w:nsid w:val="6AA7B75C"/>
    <w:multiLevelType w:val="hybridMultilevel"/>
    <w:lvl w:ilvl="0">
      <w:lvlJc w:val="left"/>
      <w:lvlText w:val="(%1)"/>
      <w:numFmt w:val="lowerRoman"/>
      <w:start w:val="28"/>
    </w:lvl>
  </w:abstractNum>
  <w:abstractNum w:abstractNumId="32">
    <w:nsid w:val="1DF029D3"/>
    <w:multiLevelType w:val="hybridMultilevel"/>
    <w:lvl w:ilvl="0">
      <w:lvlJc w:val="left"/>
      <w:lvlText w:val="(%1)"/>
      <w:numFmt w:val="lowerLetter"/>
      <w:start w:val="2"/>
    </w:lvl>
  </w:abstractNum>
  <w:abstractNum w:abstractNumId="33">
    <w:nsid w:val="5675FF36"/>
    <w:multiLevelType w:val="hybridMultilevel"/>
    <w:lvl w:ilvl="0">
      <w:lvlJc w:val="left"/>
      <w:lvlText w:val="(%1)"/>
      <w:numFmt w:val="lowerRoman"/>
      <w:start w:val="1"/>
    </w:lvl>
  </w:abstractNum>
  <w:abstractNum w:abstractNumId="34">
    <w:nsid w:val="3DD15094"/>
    <w:multiLevelType w:val="hybridMultilevel"/>
    <w:lvl w:ilvl="0">
      <w:lvlJc w:val="left"/>
      <w:lvlText w:val="(%1)"/>
      <w:numFmt w:val="lowerRoman"/>
      <w:start w:val="4"/>
    </w:lvl>
  </w:abstractNum>
  <w:abstractNum w:abstractNumId="35">
    <w:nsid w:val="3DB012B3"/>
    <w:multiLevelType w:val="hybridMultilevel"/>
    <w:lvl w:ilvl="0">
      <w:lvlJc w:val="left"/>
      <w:lvlText w:val="(%1)"/>
      <w:numFmt w:val="lowerLetter"/>
      <w:start w:val="1"/>
    </w:lvl>
  </w:abstractNum>
  <w:abstractNum w:abstractNumId="36">
    <w:nsid w:val="2708C9AF"/>
    <w:multiLevelType w:val="hybridMultilevel"/>
    <w:lvl w:ilvl="0">
      <w:lvlJc w:val="left"/>
      <w:lvlText w:val="(%1)"/>
      <w:numFmt w:val="lowerLetter"/>
      <w:start w:val="2"/>
    </w:lvl>
    <w:lvl w:ilvl="1">
      <w:lvlJc w:val="left"/>
      <w:lvlText w:val="(%2)"/>
      <w:numFmt w:val="lowerLetter"/>
      <w:start w:val="5"/>
    </w:lvl>
  </w:abstractNum>
  <w:abstractNum w:abstractNumId="37">
    <w:nsid w:val="5B25ACE2"/>
    <w:multiLevelType w:val="hybridMultilevel"/>
    <w:lvl w:ilvl="0">
      <w:lvlJc w:val="left"/>
      <w:lvlText w:val="(%1)"/>
      <w:numFmt w:val="lowerLetter"/>
      <w:start w:val="10"/>
    </w:lvl>
  </w:abstractNum>
  <w:abstractNum w:abstractNumId="38">
    <w:nsid w:val="175DFCF0"/>
    <w:multiLevelType w:val="hybridMultilevel"/>
    <w:lvl w:ilvl="0">
      <w:lvlJc w:val="left"/>
      <w:lvlText w:val="%1"/>
      <w:numFmt w:val="lowerLetter"/>
      <w:start w:val="1"/>
    </w:lvl>
    <w:lvl w:ilvl="1">
      <w:lvlJc w:val="left"/>
      <w:lvlText w:val="(%2)"/>
      <w:numFmt w:val="lowerLetter"/>
      <w:start w:val="12"/>
    </w:lvl>
  </w:abstractNum>
  <w:abstractNum w:abstractNumId="39">
    <w:nsid w:val="4F97E3E4"/>
    <w:multiLevelType w:val="hybridMultilevel"/>
    <w:lvl w:ilvl="0">
      <w:lvlJc w:val="left"/>
      <w:lvlText w:val="(%1)"/>
      <w:numFmt w:val="lowerLetter"/>
      <w:start w:val="12"/>
    </w:lvl>
    <w:lvl w:ilvl="1">
      <w:lvlJc w:val="left"/>
      <w:lvlText w:val="%2"/>
      <w:numFmt w:val="lowerLetter"/>
      <w:start w:val="1"/>
    </w:lvl>
  </w:abstractNum>
  <w:abstractNum w:abstractNumId="40">
    <w:nsid w:val="53B0A9E"/>
    <w:multiLevelType w:val="hybridMultilevel"/>
    <w:lvl w:ilvl="0">
      <w:lvlJc w:val="left"/>
      <w:lvlText w:val="(%1)"/>
      <w:numFmt w:val="lowerLetter"/>
      <w:start w:val="13"/>
    </w:lvl>
    <w:lvl w:ilvl="1">
      <w:lvlJc w:val="left"/>
      <w:lvlText w:val="(%2)"/>
      <w:numFmt w:val="lowerLetter"/>
      <w:start w:val="18"/>
    </w:lvl>
  </w:abstractNum>
  <w:abstractNum w:abstractNumId="41">
    <w:nsid w:val="34FD6B4F"/>
    <w:multiLevelType w:val="hybridMultilevel"/>
    <w:lvl w:ilvl="0">
      <w:lvlJc w:val="left"/>
      <w:lvlText w:val="%1"/>
      <w:numFmt w:val="lowerLetter"/>
      <w:start w:val="1"/>
    </w:lvl>
    <w:lvl w:ilvl="1">
      <w:lvlJc w:val="left"/>
      <w:lvlText w:val="(%2)"/>
      <w:numFmt w:val="lowerLetter"/>
      <w:start w:val="18"/>
    </w:lvl>
    <w:lvl w:ilvl="2">
      <w:lvlJc w:val="left"/>
      <w:lvlText w:val="%3"/>
      <w:numFmt w:val="lowerLetter"/>
      <w:start w:val="1"/>
    </w:lvl>
    <w:lvl w:ilvl="3">
      <w:lvlJc w:val="left"/>
      <w:lvlText w:val="%4"/>
      <w:numFmt w:val="lowerLetter"/>
      <w:start w:val="1"/>
    </w:lvl>
  </w:abstractNum>
  <w:abstractNum w:abstractNumId="42">
    <w:nsid w:val="5915FF32"/>
    <w:multiLevelType w:val="hybridMultilevel"/>
    <w:lvl w:ilvl="0">
      <w:lvlJc w:val="left"/>
      <w:lvlText w:val="(%1)"/>
      <w:numFmt w:val="lowerLetter"/>
      <w:start w:val="20"/>
    </w:lvl>
    <w:lvl w:ilvl="1">
      <w:lvlJc w:val="left"/>
      <w:lvlText w:val="%2"/>
      <w:numFmt w:val="lowerLetter"/>
      <w:start w:val="1"/>
    </w:lvl>
    <w:lvl w:ilvl="2">
      <w:lvlJc w:val="left"/>
      <w:lvlText w:val="(%3)"/>
      <w:numFmt w:val="lowerLetter"/>
      <w:start w:val="20"/>
    </w:lvl>
    <w:lvl w:ilvl="3">
      <w:lvlJc w:val="left"/>
      <w:lvlText w:val="(%4)"/>
      <w:numFmt w:val="lowerLetter"/>
      <w:start w:val="21"/>
    </w:lvl>
  </w:abstractNum>
  <w:abstractNum w:abstractNumId="43">
    <w:nsid w:val="56438D15"/>
    <w:multiLevelType w:val="hybridMultilevel"/>
    <w:lvl w:ilvl="0">
      <w:lvlJc w:val="left"/>
      <w:lvlText w:val="(%1)"/>
      <w:numFmt w:val="lowerLetter"/>
      <w:start w:val="22"/>
    </w:lvl>
    <w:lvl w:ilvl="1">
      <w:lvlJc w:val="left"/>
      <w:lvlText w:val="(%2)"/>
      <w:numFmt w:val="lowerLetter"/>
      <w:start w:val="24"/>
    </w:lvl>
    <w:lvl w:ilvl="2">
      <w:lvlJc w:val="left"/>
      <w:lvlText w:val="(%3)"/>
      <w:numFmt w:val="lowerLetter"/>
      <w:start w:val="25"/>
    </w:lvl>
  </w:abstractNum>
  <w:abstractNum w:abstractNumId="44">
    <w:nsid w:val="519E3149"/>
    <w:multiLevelType w:val="hybridMultilevel"/>
    <w:lvl w:ilvl="0">
      <w:lvlJc w:val="left"/>
      <w:lvlText w:val="(%1)"/>
      <w:numFmt w:val="lowerLetter"/>
      <w:start w:val="26"/>
    </w:lvl>
  </w:abstractNum>
  <w:abstractNum w:abstractNumId="45">
    <w:nsid w:val="2C6E4AFD"/>
    <w:multiLevelType w:val="hybridMultilevel"/>
    <w:lvl w:ilvl="0">
      <w:lvlJc w:val="left"/>
      <w:lvlText w:val="(%1)"/>
      <w:numFmt w:val="lowerLetter"/>
      <w:start w:val="27"/>
    </w:lvl>
  </w:abstractNum>
  <w:abstractNum w:abstractNumId="46">
    <w:nsid w:val="17A1B582"/>
    <w:multiLevelType w:val="hybridMultilevel"/>
    <w:lvl w:ilvl="0">
      <w:lvlJc w:val="left"/>
      <w:lvlText w:val="(%1)"/>
      <w:numFmt w:val="lowerLetter"/>
      <w:start w:val="28"/>
    </w:lvl>
    <w:lvl w:ilvl="1">
      <w:lvlJc w:val="left"/>
      <w:lvlText w:val="(%2)"/>
      <w:numFmt w:val="lowerLetter"/>
      <w:start w:val="31"/>
    </w:lvl>
  </w:abstractNum>
  <w:abstractNum w:abstractNumId="47">
    <w:nsid w:val="4DF72E4E"/>
    <w:multiLevelType w:val="hybridMultilevel"/>
    <w:lvl w:ilvl="0">
      <w:lvlJc w:val="left"/>
      <w:lvlText w:val="(%1)"/>
      <w:numFmt w:val="lowerRoman"/>
      <w:start w:val="2"/>
    </w:lvl>
  </w:abstractNum>
  <w:abstractNum w:abstractNumId="48">
    <w:nsid w:val="5046B5A9"/>
    <w:multiLevelType w:val="hybridMultilevel"/>
    <w:lvl w:ilvl="0">
      <w:lvlJc w:val="left"/>
      <w:lvlText w:val="(%1)"/>
      <w:numFmt w:val="lowerLetter"/>
      <w:start w:val="1"/>
    </w:lvl>
  </w:abstractNum>
  <w:abstractNum w:abstractNumId="49">
    <w:nsid w:val="5D888A08"/>
    <w:multiLevelType w:val="hybridMultilevel"/>
    <w:lvl w:ilvl="0">
      <w:lvlJc w:val="left"/>
      <w:lvlText w:val="(%1)"/>
      <w:numFmt w:val="lowerLetter"/>
      <w:start w:val="1"/>
    </w:lvl>
  </w:abstractNum>
  <w:abstractNum w:abstractNumId="50">
    <w:nsid w:val="2A082C70"/>
    <w:multiLevelType w:val="hybridMultilevel"/>
    <w:lvl w:ilvl="0">
      <w:lvlJc w:val="left"/>
      <w:lvlText w:val="%1"/>
      <w:numFmt w:val="lowerLetter"/>
      <w:start w:val="1"/>
    </w:lvl>
    <w:lvl w:ilvl="1">
      <w:lvlJc w:val="left"/>
      <w:lvlText w:val="(%2)"/>
      <w:numFmt w:val="lowerLetter"/>
      <w:start w:val="1"/>
    </w:lvl>
  </w:abstractNum>
  <w:abstractNum w:abstractNumId="51">
    <w:nsid w:val="5EC6AFD4"/>
    <w:multiLevelType w:val="hybridMultilevel"/>
    <w:lvl w:ilvl="0">
      <w:lvlJc w:val="left"/>
      <w:lvlText w:val="(%1)"/>
      <w:numFmt w:val="lowerLetter"/>
      <w:start w:val="2"/>
    </w:lvl>
    <w:lvl w:ilvl="1">
      <w:lvlJc w:val="left"/>
      <w:lvlText w:val="(%2)"/>
      <w:numFmt w:val="lowerLetter"/>
      <w:start w:val="5"/>
    </w:lvl>
  </w:abstractNum>
  <w:abstractNum w:abstractNumId="52">
    <w:nsid w:val="19E21BB2"/>
    <w:multiLevelType w:val="hybridMultilevel"/>
    <w:lvl w:ilvl="0">
      <w:lvlJc w:val="left"/>
      <w:lvlText w:val="(%1)"/>
      <w:numFmt w:val="lowerLetter"/>
      <w:start w:val="7"/>
    </w:lvl>
  </w:abstractNum>
  <w:abstractNum w:abstractNumId="53">
    <w:nsid w:val="75E0858A"/>
    <w:multiLevelType w:val="hybridMultilevel"/>
    <w:lvl w:ilvl="0">
      <w:lvlJc w:val="left"/>
      <w:lvlText w:val="(%1)"/>
      <w:numFmt w:val="lowerLetter"/>
      <w:start w:val="1"/>
    </w:lvl>
  </w:abstractNum>
  <w:abstractNum w:abstractNumId="54">
    <w:nsid w:val="57A61A29"/>
    <w:multiLevelType w:val="hybridMultilevel"/>
    <w:lvl w:ilvl="0">
      <w:lvlJc w:val="left"/>
      <w:lvlText w:val="(%1)"/>
      <w:numFmt w:val="lowerLetter"/>
      <w:start w:val="1"/>
    </w:lvl>
  </w:abstractNum>
  <w:abstractNum w:abstractNumId="55">
    <w:nsid w:val="5399C654"/>
    <w:multiLevelType w:val="hybridMultilevel"/>
    <w:lvl w:ilvl="0">
      <w:lvlJc w:val="left"/>
      <w:lvlText w:val="(%1)"/>
      <w:numFmt w:val="lowerLetter"/>
      <w:start w:val="2"/>
    </w:lvl>
    <w:lvl w:ilvl="1">
      <w:lvlJc w:val="left"/>
      <w:lvlText w:val="(%2)"/>
      <w:numFmt w:val="lowerRoman"/>
      <w:start w:val="1"/>
    </w:lvl>
  </w:abstractNum>
  <w:abstractNum w:abstractNumId="56">
    <w:nsid w:val="20EE1348"/>
    <w:multiLevelType w:val="hybridMultilevel"/>
    <w:lvl w:ilvl="0">
      <w:lvlJc w:val="left"/>
      <w:lvlText w:val="(%1)"/>
      <w:numFmt w:val="lowerRoman"/>
      <w:start w:val="1"/>
    </w:lvl>
  </w:abstractNum>
  <w:abstractNum w:abstractNumId="57">
    <w:nsid w:val="4427069A"/>
    <w:multiLevelType w:val="hybridMultilevel"/>
    <w:lvl w:ilvl="0">
      <w:lvlJc w:val="left"/>
      <w:lvlText w:val="(%1)"/>
      <w:numFmt w:val="lowerLetter"/>
      <w:start w:val="2"/>
    </w:lvl>
  </w:abstractNum>
  <w:abstractNum w:abstractNumId="58">
    <w:nsid w:val="B37E80A"/>
    <w:multiLevelType w:val="hybridMultilevel"/>
    <w:lvl w:ilvl="0">
      <w:lvlJc w:val="left"/>
      <w:lvlText w:val="(%1)"/>
      <w:numFmt w:val="lowerLetter"/>
      <w:start w:val="1"/>
    </w:lvl>
    <w:lvl w:ilvl="1">
      <w:lvlJc w:val="left"/>
      <w:lvlText w:val="(%2)"/>
      <w:numFmt w:val="lowerLetter"/>
      <w:start w:val="9"/>
    </w:lvl>
  </w:abstractNum>
  <w:abstractNum w:abstractNumId="59">
    <w:nsid w:val="2157F6BC"/>
    <w:multiLevelType w:val="hybridMultilevel"/>
    <w:lvl w:ilvl="0">
      <w:lvlJc w:val="left"/>
      <w:lvlText w:val="%1"/>
      <w:numFmt w:val="lowerLetter"/>
      <w:start w:val="1"/>
    </w:lvl>
    <w:lvl w:ilvl="1">
      <w:lvlJc w:val="left"/>
      <w:lvlText w:val="(%2)"/>
      <w:numFmt w:val="lowerRoman"/>
      <w:start w:val="2"/>
    </w:lvl>
  </w:abstractNum>
  <w:abstractNum w:abstractNumId="60">
    <w:nsid w:val="704E1DD5"/>
    <w:multiLevelType w:val="hybridMultilevel"/>
    <w:lvl w:ilvl="0">
      <w:lvlJc w:val="left"/>
      <w:lvlText w:val="(%1)"/>
      <w:numFmt w:val="lowerLetter"/>
      <w:start w:val="2"/>
    </w:lvl>
    <w:lvl w:ilvl="1">
      <w:lvlJc w:val="left"/>
      <w:lvlText w:val="(%2)"/>
      <w:numFmt w:val="lowerRoman"/>
      <w:start w:val="1"/>
    </w:lvl>
  </w:abstractNum>
  <w:abstractNum w:abstractNumId="61">
    <w:nsid w:val="57D2F10E"/>
    <w:multiLevelType w:val="hybridMultilevel"/>
    <w:lvl w:ilvl="0">
      <w:lvlJc w:val="left"/>
      <w:lvlText w:val="(%1)"/>
      <w:numFmt w:val="lowerRoman"/>
      <w:start w:val="6"/>
    </w:lvl>
  </w:abstractNum>
  <w:abstractNum w:abstractNumId="62">
    <w:nsid w:val="BFFAE18"/>
    <w:multiLevelType w:val="hybridMultilevel"/>
    <w:lvl w:ilvl="0">
      <w:lvlJc w:val="left"/>
      <w:lvlText w:val="(%1)"/>
      <w:numFmt w:val="lowerLetter"/>
      <w:start w:val="1"/>
    </w:lvl>
  </w:abstractNum>
  <w:abstractNum w:abstractNumId="63">
    <w:nsid w:val="E3E47A8"/>
    <w:multiLevelType w:val="hybridMultilevel"/>
    <w:lvl w:ilvl="0">
      <w:lvlJc w:val="left"/>
      <w:lvlText w:val="(%1)"/>
      <w:numFmt w:val="lowerRoman"/>
      <w:start w:val="1"/>
    </w:lvl>
  </w:abstractNum>
  <w:abstractNum w:abstractNumId="64">
    <w:nsid w:val="2E48F044"/>
    <w:multiLevelType w:val="hybridMultilevel"/>
    <w:lvl w:ilvl="0">
      <w:lvlJc w:val="left"/>
      <w:lvlText w:val="(%1)"/>
      <w:numFmt w:val="lowerRoman"/>
      <w:start w:val="5"/>
    </w:lvl>
  </w:abstractNum>
  <w:abstractNum w:abstractNumId="65">
    <w:nsid w:val="49D0FEAC"/>
    <w:multiLevelType w:val="hybridMultilevel"/>
    <w:lvl w:ilvl="0">
      <w:lvlJc w:val="left"/>
      <w:lvlText w:val="(%1)"/>
      <w:numFmt w:val="lowerLetter"/>
      <w:start w:val="2"/>
    </w:lvl>
  </w:abstractNum>
  <w:abstractNum w:abstractNumId="66">
    <w:nsid w:val="4BEE5A5B"/>
    <w:multiLevelType w:val="hybridMultilevel"/>
    <w:lvl w:ilvl="0">
      <w:lvlJc w:val="left"/>
      <w:lvlText w:val="(%1)"/>
      <w:numFmt w:val="lowerLetter"/>
      <w:start w:val="2"/>
    </w:lvl>
    <w:lvl w:ilvl="1">
      <w:lvlJc w:val="left"/>
      <w:lvlText w:val="(%2)"/>
      <w:numFmt w:val="lowerRoman"/>
      <w:start w:val="1"/>
    </w:lvl>
  </w:abstractNum>
  <w:abstractNum w:abstractNumId="67">
    <w:nsid w:val="5551B9F3"/>
    <w:multiLevelType w:val="hybridMultilevel"/>
    <w:lvl w:ilvl="0">
      <w:lvlJc w:val="left"/>
      <w:lvlText w:val="(%1)"/>
      <w:numFmt w:val="lowerLetter"/>
      <w:start w:val="7"/>
    </w:lvl>
  </w:abstractNum>
  <w:abstractNum w:abstractNumId="68">
    <w:nsid w:val="24F6AB8E"/>
    <w:multiLevelType w:val="hybridMultilevel"/>
    <w:lvl w:ilvl="0">
      <w:lvlJc w:val="left"/>
      <w:lvlText w:val="(%1)"/>
      <w:numFmt w:val="lowerRoman"/>
      <w:start w:val="2"/>
    </w:lvl>
  </w:abstractNum>
  <w:abstractNum w:abstractNumId="69">
    <w:nsid w:val="634C574C"/>
    <w:multiLevelType w:val="hybridMultilevel"/>
    <w:lvl w:ilvl="0">
      <w:lvlJc w:val="left"/>
      <w:lvlText w:val="(%1)"/>
      <w:numFmt w:val="lowerRoman"/>
      <w:start w:val="4"/>
    </w:lvl>
  </w:abstractNum>
  <w:abstractNum w:abstractNumId="70">
    <w:nsid w:val="24E99DD7"/>
    <w:multiLevelType w:val="hybridMultilevel"/>
    <w:lvl w:ilvl="0">
      <w:lvlJc w:val="left"/>
      <w:lvlText w:val="(%1)"/>
      <w:numFmt w:val="lowerLetter"/>
      <w:start w:val="2"/>
    </w:lvl>
  </w:abstractNum>
  <w:abstractNum w:abstractNumId="71">
    <w:nsid w:val="2A31B62D"/>
    <w:multiLevelType w:val="hybridMultilevel"/>
    <w:lvl w:ilvl="0">
      <w:lvlJc w:val="left"/>
      <w:lvlText w:val="(%1)"/>
      <w:numFmt w:val="lowerLetter"/>
      <w:start w:val="4"/>
    </w:lvl>
  </w:abstractNum>
  <w:abstractNum w:abstractNumId="72">
    <w:nsid w:val="1849C29B"/>
    <w:multiLevelType w:val="hybridMultilevel"/>
    <w:lvl w:ilvl="0">
      <w:lvlJc w:val="left"/>
      <w:lvlText w:val="(%1)"/>
      <w:numFmt w:val="lowerLetter"/>
      <w:start w:val="2"/>
    </w:lvl>
  </w:abstractNum>
  <w:abstractNum w:abstractNumId="73">
    <w:nsid w:val="7DFF9D09"/>
    <w:multiLevelType w:val="hybridMultilevel"/>
    <w:lvl w:ilvl="0">
      <w:lvlJc w:val="left"/>
      <w:lvlText w:val="(%1)"/>
      <w:numFmt w:val="lowerLetter"/>
      <w:start w:val="2"/>
    </w:lvl>
  </w:abstractNum>
  <w:abstractNum w:abstractNumId="74">
    <w:nsid w:val="754342"/>
    <w:multiLevelType w:val="hybridMultilevel"/>
    <w:lvl w:ilvl="0">
      <w:lvlJc w:val="left"/>
      <w:lvlText w:val="(%1)"/>
      <w:numFmt w:val="lowerLetter"/>
      <w:start w:val="1"/>
    </w:lvl>
    <w:lvl w:ilvl="1">
      <w:lvlJc w:val="left"/>
      <w:lvlText w:val="(%2)"/>
      <w:numFmt w:val="lowerRoman"/>
      <w:start w:val="1"/>
    </w:lvl>
  </w:abstractNum>
  <w:abstractNum w:abstractNumId="75">
    <w:nsid w:val="69E7F3E5"/>
    <w:multiLevelType w:val="hybridMultilevel"/>
    <w:lvl w:ilvl="0">
      <w:lvlJc w:val="left"/>
      <w:lvlText w:val="(%1)"/>
      <w:numFmt w:val="lowerRoman"/>
      <w:start w:val="3"/>
    </w:lvl>
  </w:abstractNum>
  <w:abstractNum w:abstractNumId="76">
    <w:nsid w:val="2A6DE806"/>
    <w:multiLevelType w:val="hybridMultilevel"/>
    <w:lvl w:ilvl="0">
      <w:lvlJc w:val="left"/>
      <w:lvlText w:val="(%1)"/>
      <w:numFmt w:val="lowerLetter"/>
      <w:start w:val="2"/>
    </w:lvl>
    <w:lvl w:ilvl="1">
      <w:lvlJc w:val="left"/>
      <w:lvlText w:val="(%2)"/>
      <w:numFmt w:val="lowerRoman"/>
      <w:start w:val="1"/>
    </w:lvl>
  </w:abstractNum>
  <w:abstractNum w:abstractNumId="77">
    <w:nsid w:val="1816F8C4"/>
    <w:multiLevelType w:val="hybridMultilevel"/>
    <w:lvl w:ilvl="0">
      <w:lvlJc w:val="left"/>
      <w:lvlText w:val="(%1)"/>
      <w:numFmt w:val="lowerRoman"/>
      <w:start w:val="3"/>
    </w:lvl>
  </w:abstractNum>
  <w:abstractNum w:abstractNumId="78">
    <w:nsid w:val="37DF2233"/>
    <w:multiLevelType w:val="hybridMultilevel"/>
    <w:lvl w:ilvl="0">
      <w:lvlJc w:val="left"/>
      <w:lvlText w:val="(%1)"/>
      <w:numFmt w:val="lowerLetter"/>
      <w:start w:val="2"/>
    </w:lvl>
  </w:abstractNum>
  <w:abstractNum w:abstractNumId="79">
    <w:nsid w:val="7AB49DAF"/>
    <w:multiLevelType w:val="hybridMultilevel"/>
    <w:lvl w:ilvl="0">
      <w:lvlJc w:val="left"/>
      <w:lvlText w:val="(%1)"/>
      <w:numFmt w:val="lowerLetter"/>
      <w:start w:val="2"/>
    </w:lvl>
  </w:abstractNum>
  <w:abstractNum w:abstractNumId="80">
    <w:nsid w:val="759F82CD"/>
    <w:multiLevelType w:val="hybridMultilevel"/>
    <w:lvl w:ilvl="0">
      <w:lvlJc w:val="left"/>
      <w:lvlText w:val="(%1)"/>
      <w:numFmt w:val="lowerLetter"/>
      <w:start w:val="2"/>
    </w:lvl>
    <w:lvl w:ilvl="1">
      <w:lvlJc w:val="left"/>
      <w:lvlText w:val="(%2)"/>
      <w:numFmt w:val="lowerRoman"/>
      <w:start w:val="1"/>
    </w:lvl>
  </w:abstractNum>
  <w:abstractNum w:abstractNumId="81">
    <w:nsid w:val="61E74EA3"/>
    <w:multiLevelType w:val="hybridMultilevel"/>
    <w:lvl w:ilvl="0">
      <w:lvlJc w:val="left"/>
      <w:lvlText w:val="(%1)"/>
      <w:numFmt w:val="lowerRoman"/>
      <w:start w:val="4"/>
    </w:lvl>
  </w:abstractNum>
  <w:abstractNum w:abstractNumId="82">
    <w:nsid w:val="597B4D84"/>
    <w:multiLevelType w:val="hybridMultilevel"/>
    <w:lvl w:ilvl="0">
      <w:lvlJc w:val="left"/>
      <w:lvlText w:val="(%1)"/>
      <w:numFmt w:val="lowerRoman"/>
      <w:start w:val="3"/>
    </w:lvl>
  </w:abstractNum>
  <w:abstractNum w:abstractNumId="83">
    <w:nsid w:val="F819E7F"/>
    <w:multiLevelType w:val="hybridMultilevel"/>
    <w:lvl w:ilvl="0">
      <w:lvlJc w:val="left"/>
      <w:lvlText w:val="(%1)"/>
      <w:numFmt w:val="lowerLetter"/>
      <w:start w:val="2"/>
    </w:lvl>
  </w:abstractNum>
  <w:abstractNum w:abstractNumId="84">
    <w:nsid w:val="57C7D42D"/>
    <w:multiLevelType w:val="hybridMultilevel"/>
    <w:lvl w:ilvl="0">
      <w:lvlJc w:val="left"/>
      <w:lvlText w:val="(%1)"/>
      <w:numFmt w:val="lowerLetter"/>
      <w:start w:val="4"/>
    </w:lvl>
  </w:abstractNum>
  <w:abstractNum w:abstractNumId="85">
    <w:nsid w:val="312167AD"/>
    <w:multiLevelType w:val="hybridMultilevel"/>
    <w:lvl w:ilvl="0">
      <w:lvlJc w:val="left"/>
      <w:lvlText w:val="(%1)"/>
      <w:numFmt w:val="lowerLetter"/>
      <w:start w:val="2"/>
    </w:lvl>
  </w:abstractNum>
  <w:abstractNum w:abstractNumId="86">
    <w:nsid w:val="631B64D4"/>
    <w:multiLevelType w:val="hybridMultilevel"/>
    <w:lvl w:ilvl="0">
      <w:lvlJc w:val="left"/>
      <w:lvlText w:val="(%1)"/>
      <w:numFmt w:val="lowerLetter"/>
      <w:start w:val="3"/>
    </w:lvl>
  </w:abstractNum>
  <w:abstractNum w:abstractNumId="87">
    <w:nsid w:val="78B5E776"/>
    <w:multiLevelType w:val="hybridMultilevel"/>
    <w:lvl w:ilvl="0">
      <w:lvlJc w:val="left"/>
      <w:lvlText w:val="(%1)"/>
      <w:numFmt w:val="lowerLetter"/>
      <w:start w:val="7"/>
    </w:lvl>
  </w:abstractNum>
  <w:abstractNum w:abstractNumId="88">
    <w:nsid w:val="75486E47"/>
    <w:multiLevelType w:val="hybridMultilevel"/>
    <w:lvl w:ilvl="0">
      <w:lvlJc w:val="left"/>
      <w:lvlText w:val="(%1)"/>
      <w:numFmt w:val="lowerLetter"/>
      <w:start w:val="12"/>
    </w:lvl>
  </w:abstractNum>
  <w:abstractNum w:abstractNumId="89">
    <w:nsid w:val="6E534CDE"/>
    <w:multiLevelType w:val="hybridMultilevel"/>
    <w:lvl w:ilvl="0">
      <w:lvlJc w:val="left"/>
      <w:lvlText w:val="(%1)"/>
      <w:numFmt w:val="lowerLetter"/>
      <w:start w:val="1"/>
    </w:lvl>
  </w:abstractNum>
  <w:abstractNum w:abstractNumId="90">
    <w:nsid w:val="1A0DDE32"/>
    <w:multiLevelType w:val="hybridMultilevel"/>
    <w:lvl w:ilvl="0">
      <w:lvlJc w:val="left"/>
      <w:lvlText w:val="(%1)"/>
      <w:numFmt w:val="lowerLetter"/>
      <w:start w:val="1"/>
    </w:lvl>
  </w:abstractNum>
  <w:abstractNum w:abstractNumId="91">
    <w:nsid w:val="65968C1C"/>
    <w:multiLevelType w:val="hybridMultilevel"/>
    <w:lvl w:ilvl="0">
      <w:lvlJc w:val="left"/>
      <w:lvlText w:val="%1"/>
      <w:numFmt w:val="lowerLetter"/>
      <w:start w:val="1"/>
    </w:lvl>
    <w:lvl w:ilvl="1">
      <w:lvlJc w:val="left"/>
      <w:lvlText w:val="(%2)"/>
      <w:numFmt w:val="lowerRoman"/>
      <w:start w:val="1"/>
    </w:lvl>
  </w:abstractNum>
  <w:abstractNum w:abstractNumId="92">
    <w:nsid w:val="46263DEC"/>
    <w:multiLevelType w:val="hybridMultilevel"/>
    <w:lvl w:ilvl="0">
      <w:lvlJc w:val="left"/>
      <w:lvlText w:val="(%1)"/>
      <w:numFmt w:val="lowerLetter"/>
      <w:start w:val="2"/>
    </w:lvl>
    <w:lvl w:ilvl="1">
      <w:lvlJc w:val="left"/>
      <w:lvlText w:val="%2"/>
      <w:numFmt w:val="lowerRoman"/>
      <w:start w:val="1"/>
    </w:lvl>
  </w:abstractNum>
  <w:abstractNum w:abstractNumId="93">
    <w:nsid w:val="260D8C4A"/>
    <w:multiLevelType w:val="hybridMultilevel"/>
    <w:lvl w:ilvl="0">
      <w:lvlJc w:val="left"/>
      <w:lvlText w:val="(%1)"/>
      <w:numFmt w:val="lowerRoman"/>
      <w:start w:val="2"/>
    </w:lvl>
  </w:abstractNum>
  <w:abstractNum w:abstractNumId="94">
    <w:nsid w:val="73D4D3C4"/>
    <w:multiLevelType w:val="hybridMultilevel"/>
    <w:lvl w:ilvl="0">
      <w:lvlJc w:val="left"/>
      <w:lvlText w:val="(%1)"/>
      <w:numFmt w:val="lowerLetter"/>
      <w:start w:val="2"/>
    </w:lvl>
  </w:abstractNum>
  <w:abstractNum w:abstractNumId="95">
    <w:nsid w:val="746F2E30"/>
    <w:multiLevelType w:val="hybridMultilevel"/>
    <w:lvl w:ilvl="0">
      <w:lvlJc w:val="left"/>
      <w:lvlText w:val="(%1)"/>
      <w:numFmt w:val="lowerLetter"/>
      <w:start w:val="1"/>
    </w:lvl>
    <w:lvl w:ilvl="1">
      <w:lvlJc w:val="left"/>
      <w:lvlText w:val="(%2)"/>
      <w:numFmt w:val="lowerRoman"/>
      <w:start w:val="1"/>
    </w:lvl>
  </w:abstractNum>
  <w:abstractNum w:abstractNumId="96">
    <w:nsid w:val="6FDE8AF6"/>
    <w:multiLevelType w:val="hybridMultilevel"/>
    <w:lvl w:ilvl="0">
      <w:lvlJc w:val="left"/>
      <w:lvlText w:val="(%1)"/>
      <w:numFmt w:val="lowerLetter"/>
      <w:start w:val="1"/>
    </w:lvl>
  </w:abstractNum>
  <w:abstractNum w:abstractNumId="97">
    <w:nsid w:val="3FC32E20"/>
    <w:multiLevelType w:val="hybridMultilevel"/>
    <w:lvl w:ilvl="0">
      <w:lvlJc w:val="left"/>
      <w:lvlText w:val="(%1)"/>
      <w:numFmt w:val="lowerLetter"/>
      <w:start w:val="5"/>
    </w:lvl>
  </w:abstractNum>
  <w:abstractNum w:abstractNumId="98">
    <w:nsid w:val="49C0E823"/>
    <w:multiLevelType w:val="hybridMultilevel"/>
    <w:lvl w:ilvl="0">
      <w:lvlJc w:val="left"/>
      <w:lvlText w:val="(%1)"/>
      <w:numFmt w:val="lowerLetter"/>
      <w:start w:val="9"/>
    </w:lvl>
  </w:abstractNum>
  <w:abstractNum w:abstractNumId="99">
    <w:nsid w:val="14D53685"/>
    <w:multiLevelType w:val="hybridMultilevel"/>
    <w:lvl w:ilvl="0">
      <w:lvlJc w:val="left"/>
      <w:lvlText w:val="(%1)"/>
      <w:numFmt w:val="lowerRoman"/>
      <w:start w:val="1"/>
    </w:lvl>
    <w:lvl w:ilvl="1">
      <w:lvlJc w:val="left"/>
      <w:lvlText w:val="(%2)"/>
      <w:numFmt w:val="decimal"/>
      <w:start w:val="1"/>
    </w:lvl>
  </w:abstractNum>
  <w:abstractNum w:abstractNumId="100">
    <w:nsid w:val="230F856C"/>
    <w:multiLevelType w:val="hybridMultilevel"/>
    <w:lvl w:ilvl="0">
      <w:lvlJc w:val="left"/>
      <w:lvlText w:val="%1"/>
      <w:numFmt w:val="lowerLetter"/>
      <w:start w:val="1"/>
    </w:lvl>
    <w:lvl w:ilvl="1">
      <w:lvlJc w:val="left"/>
      <w:lvlText w:val="(%2)"/>
      <w:numFmt w:val="lowerRoman"/>
      <w:start w:val="5"/>
    </w:lvl>
  </w:abstractNum>
  <w:abstractNum w:abstractNumId="101">
    <w:nsid w:val="6EAA85FB"/>
    <w:multiLevelType w:val="hybridMultilevel"/>
    <w:lvl w:ilvl="0">
      <w:lvlJc w:val="left"/>
      <w:lvlText w:val="(%1)"/>
      <w:numFmt w:val="lowerLetter"/>
      <w:start w:val="15"/>
    </w:lvl>
    <w:lvl w:ilvl="1">
      <w:lvlJc w:val="left"/>
      <w:lvlText w:val="%2"/>
      <w:numFmt w:val="lowerRoman"/>
      <w:start w:val="1"/>
    </w:lvl>
  </w:abstractNum>
  <w:abstractNum w:abstractNumId="102">
    <w:nsid w:val="3F06ECB2"/>
    <w:multiLevelType w:val="hybridMultilevel"/>
    <w:lvl w:ilvl="0">
      <w:lvlJc w:val="left"/>
      <w:lvlText w:val="(%1)"/>
      <w:numFmt w:val="lowerLetter"/>
      <w:start w:val="16"/>
    </w:lvl>
  </w:abstractNum>
  <w:abstractNum w:abstractNumId="103">
    <w:nsid w:val="3B594807"/>
    <w:multiLevelType w:val="hybridMultilevel"/>
    <w:lvl w:ilvl="0">
      <w:lvlJc w:val="left"/>
      <w:lvlText w:val="(%1)"/>
      <w:numFmt w:val="lowerLetter"/>
      <w:start w:val="23"/>
    </w:lvl>
  </w:abstractNum>
  <w:abstractNum w:abstractNumId="104">
    <w:nsid w:val="6CAA2304"/>
    <w:multiLevelType w:val="hybridMultilevel"/>
    <w:lvl w:ilvl="0">
      <w:lvlJc w:val="left"/>
      <w:lvlText w:val="(%1)"/>
      <w:numFmt w:val="lowerLetter"/>
      <w:start w:val="27"/>
    </w:lvl>
  </w:abstractNum>
  <w:abstractNum w:abstractNumId="105">
    <w:nsid w:val="3F7C2FF4"/>
    <w:multiLevelType w:val="hybridMultilevel"/>
    <w:lvl w:ilvl="0">
      <w:lvlJc w:val="left"/>
      <w:lvlText w:val="(%1)"/>
      <w:numFmt w:val="lowerLetter"/>
      <w:start w:val="28"/>
    </w:lvl>
  </w:abstractNum>
  <w:abstractNum w:abstractNumId="106">
    <w:nsid w:val="25413BEC"/>
    <w:multiLevelType w:val="hybridMultilevel"/>
    <w:lvl w:ilvl="0">
      <w:lvlJc w:val="left"/>
      <w:lvlText w:val="(%1)"/>
      <w:numFmt w:val="lowerLetter"/>
      <w:start w:val="34"/>
    </w:lvl>
  </w:abstractNum>
  <w:abstractNum w:abstractNumId="107">
    <w:nsid w:val="17180B0B"/>
    <w:multiLevelType w:val="hybridMultilevel"/>
    <w:lvl w:ilvl="0">
      <w:lvlJc w:val="left"/>
      <w:lvlText w:val="(%1)"/>
      <w:numFmt w:val="lowerLetter"/>
      <w:start w:val="1"/>
    </w:lvl>
  </w:abstractNum>
  <w:abstractNum w:abstractNumId="108">
    <w:nsid w:val="579328B9"/>
    <w:multiLevelType w:val="hybridMultilevel"/>
    <w:lvl w:ilvl="0">
      <w:lvlJc w:val="left"/>
      <w:lvlText w:val="(%1)"/>
      <w:numFmt w:val="lowerLetter"/>
      <w:start w:val="4"/>
    </w:lvl>
  </w:abstractNum>
  <w:abstractNum w:abstractNumId="109">
    <w:nsid w:val="5D205E20"/>
    <w:multiLevelType w:val="hybridMultilevel"/>
    <w:lvl w:ilvl="0">
      <w:lvlJc w:val="left"/>
      <w:lvlText w:val="(%1)"/>
      <w:numFmt w:val="lowerLetter"/>
      <w:start w:val="7"/>
    </w:lvl>
  </w:abstractNum>
  <w:abstractNum w:abstractNumId="110">
    <w:nsid w:val="11CCA8BA"/>
    <w:multiLevelType w:val="hybridMultilevel"/>
    <w:lvl w:ilvl="0">
      <w:lvlJc w:val="left"/>
      <w:lvlText w:val="(%1)"/>
      <w:numFmt w:val="lowerLetter"/>
      <w:start w:val="11"/>
    </w:lvl>
  </w:abstractNum>
  <w:abstractNum w:abstractNumId="111">
    <w:nsid w:val="4D32AB86"/>
    <w:multiLevelType w:val="hybridMultilevel"/>
    <w:lvl w:ilvl="0">
      <w:lvlJc w:val="left"/>
      <w:lvlText w:val="(%1)"/>
      <w:numFmt w:val="lowerLetter"/>
      <w:start w:val="15"/>
    </w:lvl>
  </w:abstractNum>
  <w:abstractNum w:abstractNumId="112">
    <w:nsid w:val="3F07ACC3"/>
    <w:multiLevelType w:val="hybridMultilevel"/>
    <w:lvl w:ilvl="0">
      <w:lvlJc w:val="left"/>
      <w:lvlText w:val="(%1)"/>
      <w:numFmt w:val="lowerLetter"/>
      <w:start w:val="18"/>
    </w:lvl>
    <w:lvl w:ilvl="1">
      <w:lvlJc w:val="left"/>
      <w:lvlText w:val="(%2)"/>
      <w:numFmt w:val="lowerRoman"/>
      <w:start w:val="1"/>
    </w:lvl>
  </w:abstractNum>
  <w:abstractNum w:abstractNumId="113">
    <w:nsid w:val="6B47F63E"/>
    <w:multiLevelType w:val="hybridMultilevel"/>
    <w:lvl w:ilvl="0">
      <w:lvlJc w:val="left"/>
      <w:lvlText w:val="(%1)"/>
      <w:numFmt w:val="lowerRoman"/>
      <w:start w:val="4"/>
    </w:lvl>
  </w:abstractNum>
  <w:abstractNum w:abstractNumId="114">
    <w:nsid w:val="5CB44A05"/>
    <w:multiLevelType w:val="hybridMultilevel"/>
    <w:lvl w:ilvl="0">
      <w:lvlJc w:val="left"/>
      <w:lvlText w:val="%1"/>
      <w:numFmt w:val="lowerLetter"/>
      <w:start w:val="1"/>
    </w:lvl>
    <w:lvl w:ilvl="1">
      <w:lvlJc w:val="left"/>
      <w:lvlText w:val="(%2)"/>
      <w:numFmt w:val="lowerRoman"/>
      <w:start w:val="9"/>
    </w:lvl>
  </w:abstractNum>
  <w:abstractNum w:abstractNumId="115">
    <w:nsid w:val="16CF80F1"/>
    <w:multiLevelType w:val="hybridMultilevel"/>
    <w:lvl w:ilvl="0">
      <w:lvlJc w:val="left"/>
      <w:lvlText w:val="(%1)"/>
      <w:numFmt w:val="lowerLetter"/>
      <w:start w:val="20"/>
    </w:lvl>
    <w:lvl w:ilvl="1">
      <w:lvlJc w:val="left"/>
      <w:lvlText w:val="%2"/>
      <w:numFmt w:val="lowerRoman"/>
      <w:start w:val="1"/>
    </w:lvl>
  </w:abstractNum>
  <w:abstractNum w:abstractNumId="116">
    <w:nsid w:val="1C695DEC"/>
    <w:multiLevelType w:val="hybridMultilevel"/>
    <w:lvl w:ilvl="0">
      <w:lvlJc w:val="left"/>
      <w:lvlText w:val="(%1)"/>
      <w:numFmt w:val="lowerLetter"/>
      <w:start w:val="24"/>
    </w:lvl>
  </w:abstractNum>
  <w:abstractNum w:abstractNumId="117">
    <w:nsid w:val="3FCFAED9"/>
    <w:multiLevelType w:val="hybridMultilevel"/>
    <w:lvl w:ilvl="0">
      <w:lvlJc w:val="left"/>
      <w:lvlText w:val="(%1)"/>
      <w:numFmt w:val="lowerLetter"/>
      <w:start w:val="27"/>
    </w:lvl>
  </w:abstractNum>
  <w:abstractNum w:abstractNumId="118">
    <w:nsid w:val="F856867"/>
    <w:multiLevelType w:val="hybridMultilevel"/>
    <w:lvl w:ilvl="0">
      <w:lvlJc w:val="left"/>
      <w:lvlText w:val="(%1)"/>
      <w:numFmt w:val="lowerLetter"/>
      <w:start w:val="29"/>
    </w:lvl>
  </w:abstractNum>
  <w:abstractNum w:abstractNumId="119">
    <w:nsid w:val="11B1CC33"/>
    <w:multiLevelType w:val="hybridMultilevel"/>
    <w:lvl w:ilvl="0">
      <w:lvlJc w:val="left"/>
      <w:lvlText w:val="(%1)"/>
      <w:numFmt w:val="lowerLetter"/>
      <w:start w:val="40"/>
    </w:lvl>
  </w:abstractNum>
  <w:abstractNum w:abstractNumId="120">
    <w:nsid w:val="2E22FBB7"/>
    <w:multiLevelType w:val="hybridMultilevel"/>
    <w:lvl w:ilvl="0">
      <w:lvlJc w:val="left"/>
      <w:lvlText w:val="(%1)"/>
      <w:numFmt w:val="lowerLetter"/>
      <w:start w:val="1"/>
    </w:lvl>
  </w:abstractNum>
  <w:abstractNum w:abstractNumId="121">
    <w:nsid w:val="29934699"/>
    <w:multiLevelType w:val="hybridMultilevel"/>
    <w:lvl w:ilvl="0">
      <w:lvlJc w:val="left"/>
      <w:lvlText w:val="%1"/>
      <w:numFmt w:val="decimal"/>
      <w:start w:val="1"/>
    </w:lvl>
    <w:lvl w:ilvl="1">
      <w:lvlJc w:val="left"/>
      <w:lvlText w:val="(%2)"/>
      <w:numFmt w:val="lowerLetter"/>
      <w:start w:val="1"/>
    </w:lvl>
  </w:abstractNum>
  <w:abstractNum w:abstractNumId="122">
    <w:nsid w:val="77485850"/>
    <w:multiLevelType w:val="hybridMultilevel"/>
    <w:lvl w:ilvl="0">
      <w:lvlJc w:val="left"/>
      <w:lvlText w:val="(%1)"/>
      <w:numFmt w:val="decimal"/>
      <w:start w:val="2"/>
    </w:lvl>
    <w:lvl w:ilvl="1">
      <w:lvlJc w:val="left"/>
      <w:lvlText w:val="%2"/>
      <w:numFmt w:val="lowerLetter"/>
      <w:start w:val="1"/>
    </w:lvl>
  </w:abstractNum>
  <w:abstractNum w:abstractNumId="123">
    <w:nsid w:val="744939A3"/>
    <w:multiLevelType w:val="hybridMultilevel"/>
    <w:lvl w:ilvl="0">
      <w:lvlJc w:val="left"/>
      <w:lvlText w:val="(%1)"/>
      <w:numFmt w:val="lowerLetter"/>
      <w:start w:val="2"/>
    </w:lvl>
  </w:abstractNum>
  <w:abstractNum w:abstractNumId="124">
    <w:nsid w:val="4FA0D2E3"/>
    <w:multiLevelType w:val="hybridMultilevel"/>
    <w:lvl w:ilvl="0">
      <w:lvlJc w:val="left"/>
      <w:lvlText w:val="(%1)"/>
      <w:numFmt w:val="lowerLetter"/>
      <w:start w:val="1"/>
    </w:lvl>
  </w:abstractNum>
  <w:abstractNum w:abstractNumId="125">
    <w:nsid w:val="6B1D2C14"/>
    <w:multiLevelType w:val="hybridMultilevel"/>
    <w:lvl w:ilvl="0">
      <w:lvlJc w:val="left"/>
      <w:lvlText w:val="(%1)"/>
      <w:numFmt w:val="lowerLetter"/>
      <w:start w:val="3"/>
    </w:lvl>
  </w:abstractNum>
  <w:abstractNum w:abstractNumId="126">
    <w:nsid w:val="68B867D3"/>
    <w:multiLevelType w:val="hybridMultilevel"/>
    <w:lvl w:ilvl="0">
      <w:lvlJc w:val="left"/>
      <w:lvlText w:val="(%1)"/>
      <w:numFmt w:val="lowerLetter"/>
      <w:start w:val="2"/>
    </w:lvl>
  </w:abstractNum>
  <w:abstractNum w:abstractNumId="127">
    <w:nsid w:val="3F7F5DD9"/>
    <w:multiLevelType w:val="hybridMultilevel"/>
    <w:lvl w:ilvl="0">
      <w:lvlJc w:val="left"/>
      <w:lvlText w:val="(%1)"/>
      <w:numFmt w:val="lowerLetter"/>
      <w:start w:val="1"/>
    </w:lvl>
  </w:abstractNum>
  <w:abstractNum w:abstractNumId="128">
    <w:nsid w:val="2AE05A34"/>
    <w:multiLevelType w:val="hybridMultilevel"/>
    <w:lvl w:ilvl="0">
      <w:lvlJc w:val="left"/>
      <w:lvlText w:val="(%1)"/>
      <w:numFmt w:val="lowerLetter"/>
      <w:start w:val="6"/>
    </w:lvl>
  </w:abstractNum>
  <w:abstractNum w:abstractNumId="129">
    <w:nsid w:val="32794FF7"/>
    <w:multiLevelType w:val="hybridMultilevel"/>
    <w:lvl w:ilvl="0">
      <w:lvlJc w:val="left"/>
      <w:lvlText w:val="(%1)"/>
      <w:numFmt w:val="lowerLetter"/>
      <w:start w:val="1"/>
    </w:lvl>
  </w:abstractNum>
  <w:abstractNum w:abstractNumId="130">
    <w:nsid w:val="5454945E"/>
    <w:multiLevelType w:val="hybridMultilevel"/>
    <w:lvl w:ilvl="0">
      <w:lvlJc w:val="left"/>
      <w:lvlText w:val="(%1)"/>
      <w:numFmt w:val="lowerLetter"/>
      <w:start w:val="2"/>
    </w:lvl>
    <w:lvl w:ilvl="1">
      <w:lvlJc w:val="left"/>
      <w:lvlText w:val="(%2)"/>
      <w:numFmt w:val="lowerRoman"/>
      <w:start w:val="1"/>
    </w:lvl>
  </w:abstractNum>
  <w:abstractNum w:abstractNumId="131">
    <w:nsid w:val="4DEFDFA0"/>
    <w:multiLevelType w:val="hybridMultilevel"/>
    <w:lvl w:ilvl="0">
      <w:lvlJc w:val="left"/>
      <w:lvlText w:val="%1"/>
      <w:numFmt w:val="lowerLetter"/>
      <w:start w:val="1"/>
    </w:lvl>
    <w:lvl w:ilvl="1">
      <w:lvlJc w:val="left"/>
      <w:lvlText w:val="(%2)"/>
      <w:numFmt w:val="lowerLetter"/>
      <w:start w:val="61"/>
    </w:lvl>
  </w:abstractNum>
  <w:abstractNum w:abstractNumId="132">
    <w:nsid w:val="2123D5F2"/>
    <w:multiLevelType w:val="hybridMultilevel"/>
    <w:lvl w:ilvl="0">
      <w:lvlJc w:val="left"/>
      <w:lvlText w:val="(%1)"/>
      <w:numFmt w:val="lowerLetter"/>
      <w:start w:val="4"/>
    </w:lvl>
    <w:lvl w:ilvl="1">
      <w:lvlJc w:val="left"/>
      <w:lvlText w:val="%2"/>
      <w:numFmt w:val="lowerLetter"/>
      <w:start w:val="1"/>
    </w:lvl>
  </w:abstractNum>
  <w:abstractNum w:abstractNumId="133">
    <w:nsid w:val="135B8110"/>
    <w:multiLevelType w:val="hybridMultilevel"/>
    <w:lvl w:ilvl="0">
      <w:lvlJc w:val="left"/>
      <w:lvlText w:val="(%1)"/>
      <w:numFmt w:val="lowerLetter"/>
      <w:start w:val="10"/>
    </w:lvl>
  </w:abstractNum>
  <w:abstractNum w:abstractNumId="134">
    <w:nsid w:val="94927A8"/>
    <w:multiLevelType w:val="hybridMultilevel"/>
    <w:lvl w:ilvl="0">
      <w:lvlJc w:val="left"/>
      <w:lvlText w:val="(%1)"/>
      <w:numFmt w:val="lowerLetter"/>
      <w:start w:val="1"/>
    </w:lvl>
  </w:abstractNum>
  <w:abstractNum w:abstractNumId="135">
    <w:nsid w:val="DCDF8F6"/>
    <w:multiLevelType w:val="hybridMultilevel"/>
    <w:lvl w:ilvl="0">
      <w:lvlJc w:val="left"/>
      <w:lvlText w:val="(%1)"/>
      <w:numFmt w:val="lowerLetter"/>
      <w:start w:val="4"/>
    </w:lvl>
  </w:abstractNum>
  <w:abstractNum w:abstractNumId="136">
    <w:nsid w:val="52D7B105"/>
    <w:multiLevelType w:val="hybridMultilevel"/>
    <w:lvl w:ilvl="0">
      <w:lvlJc w:val="left"/>
      <w:lvlText w:val="(%1)"/>
      <w:numFmt w:val="lowerLetter"/>
      <w:start w:val="13"/>
    </w:lvl>
  </w:abstractNum>
  <w:abstractNum w:abstractNumId="137">
    <w:nsid w:val="2E8A6394"/>
    <w:multiLevelType w:val="hybridMultilevel"/>
    <w:lvl w:ilvl="0">
      <w:lvlJc w:val="left"/>
      <w:lvlText w:val="(%1)"/>
      <w:numFmt w:val="lowerLetter"/>
      <w:start w:val="23"/>
    </w:lvl>
  </w:abstractNum>
  <w:abstractNum w:abstractNumId="138">
    <w:nsid w:val="24E60401"/>
    <w:multiLevelType w:val="hybridMultilevel"/>
    <w:lvl w:ilvl="0">
      <w:lvlJc w:val="left"/>
      <w:lvlText w:val="(%1)"/>
      <w:numFmt w:val="lowerLetter"/>
      <w:start w:val="25"/>
    </w:lvl>
  </w:abstractNum>
  <w:abstractNum w:abstractNumId="139">
    <w:nsid w:val="2A6AD9BE"/>
    <w:multiLevelType w:val="hybridMultilevel"/>
    <w:lvl w:ilvl="0">
      <w:lvlJc w:val="left"/>
      <w:lvlText w:val="(%1)"/>
      <w:numFmt w:val="lowerLetter"/>
      <w:start w:val="2"/>
    </w:lvl>
    <w:lvl w:ilvl="1">
      <w:lvlJc w:val="left"/>
      <w:lvlText w:val="(%2)"/>
      <w:numFmt w:val="decimal"/>
      <w:start w:val="1"/>
    </w:lvl>
  </w:abstractNum>
  <w:abstractNum w:abstractNumId="140">
    <w:nsid w:val="BAAC1B4"/>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6"/>
    </w:lvl>
  </w:abstractNum>
  <w:abstractNum w:abstractNumId="141">
    <w:nsid w:val="36B2ACBC"/>
    <w:multiLevelType w:val="hybridMultilevel"/>
    <w:lvl w:ilvl="0">
      <w:lvlJc w:val="left"/>
      <w:lvlText w:val="(%1)"/>
      <w:numFmt w:val="lowerRoman"/>
      <w:start w:val="1"/>
    </w:lvl>
  </w:abstractNum>
  <w:abstractNum w:abstractNumId="142">
    <w:nsid w:val="779D8544"/>
    <w:multiLevelType w:val="hybridMultilevel"/>
    <w:lvl w:ilvl="0">
      <w:lvlJc w:val="left"/>
      <w:lvlText w:val="(%1)"/>
      <w:numFmt w:val="lowerRoman"/>
      <w:start w:val="6"/>
    </w:lvl>
  </w:abstractNum>
  <w:abstractNum w:abstractNumId="143">
    <w:nsid w:val="4AB26E78"/>
    <w:multiLevelType w:val="hybridMultilevel"/>
    <w:lvl w:ilvl="0">
      <w:lvlJc w:val="left"/>
      <w:lvlText w:val="%1"/>
      <w:numFmt w:val="lowerLetter"/>
      <w:start w:val="1"/>
    </w:lvl>
    <w:lvl w:ilvl="1">
      <w:lvlJc w:val="left"/>
      <w:lvlText w:val="(%2)"/>
      <w:numFmt w:val="lowerRoman"/>
      <w:start w:val="14"/>
    </w:lvl>
  </w:abstractNum>
  <w:abstractNum w:abstractNumId="144">
    <w:nsid w:val="21FAA2FA"/>
    <w:multiLevelType w:val="hybridMultilevel"/>
    <w:lvl w:ilvl="0">
      <w:lvlJc w:val="left"/>
      <w:lvlText w:val="(%1)"/>
      <w:numFmt w:val="lowerLetter"/>
      <w:start w:val="2"/>
    </w:lvl>
    <w:lvl w:ilvl="1">
      <w:lvlJc w:val="left"/>
      <w:lvlText w:val="%2"/>
      <w:numFmt w:val="lowerRoman"/>
      <w:start w:val="1"/>
    </w:lvl>
  </w:abstractNum>
  <w:abstractNum w:abstractNumId="145">
    <w:nsid w:val="5451CF49"/>
    <w:multiLevelType w:val="hybridMultilevel"/>
    <w:lvl w:ilvl="0">
      <w:lvlJc w:val="left"/>
      <w:lvlText w:val="(%1)"/>
      <w:numFmt w:val="lowerLetter"/>
      <w:start w:val="2"/>
    </w:lvl>
  </w:abstractNum>
  <w:abstractNum w:abstractNumId="146">
    <w:nsid w:val="6181EF69"/>
    <w:multiLevelType w:val="hybridMultilevel"/>
    <w:lvl w:ilvl="0">
      <w:lvlJc w:val="left"/>
      <w:lvlText w:val="(%1)"/>
      <w:numFmt w:val="lowerLetter"/>
      <w:start w:val="2"/>
    </w:lvl>
  </w:abstractNum>
  <w:abstractNum w:abstractNumId="147">
    <w:nsid w:val="3E6400E6"/>
    <w:multiLevelType w:val="hybridMultilevel"/>
    <w:lvl w:ilvl="0">
      <w:lvlJc w:val="left"/>
      <w:lvlText w:val="(%1)"/>
      <w:numFmt w:val="lowerLetter"/>
      <w:start w:val="2"/>
    </w:lvl>
  </w:abstractNum>
  <w:abstractNum w:abstractNumId="148">
    <w:nsid w:val="14217E23"/>
    <w:multiLevelType w:val="hybridMultilevel"/>
    <w:lvl w:ilvl="0">
      <w:lvlJc w:val="left"/>
      <w:lvlText w:val="(%1)"/>
      <w:numFmt w:val="lowerLetter"/>
      <w:start w:val="2"/>
    </w:lvl>
  </w:abstractNum>
  <w:abstractNum w:abstractNumId="149">
    <w:nsid w:val="710757D0"/>
    <w:multiLevelType w:val="hybridMultilevel"/>
    <w:lvl w:ilvl="0">
      <w:lvlJc w:val="left"/>
      <w:lvlText w:val="(%1)"/>
      <w:numFmt w:val="lowerRoman"/>
      <w:start w:val="2"/>
    </w:lvl>
  </w:abstractNum>
  <w:abstractNum w:abstractNumId="150">
    <w:nsid w:val="5015CD1A"/>
    <w:multiLevelType w:val="hybridMultilevel"/>
    <w:lvl w:ilvl="0">
      <w:lvlJc w:val="left"/>
      <w:lvlText w:val="(%1)"/>
      <w:numFmt w:val="lowerLetter"/>
      <w:start w:val="2"/>
    </w:lvl>
  </w:abstractNum>
  <w:abstractNum w:abstractNumId="151">
    <w:nsid w:val="424479DA"/>
    <w:multiLevelType w:val="hybridMultilevel"/>
    <w:lvl w:ilvl="0">
      <w:lvlJc w:val="left"/>
      <w:lvlText w:val="%1"/>
      <w:numFmt w:val="lowerLetter"/>
      <w:start w:val="1"/>
    </w:lvl>
    <w:lvl w:ilvl="1">
      <w:lvlJc w:val="left"/>
      <w:lvlText w:val="(%2)"/>
      <w:numFmt w:val="lowerRoman"/>
      <w:start w:val="1"/>
    </w:lvl>
  </w:abstractNum>
  <w:abstractNum w:abstractNumId="152">
    <w:nsid w:val="1A9A9E69"/>
    <w:multiLevelType w:val="hybridMultilevel"/>
    <w:lvl w:ilvl="0">
      <w:lvlJc w:val="left"/>
      <w:lvlText w:val="(%1)"/>
      <w:numFmt w:val="lowerLetter"/>
      <w:start w:val="2"/>
    </w:lvl>
    <w:lvl w:ilvl="1">
      <w:lvlJc w:val="left"/>
      <w:lvlText w:val="%2"/>
      <w:numFmt w:val="lowerRoman"/>
      <w:start w:val="1"/>
    </w:lvl>
  </w:abstractNum>
  <w:abstractNum w:abstractNumId="153">
    <w:nsid w:val="475E256A"/>
    <w:multiLevelType w:val="hybridMultilevel"/>
    <w:lvl w:ilvl="0">
      <w:lvlJc w:val="left"/>
      <w:lvlText w:val="(%1)"/>
      <w:numFmt w:val="lowerLetter"/>
      <w:start w:val="2"/>
    </w:lvl>
  </w:abstractNum>
  <w:abstractNum w:abstractNumId="154">
    <w:nsid w:val="368DB37E"/>
    <w:multiLevelType w:val="hybridMultilevel"/>
    <w:lvl w:ilvl="0">
      <w:lvlJc w:val="left"/>
      <w:lvlText w:val="(%1)"/>
      <w:numFmt w:val="lowerLetter"/>
      <w:start w:val="4"/>
    </w:lvl>
  </w:abstractNum>
  <w:abstractNum w:abstractNumId="155">
    <w:nsid w:val="6A3B714C"/>
    <w:multiLevelType w:val="hybridMultilevel"/>
    <w:lvl w:ilvl="0">
      <w:lvlJc w:val="left"/>
      <w:lvlText w:val="(%1)"/>
      <w:numFmt w:val="lowerLetter"/>
      <w:start w:val="7"/>
    </w:lvl>
    <w:lvl w:ilvl="1">
      <w:lvlJc w:val="left"/>
      <w:lvlText w:val="(%2)"/>
      <w:numFmt w:val="lowerLetter"/>
      <w:start w:val="9"/>
    </w:lvl>
  </w:abstractNum>
  <w:abstractNum w:abstractNumId="156">
    <w:nsid w:val="327B517E"/>
    <w:multiLevelType w:val="hybridMultilevel"/>
    <w:lvl w:ilvl="0">
      <w:lvlJc w:val="left"/>
      <w:lvlText w:val="(%1)"/>
      <w:numFmt w:val="lowerLetter"/>
      <w:start w:val="10"/>
    </w:lvl>
  </w:abstractNum>
  <w:abstractNum w:abstractNumId="157">
    <w:nsid w:val="1F461B51"/>
    <w:multiLevelType w:val="hybridMultilevel"/>
    <w:lvl w:ilvl="0">
      <w:lvlJc w:val="left"/>
      <w:lvlText w:val="(%1)"/>
      <w:numFmt w:val="lowerRoman"/>
      <w:start w:val="3"/>
    </w:lvl>
  </w:abstractNum>
  <w:abstractNum w:abstractNumId="158">
    <w:nsid w:val="29BACF25"/>
    <w:multiLevelType w:val="hybridMultilevel"/>
    <w:lvl w:ilvl="0">
      <w:lvlJc w:val="left"/>
      <w:lvlText w:val="(%1)"/>
      <w:numFmt w:val="lowerLetter"/>
      <w:start w:val="2"/>
    </w:lvl>
  </w:abstractNum>
  <w:abstractNum w:abstractNumId="159">
    <w:nsid w:val="5D5BABB3"/>
    <w:multiLevelType w:val="hybridMultilevel"/>
    <w:lvl w:ilvl="0">
      <w:lvlJc w:val="left"/>
      <w:lvlText w:val="(%1)"/>
      <w:numFmt w:val="lowerLetter"/>
      <w:start w:val="3"/>
    </w:lvl>
  </w:abstractNum>
  <w:abstractNum w:abstractNumId="160">
    <w:nsid w:val="51BF6B48"/>
    <w:multiLevelType w:val="hybridMultilevel"/>
    <w:lvl w:ilvl="0">
      <w:lvlJc w:val="left"/>
      <w:lvlText w:val="(%1)"/>
      <w:numFmt w:val="lowerLetter"/>
      <w:start w:val="2"/>
    </w:lvl>
  </w:abstractNum>
  <w:abstractNum w:abstractNumId="161">
    <w:nsid w:val="7E0F6384"/>
    <w:multiLevelType w:val="hybridMultilevel"/>
    <w:lvl w:ilvl="0">
      <w:lvlJc w:val="left"/>
      <w:lvlText w:val="(%1)"/>
      <w:numFmt w:val="lowerLetter"/>
      <w:start w:val="4"/>
    </w:lvl>
    <w:lvl w:ilvl="1">
      <w:lvlJc w:val="left"/>
      <w:lvlText w:val="(%2)"/>
      <w:numFmt w:val="lowerRoman"/>
      <w:start w:val="1"/>
    </w:lvl>
  </w:abstractNum>
  <w:abstractNum w:abstractNumId="162">
    <w:nsid w:val="2B4B8B53"/>
    <w:multiLevelType w:val="hybridMultilevel"/>
    <w:lvl w:ilvl="0">
      <w:lvlJc w:val="left"/>
      <w:lvlText w:val="(%1)"/>
      <w:numFmt w:val="lowerRoman"/>
      <w:start w:val="2"/>
    </w:lvl>
  </w:abstractNum>
  <w:abstractNum w:abstractNumId="163">
    <w:nsid w:val="72E3413A"/>
    <w:multiLevelType w:val="hybridMultilevel"/>
    <w:lvl w:ilvl="0">
      <w:lvlJc w:val="left"/>
      <w:lvlText w:val="(%1)"/>
      <w:numFmt w:val="lowerLetter"/>
      <w:start w:val="2"/>
    </w:lvl>
  </w:abstractNum>
  <w:abstractNum w:abstractNumId="164">
    <w:nsid w:val="116AE494"/>
    <w:multiLevelType w:val="hybridMultilevel"/>
    <w:lvl w:ilvl="0">
      <w:lvlJc w:val="left"/>
      <w:lvlText w:val="(%1)"/>
      <w:numFmt w:val="lowerRoman"/>
      <w:start w:val="1"/>
    </w:lvl>
  </w:abstractNum>
  <w:abstractNum w:abstractNumId="165">
    <w:nsid w:val="3494B2FB"/>
    <w:multiLevelType w:val="hybridMultilevel"/>
    <w:lvl w:ilvl="0">
      <w:lvlJc w:val="left"/>
      <w:lvlText w:val="(%1)"/>
      <w:numFmt w:val="lowerLetter"/>
      <w:start w:val="1"/>
    </w:lvl>
  </w:abstractNum>
  <w:abstractNum w:abstractNumId="166">
    <w:nsid w:val="B13A31"/>
    <w:multiLevelType w:val="hybridMultilevel"/>
    <w:lvl w:ilvl="0">
      <w:lvlJc w:val="left"/>
      <w:lvlText w:val="(%1)"/>
      <w:numFmt w:val="lowerLetter"/>
      <w:start w:val="1"/>
    </w:lvl>
    <w:lvl w:ilvl="1">
      <w:lvlJc w:val="left"/>
      <w:lvlText w:val="(%2)"/>
      <w:numFmt w:val="lowerRoman"/>
      <w:start w:val="1"/>
    </w:lvl>
  </w:abstractNum>
  <w:abstractNum w:abstractNumId="167">
    <w:nsid w:val="64429599"/>
    <w:multiLevelType w:val="hybridMultilevel"/>
    <w:lvl w:ilvl="0">
      <w:lvlJc w:val="left"/>
      <w:lvlText w:val="(%1)"/>
      <w:numFmt w:val="lowerLetter"/>
      <w:start w:val="1"/>
    </w:lvl>
  </w:abstractNum>
  <w:abstractNum w:abstractNumId="168">
    <w:nsid w:val="631F1690"/>
    <w:multiLevelType w:val="hybridMultilevel"/>
    <w:lvl w:ilvl="0">
      <w:lvlJc w:val="left"/>
      <w:lvlText w:val="(%1)"/>
      <w:numFmt w:val="lowerLetter"/>
      <w:start w:val="2"/>
    </w:lvl>
  </w:abstractNum>
  <w:abstractNum w:abstractNumId="169">
    <w:nsid w:val="25973E32"/>
    <w:multiLevelType w:val="hybridMultilevel"/>
    <w:lvl w:ilvl="0">
      <w:lvlJc w:val="left"/>
      <w:lvlText w:val="(%1)"/>
      <w:numFmt w:val="lowerLetter"/>
      <w:start w:val="2"/>
    </w:lvl>
  </w:abstractNum>
  <w:abstractNum w:abstractNumId="170">
    <w:nsid w:val="EAD6F57"/>
    <w:multiLevelType w:val="hybridMultilevel"/>
    <w:lvl w:ilvl="0">
      <w:lvlJc w:val="left"/>
      <w:lvlText w:val="(%1)"/>
      <w:numFmt w:val="lowerLetter"/>
      <w:start w:val="2"/>
    </w:lvl>
  </w:abstractNum>
  <w:abstractNum w:abstractNumId="171">
    <w:nsid w:val="6EC9D844"/>
    <w:multiLevelType w:val="hybridMultilevel"/>
    <w:lvl w:ilvl="0">
      <w:lvlJc w:val="left"/>
      <w:lvlText w:val="(%1)"/>
      <w:numFmt w:val="lowerLetter"/>
      <w:start w:val="2"/>
    </w:lvl>
  </w:abstractNum>
  <w:abstractNum w:abstractNumId="172">
    <w:nsid w:val="5C49EAEE"/>
    <w:multiLevelType w:val="hybridMultilevel"/>
    <w:lvl w:ilvl="0">
      <w:lvlJc w:val="left"/>
      <w:lvlText w:val="(%1)"/>
      <w:numFmt w:val="lowerLetter"/>
      <w:start w:val="3"/>
    </w:lvl>
  </w:abstractNum>
  <w:abstractNum w:abstractNumId="173">
    <w:nsid w:val="64AF49B"/>
    <w:multiLevelType w:val="hybridMultilevel"/>
    <w:lvl w:ilvl="0">
      <w:lvlJc w:val="left"/>
      <w:lvlText w:val="(%1)"/>
      <w:numFmt w:val="lowerLetter"/>
      <w:start w:val="1"/>
    </w:lvl>
  </w:abstractNum>
  <w:abstractNum w:abstractNumId="174">
    <w:nsid w:val="397C46BC"/>
    <w:multiLevelType w:val="hybridMultilevel"/>
    <w:lvl w:ilvl="0">
      <w:lvlJc w:val="left"/>
      <w:lvlText w:val="(%1)"/>
      <w:numFmt w:val="lowerLetter"/>
      <w:start w:val="4"/>
    </w:lvl>
  </w:abstractNum>
  <w:abstractNum w:abstractNumId="175">
    <w:nsid w:val="7E448DE9"/>
    <w:multiLevelType w:val="hybridMultilevel"/>
    <w:lvl w:ilvl="0">
      <w:lvlJc w:val="left"/>
      <w:lvlText w:val="(%1)"/>
      <w:numFmt w:val="lowerRoman"/>
      <w:start w:val="2"/>
    </w:lvl>
  </w:abstractNum>
  <w:abstractNum w:abstractNumId="176">
    <w:nsid w:val="5A9CC3E5"/>
    <w:multiLevelType w:val="hybridMultilevel"/>
    <w:lvl w:ilvl="0">
      <w:lvlJc w:val="left"/>
      <w:lvlText w:val="%1."/>
      <w:numFmt w:val="decimal"/>
      <w:start w:val="1"/>
    </w:lvl>
  </w:abstractNum>
  <w:abstractNum w:abstractNumId="177">
    <w:nsid w:val="1AFE3625"/>
    <w:multiLevelType w:val="hybridMultilevel"/>
    <w:lvl w:ilvl="0">
      <w:lvlJc w:val="left"/>
      <w:lvlText w:val="%1."/>
      <w:numFmt w:val="decimal"/>
      <w:start w:val="6"/>
    </w:lvl>
  </w:abstractNum>
  <w:abstractNum w:abstractNumId="178">
    <w:nsid w:val="3CA88ECF"/>
    <w:multiLevelType w:val="hybridMultilevel"/>
    <w:lvl w:ilvl="0">
      <w:lvlJc w:val="left"/>
      <w:lvlText w:val="(%1)"/>
      <w:numFmt w:val="lowerRoman"/>
      <w:start w:val="1"/>
    </w:lvl>
  </w:abstractNum>
  <w:abstractNum w:abstractNumId="179">
    <w:nsid w:val="6EBE4208"/>
    <w:multiLevelType w:val="hybridMultilevel"/>
    <w:lvl w:ilvl="0">
      <w:lvlJc w:val="left"/>
      <w:lvlText w:val="(%1)"/>
      <w:numFmt w:val="lowerRoman"/>
      <w:start w:val="6"/>
    </w:lvl>
  </w:abstractNum>
  <w:abstractNum w:abstractNumId="180">
    <w:nsid w:val="C058DF5"/>
    <w:multiLevelType w:val="hybridMultilevel"/>
    <w:lvl w:ilvl="0">
      <w:lvlJc w:val="left"/>
      <w:lvlText w:val="1"/>
      <w:numFmt w:val="bullet"/>
      <w:start w:val="1"/>
    </w:lvl>
  </w:abstractNum>
  <w:abstractNum w:abstractNumId="181">
    <w:nsid w:val="CBE5BE9"/>
    <w:multiLevelType w:val="hybridMultilevel"/>
    <w:lvl w:ilvl="0">
      <w:lvlJc w:val="left"/>
      <w:lvlText w:val="%1"/>
      <w:numFmt w:val="lowerRoman"/>
      <w:start w:val="1"/>
    </w:lvl>
    <w:lvl w:ilvl="1">
      <w:lvlJc w:val="left"/>
      <w:lvlText w:val="%2."/>
      <w:numFmt w:val="decimal"/>
      <w:start w:val="1"/>
    </w:lvl>
  </w:abstractNum>
  <w:abstractNum w:abstractNumId="182">
    <w:nsid w:val="3102BBE2"/>
    <w:multiLevelType w:val="hybridMultilevel"/>
    <w:lvl w:ilvl="0">
      <w:lvlJc w:val="left"/>
      <w:lvlText w:val="(%1)"/>
      <w:numFmt w:val="lowerRoman"/>
      <w:start w:val="2"/>
    </w:lvl>
    <w:lvl w:ilvl="1">
      <w:lvlJc w:val="left"/>
      <w:lvlText w:val="%2"/>
      <w:numFmt w:val="decimal"/>
      <w:start w:val="1"/>
    </w:lvl>
  </w:abstractNum>
  <w:abstractNum w:abstractNumId="183">
    <w:nsid w:val="26A02C5E"/>
    <w:multiLevelType w:val="hybridMultilevel"/>
    <w:lvl w:ilvl="0">
      <w:lvlJc w:val="left"/>
      <w:lvlText w:val="%1."/>
      <w:numFmt w:val="decimal"/>
      <w:start w:val="4"/>
    </w:lvl>
  </w:abstractNum>
  <w:abstractNum w:abstractNumId="184">
    <w:nsid w:val="541C815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5">
    <w:nsid w:val="67906F60"/>
    <w:multiLevelType w:val="hybridMultilevel"/>
    <w:lvl w:ilvl="0">
      <w:lvlJc w:val="left"/>
      <w:lvlText w:val="1"/>
      <w:numFmt w:val="bullet"/>
      <w:start w:val="1"/>
    </w:lvl>
  </w:abstractNum>
  <w:abstractNum w:abstractNumId="186">
    <w:nsid w:val="10DB9DAA"/>
    <w:multiLevelType w:val="hybridMultilevel"/>
    <w:lvl w:ilvl="0">
      <w:lvlJc w:val="left"/>
      <w:lvlText w:val="2"/>
      <w:numFmt w:val="bullet"/>
      <w:start w:val="1"/>
    </w:lvl>
  </w:abstractNum>
  <w:abstractNum w:abstractNumId="187">
    <w:nsid w:val="697D2D2"/>
    <w:multiLevelType w:val="hybridMultilevel"/>
    <w:lvl w:ilvl="0">
      <w:lvlJc w:val="left"/>
      <w:lvlText w:val="3"/>
      <w:numFmt w:val="bullet"/>
      <w:start w:val="1"/>
    </w:lvl>
  </w:abstractNum>
  <w:abstractNum w:abstractNumId="188">
    <w:nsid w:val="6D68AB2"/>
    <w:multiLevelType w:val="hybridMultilevel"/>
    <w:lvl w:ilvl="0">
      <w:lvlJc w:val="left"/>
      <w:lvlText w:val="4"/>
      <w:numFmt w:val="bullet"/>
      <w:start w:val="1"/>
    </w:lvl>
  </w:abstractNum>
  <w:abstractNum w:abstractNumId="189">
    <w:nsid w:val="3A966CD0"/>
    <w:multiLevelType w:val="hybridMultilevel"/>
    <w:lvl w:ilvl="0">
      <w:lvlJc w:val="left"/>
      <w:lvlText w:val="5"/>
      <w:numFmt w:val="bullet"/>
      <w:start w:val="1"/>
    </w:lvl>
  </w:abstractNum>
  <w:abstractNum w:abstractNumId="190">
    <w:nsid w:val="63F37E85"/>
    <w:multiLevelType w:val="hybridMultilevel"/>
    <w:lvl w:ilvl="0">
      <w:lvlJc w:val="left"/>
      <w:lvlText w:val="%1."/>
      <w:numFmt w:val="decimal"/>
      <w:start w:val="1"/>
    </w:lvl>
  </w:abstractNum>
  <w:abstractNum w:abstractNumId="191">
    <w:nsid w:val="5895F5FA"/>
    <w:multiLevelType w:val="hybridMultilevel"/>
    <w:lvl w:ilvl="0">
      <w:lvlJc w:val="left"/>
      <w:lvlText w:val="1"/>
      <w:numFmt w:val="bullet"/>
      <w:start w:val="1"/>
    </w:lvl>
  </w:abstractNum>
  <w:abstractNum w:abstractNumId="192">
    <w:nsid w:val="38A5D054"/>
    <w:multiLevelType w:val="hybridMultilevel"/>
    <w:lvl w:ilvl="0">
      <w:lvlJc w:val="left"/>
      <w:lvlText w:val="%1."/>
      <w:numFmt w:val="upperLetter"/>
      <w:start w:val="35"/>
    </w:lvl>
    <w:lvl w:ilvl="1">
      <w:lvlJc w:val="left"/>
      <w:lvlText w:val="%2."/>
      <w:numFmt w:val="upperLetter"/>
      <w:start w:val="1"/>
    </w:lvl>
  </w:abstractNum>
  <w:abstractNum w:abstractNumId="193">
    <w:nsid w:val="F3F09D8"/>
    <w:multiLevelType w:val="hybridMultilevel"/>
    <w:lvl w:ilvl="0">
      <w:lvlJc w:val="left"/>
      <w:lvlText w:val="2"/>
      <w:numFmt w:val="bullet"/>
      <w:start w:val="1"/>
    </w:lvl>
  </w:abstractNum>
  <w:abstractNum w:abstractNumId="194">
    <w:nsid w:val="4B793735"/>
    <w:multiLevelType w:val="hybridMultilevel"/>
    <w:lvl w:ilvl="0">
      <w:lvlJc w:val="left"/>
      <w:lvlText w:val="%1."/>
      <w:numFmt w:val="decimal"/>
      <w:start w:val="1"/>
    </w:lvl>
  </w:abstractNum>
  <w:abstractNum w:abstractNumId="195">
    <w:nsid w:val="4A10B4E8"/>
    <w:multiLevelType w:val="hybridMultilevel"/>
    <w:lvl w:ilvl="0">
      <w:lvlJc w:val="left"/>
      <w:lvlText w:val="%1."/>
      <w:numFmt w:val="decimal"/>
      <w:start w:val="1"/>
    </w:lvl>
  </w:abstractNum>
  <w:abstractNum w:abstractNumId="196">
    <w:nsid w:val="43D3BCD4"/>
    <w:multiLevelType w:val="hybridMultilevel"/>
    <w:lvl w:ilvl="0">
      <w:lvlJc w:val="left"/>
      <w:lvlText w:val="%1."/>
      <w:numFmt w:val="decimal"/>
      <w:start w:val="5"/>
    </w:lvl>
  </w:abstractNum>
  <w:abstractNum w:abstractNumId="197">
    <w:nsid w:val="4C2A716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8">
    <w:nsid w:val="2E534A8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99">
    <w:nsid w:val="26F2D364"/>
    <w:multiLevelType w:val="hybridMultilevel"/>
    <w:lvl w:ilvl="0">
      <w:lvlJc w:val="left"/>
      <w:lvlText w:val="%1."/>
      <w:numFmt w:val="decimal"/>
      <w:start w:val="6"/>
    </w:lvl>
    <w:lvl w:ilvl="1">
      <w:lvlJc w:val="left"/>
      <w:lvlText w:val="%2."/>
      <w:numFmt w:val="upperLetter"/>
      <w:start w:val="2"/>
    </w:lvl>
  </w:abstractNum>
  <w:abstractNum w:abstractNumId="200">
    <w:nsid w:val="71C1AF98"/>
    <w:multiLevelType w:val="hybridMultilevel"/>
    <w:lvl w:ilvl="0">
      <w:lvlJc w:val="left"/>
      <w:lvlText w:val="%1."/>
      <w:numFmt w:val="decimal"/>
      <w:start w:val="1"/>
    </w:lvl>
    <w:lvl w:ilvl="1">
      <w:lvlJc w:val="left"/>
      <w:lvlText w:val="%2."/>
      <w:numFmt w:val="decimal"/>
      <w:start w:val="4"/>
    </w:lvl>
  </w:abstractNum>
  <w:abstractNum w:abstractNumId="201">
    <w:nsid w:val="3D00B9D9"/>
    <w:multiLevelType w:val="hybridMultilevel"/>
    <w:lvl w:ilvl="0">
      <w:lvlJc w:val="left"/>
      <w:lvlText w:val="%1."/>
      <w:numFmt w:val="upperLetter"/>
      <w:start w:val="1"/>
    </w:lvl>
  </w:abstractNum>
  <w:abstractNum w:abstractNumId="202">
    <w:nsid w:val="15BCABA8"/>
    <w:multiLevelType w:val="hybridMultilevel"/>
    <w:lvl w:ilvl="0">
      <w:lvlJc w:val="left"/>
      <w:lvlText w:val="%1."/>
      <w:numFmt w:val="upperLetter"/>
      <w:start w:val="2"/>
    </w:lvl>
  </w:abstractNum>
  <w:abstractNum w:abstractNumId="203">
    <w:nsid w:val="4E0B9A87"/>
    <w:multiLevelType w:val="hybridMultilevel"/>
    <w:lvl w:ilvl="0">
      <w:lvlJc w:val="left"/>
      <w:lvlText w:val="%1."/>
      <w:numFmt w:val="decimal"/>
      <w:start w:val="1"/>
    </w:lvl>
    <w:lvl w:ilvl="1">
      <w:lvlJc w:val="left"/>
      <w:lvlText w:val="(%2)"/>
      <w:numFmt w:val="lowerLetter"/>
      <w:start w:val="1"/>
    </w:lvl>
  </w:abstractNum>
  <w:abstractNum w:abstractNumId="204">
    <w:nsid w:val="434BAE75"/>
    <w:multiLevelType w:val="hybridMultilevel"/>
    <w:lvl w:ilvl="0">
      <w:lvlJc w:val="left"/>
      <w:lvlText w:val="%1."/>
      <w:numFmt w:val="decimal"/>
      <w:start w:val="1"/>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242" Type="http://schemas.openxmlformats.org/officeDocument/2006/relationships/image" Target="media/image202.png"/><Relationship Id="rId243" Type="http://schemas.openxmlformats.org/officeDocument/2006/relationships/image" Target="media/image203.png"/><Relationship Id="rId244" Type="http://schemas.openxmlformats.org/officeDocument/2006/relationships/image" Target="media/image204.png"/><Relationship Id="rId245" Type="http://schemas.openxmlformats.org/officeDocument/2006/relationships/image" Target="media/image205.png"/><Relationship Id="rId246" Type="http://schemas.openxmlformats.org/officeDocument/2006/relationships/image" Target="media/image206.png"/><Relationship Id="rId247" Type="http://schemas.openxmlformats.org/officeDocument/2006/relationships/image" Target="media/image207.png"/><Relationship Id="rId248" Type="http://schemas.openxmlformats.org/officeDocument/2006/relationships/image" Target="media/image208.png"/><Relationship Id="rId249" Type="http://schemas.openxmlformats.org/officeDocument/2006/relationships/image" Target="media/image209.png"/><Relationship Id="rId250" Type="http://schemas.openxmlformats.org/officeDocument/2006/relationships/image" Target="media/image210.png"/><Relationship Id="rId251" Type="http://schemas.openxmlformats.org/officeDocument/2006/relationships/image" Target="media/image211.png"/><Relationship Id="rId252" Type="http://schemas.openxmlformats.org/officeDocument/2006/relationships/image" Target="media/image212.png"/><Relationship Id="rId253" Type="http://schemas.openxmlformats.org/officeDocument/2006/relationships/image" Target="media/image213.png"/><Relationship Id="rId254" Type="http://schemas.openxmlformats.org/officeDocument/2006/relationships/image" Target="media/image214.png"/><Relationship Id="rId255" Type="http://schemas.openxmlformats.org/officeDocument/2006/relationships/image" Target="media/image215.png"/><Relationship Id="rId256" Type="http://schemas.openxmlformats.org/officeDocument/2006/relationships/image" Target="media/image216.png"/><Relationship Id="rId257" Type="http://schemas.openxmlformats.org/officeDocument/2006/relationships/image" Target="media/image217.png"/><Relationship Id="rId258" Type="http://schemas.openxmlformats.org/officeDocument/2006/relationships/image" Target="media/image218.png"/><Relationship Id="rId259" Type="http://schemas.openxmlformats.org/officeDocument/2006/relationships/image" Target="media/image219.png"/><Relationship Id="rId260" Type="http://schemas.openxmlformats.org/officeDocument/2006/relationships/image" Target="media/image220.png"/><Relationship Id="rId261" Type="http://schemas.openxmlformats.org/officeDocument/2006/relationships/image" Target="media/image221.png"/><Relationship Id="rId262" Type="http://schemas.openxmlformats.org/officeDocument/2006/relationships/image" Target="media/image222.png"/><Relationship Id="rId263" Type="http://schemas.openxmlformats.org/officeDocument/2006/relationships/image" Target="media/image223.png"/><Relationship Id="rId264" Type="http://schemas.openxmlformats.org/officeDocument/2006/relationships/image" Target="media/image224.png"/><Relationship Id="rId265" Type="http://schemas.openxmlformats.org/officeDocument/2006/relationships/image" Target="media/image225.png"/><Relationship Id="rId266" Type="http://schemas.openxmlformats.org/officeDocument/2006/relationships/image" Target="media/image226.png"/><Relationship Id="rId267" Type="http://schemas.openxmlformats.org/officeDocument/2006/relationships/image" Target="media/image227.png"/><Relationship Id="rId268" Type="http://schemas.openxmlformats.org/officeDocument/2006/relationships/image" Target="media/image228.png"/><Relationship Id="rId269" Type="http://schemas.openxmlformats.org/officeDocument/2006/relationships/image" Target="media/image229.png"/><Relationship Id="rId270" Type="http://schemas.openxmlformats.org/officeDocument/2006/relationships/image" Target="media/image230.png"/><Relationship Id="rId271" Type="http://schemas.openxmlformats.org/officeDocument/2006/relationships/image" Target="media/image231.png"/><Relationship Id="rId272" Type="http://schemas.openxmlformats.org/officeDocument/2006/relationships/image" Target="media/image232.png"/><Relationship Id="rId273" Type="http://schemas.openxmlformats.org/officeDocument/2006/relationships/image" Target="media/image233.png"/><Relationship Id="rId274" Type="http://schemas.openxmlformats.org/officeDocument/2006/relationships/image" Target="media/image234.png"/><Relationship Id="rId275" Type="http://schemas.openxmlformats.org/officeDocument/2006/relationships/image" Target="media/image235.png"/><Relationship Id="rId276" Type="http://schemas.openxmlformats.org/officeDocument/2006/relationships/image" Target="media/image236.png"/><Relationship Id="rId277" Type="http://schemas.openxmlformats.org/officeDocument/2006/relationships/image" Target="media/image237.png"/><Relationship Id="rId278" Type="http://schemas.openxmlformats.org/officeDocument/2006/relationships/image" Target="media/image238.png"/><Relationship Id="rId279" Type="http://schemas.openxmlformats.org/officeDocument/2006/relationships/image" Target="media/image239.png"/><Relationship Id="rId280" Type="http://schemas.openxmlformats.org/officeDocument/2006/relationships/image" Target="media/image240.png"/><Relationship Id="rId281" Type="http://schemas.openxmlformats.org/officeDocument/2006/relationships/image" Target="media/image241.png"/><Relationship Id="rId282" Type="http://schemas.openxmlformats.org/officeDocument/2006/relationships/image" Target="media/image242.png"/><Relationship Id="rId283" Type="http://schemas.openxmlformats.org/officeDocument/2006/relationships/image" Target="media/image243.png"/><Relationship Id="rId284" Type="http://schemas.openxmlformats.org/officeDocument/2006/relationships/image" Target="media/image244.png"/><Relationship Id="rId285" Type="http://schemas.openxmlformats.org/officeDocument/2006/relationships/image" Target="media/image245.png"/><Relationship Id="rId286" Type="http://schemas.openxmlformats.org/officeDocument/2006/relationships/image" Target="media/image246.png"/><Relationship Id="rId287" Type="http://schemas.openxmlformats.org/officeDocument/2006/relationships/image" Target="media/image247.png"/><Relationship Id="rId288" Type="http://schemas.openxmlformats.org/officeDocument/2006/relationships/image" Target="media/image248.png"/><Relationship Id="rId289" Type="http://schemas.openxmlformats.org/officeDocument/2006/relationships/image" Target="media/image249.png"/><Relationship Id="rId290" Type="http://schemas.openxmlformats.org/officeDocument/2006/relationships/image" Target="media/image250.png"/><Relationship Id="rId291" Type="http://schemas.openxmlformats.org/officeDocument/2006/relationships/image" Target="media/image251.png"/><Relationship Id="rId292" Type="http://schemas.openxmlformats.org/officeDocument/2006/relationships/image" Target="media/image252.png"/><Relationship Id="rId293" Type="http://schemas.openxmlformats.org/officeDocument/2006/relationships/image" Target="media/image253.png"/><Relationship Id="rId294" Type="http://schemas.openxmlformats.org/officeDocument/2006/relationships/image" Target="media/image254.png"/><Relationship Id="rId295" Type="http://schemas.openxmlformats.org/officeDocument/2006/relationships/image" Target="media/image255.png"/><Relationship Id="rId296" Type="http://schemas.openxmlformats.org/officeDocument/2006/relationships/image" Target="media/image256.png"/><Relationship Id="rId297" Type="http://schemas.openxmlformats.org/officeDocument/2006/relationships/image" Target="media/image257.png"/><Relationship Id="rId298" Type="http://schemas.openxmlformats.org/officeDocument/2006/relationships/image" Target="media/image258.png"/><Relationship Id="rId299" Type="http://schemas.openxmlformats.org/officeDocument/2006/relationships/image" Target="media/image259.png"/><Relationship Id="rId300" Type="http://schemas.openxmlformats.org/officeDocument/2006/relationships/image" Target="media/image260.png"/><Relationship Id="rId301" Type="http://schemas.openxmlformats.org/officeDocument/2006/relationships/image" Target="media/image261.png"/><Relationship Id="rId302" Type="http://schemas.openxmlformats.org/officeDocument/2006/relationships/image" Target="media/image262.png"/><Relationship Id="rId303" Type="http://schemas.openxmlformats.org/officeDocument/2006/relationships/image" Target="media/image263.png"/><Relationship Id="rId304" Type="http://schemas.openxmlformats.org/officeDocument/2006/relationships/image" Target="media/image264.png"/><Relationship Id="rId305" Type="http://schemas.openxmlformats.org/officeDocument/2006/relationships/image" Target="media/image265.png"/><Relationship Id="rId306" Type="http://schemas.openxmlformats.org/officeDocument/2006/relationships/image" Target="media/image266.png"/><Relationship Id="rId307" Type="http://schemas.openxmlformats.org/officeDocument/2006/relationships/image" Target="media/image267.png"/><Relationship Id="rId308" Type="http://schemas.openxmlformats.org/officeDocument/2006/relationships/image" Target="media/image268.png"/><Relationship Id="rId309" Type="http://schemas.openxmlformats.org/officeDocument/2006/relationships/image" Target="media/image269.png"/><Relationship Id="rId310" Type="http://schemas.openxmlformats.org/officeDocument/2006/relationships/image" Target="media/image270.png"/><Relationship Id="rId311" Type="http://schemas.openxmlformats.org/officeDocument/2006/relationships/image" Target="media/image271.png"/><Relationship Id="rId312" Type="http://schemas.openxmlformats.org/officeDocument/2006/relationships/image" Target="media/image272.png"/><Relationship Id="rId313" Type="http://schemas.openxmlformats.org/officeDocument/2006/relationships/image" Target="media/image273.png"/><Relationship Id="rId314" Type="http://schemas.openxmlformats.org/officeDocument/2006/relationships/image" Target="media/image274.png"/><Relationship Id="rId315" Type="http://schemas.openxmlformats.org/officeDocument/2006/relationships/image" Target="media/image275.png"/><Relationship Id="rId316" Type="http://schemas.openxmlformats.org/officeDocument/2006/relationships/image" Target="media/image276.png"/><Relationship Id="rId317" Type="http://schemas.openxmlformats.org/officeDocument/2006/relationships/image" Target="media/image277.png"/><Relationship Id="rId318" Type="http://schemas.openxmlformats.org/officeDocument/2006/relationships/image" Target="media/image278.png"/><Relationship Id="rId319" Type="http://schemas.openxmlformats.org/officeDocument/2006/relationships/image" Target="media/image279.png"/><Relationship Id="rId320" Type="http://schemas.openxmlformats.org/officeDocument/2006/relationships/image" Target="media/image280.png"/><Relationship Id="rId321" Type="http://schemas.openxmlformats.org/officeDocument/2006/relationships/image" Target="media/image281.png"/><Relationship Id="rId322" Type="http://schemas.openxmlformats.org/officeDocument/2006/relationships/image" Target="media/image282.png"/><Relationship Id="rId323" Type="http://schemas.openxmlformats.org/officeDocument/2006/relationships/image" Target="media/image283.png"/><Relationship Id="rId324" Type="http://schemas.openxmlformats.org/officeDocument/2006/relationships/image" Target="media/image284.png"/><Relationship Id="rId325" Type="http://schemas.openxmlformats.org/officeDocument/2006/relationships/image" Target="media/image285.png"/><Relationship Id="rId326" Type="http://schemas.openxmlformats.org/officeDocument/2006/relationships/image" Target="media/image286.png"/><Relationship Id="rId327" Type="http://schemas.openxmlformats.org/officeDocument/2006/relationships/image" Target="media/image287.png"/><Relationship Id="rId328" Type="http://schemas.openxmlformats.org/officeDocument/2006/relationships/image" Target="media/image288.png"/><Relationship Id="rId329" Type="http://schemas.openxmlformats.org/officeDocument/2006/relationships/image" Target="media/image289.png"/><Relationship Id="rId330" Type="http://schemas.openxmlformats.org/officeDocument/2006/relationships/image" Target="media/image290.png"/><Relationship Id="rId331" Type="http://schemas.openxmlformats.org/officeDocument/2006/relationships/image" Target="media/image291.png"/><Relationship Id="rId332" Type="http://schemas.openxmlformats.org/officeDocument/2006/relationships/image" Target="media/image292.png"/><Relationship Id="rId333" Type="http://schemas.openxmlformats.org/officeDocument/2006/relationships/image" Target="media/image293.png"/><Relationship Id="rId334" Type="http://schemas.openxmlformats.org/officeDocument/2006/relationships/image" Target="media/image294.png"/><Relationship Id="rId335" Type="http://schemas.openxmlformats.org/officeDocument/2006/relationships/image" Target="media/image295.png"/><Relationship Id="rId336" Type="http://schemas.openxmlformats.org/officeDocument/2006/relationships/image" Target="media/image296.png"/><Relationship Id="rId337" Type="http://schemas.openxmlformats.org/officeDocument/2006/relationships/image" Target="media/image297.png"/><Relationship Id="rId338" Type="http://schemas.openxmlformats.org/officeDocument/2006/relationships/image" Target="media/image298.png"/><Relationship Id="rId339" Type="http://schemas.openxmlformats.org/officeDocument/2006/relationships/image" Target="media/image299.png"/><Relationship Id="rId340"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3" Type="http://schemas.openxmlformats.org/officeDocument/2006/relationships/image" Target="media/image303.png"/><Relationship Id="rId344" Type="http://schemas.openxmlformats.org/officeDocument/2006/relationships/image" Target="media/image304.png"/><Relationship Id="rId345" Type="http://schemas.openxmlformats.org/officeDocument/2006/relationships/image" Target="media/image305.png"/><Relationship Id="rId346" Type="http://schemas.openxmlformats.org/officeDocument/2006/relationships/image" Target="media/image306.png"/><Relationship Id="rId347" Type="http://schemas.openxmlformats.org/officeDocument/2006/relationships/image" Target="media/image307.png"/><Relationship Id="rId348" Type="http://schemas.openxmlformats.org/officeDocument/2006/relationships/image" Target="media/image308.png"/><Relationship Id="rId349" Type="http://schemas.openxmlformats.org/officeDocument/2006/relationships/image" Target="media/image309.png"/><Relationship Id="rId350" Type="http://schemas.openxmlformats.org/officeDocument/2006/relationships/image" Target="media/image310.png"/><Relationship Id="rId351" Type="http://schemas.openxmlformats.org/officeDocument/2006/relationships/image" Target="media/image311.png"/><Relationship Id="rId352" Type="http://schemas.openxmlformats.org/officeDocument/2006/relationships/image" Target="media/image312.png"/><Relationship Id="rId353" Type="http://schemas.openxmlformats.org/officeDocument/2006/relationships/image" Target="media/image313.png"/><Relationship Id="rId354" Type="http://schemas.openxmlformats.org/officeDocument/2006/relationships/image" Target="media/image314.png"/><Relationship Id="rId355" Type="http://schemas.openxmlformats.org/officeDocument/2006/relationships/image" Target="media/image315.png"/><Relationship Id="rId356" Type="http://schemas.openxmlformats.org/officeDocument/2006/relationships/image" Target="media/image316.png"/><Relationship Id="rId357" Type="http://schemas.openxmlformats.org/officeDocument/2006/relationships/image" Target="media/image317.png"/><Relationship Id="rId358" Type="http://schemas.openxmlformats.org/officeDocument/2006/relationships/image" Target="media/image318.png"/><Relationship Id="rId359" Type="http://schemas.openxmlformats.org/officeDocument/2006/relationships/image" Target="media/image319.png"/><Relationship Id="rId360" Type="http://schemas.openxmlformats.org/officeDocument/2006/relationships/image" Target="media/image320.png"/><Relationship Id="rId361" Type="http://schemas.openxmlformats.org/officeDocument/2006/relationships/image" Target="media/image321.png"/><Relationship Id="rId362" Type="http://schemas.openxmlformats.org/officeDocument/2006/relationships/image" Target="media/image322.png"/><Relationship Id="rId363" Type="http://schemas.openxmlformats.org/officeDocument/2006/relationships/image" Target="media/image323.png"/><Relationship Id="rId364" Type="http://schemas.openxmlformats.org/officeDocument/2006/relationships/image" Target="media/image324.png"/><Relationship Id="rId365" Type="http://schemas.openxmlformats.org/officeDocument/2006/relationships/image" Target="media/image325.png"/><Relationship Id="rId366" Type="http://schemas.openxmlformats.org/officeDocument/2006/relationships/image" Target="media/image326.png"/><Relationship Id="rId367" Type="http://schemas.openxmlformats.org/officeDocument/2006/relationships/image" Target="media/image327.png"/><Relationship Id="rId368" Type="http://schemas.openxmlformats.org/officeDocument/2006/relationships/image" Target="media/image328.png"/><Relationship Id="rId369" Type="http://schemas.openxmlformats.org/officeDocument/2006/relationships/image" Target="media/image329.png"/><Relationship Id="rId370" Type="http://schemas.openxmlformats.org/officeDocument/2006/relationships/image" Target="media/image330.png"/><Relationship Id="rId371" Type="http://schemas.openxmlformats.org/officeDocument/2006/relationships/image" Target="media/image331.png"/><Relationship Id="rId372" Type="http://schemas.openxmlformats.org/officeDocument/2006/relationships/image" Target="media/image332.png"/><Relationship Id="rId373" Type="http://schemas.openxmlformats.org/officeDocument/2006/relationships/image" Target="media/image333.png"/><Relationship Id="rId374" Type="http://schemas.openxmlformats.org/officeDocument/2006/relationships/image" Target="media/image334.png"/><Relationship Id="rId375" Type="http://schemas.openxmlformats.org/officeDocument/2006/relationships/image" Target="media/image335.png"/><Relationship Id="rId376" Type="http://schemas.openxmlformats.org/officeDocument/2006/relationships/image" Target="media/image336.png"/><Relationship Id="rId377" Type="http://schemas.openxmlformats.org/officeDocument/2006/relationships/image" Target="media/image337.png"/><Relationship Id="rId378" Type="http://schemas.openxmlformats.org/officeDocument/2006/relationships/image" Target="media/image338.png"/><Relationship Id="rId379" Type="http://schemas.openxmlformats.org/officeDocument/2006/relationships/image" Target="media/image339.png"/><Relationship Id="rId380" Type="http://schemas.openxmlformats.org/officeDocument/2006/relationships/image" Target="media/image340.png"/><Relationship Id="rId381" Type="http://schemas.openxmlformats.org/officeDocument/2006/relationships/image" Target="media/image341.png"/><Relationship Id="rId382" Type="http://schemas.openxmlformats.org/officeDocument/2006/relationships/image" Target="media/image342.png"/><Relationship Id="rId383" Type="http://schemas.openxmlformats.org/officeDocument/2006/relationships/image" Target="media/image343.png"/><Relationship Id="rId384" Type="http://schemas.openxmlformats.org/officeDocument/2006/relationships/image" Target="media/image344.png"/><Relationship Id="rId385" Type="http://schemas.openxmlformats.org/officeDocument/2006/relationships/image" Target="media/image345.png"/><Relationship Id="rId386" Type="http://schemas.openxmlformats.org/officeDocument/2006/relationships/image" Target="media/image346.png"/><Relationship Id="rId387" Type="http://schemas.openxmlformats.org/officeDocument/2006/relationships/image" Target="media/image347.png"/><Relationship Id="rId388" Type="http://schemas.openxmlformats.org/officeDocument/2006/relationships/image" Target="media/image348.png"/><Relationship Id="rId389" Type="http://schemas.openxmlformats.org/officeDocument/2006/relationships/image" Target="media/image349.png"/><Relationship Id="rId390" Type="http://schemas.openxmlformats.org/officeDocument/2006/relationships/image" Target="media/image350.png"/><Relationship Id="rId391" Type="http://schemas.openxmlformats.org/officeDocument/2006/relationships/image" Target="media/image351.png"/><Relationship Id="rId392" Type="http://schemas.openxmlformats.org/officeDocument/2006/relationships/image" Target="media/image352.png"/><Relationship Id="rId393" Type="http://schemas.openxmlformats.org/officeDocument/2006/relationships/image" Target="media/image353.png"/><Relationship Id="rId394" Type="http://schemas.openxmlformats.org/officeDocument/2006/relationships/image" Target="media/image354.png"/><Relationship Id="rId395" Type="http://schemas.openxmlformats.org/officeDocument/2006/relationships/image" Target="media/image355.png"/><Relationship Id="rId396" Type="http://schemas.openxmlformats.org/officeDocument/2006/relationships/image" Target="media/image356.png"/><Relationship Id="rId397" Type="http://schemas.openxmlformats.org/officeDocument/2006/relationships/image" Target="media/image357.png"/><Relationship Id="rId398" Type="http://schemas.openxmlformats.org/officeDocument/2006/relationships/image" Target="media/image358.png"/><Relationship Id="rId399" Type="http://schemas.openxmlformats.org/officeDocument/2006/relationships/image" Target="media/image359.png"/><Relationship Id="rId400" Type="http://schemas.openxmlformats.org/officeDocument/2006/relationships/image" Target="media/image360.png"/><Relationship Id="rId401" Type="http://schemas.openxmlformats.org/officeDocument/2006/relationships/image" Target="media/image361.png"/><Relationship Id="rId402" Type="http://schemas.openxmlformats.org/officeDocument/2006/relationships/image" Target="media/image362.png"/><Relationship Id="rId403" Type="http://schemas.openxmlformats.org/officeDocument/2006/relationships/image" Target="media/image363.png"/><Relationship Id="rId404" Type="http://schemas.openxmlformats.org/officeDocument/2006/relationships/image" Target="media/image364.png"/><Relationship Id="rId405" Type="http://schemas.openxmlformats.org/officeDocument/2006/relationships/image" Target="media/image365.png"/><Relationship Id="rId406" Type="http://schemas.openxmlformats.org/officeDocument/2006/relationships/image" Target="media/image366.png"/><Relationship Id="rId407" Type="http://schemas.openxmlformats.org/officeDocument/2006/relationships/image" Target="media/image367.png"/><Relationship Id="rId408" Type="http://schemas.openxmlformats.org/officeDocument/2006/relationships/image" Target="media/image368.png"/><Relationship Id="rId409" Type="http://schemas.openxmlformats.org/officeDocument/2006/relationships/image" Target="media/image369.png"/><Relationship Id="rId410" Type="http://schemas.openxmlformats.org/officeDocument/2006/relationships/image" Target="media/image370.png"/><Relationship Id="rId411" Type="http://schemas.openxmlformats.org/officeDocument/2006/relationships/image" Target="media/image371.png"/><Relationship Id="rId412" Type="http://schemas.openxmlformats.org/officeDocument/2006/relationships/image" Target="media/image372.png"/><Relationship Id="rId413" Type="http://schemas.openxmlformats.org/officeDocument/2006/relationships/image" Target="media/image373.png"/><Relationship Id="rId414" Type="http://schemas.openxmlformats.org/officeDocument/2006/relationships/image" Target="media/image374.png"/><Relationship Id="rId415" Type="http://schemas.openxmlformats.org/officeDocument/2006/relationships/image" Target="media/image375.png"/><Relationship Id="rId416" Type="http://schemas.openxmlformats.org/officeDocument/2006/relationships/image" Target="media/image376.png"/><Relationship Id="rId417" Type="http://schemas.openxmlformats.org/officeDocument/2006/relationships/image" Target="media/image377.png"/><Relationship Id="rId418" Type="http://schemas.openxmlformats.org/officeDocument/2006/relationships/image" Target="media/image378.png"/><Relationship Id="rId419" Type="http://schemas.openxmlformats.org/officeDocument/2006/relationships/image" Target="media/image379.png"/><Relationship Id="rId420" Type="http://schemas.openxmlformats.org/officeDocument/2006/relationships/image" Target="media/image380.png"/><Relationship Id="rId421" Type="http://schemas.openxmlformats.org/officeDocument/2006/relationships/image" Target="media/image381.png"/><Relationship Id="rId422" Type="http://schemas.openxmlformats.org/officeDocument/2006/relationships/image" Target="media/image382.png"/><Relationship Id="rId423" Type="http://schemas.openxmlformats.org/officeDocument/2006/relationships/image" Target="media/image383.png"/><Relationship Id="rId424" Type="http://schemas.openxmlformats.org/officeDocument/2006/relationships/image" Target="media/image384.png"/><Relationship Id="rId425" Type="http://schemas.openxmlformats.org/officeDocument/2006/relationships/image" Target="media/image385.png"/><Relationship Id="rId426" Type="http://schemas.openxmlformats.org/officeDocument/2006/relationships/image" Target="media/image386.png"/><Relationship Id="rId427" Type="http://schemas.openxmlformats.org/officeDocument/2006/relationships/image" Target="media/image387.png"/><Relationship Id="rId428" Type="http://schemas.openxmlformats.org/officeDocument/2006/relationships/image" Target="media/image388.png"/><Relationship Id="rId429" Type="http://schemas.openxmlformats.org/officeDocument/2006/relationships/image" Target="media/image389.png"/><Relationship Id="rId430" Type="http://schemas.openxmlformats.org/officeDocument/2006/relationships/image" Target="media/image390.png"/><Relationship Id="rId431" Type="http://schemas.openxmlformats.org/officeDocument/2006/relationships/image" Target="media/image391.png"/><Relationship Id="rId432" Type="http://schemas.openxmlformats.org/officeDocument/2006/relationships/image" Target="media/image392.png"/><Relationship Id="rId433" Type="http://schemas.openxmlformats.org/officeDocument/2006/relationships/image" Target="media/image393.png"/><Relationship Id="rId434" Type="http://schemas.openxmlformats.org/officeDocument/2006/relationships/image" Target="media/image394.png"/><Relationship Id="rId435" Type="http://schemas.openxmlformats.org/officeDocument/2006/relationships/image" Target="media/image395.png"/><Relationship Id="rId436" Type="http://schemas.openxmlformats.org/officeDocument/2006/relationships/image" Target="media/image396.png"/><Relationship Id="rId437" Type="http://schemas.openxmlformats.org/officeDocument/2006/relationships/image" Target="media/image397.png"/><Relationship Id="rId438" Type="http://schemas.openxmlformats.org/officeDocument/2006/relationships/image" Target="media/image398.png"/><Relationship Id="rId439" Type="http://schemas.openxmlformats.org/officeDocument/2006/relationships/image" Target="media/image399.png"/><Relationship Id="rId440" Type="http://schemas.openxmlformats.org/officeDocument/2006/relationships/image" Target="media/image400.png"/><Relationship Id="rId441" Type="http://schemas.openxmlformats.org/officeDocument/2006/relationships/image" Target="media/image401.png"/><Relationship Id="rId442" Type="http://schemas.openxmlformats.org/officeDocument/2006/relationships/image" Target="media/image402.png"/><Relationship Id="rId443" Type="http://schemas.openxmlformats.org/officeDocument/2006/relationships/image" Target="media/image403.png"/><Relationship Id="rId444" Type="http://schemas.openxmlformats.org/officeDocument/2006/relationships/image" Target="media/image404.png"/><Relationship Id="rId445" Type="http://schemas.openxmlformats.org/officeDocument/2006/relationships/image" Target="media/image405.png"/><Relationship Id="rId446" Type="http://schemas.openxmlformats.org/officeDocument/2006/relationships/image" Target="media/image406.png"/><Relationship Id="rId447" Type="http://schemas.openxmlformats.org/officeDocument/2006/relationships/image" Target="media/image407.png"/><Relationship Id="rId448" Type="http://schemas.openxmlformats.org/officeDocument/2006/relationships/image" Target="media/image408.png"/><Relationship Id="rId449" Type="http://schemas.openxmlformats.org/officeDocument/2006/relationships/image" Target="media/image409.png"/><Relationship Id="rId450" Type="http://schemas.openxmlformats.org/officeDocument/2006/relationships/image" Target="media/image410.png"/><Relationship Id="rId451" Type="http://schemas.openxmlformats.org/officeDocument/2006/relationships/image" Target="media/image411.png"/><Relationship Id="rId452" Type="http://schemas.openxmlformats.org/officeDocument/2006/relationships/image" Target="media/image412.png"/><Relationship Id="rId453" Type="http://schemas.openxmlformats.org/officeDocument/2006/relationships/image" Target="media/image413.png"/><Relationship Id="rId454" Type="http://schemas.openxmlformats.org/officeDocument/2006/relationships/image" Target="media/image414.png"/><Relationship Id="rId455" Type="http://schemas.openxmlformats.org/officeDocument/2006/relationships/image" Target="media/image415.png"/><Relationship Id="rId456" Type="http://schemas.openxmlformats.org/officeDocument/2006/relationships/image" Target="media/image416.png"/><Relationship Id="rId457" Type="http://schemas.openxmlformats.org/officeDocument/2006/relationships/image" Target="media/image417.png"/><Relationship Id="rId458" Type="http://schemas.openxmlformats.org/officeDocument/2006/relationships/image" Target="media/image418.png"/><Relationship Id="rId459" Type="http://schemas.openxmlformats.org/officeDocument/2006/relationships/image" Target="media/image419.png"/><Relationship Id="rId460" Type="http://schemas.openxmlformats.org/officeDocument/2006/relationships/image" Target="media/image420.png"/><Relationship Id="rId461" Type="http://schemas.openxmlformats.org/officeDocument/2006/relationships/image" Target="media/image421.png"/><Relationship Id="rId462" Type="http://schemas.openxmlformats.org/officeDocument/2006/relationships/image" Target="media/image422.png"/><Relationship Id="rId46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505" Type="http://schemas.openxmlformats.org/officeDocument/2006/relationships/image" Target="media/image465.png"/><Relationship Id="rId506" Type="http://schemas.openxmlformats.org/officeDocument/2006/relationships/image" Target="media/image466.png"/><Relationship Id="rId507" Type="http://schemas.openxmlformats.org/officeDocument/2006/relationships/image" Target="media/image467.png"/><Relationship Id="rId508" Type="http://schemas.openxmlformats.org/officeDocument/2006/relationships/image" Target="media/image468.png"/><Relationship Id="rId509" Type="http://schemas.openxmlformats.org/officeDocument/2006/relationships/image" Target="media/image469.png"/><Relationship Id="rId510" Type="http://schemas.openxmlformats.org/officeDocument/2006/relationships/image" Target="media/image470.png"/><Relationship Id="rId511" Type="http://schemas.openxmlformats.org/officeDocument/2006/relationships/image" Target="media/image471.png"/><Relationship Id="rId512" Type="http://schemas.openxmlformats.org/officeDocument/2006/relationships/image" Target="media/image472.png"/><Relationship Id="rId513" Type="http://schemas.openxmlformats.org/officeDocument/2006/relationships/image" Target="media/image473.png"/><Relationship Id="rId514" Type="http://schemas.openxmlformats.org/officeDocument/2006/relationships/image" Target="media/image474.png"/><Relationship Id="rId515" Type="http://schemas.openxmlformats.org/officeDocument/2006/relationships/image" Target="media/image475.png"/><Relationship Id="rId516" Type="http://schemas.openxmlformats.org/officeDocument/2006/relationships/image" Target="media/image476.png"/><Relationship Id="rId517" Type="http://schemas.openxmlformats.org/officeDocument/2006/relationships/image" Target="media/image477.png"/><Relationship Id="rId518" Type="http://schemas.openxmlformats.org/officeDocument/2006/relationships/image" Target="media/image478.png"/><Relationship Id="rId519" Type="http://schemas.openxmlformats.org/officeDocument/2006/relationships/image" Target="media/image479.png"/><Relationship Id="rId520" Type="http://schemas.openxmlformats.org/officeDocument/2006/relationships/image" Target="media/image480.png"/><Relationship Id="rId521" Type="http://schemas.openxmlformats.org/officeDocument/2006/relationships/image" Target="media/image481.png"/><Relationship Id="rId522" Type="http://schemas.openxmlformats.org/officeDocument/2006/relationships/image" Target="media/image482.png"/><Relationship Id="rId523" Type="http://schemas.openxmlformats.org/officeDocument/2006/relationships/image" Target="media/image483.png"/><Relationship Id="rId524" Type="http://schemas.openxmlformats.org/officeDocument/2006/relationships/image" Target="media/image484.png"/><Relationship Id="rId525" Type="http://schemas.openxmlformats.org/officeDocument/2006/relationships/image" Target="media/image485.png"/><Relationship Id="rId526" Type="http://schemas.openxmlformats.org/officeDocument/2006/relationships/image" Target="media/image486.png"/><Relationship Id="rId527" Type="http://schemas.openxmlformats.org/officeDocument/2006/relationships/image" Target="media/image487.png"/><Relationship Id="rId528" Type="http://schemas.openxmlformats.org/officeDocument/2006/relationships/image" Target="media/image488.png"/><Relationship Id="rId529" Type="http://schemas.openxmlformats.org/officeDocument/2006/relationships/image" Target="media/image489.png"/><Relationship Id="rId530" Type="http://schemas.openxmlformats.org/officeDocument/2006/relationships/image" Target="media/image490.png"/><Relationship Id="rId531" Type="http://schemas.openxmlformats.org/officeDocument/2006/relationships/image" Target="media/image491.png"/><Relationship Id="rId532" Type="http://schemas.openxmlformats.org/officeDocument/2006/relationships/image" Target="media/image492.png"/><Relationship Id="rId533" Type="http://schemas.openxmlformats.org/officeDocument/2006/relationships/image" Target="media/image493.png"/><Relationship Id="rId534" Type="http://schemas.openxmlformats.org/officeDocument/2006/relationships/image" Target="media/image494.png"/><Relationship Id="rId535" Type="http://schemas.openxmlformats.org/officeDocument/2006/relationships/image" Target="media/image495.png"/><Relationship Id="rId536" Type="http://schemas.openxmlformats.org/officeDocument/2006/relationships/image" Target="media/image496.png"/><Relationship Id="rId537" Type="http://schemas.openxmlformats.org/officeDocument/2006/relationships/image" Target="media/image497.png"/><Relationship Id="rId538"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1" Type="http://schemas.openxmlformats.org/officeDocument/2006/relationships/image" Target="media/image501.png"/><Relationship Id="rId542" Type="http://schemas.openxmlformats.org/officeDocument/2006/relationships/image" Target="media/image502.png"/><Relationship Id="rId543" Type="http://schemas.openxmlformats.org/officeDocument/2006/relationships/image" Target="media/image503.png"/><Relationship Id="rId544" Type="http://schemas.openxmlformats.org/officeDocument/2006/relationships/image" Target="media/image504.png"/><Relationship Id="rId545" Type="http://schemas.openxmlformats.org/officeDocument/2006/relationships/image" Target="media/image505.png"/><Relationship Id="rId546" Type="http://schemas.openxmlformats.org/officeDocument/2006/relationships/image" Target="media/image506.png"/><Relationship Id="rId547" Type="http://schemas.openxmlformats.org/officeDocument/2006/relationships/image" Target="media/image507.png"/><Relationship Id="rId548" Type="http://schemas.openxmlformats.org/officeDocument/2006/relationships/image" Target="media/image508.png"/><Relationship Id="rId549" Type="http://schemas.openxmlformats.org/officeDocument/2006/relationships/image" Target="media/image509.png"/><Relationship Id="rId550" Type="http://schemas.openxmlformats.org/officeDocument/2006/relationships/image" Target="media/image510.png"/><Relationship Id="rId551" Type="http://schemas.openxmlformats.org/officeDocument/2006/relationships/image" Target="media/image511.png"/><Relationship Id="rId552" Type="http://schemas.openxmlformats.org/officeDocument/2006/relationships/image" Target="media/image512.png"/><Relationship Id="rId553" Type="http://schemas.openxmlformats.org/officeDocument/2006/relationships/image" Target="media/image513.png"/><Relationship Id="rId554" Type="http://schemas.openxmlformats.org/officeDocument/2006/relationships/image" Target="media/image514.png"/><Relationship Id="rId186" Type="http://schemas.openxmlformats.org/officeDocument/2006/relationships/hyperlink" Target="https://www.sec.gov/Archives/edgar/data/1653384/000114420416140270/v454968_ex3-1.htm" TargetMode="External"/><Relationship Id="rId187" Type="http://schemas.openxmlformats.org/officeDocument/2006/relationships/hyperlink" Target="https://www.sec.gov/Archives/edgar/data/1653384/000165338421000016/rgc-20210819ex31cb84ffa.htm" TargetMode="External"/><Relationship Id="rId188" Type="http://schemas.openxmlformats.org/officeDocument/2006/relationships/hyperlink" Target="https://www.sec.gov/Archives/edgar/data/1653384/000165338421000016/rgc-20210819ex32804659c.htm" TargetMode="External"/><Relationship Id="rId189" Type="http://schemas.openxmlformats.org/officeDocument/2006/relationships/hyperlink" Target="https://www.sec.gov/Archives/edgar/data/1653384/000110465920036153/tm2013025-2_ex4x2.htm" TargetMode="External"/><Relationship Id="rId190" Type="http://schemas.openxmlformats.org/officeDocument/2006/relationships/hyperlink" Target="https://www.sec.gov/Archives/edgar/data/1653384/000110465922083650/tm2222036d1_ex4-1.htm" TargetMode="External"/><Relationship Id="rId191" Type="http://schemas.openxmlformats.org/officeDocument/2006/relationships/hyperlink" Target="https://www.sec.gov/Archives/edgar/data/1653384/000110465922083650/tm2222036d1_ex4-2.htm" TargetMode="External"/><Relationship Id="rId192" Type="http://schemas.openxmlformats.org/officeDocument/2006/relationships/hyperlink" Target="https://www.sec.gov/Archives/edgar/data/1653384/000110465922125137/tm2232170d1_ex4-1.htm" TargetMode="External"/><Relationship Id="rId193" Type="http://schemas.openxmlformats.org/officeDocument/2006/relationships/hyperlink" Target="https://www.sec.gov/Archives/edgar/data/1653384/000114420417017282/v462699_ex9-1.htm" TargetMode="External"/><Relationship Id="rId194" Type="http://schemas.openxmlformats.org/officeDocument/2006/relationships/hyperlink" Target="https://www.sec.gov/Archives/edgar/data/1653384/000110465921074326/tm2118010_ex10-1.htm" TargetMode="External"/><Relationship Id="rId195" Type="http://schemas.openxmlformats.org/officeDocument/2006/relationships/hyperlink" Target="https://www.sec.gov/Archives/edgar/data/1653384/000110465925007704/tm254887d1_ex10-1.htm" TargetMode="External"/><Relationship Id="rId196" Type="http://schemas.openxmlformats.org/officeDocument/2006/relationships/hyperlink" Target="https://www.sec.gov/Archives/edgar/data/1653384/000155837021010525/rgc-20210630ex1036bb6e0.htm" TargetMode="External"/><Relationship Id="rId197" Type="http://schemas.openxmlformats.org/officeDocument/2006/relationships/hyperlink" Target="https://www.sec.gov/Archives/edgar/data/1653384/000114420416140270/v454968_ex10-3.htm" TargetMode="External"/><Relationship Id="rId198" Type="http://schemas.openxmlformats.org/officeDocument/2006/relationships/hyperlink" Target="https://www.sec.gov/Archives/edgar/data/1653384/000114420416140270/v454968_ex10-4.htm" TargetMode="External"/><Relationship Id="rId199" Type="http://schemas.openxmlformats.org/officeDocument/2006/relationships/hyperlink" Target="https://www.sec.gov/Archives/edgar/data/1653384/000095017023039764/rway-ex4_1.htm" TargetMode="External"/><Relationship Id="rId200" Type="http://schemas.openxmlformats.org/officeDocument/2006/relationships/hyperlink" Target="https://www.sec.gov/Archives/edgar/data/1653384/000165338421000025/rgc-20211027xex10.htm" TargetMode="External"/><Relationship Id="rId201" Type="http://schemas.openxmlformats.org/officeDocument/2006/relationships/hyperlink" Target="https://www.sec.gov/Archives/edgar/data/1653384/000114420416081404/v428811_ex10-5.htm" TargetMode="External"/><Relationship Id="rId202" Type="http://schemas.openxmlformats.org/officeDocument/2006/relationships/hyperlink" Target="https://www.sec.gov/Archives/edgar/data/1653384/000165338421000019/rgc-20210923xex10.htm" TargetMode="External"/><Relationship Id="rId203" Type="http://schemas.openxmlformats.org/officeDocument/2006/relationships/hyperlink" Target="https://www.sec.gov/Archives/edgar/data/1653384/000114420418066500/tv509942_ex10-1.htm" TargetMode="External"/><Relationship Id="rId204" Type="http://schemas.openxmlformats.org/officeDocument/2006/relationships/hyperlink" Target="https://www.sec.gov/Archives/edgar/data/1653384/000114420419030106/tv523088_ex10-1.htm" TargetMode="External"/><Relationship Id="rId205" Type="http://schemas.openxmlformats.org/officeDocument/2006/relationships/hyperlink" Target="https://www.sec.gov/Archives/edgar/data/1653384/000155837020013679/rgc-20200930xex10d1.htm" TargetMode="External"/><Relationship Id="rId206" Type="http://schemas.openxmlformats.org/officeDocument/2006/relationships/hyperlink" Target="https://www.sec.gov/Archives/edgar/data/1653384/000165338420000004/rgc-20201202ex1019c880b.htm" TargetMode="External"/><Relationship Id="rId207" Type="http://schemas.openxmlformats.org/officeDocument/2006/relationships/hyperlink" Target="https://www.sec.gov/Archives/edgar/data/1653384/000110465921119827/tm2120547d5_ex99-k11.htm" TargetMode="External"/><Relationship Id="rId221" Type="http://schemas.openxmlformats.org/officeDocument/2006/relationships/hyperlink" Target="https://www.sec.gov/Archives/edgar/data/1653384/000155837021010525/rgc-20210630ex102799fdc.htm" TargetMode="External"/><Relationship Id="rId222" Type="http://schemas.openxmlformats.org/officeDocument/2006/relationships/hyperlink" Target="https://www.sec.gov/Archives/edgar/data/1653384/000165338421000028/rgc-20211213xex10.htm" TargetMode="External"/><Relationship Id="rId223" Type="http://schemas.openxmlformats.org/officeDocument/2006/relationships/hyperlink" Target="https://www.sec.gov/Archives/edgar/data/1653384/000110465923045577/tm2312875d1_ex10-1.htm" TargetMode="External"/><Relationship Id="rId224" Type="http://schemas.openxmlformats.org/officeDocument/2006/relationships/hyperlink" Target="https://www.sec.gov/Archives/edgar/data/1653384/000155837022002804/rgc-20211231xex10d17.htm" TargetMode="External"/><Relationship Id="rId225" Type="http://schemas.openxmlformats.org/officeDocument/2006/relationships/hyperlink" Target="https://www.sec.gov/Archives/edgar/data/1653384/000110465922048941/tm2213243d1_ex10-1.htm" TargetMode="External"/><Relationship Id="rId226" Type="http://schemas.openxmlformats.org/officeDocument/2006/relationships/hyperlink" Target="https://www.sec.gov/Archives/edgar/data/1653384/000110465923002333/tm232751d1_ex10-1.htm" TargetMode="External"/><Relationship Id="rId227" Type="http://schemas.openxmlformats.org/officeDocument/2006/relationships/hyperlink" Target="https://www.sec.gov/Archives/edgar/data/1653384/000110465925025185/rway-20250318xex99dk17.htm" TargetMode="External"/><Relationship Id="rId228" Type="http://schemas.openxmlformats.org/officeDocument/2006/relationships/hyperlink" Target="https://www.sec.gov/Archives/edgar/data/1653384/000110465923124036/tm2332294d1_ex10-1.htm" TargetMode="External"/><Relationship Id="rId229" Type="http://schemas.openxmlformats.org/officeDocument/2006/relationships/hyperlink" Target="https://www.sec.gov/Archives/edgar/data/1653384/000110465923124036/tm2332294d1_ex10-2.htm" TargetMode="External"/><Relationship Id="rId230" Type="http://schemas.openxmlformats.org/officeDocument/2006/relationships/hyperlink" Target="https://www.sec.gov/Archives/edgar/data/1653384/000110465925025185/rway-20250318xex99dk18.htm" TargetMode="External"/><Relationship Id="rId231" Type="http://schemas.openxmlformats.org/officeDocument/2006/relationships/hyperlink" Target="https://www.sec.gov/Archives/edgar/data/1653384/000110465925007261/tm254820d1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2025-03-20T15:17:47Z</dcterms:created>
  <dcterms:modified xsi:type="dcterms:W3CDTF">2025-03-20T15:17:47Z</dcterms:modified>
</cp:coreProperties>
</file>