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68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2300" w:right="380" w:hanging="1196"/>
        <w:spacing w:after="0" w:line="261" w:lineRule="auto"/>
        <w:tabs>
          <w:tab w:leader="none" w:pos="23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25" w:lineRule="exact"/>
        <w:rPr>
          <w:sz w:val="24"/>
          <w:szCs w:val="24"/>
          <w:color w:val="auto"/>
        </w:rPr>
      </w:pPr>
    </w:p>
    <w:p>
      <w:pPr>
        <w:ind w:left="2300" w:right="380" w:hanging="1232"/>
        <w:spacing w:after="0" w:line="282" w:lineRule="auto"/>
        <w:tabs>
          <w:tab w:leader="none" w:pos="23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814-01180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Runway Growth Credit Fund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8"/>
              </w:rPr>
              <w:t>Maryland</w:t>
            </w:r>
          </w:p>
        </w:tc>
        <w:tc>
          <w:tcPr>
            <w:tcW w:w="5300" w:type="dxa"/>
            <w:vAlign w:val="bottom"/>
          </w:tcPr>
          <w:p>
            <w:pPr>
              <w:jc w:val="right"/>
              <w:ind w:right="790"/>
              <w:spacing w:after="0"/>
              <w:rPr>
                <w:sz w:val="20"/>
                <w:szCs w:val="20"/>
                <w:color w:val="auto"/>
              </w:rPr>
            </w:pPr>
            <w:r>
              <w:rPr>
                <w:rFonts w:ascii="Arial" w:cs="Arial" w:eastAsia="Arial" w:hAnsi="Arial"/>
                <w:sz w:val="18"/>
                <w:szCs w:val="18"/>
                <w:b w:val="1"/>
                <w:bCs w:val="1"/>
                <w:color w:val="auto"/>
              </w:rPr>
              <w:t>47-5049745</w:t>
            </w:r>
          </w:p>
        </w:tc>
      </w:tr>
      <w:tr>
        <w:trPr>
          <w:trHeight w:val="23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2"/>
              </w:rPr>
              <w:t>(State of incorporation)</w:t>
            </w:r>
          </w:p>
        </w:tc>
        <w:tc>
          <w:tcPr>
            <w:tcW w:w="5300" w:type="dxa"/>
            <w:vAlign w:val="bottom"/>
          </w:tcPr>
          <w:p>
            <w:pPr>
              <w:jc w:val="center"/>
              <w:ind w:left="25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205 N. Michigan Ave., Suite 4200</w:t>
            </w:r>
          </w:p>
        </w:tc>
        <w:tc>
          <w:tcPr>
            <w:tcW w:w="5300" w:type="dxa"/>
            <w:vAlign w:val="bottom"/>
          </w:tcPr>
          <w:p>
            <w:pPr>
              <w:spacing w:after="0"/>
              <w:rPr>
                <w:sz w:val="24"/>
                <w:szCs w:val="24"/>
                <w:color w:val="auto"/>
              </w:rPr>
            </w:pPr>
          </w:p>
        </w:tc>
      </w:tr>
      <w:tr>
        <w:trPr>
          <w:trHeight w:val="220"/>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Chicago, IL</w:t>
            </w:r>
          </w:p>
        </w:tc>
        <w:tc>
          <w:tcPr>
            <w:tcW w:w="5300" w:type="dxa"/>
            <w:vAlign w:val="bottom"/>
          </w:tcPr>
          <w:p>
            <w:pPr>
              <w:jc w:val="right"/>
              <w:ind w:right="990"/>
              <w:spacing w:after="0"/>
              <w:rPr>
                <w:sz w:val="20"/>
                <w:szCs w:val="20"/>
                <w:color w:val="auto"/>
              </w:rPr>
            </w:pPr>
            <w:r>
              <w:rPr>
                <w:rFonts w:ascii="Arial" w:cs="Arial" w:eastAsia="Arial" w:hAnsi="Arial"/>
                <w:sz w:val="18"/>
                <w:szCs w:val="18"/>
                <w:b w:val="1"/>
                <w:bCs w:val="1"/>
                <w:color w:val="auto"/>
              </w:rPr>
              <w:t>60601</w:t>
            </w:r>
          </w:p>
        </w:tc>
      </w:tr>
      <w:tr>
        <w:trPr>
          <w:trHeight w:val="23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2"/>
              </w:rPr>
              <w:t>(Address of principal executive offices)</w:t>
            </w:r>
          </w:p>
        </w:tc>
        <w:tc>
          <w:tcPr>
            <w:tcW w:w="5300" w:type="dxa"/>
            <w:vAlign w:val="bottom"/>
          </w:tcPr>
          <w:p>
            <w:pPr>
              <w:jc w:val="center"/>
              <w:ind w:left="2570"/>
              <w:spacing w:after="0"/>
              <w:rPr>
                <w:sz w:val="20"/>
                <w:szCs w:val="20"/>
                <w:color w:val="auto"/>
              </w:rPr>
            </w:pPr>
            <w:r>
              <w:rPr>
                <w:rFonts w:ascii="Arial" w:cs="Arial" w:eastAsia="Arial" w:hAnsi="Arial"/>
                <w:sz w:val="18"/>
                <w:szCs w:val="18"/>
                <w:color w:val="auto"/>
                <w:w w:val="94"/>
              </w:rPr>
              <w:t>(Zip Code)</w:t>
            </w:r>
          </w:p>
        </w:tc>
      </w:tr>
      <w:tr>
        <w:trPr>
          <w:trHeight w:val="432"/>
        </w:trPr>
        <w:tc>
          <w:tcPr>
            <w:tcW w:w="3320" w:type="dxa"/>
            <w:vAlign w:val="bottom"/>
          </w:tcPr>
          <w:p>
            <w:pPr>
              <w:spacing w:after="0"/>
              <w:rPr>
                <w:sz w:val="24"/>
                <w:szCs w:val="24"/>
                <w:color w:val="auto"/>
              </w:rPr>
            </w:pPr>
          </w:p>
        </w:tc>
        <w:tc>
          <w:tcPr>
            <w:tcW w:w="5300" w:type="dxa"/>
            <w:vAlign w:val="bottom"/>
          </w:tcPr>
          <w:p>
            <w:pPr>
              <w:jc w:val="right"/>
              <w:ind w:right="3630"/>
              <w:spacing w:after="0"/>
              <w:rPr>
                <w:sz w:val="20"/>
                <w:szCs w:val="20"/>
                <w:color w:val="auto"/>
              </w:rPr>
            </w:pPr>
            <w:r>
              <w:rPr>
                <w:rFonts w:ascii="Arial" w:cs="Arial" w:eastAsia="Arial" w:hAnsi="Arial"/>
                <w:sz w:val="18"/>
                <w:szCs w:val="18"/>
                <w:b w:val="1"/>
                <w:bCs w:val="1"/>
                <w:color w:val="auto"/>
              </w:rPr>
              <w:t>(312) 281-6270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783" w:right="239" w:bottom="1440" w:gutter="0" w:footer="0" w:header="0"/>
        </w:sectPr>
      </w:pPr>
    </w:p>
    <w:p>
      <w:pPr>
        <w:spacing w:after="0" w:line="2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right="760"/>
        <w:spacing w:after="0" w:line="282" w:lineRule="auto"/>
        <w:rPr>
          <w:sz w:val="20"/>
          <w:szCs w:val="20"/>
          <w:color w:val="auto"/>
        </w:rPr>
      </w:pPr>
      <w:r>
        <w:rPr>
          <w:rFonts w:ascii="Arial" w:cs="Arial" w:eastAsia="Arial" w:hAnsi="Arial"/>
          <w:sz w:val="18"/>
          <w:szCs w:val="18"/>
          <w:b w:val="1"/>
          <w:bCs w:val="1"/>
          <w:color w:val="auto"/>
        </w:rPr>
        <w:t xml:space="preserve">Name of each exchange on which registered </w:t>
      </w:r>
      <w:r>
        <w:rPr>
          <w:rFonts w:ascii="Arial" w:cs="Arial" w:eastAsia="Arial" w:hAnsi="Arial"/>
          <w:sz w:val="18"/>
          <w:szCs w:val="18"/>
          <w:color w:val="auto"/>
        </w:rPr>
        <w:t>N/A</w:t>
      </w:r>
    </w:p>
    <w:p>
      <w:pPr>
        <w:spacing w:after="0" w:line="166" w:lineRule="exact"/>
        <w:rPr>
          <w:sz w:val="24"/>
          <w:szCs w:val="24"/>
          <w:color w:val="auto"/>
        </w:rPr>
      </w:pPr>
    </w:p>
    <w:p>
      <w:pPr>
        <w:sectPr>
          <w:pgSz w:w="11900" w:h="16838" w:orient="portrait"/>
          <w:cols w:equalWidth="0" w:num="3">
            <w:col w:w="2940" w:space="720"/>
            <w:col w:w="2940" w:space="720"/>
            <w:col w:w="4100"/>
          </w:cols>
          <w:pgMar w:left="240" w:top="783" w:right="239" w:bottom="1440" w:gutter="0" w:footer="0" w:header="0"/>
          <w:type w:val="continuous"/>
        </w:sect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83" w:right="239" w:bottom="1440" w:gutter="0" w:footer="0" w:header="0"/>
          <w:type w:val="continuous"/>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9" w:lineRule="exact"/>
        <w:rPr>
          <w:sz w:val="24"/>
          <w:szCs w:val="24"/>
          <w:color w:val="auto"/>
        </w:rPr>
      </w:pPr>
    </w:p>
    <w:p>
      <w:pPr>
        <w:sectPr>
          <w:pgSz w:w="11900" w:h="16838" w:orient="portrait"/>
          <w:cols w:equalWidth="0" w:num="2">
            <w:col w:w="5000" w:space="720"/>
            <w:col w:w="5700"/>
          </w:cols>
          <w:pgMar w:left="240" w:top="783"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783" w:right="239" w:bottom="1440" w:gutter="0" w:footer="0" w:header="0"/>
          <w:type w:val="continuous"/>
        </w:sectPr>
      </w:pPr>
    </w:p>
    <w:p>
      <w:pPr>
        <w:spacing w:after="0" w:line="281"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issuer had 19,800,052 shares of common stock, $0.01 par value per share, outstanding as of August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40" w:type="dxa"/>
            <w:vAlign w:val="bottom"/>
            <w:gridSpan w:val="11"/>
          </w:tcPr>
          <w:p>
            <w:pPr>
              <w:jc w:val="center"/>
              <w:ind w:right="2960"/>
              <w:spacing w:after="0"/>
              <w:rPr>
                <w:sz w:val="20"/>
                <w:szCs w:val="20"/>
                <w:color w:val="auto"/>
              </w:rPr>
            </w:pPr>
            <w:r>
              <w:rPr>
                <w:rFonts w:ascii="Arial" w:cs="Arial" w:eastAsia="Arial" w:hAnsi="Arial"/>
                <w:sz w:val="18"/>
                <w:szCs w:val="18"/>
                <w:b w:val="1"/>
                <w:bCs w:val="1"/>
                <w:color w:val="auto"/>
              </w:rPr>
              <w:t>RUNWAY GROWTH CREDIT FUND INC.</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60" w:type="dxa"/>
            <w:vAlign w:val="bottom"/>
            <w:gridSpan w:val="14"/>
          </w:tcPr>
          <w:p>
            <w:pPr>
              <w:jc w:val="center"/>
              <w:ind w:right="2360"/>
              <w:spacing w:after="0"/>
              <w:rPr>
                <w:sz w:val="20"/>
                <w:szCs w:val="20"/>
                <w:color w:val="auto"/>
              </w:rPr>
            </w:pPr>
            <w:r>
              <w:rPr>
                <w:rFonts w:ascii="Arial" w:cs="Arial" w:eastAsia="Arial" w:hAnsi="Arial"/>
                <w:sz w:val="18"/>
                <w:szCs w:val="18"/>
                <w:b w:val="1"/>
                <w:bCs w:val="1"/>
                <w:color w:val="auto"/>
                <w:w w:val="97"/>
              </w:rPr>
              <w:t>FORM 10-Q FOR THE QUARTER ENDED JUNE 30, 2019</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20" w:type="dxa"/>
            <w:vAlign w:val="bottom"/>
            <w:gridSpan w:val="9"/>
          </w:tcPr>
          <w:p>
            <w:pPr>
              <w:jc w:val="center"/>
              <w:ind w:right="4180"/>
              <w:spacing w:after="0"/>
              <w:rPr>
                <w:sz w:val="20"/>
                <w:szCs w:val="20"/>
                <w:color w:val="auto"/>
              </w:rPr>
            </w:pPr>
            <w:r>
              <w:rPr>
                <w:rFonts w:ascii="Arial" w:cs="Arial" w:eastAsia="Arial" w:hAnsi="Arial"/>
                <w:sz w:val="18"/>
                <w:szCs w:val="18"/>
                <w:b w:val="1"/>
                <w:bCs w:val="1"/>
                <w:color w:val="auto"/>
                <w:w w:val="89"/>
              </w:rPr>
              <w:t>Table of Contents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3"/>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160" w:type="dxa"/>
            <w:vAlign w:val="bottom"/>
            <w:gridSpan w:val="8"/>
          </w:tcPr>
          <w:p>
            <w:pPr>
              <w:ind w:left="200"/>
              <w:spacing w:after="0"/>
              <w:rPr>
                <w:sz w:val="20"/>
                <w:szCs w:val="20"/>
                <w:color w:val="auto"/>
              </w:rPr>
            </w:pPr>
            <w:r>
              <w:rPr>
                <w:rFonts w:ascii="Arial" w:cs="Arial" w:eastAsia="Arial" w:hAnsi="Arial"/>
                <w:sz w:val="18"/>
                <w:szCs w:val="18"/>
                <w:b w:val="1"/>
                <w:bCs w:val="1"/>
                <w:color w:val="auto"/>
              </w:rPr>
              <w:t>INDEX</w:t>
            </w:r>
          </w:p>
        </w:tc>
        <w:tc>
          <w:tcPr>
            <w:tcW w:w="8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9"/>
              </w:rPr>
              <w:t>NO.</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24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24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4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Statements of Assets and Liabilities as of June 30, 2019 (unaudited) and December 31, 2018</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4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Operations for the three and six months ended June 30, 2019 and 2018 (unaudited)</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40" w:type="dxa"/>
            <w:vAlign w:val="bottom"/>
            <w:gridSpan w:val="20"/>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Statements of Changes in Net Assets for the three and six months ended June 30, 2019 and 2018 (unaudited)</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40" w:type="dxa"/>
            <w:vAlign w:val="bottom"/>
            <w:gridSpan w:val="20"/>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Statements of Cash Flows for the six months ended June 30, 2019 and 2018 (unaudited)</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40" w:type="dxa"/>
            <w:vAlign w:val="bottom"/>
            <w:gridSpan w:val="20"/>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Schedule of Investments as of June 30, 2019 (unaudited)</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40" w:type="dxa"/>
            <w:vAlign w:val="bottom"/>
            <w:gridSpan w:val="20"/>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Schedule of Investments as of December 31, 2018</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40" w:type="dxa"/>
            <w:vAlign w:val="bottom"/>
            <w:gridSpan w:val="20"/>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Notes to Financial Statements (unaudited)</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2.</w:t>
              </w:r>
            </w:hyperlink>
          </w:p>
        </w:tc>
        <w:tc>
          <w:tcPr>
            <w:tcW w:w="9240" w:type="dxa"/>
            <w:vAlign w:val="bottom"/>
            <w:gridSpan w:val="20"/>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Item 3.</w:t>
              </w:r>
            </w:hyperlink>
          </w:p>
        </w:tc>
        <w:tc>
          <w:tcPr>
            <w:tcW w:w="9240" w:type="dxa"/>
            <w:vAlign w:val="bottom"/>
            <w:gridSpan w:val="20"/>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Quantitative and Qualitative Disclosures About Market Risk</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56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Item 4.</w:t>
              </w:r>
            </w:hyperlink>
          </w:p>
        </w:tc>
        <w:tc>
          <w:tcPr>
            <w:tcW w:w="9240" w:type="dxa"/>
            <w:vAlign w:val="bottom"/>
            <w:gridSpan w:val="20"/>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Controls and Procedures</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PART II.</w:t>
              </w:r>
            </w:hyperlink>
          </w:p>
        </w:tc>
        <w:tc>
          <w:tcPr>
            <w:tcW w:w="924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OTHER INFORMATION</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Item 1.</w:t>
              </w:r>
            </w:hyperlink>
          </w:p>
        </w:tc>
        <w:tc>
          <w:tcPr>
            <w:tcW w:w="9240" w:type="dxa"/>
            <w:vAlign w:val="bottom"/>
            <w:gridSpan w:val="20"/>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Legal Proceedings</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Item 1A.</w:t>
              </w:r>
            </w:hyperlink>
          </w:p>
        </w:tc>
        <w:tc>
          <w:tcPr>
            <w:tcW w:w="9240" w:type="dxa"/>
            <w:vAlign w:val="bottom"/>
            <w:gridSpan w:val="20"/>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Risk Factors</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Item 2.</w:t>
              </w:r>
            </w:hyperlink>
          </w:p>
        </w:tc>
        <w:tc>
          <w:tcPr>
            <w:tcW w:w="9240" w:type="dxa"/>
            <w:vAlign w:val="bottom"/>
            <w:gridSpan w:val="20"/>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Unregistered Sales of Equity Securities and Use of Proceeds</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Item 3.</w:t>
              </w:r>
            </w:hyperlink>
          </w:p>
        </w:tc>
        <w:tc>
          <w:tcPr>
            <w:tcW w:w="9240" w:type="dxa"/>
            <w:vAlign w:val="bottom"/>
            <w:gridSpan w:val="20"/>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Defaults Upon Senior Securities</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Item 4.</w:t>
              </w:r>
            </w:hyperlink>
          </w:p>
        </w:tc>
        <w:tc>
          <w:tcPr>
            <w:tcW w:w="9240" w:type="dxa"/>
            <w:vAlign w:val="bottom"/>
            <w:gridSpan w:val="20"/>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Mine Safety Disclosures</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5.</w:t>
              </w:r>
            </w:hyperlink>
          </w:p>
        </w:tc>
        <w:tc>
          <w:tcPr>
            <w:tcW w:w="9240" w:type="dxa"/>
            <w:vAlign w:val="bottom"/>
            <w:gridSpan w:val="20"/>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6.</w:t>
              </w:r>
            </w:hyperlink>
          </w:p>
        </w:tc>
        <w:tc>
          <w:tcPr>
            <w:tcW w:w="9240" w:type="dxa"/>
            <w:vAlign w:val="bottom"/>
            <w:gridSpan w:val="20"/>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SIGNATURES</w:t>
              </w:r>
            </w:hyperlink>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9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40" w:type="dxa"/>
            <w:vAlign w:val="bottom"/>
          </w:tcPr>
          <w:p>
            <w:pPr>
              <w:jc w:val="center"/>
              <w:ind w:left="2970"/>
              <w:spacing w:after="0"/>
              <w:rPr>
                <w:sz w:val="20"/>
                <w:szCs w:val="20"/>
                <w:color w:val="auto"/>
              </w:rPr>
            </w:pPr>
            <w:r>
              <w:rPr>
                <w:rFonts w:ascii="Arial" w:cs="Arial" w:eastAsia="Arial" w:hAnsi="Arial"/>
                <w:sz w:val="18"/>
                <w:szCs w:val="18"/>
                <w:b w:val="1"/>
                <w:bCs w:val="1"/>
                <w:color w:val="auto"/>
              </w:rPr>
              <w:t>RUNWAY GROWTH CREDIT FUND INC.</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40" w:type="dxa"/>
            <w:vAlign w:val="bottom"/>
          </w:tcPr>
          <w:p>
            <w:pPr>
              <w:jc w:val="center"/>
              <w:ind w:left="2970"/>
              <w:spacing w:after="0"/>
              <w:rPr>
                <w:sz w:val="20"/>
                <w:szCs w:val="20"/>
                <w:color w:val="auto"/>
              </w:rPr>
            </w:pPr>
            <w:r>
              <w:rPr>
                <w:rFonts w:ascii="Arial" w:cs="Arial" w:eastAsia="Arial" w:hAnsi="Arial"/>
                <w:sz w:val="18"/>
                <w:szCs w:val="18"/>
                <w:b w:val="1"/>
                <w:bCs w:val="1"/>
                <w:color w:val="auto"/>
                <w:w w:val="88"/>
              </w:rPr>
              <w:t>Statements of Assets and Liabilities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Non-control/non-affiliate investments at fair value (cost of $285,117,028 and $223,851,892, respectively)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280,025,894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224,248,389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Pr>
          <w:p>
            <w:pPr>
              <w:ind w:left="280"/>
              <w:spacing w:after="0"/>
              <w:rPr>
                <w:sz w:val="20"/>
                <w:szCs w:val="20"/>
                <w:color w:val="auto"/>
              </w:rPr>
            </w:pPr>
            <w:r>
              <w:rPr>
                <w:rFonts w:ascii="Arial" w:cs="Arial" w:eastAsia="Arial" w:hAnsi="Arial"/>
                <w:sz w:val="18"/>
                <w:szCs w:val="18"/>
                <w:color w:val="auto"/>
              </w:rPr>
              <w:t>Investment in U.S. Treasury Bills at fair value (cost of $85,980,815 and $79,959,928, respectively)</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85,980,815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79,959,928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investments at fair value (cost of $371,097,893 and $303,811,820, respectively)</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366,006,709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304,208,317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14,326,032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2,527,474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281,487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Subscriptions receivable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7,036,800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1,405,405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Deferred credit facility fees (net of accumulated amortization of $18,470 and $82,648, respectively)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1,089,726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129,759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receivable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510,765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137,694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120,064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390,794,618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308,484,133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Payable for securities purchased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Reverse repurchase agreement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85,526,546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79,560,129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 facilities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Accrued incentive fees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3,412,872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1,071,566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payable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8,894,083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Due to affiliate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102,237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116,697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payable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475,125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388,666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98,458,378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140,981,738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 and contingencies (Note 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tcPr>
          <w:p>
            <w:pPr>
              <w:ind w:left="180"/>
              <w:spacing w:after="0" w:line="201" w:lineRule="exact"/>
              <w:rPr>
                <w:sz w:val="20"/>
                <w:szCs w:val="20"/>
                <w:color w:val="auto"/>
              </w:rPr>
            </w:pPr>
            <w:r>
              <w:rPr>
                <w:rFonts w:ascii="Arial" w:cs="Arial" w:eastAsia="Arial" w:hAnsi="Arial"/>
                <w:sz w:val="18"/>
                <w:szCs w:val="18"/>
                <w:color w:val="auto"/>
                <w:w w:val="91"/>
              </w:rPr>
              <w:t>Common stock, $0.01 par value; 100,000,000 shares authorized; 19,800,052 and 11,056,595 shares issued and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outstanding, respectively</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198,001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110,566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295,130,188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162,568,188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Distributable (losses) earnings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(2,991,949)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4,690,641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net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292,336,240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167,369,395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See notes to financial statements.</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340" w:type="dxa"/>
            <w:vAlign w:val="bottom"/>
            <w:tcBorders>
              <w:bottom w:val="single" w:sz="8" w:color="auto"/>
            </w:tcBorders>
          </w:tcPr>
          <w:p>
            <w:pPr>
              <w:jc w:val="center"/>
              <w:ind w:left="2950"/>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6"/>
          </w:tcPr>
          <w:p>
            <w:pPr>
              <w:ind w:left="200"/>
              <w:spacing w:after="0"/>
              <w:rPr>
                <w:sz w:val="20"/>
                <w:szCs w:val="20"/>
                <w:color w:val="auto"/>
              </w:rPr>
            </w:pPr>
            <w:r>
              <w:rPr>
                <w:rFonts w:ascii="Arial" w:cs="Arial" w:eastAsia="Arial" w:hAnsi="Arial"/>
                <w:sz w:val="18"/>
                <w:szCs w:val="18"/>
                <w:b w:val="1"/>
                <w:bCs w:val="1"/>
                <w:color w:val="auto"/>
                <w:w w:val="94"/>
              </w:rPr>
              <w:t>Three Months Ended June 30,</w:t>
            </w:r>
          </w:p>
        </w:tc>
        <w:tc>
          <w:tcPr>
            <w:tcW w:w="2920" w:type="dxa"/>
            <w:vAlign w:val="bottom"/>
            <w:gridSpan w:val="8"/>
          </w:tcPr>
          <w:p>
            <w:pPr>
              <w:ind w:left="12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From non-control/non-affiliate:</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15,711,234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4,182,828</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27,585,195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Payment in-kind interest income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388,046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562,347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247,729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Interest income from U.S. Treasury Bills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57,628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20,804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97,700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60,144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income from non-investment sources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151,264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investment income</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16,395,990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4,409,042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28,546,319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7,779,613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 fees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1,203,125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1,203,125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2,406,250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2,406,250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Incentive fees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2,734,626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4,615,995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fees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484,503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344,086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92,905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44,486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248,483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Overhead allocation expense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417,661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Administration fee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103,291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41,158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284,865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98,303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Directors’ fees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22,831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62,161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 expense</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Consulting fees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19,775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47,195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432,457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5,025,981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1,760,814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9,102,284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3,451,661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11,370,009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2,648,228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19,444,035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904" w:right="239" w:bottom="1440" w:gutter="0" w:footer="0" w:header="0"/>
        </w:sectPr>
      </w:pPr>
    </w:p>
    <w:p>
      <w:pPr>
        <w:ind w:left="180" w:right="1340" w:hanging="179"/>
        <w:spacing w:after="0" w:line="293" w:lineRule="auto"/>
        <w:rPr>
          <w:sz w:val="20"/>
          <w:szCs w:val="20"/>
          <w:color w:val="auto"/>
        </w:rPr>
      </w:pPr>
      <w:r>
        <w:rPr>
          <w:rFonts w:ascii="Arial" w:cs="Arial" w:eastAsia="Arial" w:hAnsi="Arial"/>
          <w:sz w:val="16"/>
          <w:szCs w:val="16"/>
          <w:b w:val="1"/>
          <w:bCs w:val="1"/>
          <w:color w:val="auto"/>
        </w:rPr>
        <w:t xml:space="preserve">Realized and unrealized gain (loss) on investments </w:t>
      </w:r>
      <w:r>
        <w:rPr>
          <w:rFonts w:ascii="Arial" w:cs="Arial" w:eastAsia="Arial" w:hAnsi="Arial"/>
          <w:sz w:val="16"/>
          <w:szCs w:val="16"/>
          <w:color w:val="auto"/>
        </w:rPr>
        <w:t>Realized gain on non-control/non-affiliate investments</w:t>
      </w:r>
    </w:p>
    <w:p>
      <w:pPr>
        <w:spacing w:after="0" w:line="1" w:lineRule="exact"/>
        <w:rPr>
          <w:sz w:val="20"/>
          <w:szCs w:val="20"/>
          <w:color w:val="auto"/>
        </w:rPr>
      </w:pPr>
    </w:p>
    <w:p>
      <w:pPr>
        <w:ind w:left="360" w:hanging="179"/>
        <w:spacing w:after="0" w:line="258" w:lineRule="auto"/>
        <w:rPr>
          <w:sz w:val="20"/>
          <w:szCs w:val="20"/>
          <w:color w:val="auto"/>
        </w:rPr>
      </w:pPr>
      <w:r>
        <w:rPr>
          <w:rFonts w:ascii="Arial" w:cs="Arial" w:eastAsia="Arial" w:hAnsi="Arial"/>
          <w:sz w:val="18"/>
          <w:szCs w:val="18"/>
          <w:color w:val="auto"/>
        </w:rPr>
        <w:t>Net change in unrealized appreciation (depreciation) on non-control/non-affiliate investments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and unrealized gain (loss) on investments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jc w:val="right"/>
              <w:spacing w:after="0"/>
              <w:rPr>
                <w:sz w:val="20"/>
                <w:szCs w:val="20"/>
                <w:color w:val="auto"/>
              </w:rPr>
            </w:pPr>
            <w:r>
              <w:rPr>
                <w:rFonts w:ascii="Arial" w:cs="Arial" w:eastAsia="Arial" w:hAnsi="Arial"/>
                <w:sz w:val="18"/>
                <w:szCs w:val="18"/>
                <w:color w:val="auto"/>
              </w:rPr>
              <w:t>493,308</w:t>
            </w:r>
          </w:p>
        </w:tc>
        <w:tc>
          <w:tcPr>
            <w:tcW w:w="24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493,308</w:t>
            </w:r>
          </w:p>
        </w:tc>
        <w:tc>
          <w:tcPr>
            <w:tcW w:w="1260" w:type="dxa"/>
            <w:vAlign w:val="bottom"/>
          </w:tcPr>
          <w:p>
            <w:pPr>
              <w:jc w:val="right"/>
              <w:spacing w:after="0"/>
              <w:rPr>
                <w:sz w:val="20"/>
                <w:szCs w:val="20"/>
                <w:color w:val="auto"/>
              </w:rPr>
            </w:pPr>
            <w:r>
              <w:rPr>
                <w:rFonts w:ascii="Arial" w:cs="Arial" w:eastAsia="Arial" w:hAnsi="Arial"/>
                <w:sz w:val="18"/>
                <w:szCs w:val="18"/>
                <w:color w:val="auto"/>
              </w:rPr>
              <w:t>59,792</w:t>
            </w:r>
          </w:p>
        </w:tc>
        <w:tc>
          <w:tcPr>
            <w:tcW w:w="60" w:type="dxa"/>
            <w:vAlign w:val="bottom"/>
          </w:tcPr>
          <w:p>
            <w:pPr>
              <w:spacing w:after="0"/>
              <w:rPr>
                <w:sz w:val="20"/>
                <w:szCs w:val="20"/>
                <w:color w:val="auto"/>
              </w:rPr>
            </w:pPr>
          </w:p>
        </w:tc>
      </w:tr>
      <w:tr>
        <w:trPr>
          <w:trHeight w:val="446"/>
        </w:trPr>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(3,247,119)</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(459,019)</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(5,487,631)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(795,226)</w:t>
            </w:r>
          </w:p>
        </w:tc>
      </w:tr>
      <w:tr>
        <w:trPr>
          <w:trHeight w:val="210"/>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(2,753,811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(459,019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(4,984,323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(735,434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-719455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-436880</wp:posOffset>
            </wp:positionV>
            <wp:extent cx="7246620" cy="283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460" w:space="160"/>
            <w:col w:w="580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8,616,198</w:t>
            </w:r>
          </w:p>
        </w:tc>
        <w:tc>
          <w:tcPr>
            <w:tcW w:w="12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2,189,209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14,449,712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3,592,518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8"/>
              </w:rPr>
              <w:t>Net increase in net assets resulting from operations per common share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0.55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15,727,990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8,692,372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16,280,773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8,680,419</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0" w:type="dxa"/>
            <w:vAlign w:val="bottom"/>
          </w:tcPr>
          <w:p>
            <w:pPr>
              <w:jc w:val="center"/>
              <w:ind w:left="3510"/>
              <w:spacing w:after="0"/>
              <w:rPr>
                <w:sz w:val="20"/>
                <w:szCs w:val="20"/>
                <w:color w:val="auto"/>
              </w:rPr>
            </w:pPr>
            <w:r>
              <w:rPr>
                <w:rFonts w:ascii="Arial" w:cs="Arial" w:eastAsia="Arial" w:hAnsi="Arial"/>
                <w:sz w:val="18"/>
                <w:szCs w:val="18"/>
                <w:b w:val="1"/>
                <w:bCs w:val="1"/>
                <w:color w:val="auto"/>
              </w:rPr>
              <w:t>RUNWAY GROWTH CREDIT FUND INC.</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00" w:type="dxa"/>
            <w:vAlign w:val="bottom"/>
          </w:tcPr>
          <w:p>
            <w:pPr>
              <w:jc w:val="center"/>
              <w:ind w:left="3490"/>
              <w:spacing w:after="0"/>
              <w:rPr>
                <w:sz w:val="20"/>
                <w:szCs w:val="20"/>
                <w:color w:val="auto"/>
              </w:rPr>
            </w:pPr>
            <w:r>
              <w:rPr>
                <w:rFonts w:ascii="Arial" w:cs="Arial" w:eastAsia="Arial" w:hAnsi="Arial"/>
                <w:sz w:val="18"/>
                <w:szCs w:val="18"/>
                <w:b w:val="1"/>
                <w:bCs w:val="1"/>
                <w:color w:val="auto"/>
                <w:w w:val="87"/>
              </w:rPr>
              <w:t>Statements of Changes in Net Assets</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0" w:type="dxa"/>
            <w:vAlign w:val="bottom"/>
          </w:tcPr>
          <w:p>
            <w:pPr>
              <w:jc w:val="center"/>
              <w:ind w:left="349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w:t>
            </w: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w w:val="96"/>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 2019</w:t>
            </w:r>
          </w:p>
        </w:tc>
        <w:tc>
          <w:tcPr>
            <w:tcW w:w="100" w:type="dxa"/>
            <w:vAlign w:val="bottom"/>
          </w:tcPr>
          <w:p>
            <w:pPr>
              <w:spacing w:after="0"/>
              <w:rPr>
                <w:sz w:val="20"/>
                <w:szCs w:val="20"/>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June 30, 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net assets from operations</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11,370,009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2,648,228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Realized gain on investments</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493,308</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 investments and U.S. Treasury Bills</w:t>
            </w:r>
          </w:p>
        </w:tc>
        <w:tc>
          <w:tcPr>
            <w:tcW w:w="100" w:type="dxa"/>
            <w:vAlign w:val="bottom"/>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(3,247,119)</w:t>
            </w:r>
          </w:p>
        </w:tc>
        <w:tc>
          <w:tcPr>
            <w:tcW w:w="10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(459,019)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8,616,198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2,189,209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shareholders from:</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100" w:type="dxa"/>
            <w:vAlign w:val="bottom"/>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(15,971,678)</w:t>
            </w:r>
          </w:p>
        </w:tc>
        <w:tc>
          <w:tcPr>
            <w:tcW w:w="10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(1,300,250)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distributions to shareholders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(15,971,678</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(1,300,250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49,000,000</w:t>
            </w:r>
          </w:p>
        </w:tc>
        <w:tc>
          <w:tcPr>
            <w:tcW w:w="10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dividend reinvestment plan</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12,707,267</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1,045,570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1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61,707,267</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1,045,570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Total increase in net assets</w:t>
            </w:r>
          </w:p>
        </w:tc>
        <w:tc>
          <w:tcPr>
            <w:tcW w:w="100" w:type="dxa"/>
            <w:vAlign w:val="bottom"/>
          </w:tcPr>
          <w:p>
            <w:pPr>
              <w:spacing w:after="0"/>
              <w:rPr>
                <w:sz w:val="24"/>
                <w:szCs w:val="24"/>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54,351,787</w:t>
            </w:r>
          </w:p>
        </w:tc>
        <w:tc>
          <w:tcPr>
            <w:tcW w:w="100" w:type="dxa"/>
            <w:vAlign w:val="bottom"/>
          </w:tcPr>
          <w:p>
            <w:pPr>
              <w:spacing w:after="0"/>
              <w:rPr>
                <w:sz w:val="24"/>
                <w:szCs w:val="24"/>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1,934,529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assets at beginning of period</w:t>
            </w:r>
          </w:p>
        </w:tc>
        <w:tc>
          <w:tcPr>
            <w:tcW w:w="10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237,984,453</w:t>
            </w:r>
          </w:p>
        </w:tc>
        <w:tc>
          <w:tcPr>
            <w:tcW w:w="10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128,443,686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Net assets at end of period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292,336,240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130,378,215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24"/>
                <w:szCs w:val="24"/>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 2019</w:t>
            </w:r>
          </w:p>
        </w:tc>
        <w:tc>
          <w:tcPr>
            <w:tcW w:w="100" w:type="dxa"/>
            <w:vAlign w:val="bottom"/>
          </w:tcPr>
          <w:p>
            <w:pPr>
              <w:spacing w:after="0"/>
              <w:rPr>
                <w:sz w:val="20"/>
                <w:szCs w:val="20"/>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June 30, 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net assets from operations</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19,444,035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4,327,952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Realized gain on investments</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493,308</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 investments and U.S. Treasury Bills</w:t>
            </w:r>
          </w:p>
        </w:tc>
        <w:tc>
          <w:tcPr>
            <w:tcW w:w="100" w:type="dxa"/>
            <w:vAlign w:val="bottom"/>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(5,487,631)</w:t>
            </w:r>
          </w:p>
        </w:tc>
        <w:tc>
          <w:tcPr>
            <w:tcW w:w="10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(795,226)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14,449,712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3,592,518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shareholders from:</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100" w:type="dxa"/>
            <w:vAlign w:val="bottom"/>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(22,132,302)</w:t>
            </w:r>
          </w:p>
        </w:tc>
        <w:tc>
          <w:tcPr>
            <w:tcW w:w="10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(1,300,250)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distributions to shareholders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(22,132,302</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(1,300,250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115,000,000</w:t>
            </w:r>
          </w:p>
        </w:tc>
        <w:tc>
          <w:tcPr>
            <w:tcW w:w="10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dividend reinvestment plan</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17,649,435</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1,045,570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1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132,649,435</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1,045,570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Total increase in net assets</w:t>
            </w:r>
          </w:p>
        </w:tc>
        <w:tc>
          <w:tcPr>
            <w:tcW w:w="100" w:type="dxa"/>
            <w:vAlign w:val="bottom"/>
          </w:tcPr>
          <w:p>
            <w:pPr>
              <w:spacing w:after="0"/>
              <w:rPr>
                <w:sz w:val="24"/>
                <w:szCs w:val="24"/>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124,966,845</w:t>
            </w:r>
          </w:p>
        </w:tc>
        <w:tc>
          <w:tcPr>
            <w:tcW w:w="100" w:type="dxa"/>
            <w:vAlign w:val="bottom"/>
          </w:tcPr>
          <w:p>
            <w:pPr>
              <w:spacing w:after="0"/>
              <w:rPr>
                <w:sz w:val="24"/>
                <w:szCs w:val="24"/>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3,337,838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assets at beginning of period</w:t>
            </w:r>
          </w:p>
        </w:tc>
        <w:tc>
          <w:tcPr>
            <w:tcW w:w="10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167,369,395</w:t>
            </w:r>
          </w:p>
        </w:tc>
        <w:tc>
          <w:tcPr>
            <w:tcW w:w="10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127,040,377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Net assets at end of period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292,336,240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130,378,215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Capital share activity</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Shares issued</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8,743,457</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Shares outstanding at beginning of period</w:t>
            </w:r>
          </w:p>
        </w:tc>
        <w:tc>
          <w:tcPr>
            <w:tcW w:w="10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11,056,595</w:t>
            </w:r>
          </w:p>
        </w:tc>
        <w:tc>
          <w:tcPr>
            <w:tcW w:w="10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8,668,334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Shares outstanding at end of period</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19,800,052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8,738,897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40" w:type="dxa"/>
            <w:vAlign w:val="bottom"/>
          </w:tcPr>
          <w:p>
            <w:pPr>
              <w:jc w:val="center"/>
              <w:ind w:left="3070"/>
              <w:spacing w:after="0"/>
              <w:rPr>
                <w:sz w:val="20"/>
                <w:szCs w:val="20"/>
                <w:color w:val="auto"/>
              </w:rPr>
            </w:pPr>
            <w:r>
              <w:rPr>
                <w:rFonts w:ascii="Arial" w:cs="Arial" w:eastAsia="Arial" w:hAnsi="Arial"/>
                <w:sz w:val="18"/>
                <w:szCs w:val="18"/>
                <w:b w:val="1"/>
                <w:bCs w:val="1"/>
                <w:color w:val="auto"/>
              </w:rPr>
              <w:t>RUNWAY GROWTH CREDIT FUND INC.</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40" w:type="dxa"/>
            <w:vAlign w:val="bottom"/>
          </w:tcPr>
          <w:p>
            <w:pPr>
              <w:jc w:val="center"/>
              <w:ind w:left="3050"/>
              <w:spacing w:after="0"/>
              <w:rPr>
                <w:sz w:val="20"/>
                <w:szCs w:val="20"/>
                <w:color w:val="auto"/>
              </w:rPr>
            </w:pPr>
            <w:r>
              <w:rPr>
                <w:rFonts w:ascii="Arial" w:cs="Arial" w:eastAsia="Arial" w:hAnsi="Arial"/>
                <w:sz w:val="18"/>
                <w:szCs w:val="18"/>
                <w:b w:val="1"/>
                <w:bCs w:val="1"/>
                <w:color w:val="auto"/>
                <w:w w:val="88"/>
              </w:rPr>
              <w:t>Statements of Cash Flows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jc w:val="center"/>
              <w:ind w:left="305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8"/>
              </w:rPr>
              <w:t>Six Months Ended</w:t>
            </w:r>
          </w:p>
        </w:tc>
        <w:tc>
          <w:tcPr>
            <w:tcW w:w="160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June 30, 2019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June 30, 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Net increase in net assets resulting from operations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14,449,712</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3,592,518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Adjustments to reconcile net increase in net assets resulting from operations to net cash provided by (used in)</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Purchase of investments</w:t>
            </w:r>
          </w:p>
        </w:tc>
        <w:tc>
          <w:tcPr>
            <w:tcW w:w="1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(141,292,427)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(76,121,498)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of U.S. Treasury Bills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(155,900,303)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(138,972,584)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Payment in-kind interest</w:t>
            </w:r>
          </w:p>
        </w:tc>
        <w:tc>
          <w:tcPr>
            <w:tcW w:w="1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(562,347)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Sale or maturity of investments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87,061,671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9,593,353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Sale or maturity of U.S. Treasury Bills</w:t>
            </w: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149,977,117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141,513,028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Realized gain on non-control/non-affiliate investments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(493,308)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Net change in unrealized (appreciation) depreciation on non-control/non-affiliate investments</w:t>
            </w: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5,487,631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795,226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fixed income premiums or discounts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(6,076,426)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Amortization of deferred credit facility fees</w:t>
            </w: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129,161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Accrued interest receivable</w:t>
            </w:r>
          </w:p>
        </w:tc>
        <w:tc>
          <w:tcPr>
            <w:tcW w:w="1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(183,911)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(271,804)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accounts receivable</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(469,605)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(17,630)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51,994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Payable for securities purchased</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43,982,657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incentive fees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2,341,306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Due to portfolio company</w:t>
            </w: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Due to affiliate</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Interest payable</w:t>
            </w:r>
          </w:p>
        </w:tc>
        <w:tc>
          <w:tcPr>
            <w:tcW w:w="1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(116,466)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(45,774,525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(20,787,110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offering costs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(178,622)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Deferred credit facility fees</w:t>
            </w:r>
          </w:p>
        </w:tc>
        <w:tc>
          <w:tcPr>
            <w:tcW w:w="1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(1,089,128)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(152,266)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under credit facilities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17,750,000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Repayments under credit facilities</w:t>
            </w:r>
          </w:p>
        </w:tc>
        <w:tc>
          <w:tcPr>
            <w:tcW w:w="1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(77,250,000)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reverse purchase agreements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155,120,560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Repayment of reverse purchase agreements</w:t>
            </w:r>
          </w:p>
        </w:tc>
        <w:tc>
          <w:tcPr>
            <w:tcW w:w="1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(149,154,143)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to shareholders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(2,625,584)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(254,680)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Net cash received from common stock issued</w:t>
            </w:r>
          </w:p>
        </w:tc>
        <w:tc>
          <w:tcPr>
            <w:tcW w:w="14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115,000,000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57,573,083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14,593,054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11,798,558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(6,194,056)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2,527,474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8,141,670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Cash and cash equivalents at end of period</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14,326,032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1,947,614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and non-cash financing cash flow information:</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Taxes paid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1,400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304,401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Non-cash dividend reinvestments</w:t>
            </w:r>
          </w:p>
        </w:tc>
        <w:tc>
          <w:tcPr>
            <w:tcW w:w="14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17,649,435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1,045,570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 Companies</w:t>
            </w: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Sub-Industry</w:t>
            </w:r>
          </w:p>
        </w:tc>
        <w:tc>
          <w:tcPr>
            <w:tcW w:w="3900" w:type="dxa"/>
            <w:vAlign w:val="bottom"/>
          </w:tcPr>
          <w:p>
            <w:pPr>
              <w:ind w:left="1180"/>
              <w:spacing w:after="0"/>
              <w:rPr>
                <w:sz w:val="20"/>
                <w:szCs w:val="20"/>
                <w:color w:val="auto"/>
              </w:rPr>
            </w:pPr>
            <w:r>
              <w:rPr>
                <w:rFonts w:ascii="Arial" w:cs="Arial" w:eastAsia="Arial" w:hAnsi="Arial"/>
                <w:sz w:val="14"/>
                <w:szCs w:val="14"/>
                <w:b w:val="1"/>
                <w:bCs w:val="1"/>
                <w:color w:val="auto"/>
              </w:rPr>
              <w:t>Investment Description</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Principal</w:t>
            </w: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 xml:space="preserve">Fair Value </w:t>
            </w:r>
            <w:r>
              <w:rPr>
                <w:rFonts w:ascii="Arial" w:cs="Arial" w:eastAsia="Arial" w:hAnsi="Arial"/>
                <w:sz w:val="23"/>
                <w:szCs w:val="23"/>
                <w:b w:val="1"/>
                <w:bCs w:val="1"/>
                <w:color w:val="auto"/>
                <w:w w:val="89"/>
                <w:vertAlign w:val="superscript"/>
              </w:rPr>
              <w:t>(2)</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3900" w:type="dxa"/>
            <w:vAlign w:val="bottom"/>
          </w:tcPr>
          <w:p>
            <w:pPr>
              <w:ind w:left="1560"/>
              <w:spacing w:after="0"/>
              <w:rPr>
                <w:sz w:val="20"/>
                <w:szCs w:val="20"/>
                <w:color w:val="auto"/>
              </w:rPr>
            </w:pPr>
            <w:r>
              <w:rPr>
                <w:rFonts w:ascii="Arial" w:cs="Arial" w:eastAsia="Arial" w:hAnsi="Arial"/>
                <w:sz w:val="12"/>
                <w:szCs w:val="12"/>
                <w:b w:val="1"/>
                <w:bCs w:val="1"/>
                <w:color w:val="auto"/>
              </w:rPr>
              <w:t>(1),(5),(6),(13)</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9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86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Non-control/non-affiliate investments</w:t>
            </w:r>
          </w:p>
        </w:tc>
        <w:tc>
          <w:tcPr>
            <w:tcW w:w="3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90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Secured Term Loans</w:t>
            </w:r>
          </w:p>
        </w:tc>
        <w:tc>
          <w:tcPr>
            <w:tcW w:w="3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Aginity, Inc.</w:t>
            </w:r>
          </w:p>
        </w:tc>
        <w:tc>
          <w:tcPr>
            <w:tcW w:w="14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95"/>
              </w:rPr>
              <w:t>Application Software</w:t>
            </w:r>
          </w:p>
        </w:tc>
        <w:tc>
          <w:tcPr>
            <w:tcW w:w="39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LIBOR+10.5% PIK, 11.50% floor, 5% ETP, due 5/25/2020 </w:t>
            </w:r>
            <w:r>
              <w:rPr>
                <w:rFonts w:ascii="Arial" w:cs="Arial" w:eastAsia="Arial" w:hAnsi="Arial"/>
                <w:sz w:val="21"/>
                <w:szCs w:val="21"/>
                <w:b w:val="1"/>
                <w:bCs w:val="1"/>
                <w:color w:val="auto"/>
                <w:vertAlign w:val="superscript"/>
              </w:rPr>
              <w:t>(4), (15)</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5/25/2018</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2"/>
              </w:rPr>
              <w:t>$  7,386,026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  7,232,349</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$ 5,832,0000</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w w:val="90"/>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Aria Systems, Inc.</w:t>
            </w:r>
          </w:p>
        </w:tc>
        <w:tc>
          <w:tcPr>
            <w:tcW w:w="142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5"/>
              </w:rPr>
              <w:t>Application Software</w:t>
            </w: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LIBOR+9.00%, 11.35% floor, 4.5% ETP, due 12/15/2021</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6/29/2018</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25,000,000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24,647,181</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24,248,996</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CareCloud</w:t>
            </w:r>
          </w:p>
        </w:tc>
        <w:tc>
          <w:tcPr>
            <w:tcW w:w="14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93"/>
              </w:rPr>
              <w:t>Health Care</w:t>
            </w:r>
          </w:p>
        </w:tc>
        <w:tc>
          <w:tcPr>
            <w:tcW w:w="390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Prime+7.00%, 11.75% floor, 3.5% ETP, due 6/15/2022 </w:t>
            </w:r>
            <w:r>
              <w:rPr>
                <w:rFonts w:ascii="Arial" w:cs="Arial" w:eastAsia="Arial" w:hAnsi="Arial"/>
                <w:sz w:val="18"/>
                <w:szCs w:val="18"/>
                <w:color w:val="auto"/>
                <w:vertAlign w:val="superscript"/>
              </w:rPr>
              <w:t>(16)</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6/19/2018</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25,000,000</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24,775,602</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24,167,610</w:t>
            </w:r>
          </w:p>
        </w:tc>
        <w:tc>
          <w:tcPr>
            <w:tcW w:w="2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4"/>
                <w:szCs w:val="14"/>
                <w:color w:val="auto"/>
              </w:rPr>
              <w:t>Corporation</w:t>
            </w:r>
          </w:p>
        </w:tc>
        <w:tc>
          <w:tcPr>
            <w:tcW w:w="1420" w:type="dxa"/>
            <w:vAlign w:val="bottom"/>
            <w:gridSpan w:val="3"/>
            <w:shd w:val="clear" w:color="auto" w:fill="CCEEFF"/>
          </w:tcPr>
          <w:p>
            <w:pPr>
              <w:jc w:val="center"/>
              <w:ind w:right="140"/>
              <w:spacing w:after="0" w:line="135" w:lineRule="exact"/>
              <w:rPr>
                <w:sz w:val="20"/>
                <w:szCs w:val="20"/>
                <w:color w:val="auto"/>
              </w:rPr>
            </w:pPr>
            <w:r>
              <w:rPr>
                <w:rFonts w:ascii="Arial" w:cs="Arial" w:eastAsia="Arial" w:hAnsi="Arial"/>
                <w:sz w:val="14"/>
                <w:szCs w:val="14"/>
                <w:color w:val="auto"/>
                <w:w w:val="93"/>
              </w:rPr>
              <w:t>Technology</w:t>
            </w:r>
          </w:p>
        </w:tc>
        <w:tc>
          <w:tcPr>
            <w:tcW w:w="390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Circadence</w:t>
            </w:r>
          </w:p>
        </w:tc>
        <w:tc>
          <w:tcPr>
            <w:tcW w:w="1420" w:type="dxa"/>
            <w:vAlign w:val="bottom"/>
            <w:gridSpan w:val="3"/>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5"/>
              </w:rPr>
              <w:t>Application Software</w:t>
            </w:r>
          </w:p>
        </w:tc>
        <w:tc>
          <w:tcPr>
            <w:tcW w:w="3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LIBOR+9.5%, 12.00% floor, 5% ETP, due 6/20/2022</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8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90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12/20/2018</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18,000,000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15,032,083</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15,032,083</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Cloud Passage, Inc.</w:t>
            </w:r>
          </w:p>
        </w:tc>
        <w:tc>
          <w:tcPr>
            <w:tcW w:w="1420" w:type="dxa"/>
            <w:vAlign w:val="bottom"/>
            <w:gridSpan w:val="3"/>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3"/>
              </w:rPr>
              <w:t>Data Processing &amp;</w:t>
            </w:r>
          </w:p>
        </w:tc>
        <w:tc>
          <w:tcPr>
            <w:tcW w:w="3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LIBOR+7.50%, 1% PIK, 11.75% floor, 2.75% ETP, due</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90"/>
              </w:rPr>
              <w:t>Outsourced Services</w:t>
            </w:r>
          </w:p>
        </w:tc>
        <w:tc>
          <w:tcPr>
            <w:tcW w:w="3900" w:type="dxa"/>
            <w:vAlign w:val="bottom"/>
            <w:shd w:val="clear" w:color="auto" w:fill="CCEEFF"/>
          </w:tcPr>
          <w:p>
            <w:pPr>
              <w:spacing w:after="0" w:line="208" w:lineRule="exact"/>
              <w:rPr>
                <w:sz w:val="20"/>
                <w:szCs w:val="20"/>
                <w:color w:val="auto"/>
              </w:rPr>
            </w:pPr>
            <w:r>
              <w:rPr>
                <w:rFonts w:ascii="Arial" w:cs="Arial" w:eastAsia="Arial" w:hAnsi="Arial"/>
                <w:sz w:val="14"/>
                <w:szCs w:val="14"/>
                <w:color w:val="auto"/>
              </w:rPr>
              <w:t>6/13/2023</w:t>
            </w:r>
            <w:r>
              <w:rPr>
                <w:rFonts w:ascii="Arial" w:cs="Arial" w:eastAsia="Arial" w:hAnsi="Arial"/>
                <w:sz w:val="23"/>
                <w:szCs w:val="23"/>
                <w:b w:val="1"/>
                <w:bCs w:val="1"/>
                <w:color w:val="auto"/>
                <w:vertAlign w:val="superscript"/>
              </w:rPr>
              <w:t>(4)</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6/13/2019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7,500,000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7,159,000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7,159,000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Dejero Labs Inc.</w:t>
            </w:r>
          </w:p>
        </w:tc>
        <w:tc>
          <w:tcPr>
            <w:tcW w:w="142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w w:val="93"/>
              </w:rPr>
              <w:t>Data Processing &amp;</w:t>
            </w:r>
          </w:p>
        </w:tc>
        <w:tc>
          <w:tcPr>
            <w:tcW w:w="390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LIBOR+9.25%, 11.75% floor, 4.5% ETP, due 5/31/2023 </w:t>
            </w:r>
            <w:r>
              <w:rPr>
                <w:rFonts w:ascii="Arial" w:cs="Arial" w:eastAsia="Arial" w:hAnsi="Arial"/>
                <w:sz w:val="18"/>
                <w:szCs w:val="18"/>
                <w:color w:val="auto"/>
                <w:vertAlign w:val="superscript"/>
              </w:rPr>
              <w:t>(3),(7)</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5/31/2019</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11,000,000</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10,677,681</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10,677,681</w:t>
            </w:r>
          </w:p>
        </w:tc>
        <w:tc>
          <w:tcPr>
            <w:tcW w:w="2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gridSpan w:val="3"/>
            <w:shd w:val="clear" w:color="auto" w:fill="CCEEFF"/>
          </w:tcPr>
          <w:p>
            <w:pPr>
              <w:jc w:val="center"/>
              <w:ind w:right="120"/>
              <w:spacing w:after="0" w:line="135" w:lineRule="exact"/>
              <w:rPr>
                <w:sz w:val="20"/>
                <w:szCs w:val="20"/>
                <w:color w:val="auto"/>
              </w:rPr>
            </w:pPr>
            <w:r>
              <w:rPr>
                <w:rFonts w:ascii="Arial" w:cs="Arial" w:eastAsia="Arial" w:hAnsi="Arial"/>
                <w:sz w:val="14"/>
                <w:szCs w:val="14"/>
                <w:color w:val="auto"/>
                <w:w w:val="90"/>
              </w:rPr>
              <w:t>Outsourced Services</w:t>
            </w:r>
          </w:p>
        </w:tc>
        <w:tc>
          <w:tcPr>
            <w:tcW w:w="390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40" w:type="dxa"/>
            <w:vAlign w:val="bottom"/>
            <w:gridSpan w:val="2"/>
            <w:shd w:val="clear" w:color="auto" w:fill="CCEEFF"/>
          </w:tcPr>
          <w:p>
            <w:pPr>
              <w:ind w:left="160"/>
              <w:spacing w:after="0" w:line="140" w:lineRule="exact"/>
              <w:rPr>
                <w:sz w:val="20"/>
                <w:szCs w:val="20"/>
                <w:color w:val="auto"/>
              </w:rPr>
            </w:pPr>
            <w:r>
              <w:rPr>
                <w:rFonts w:ascii="Arial" w:cs="Arial" w:eastAsia="Arial" w:hAnsi="Arial"/>
                <w:sz w:val="14"/>
                <w:szCs w:val="14"/>
                <w:color w:val="auto"/>
              </w:rPr>
              <w:t>Dtex Systems, Inc.</w:t>
            </w:r>
          </w:p>
        </w:tc>
        <w:tc>
          <w:tcPr>
            <w:tcW w:w="1420" w:type="dxa"/>
            <w:vAlign w:val="bottom"/>
            <w:gridSpan w:val="3"/>
            <w:shd w:val="clear" w:color="auto" w:fill="CCEEFF"/>
          </w:tcPr>
          <w:p>
            <w:pPr>
              <w:jc w:val="center"/>
              <w:ind w:right="120"/>
              <w:spacing w:after="0" w:line="140" w:lineRule="exact"/>
              <w:rPr>
                <w:sz w:val="20"/>
                <w:szCs w:val="20"/>
                <w:color w:val="auto"/>
              </w:rPr>
            </w:pPr>
            <w:r>
              <w:rPr>
                <w:rFonts w:ascii="Arial" w:cs="Arial" w:eastAsia="Arial" w:hAnsi="Arial"/>
                <w:sz w:val="14"/>
                <w:szCs w:val="14"/>
                <w:color w:val="auto"/>
                <w:w w:val="95"/>
              </w:rPr>
              <w:t>Application Software</w:t>
            </w:r>
          </w:p>
        </w:tc>
        <w:tc>
          <w:tcPr>
            <w:tcW w:w="39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LIBOR+9.5%, 11.50% floor, 11.5% cash cap, 4% ETP, due</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11/15/2021 </w:t>
            </w:r>
            <w:r>
              <w:rPr>
                <w:rFonts w:ascii="Arial" w:cs="Arial" w:eastAsia="Arial" w:hAnsi="Arial"/>
                <w:sz w:val="22"/>
                <w:szCs w:val="22"/>
                <w:color w:val="auto"/>
                <w:vertAlign w:val="superscript"/>
              </w:rPr>
              <w:t>(17)</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6/1/2018</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8,000,000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8,029,906</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8,029,906</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Echo 360 Holdings,</w:t>
            </w:r>
          </w:p>
        </w:tc>
        <w:tc>
          <w:tcPr>
            <w:tcW w:w="1420" w:type="dxa"/>
            <w:vAlign w:val="bottom"/>
            <w:gridSpan w:val="3"/>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1"/>
              </w:rPr>
              <w:t>Education Services</w:t>
            </w:r>
          </w:p>
        </w:tc>
        <w:tc>
          <w:tcPr>
            <w:tcW w:w="3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Tranche I: LIBOR+9.25%, 12.05% floor, 4.0% ETP, Due 5/3/2023</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8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90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5/3/2019</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14,000,000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13,632,381</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13,632,381</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900" w:type="dxa"/>
            <w:vAlign w:val="bottom"/>
          </w:tcPr>
          <w:p>
            <w:pPr>
              <w:spacing w:after="0" w:line="130" w:lineRule="exact"/>
              <w:rPr>
                <w:sz w:val="20"/>
                <w:szCs w:val="20"/>
                <w:color w:val="auto"/>
              </w:rPr>
            </w:pPr>
            <w:r>
              <w:rPr>
                <w:rFonts w:ascii="Arial" w:cs="Arial" w:eastAsia="Arial" w:hAnsi="Arial"/>
                <w:sz w:val="14"/>
                <w:szCs w:val="14"/>
                <w:color w:val="auto"/>
              </w:rPr>
              <w:t>Tranche II: LIBOR+9.25%, 12.05% floor, 4.0% ETP, Due</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Arial" w:cs="Arial" w:eastAsia="Arial" w:hAnsi="Arial"/>
                <w:sz w:val="14"/>
                <w:szCs w:val="14"/>
                <w:color w:val="auto"/>
              </w:rPr>
              <w:t>5/3/2023</w:t>
            </w:r>
          </w:p>
        </w:tc>
        <w:tc>
          <w:tcPr>
            <w:tcW w:w="760" w:type="dxa"/>
            <w:vAlign w:val="bottom"/>
          </w:tcPr>
          <w:p>
            <w:pPr>
              <w:jc w:val="center"/>
              <w:spacing w:after="0"/>
              <w:rPr>
                <w:sz w:val="20"/>
                <w:szCs w:val="20"/>
                <w:color w:val="auto"/>
              </w:rPr>
            </w:pPr>
            <w:r>
              <w:rPr>
                <w:rFonts w:ascii="Arial" w:cs="Arial" w:eastAsia="Arial" w:hAnsi="Arial"/>
                <w:sz w:val="14"/>
                <w:szCs w:val="14"/>
                <w:color w:val="auto"/>
                <w:w w:val="91"/>
              </w:rPr>
              <w:t>5/3/2019</w:t>
            </w:r>
          </w:p>
        </w:tc>
        <w:tc>
          <w:tcPr>
            <w:tcW w:w="1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1,500,000</w:t>
            </w:r>
          </w:p>
        </w:tc>
        <w:tc>
          <w:tcPr>
            <w:tcW w:w="760" w:type="dxa"/>
            <w:vAlign w:val="bottom"/>
          </w:tcPr>
          <w:p>
            <w:pPr>
              <w:jc w:val="right"/>
              <w:spacing w:after="0"/>
              <w:rPr>
                <w:sz w:val="20"/>
                <w:szCs w:val="20"/>
                <w:color w:val="auto"/>
              </w:rPr>
            </w:pPr>
            <w:r>
              <w:rPr>
                <w:rFonts w:ascii="Arial" w:cs="Arial" w:eastAsia="Arial" w:hAnsi="Arial"/>
                <w:sz w:val="14"/>
                <w:szCs w:val="14"/>
                <w:color w:val="auto"/>
              </w:rPr>
              <w:t>1,448,578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1,448,578</w:t>
            </w:r>
          </w:p>
        </w:tc>
        <w:tc>
          <w:tcPr>
            <w:tcW w:w="220" w:type="dxa"/>
            <w:vAlign w:val="bottom"/>
          </w:tcPr>
          <w:p>
            <w:pPr>
              <w:spacing w:after="0"/>
              <w:rPr>
                <w:sz w:val="14"/>
                <w:szCs w:val="14"/>
                <w:color w:val="auto"/>
              </w:rPr>
            </w:pP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eSilicon</w:t>
            </w:r>
          </w:p>
        </w:tc>
        <w:tc>
          <w:tcPr>
            <w:tcW w:w="1420" w:type="dxa"/>
            <w:vAlign w:val="bottom"/>
            <w:gridSpan w:val="3"/>
          </w:tcPr>
          <w:p>
            <w:pPr>
              <w:jc w:val="center"/>
              <w:ind w:right="120"/>
              <w:spacing w:after="0" w:line="130" w:lineRule="exact"/>
              <w:rPr>
                <w:sz w:val="20"/>
                <w:szCs w:val="20"/>
                <w:color w:val="auto"/>
              </w:rPr>
            </w:pPr>
            <w:r>
              <w:rPr>
                <w:rFonts w:ascii="Arial" w:cs="Arial" w:eastAsia="Arial" w:hAnsi="Arial"/>
                <w:sz w:val="14"/>
                <w:szCs w:val="14"/>
                <w:color w:val="auto"/>
                <w:w w:val="93"/>
              </w:rPr>
              <w:t>Semi-conductors</w:t>
            </w:r>
          </w:p>
        </w:tc>
        <w:tc>
          <w:tcPr>
            <w:tcW w:w="3900" w:type="dxa"/>
            <w:vAlign w:val="bottom"/>
          </w:tcPr>
          <w:p>
            <w:pPr>
              <w:spacing w:after="0" w:line="130" w:lineRule="exact"/>
              <w:rPr>
                <w:sz w:val="20"/>
                <w:szCs w:val="20"/>
                <w:color w:val="auto"/>
              </w:rPr>
            </w:pPr>
            <w:r>
              <w:rPr>
                <w:rFonts w:ascii="Arial" w:cs="Arial" w:eastAsia="Arial" w:hAnsi="Arial"/>
                <w:sz w:val="14"/>
                <w:szCs w:val="14"/>
                <w:color w:val="auto"/>
              </w:rPr>
              <w:t>Tranche I: LIBOR+10.50%, 13% floor, 5% ETP, due 7/15/2020</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Corporation</w:t>
            </w: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7/31/2017</w:t>
            </w:r>
          </w:p>
        </w:tc>
        <w:tc>
          <w:tcPr>
            <w:tcW w:w="1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5,416,667</w:t>
            </w:r>
          </w:p>
        </w:tc>
        <w:tc>
          <w:tcPr>
            <w:tcW w:w="760" w:type="dxa"/>
            <w:vAlign w:val="bottom"/>
          </w:tcPr>
          <w:p>
            <w:pPr>
              <w:jc w:val="right"/>
              <w:spacing w:after="0"/>
              <w:rPr>
                <w:sz w:val="20"/>
                <w:szCs w:val="20"/>
                <w:color w:val="auto"/>
              </w:rPr>
            </w:pPr>
            <w:r>
              <w:rPr>
                <w:rFonts w:ascii="Arial" w:cs="Arial" w:eastAsia="Arial" w:hAnsi="Arial"/>
                <w:sz w:val="14"/>
                <w:szCs w:val="14"/>
                <w:color w:val="auto"/>
              </w:rPr>
              <w:t>5,674,268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5,674,268</w:t>
            </w:r>
          </w:p>
        </w:tc>
        <w:tc>
          <w:tcPr>
            <w:tcW w:w="220" w:type="dxa"/>
            <w:vAlign w:val="bottom"/>
          </w:tcPr>
          <w:p>
            <w:pPr>
              <w:spacing w:after="0"/>
              <w:rPr>
                <w:sz w:val="14"/>
                <w:szCs w:val="14"/>
                <w:color w:val="auto"/>
              </w:rPr>
            </w:pP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Tranche II: LIBOR+10.50%, 13% floor, 5% ETP, due 7/15/2020</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2/8/2018</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3,958,333</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4,083,450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4,083,450</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color w:val="auto"/>
                <w:w w:val="98"/>
              </w:rPr>
              <w:t>Tranche III: LIBOR+10.50%, 13% floor, 5% ETP, due 7/15/2020</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6/21/2019</w:t>
            </w:r>
          </w:p>
        </w:tc>
        <w:tc>
          <w:tcPr>
            <w:tcW w:w="1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10,000,000</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9,615,750</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9,615,750</w:t>
            </w:r>
          </w:p>
        </w:tc>
        <w:tc>
          <w:tcPr>
            <w:tcW w:w="22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Tranche IV: Prime+2.75%, Revolving line, due 6/15/2020</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6/21/2019</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11,000,000</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11,000,000</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11,000,000</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MingleHealth Care</w:t>
            </w:r>
          </w:p>
        </w:tc>
        <w:tc>
          <w:tcPr>
            <w:tcW w:w="1420" w:type="dxa"/>
            <w:vAlign w:val="bottom"/>
            <w:gridSpan w:val="3"/>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1"/>
              </w:rPr>
              <w:t>Healthcare</w:t>
            </w:r>
          </w:p>
        </w:tc>
        <w:tc>
          <w:tcPr>
            <w:tcW w:w="3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LIBOR+9.5%, 11.75% floor, 4% ETP, due 8/15/2022</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Solutions, Inc.</w:t>
            </w:r>
          </w:p>
        </w:tc>
        <w:tc>
          <w:tcPr>
            <w:tcW w:w="142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w w:val="93"/>
              </w:rPr>
              <w:t>Technology</w:t>
            </w:r>
          </w:p>
        </w:tc>
        <w:tc>
          <w:tcPr>
            <w:tcW w:w="390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8/15/2018</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6,000,000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5,648,144</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5,648,144</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Mobius Imaging,</w:t>
            </w:r>
          </w:p>
        </w:tc>
        <w:tc>
          <w:tcPr>
            <w:tcW w:w="1420" w:type="dxa"/>
            <w:vAlign w:val="bottom"/>
            <w:gridSpan w:val="3"/>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1"/>
              </w:rPr>
              <w:t>Healthcare</w:t>
            </w:r>
          </w:p>
        </w:tc>
        <w:tc>
          <w:tcPr>
            <w:tcW w:w="3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LIBOR+9.25%, 11.00% floor, 4% ETP, due 10/15/2022</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142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w w:val="93"/>
              </w:rPr>
              <w:t>Technology</w:t>
            </w:r>
          </w:p>
        </w:tc>
        <w:tc>
          <w:tcPr>
            <w:tcW w:w="390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11/23/2018</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15,500,000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13,897,530</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13,897,530</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3"/>
              </w:rPr>
              <w:t>Portfolio Companies</w:t>
            </w:r>
          </w:p>
        </w:tc>
        <w:tc>
          <w:tcPr>
            <w:tcW w:w="120" w:type="dxa"/>
            <w:vAlign w:val="bottom"/>
            <w:vMerge w:val="restart"/>
          </w:tcPr>
          <w:p>
            <w:pPr>
              <w:spacing w:after="0"/>
              <w:rPr>
                <w:sz w:val="14"/>
                <w:szCs w:val="14"/>
                <w:color w:val="auto"/>
              </w:rPr>
            </w:pPr>
          </w:p>
        </w:tc>
        <w:tc>
          <w:tcPr>
            <w:tcW w:w="12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Sub-Industry</w:t>
            </w:r>
          </w:p>
        </w:tc>
        <w:tc>
          <w:tcPr>
            <w:tcW w:w="100" w:type="dxa"/>
            <w:vAlign w:val="bottom"/>
            <w:vMerge w:val="restart"/>
          </w:tcPr>
          <w:p>
            <w:pPr>
              <w:spacing w:after="0"/>
              <w:rPr>
                <w:sz w:val="14"/>
                <w:szCs w:val="1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Investment Description</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Principal/</w:t>
            </w:r>
          </w:p>
        </w:tc>
        <w:tc>
          <w:tcPr>
            <w:tcW w:w="9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4"/>
                <w:szCs w:val="14"/>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1"/>
              </w:rPr>
              <w:t xml:space="preserve">Fair Value </w:t>
            </w:r>
            <w:r>
              <w:rPr>
                <w:rFonts w:ascii="Arial" w:cs="Arial" w:eastAsia="Arial" w:hAnsi="Arial"/>
                <w:sz w:val="23"/>
                <w:szCs w:val="23"/>
                <w:b w:val="1"/>
                <w:bCs w:val="1"/>
                <w:color w:val="auto"/>
                <w:w w:val="91"/>
                <w:vertAlign w:val="superscript"/>
              </w:rPr>
              <w:t>(2)</w:t>
            </w:r>
          </w:p>
        </w:tc>
        <w:tc>
          <w:tcPr>
            <w:tcW w:w="120" w:type="dxa"/>
            <w:vAlign w:val="bottom"/>
            <w:vMerge w:val="restart"/>
          </w:tcPr>
          <w:p>
            <w:pPr>
              <w:spacing w:after="0"/>
              <w:rPr>
                <w:sz w:val="14"/>
                <w:szCs w:val="14"/>
                <w:color w:val="auto"/>
              </w:rPr>
            </w:pPr>
          </w:p>
        </w:tc>
        <w:tc>
          <w:tcPr>
            <w:tcW w:w="780" w:type="dxa"/>
            <w:vAlign w:val="bottom"/>
          </w:tcPr>
          <w:p>
            <w:pPr>
              <w:jc w:val="center"/>
              <w:ind w:left="28"/>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5"/>
        </w:trPr>
        <w:tc>
          <w:tcPr>
            <w:tcW w:w="13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740" w:type="dxa"/>
            <w:vAlign w:val="bottom"/>
            <w:tcBorders>
              <w:bottom w:val="single" w:sz="8" w:color="auto"/>
            </w:tcBorders>
          </w:tcPr>
          <w:p>
            <w:pPr>
              <w:jc w:val="right"/>
              <w:ind w:right="1414"/>
              <w:spacing w:after="0"/>
              <w:rPr>
                <w:sz w:val="20"/>
                <w:szCs w:val="20"/>
                <w:color w:val="auto"/>
              </w:rPr>
            </w:pPr>
            <w:r>
              <w:rPr>
                <w:rFonts w:ascii="Arial" w:cs="Arial" w:eastAsia="Arial" w:hAnsi="Arial"/>
                <w:sz w:val="12"/>
                <w:szCs w:val="12"/>
                <w:b w:val="1"/>
                <w:bCs w:val="1"/>
                <w:color w:val="auto"/>
              </w:rPr>
              <w:t>(1), (5), (6),(13)</w:t>
            </w:r>
          </w:p>
        </w:tc>
        <w:tc>
          <w:tcPr>
            <w:tcW w:w="1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Non-control/non-affiliate investments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94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Secured Term Loans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94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p>
      <w:pPr>
        <w:spacing w:after="0" w:line="140" w:lineRule="exact"/>
        <w:rPr>
          <w:sz w:val="20"/>
          <w:szCs w:val="20"/>
          <w:color w:val="auto"/>
        </w:rPr>
      </w:pPr>
    </w:p>
    <w:p>
      <w:pPr>
        <w:ind w:left="180"/>
        <w:spacing w:after="0"/>
        <w:tabs>
          <w:tab w:leader="none" w:pos="1460" w:val="left"/>
        </w:tabs>
        <w:rPr>
          <w:sz w:val="20"/>
          <w:szCs w:val="20"/>
          <w:color w:val="auto"/>
        </w:rPr>
      </w:pPr>
      <w:r>
        <w:rPr>
          <w:rFonts w:ascii="Arial" w:cs="Arial" w:eastAsia="Arial" w:hAnsi="Arial"/>
          <w:sz w:val="14"/>
          <w:szCs w:val="14"/>
          <w:color w:val="auto"/>
        </w:rPr>
        <w:t>Mojix, Inc.</w:t>
      </w:r>
      <w:r>
        <w:rPr>
          <w:sz w:val="20"/>
          <w:szCs w:val="20"/>
          <w:color w:val="auto"/>
        </w:rPr>
        <w:tab/>
      </w:r>
      <w:r>
        <w:rPr>
          <w:rFonts w:ascii="Arial" w:cs="Arial" w:eastAsia="Arial" w:hAnsi="Arial"/>
          <w:sz w:val="13"/>
          <w:szCs w:val="13"/>
          <w:color w:val="auto"/>
        </w:rPr>
        <w:t>Application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color w:val="auto"/>
              </w:rPr>
              <w:t>3DNA Corp.(dba</w:t>
            </w:r>
          </w:p>
        </w:tc>
        <w:tc>
          <w:tcPr>
            <w:tcW w:w="1380" w:type="dxa"/>
            <w:vAlign w:val="bottom"/>
          </w:tcPr>
          <w:p>
            <w:pPr>
              <w:jc w:val="center"/>
              <w:ind w:left="68"/>
              <w:spacing w:after="0"/>
              <w:rPr>
                <w:sz w:val="20"/>
                <w:szCs w:val="20"/>
                <w:color w:val="auto"/>
              </w:rPr>
            </w:pPr>
            <w:r>
              <w:rPr>
                <w:rFonts w:ascii="Arial" w:cs="Arial" w:eastAsia="Arial" w:hAnsi="Arial"/>
                <w:sz w:val="14"/>
                <w:szCs w:val="14"/>
                <w:color w:val="auto"/>
                <w:w w:val="97"/>
              </w:rPr>
              <w:t>Application Software</w:t>
            </w:r>
          </w:p>
        </w:tc>
      </w:tr>
      <w:tr>
        <w:trPr>
          <w:trHeight w:val="182"/>
        </w:trPr>
        <w:tc>
          <w:tcPr>
            <w:tcW w:w="1160" w:type="dxa"/>
            <w:vAlign w:val="bottom"/>
          </w:tcPr>
          <w:p>
            <w:pPr>
              <w:spacing w:after="0"/>
              <w:rPr>
                <w:sz w:val="20"/>
                <w:szCs w:val="20"/>
                <w:color w:val="auto"/>
              </w:rPr>
            </w:pPr>
            <w:r>
              <w:rPr>
                <w:rFonts w:ascii="Arial" w:cs="Arial" w:eastAsia="Arial" w:hAnsi="Arial"/>
                <w:sz w:val="14"/>
                <w:szCs w:val="14"/>
                <w:color w:val="auto"/>
              </w:rPr>
              <w:t>NationBuilder)</w:t>
            </w:r>
          </w:p>
        </w:tc>
        <w:tc>
          <w:tcPr>
            <w:tcW w:w="1380" w:type="dxa"/>
            <w:vAlign w:val="bottom"/>
          </w:tcPr>
          <w:p>
            <w:pPr>
              <w:spacing w:after="0"/>
              <w:rPr>
                <w:sz w:val="15"/>
                <w:szCs w:val="15"/>
                <w:color w:val="auto"/>
              </w:rPr>
            </w:pPr>
          </w:p>
        </w:tc>
      </w:tr>
      <w:tr>
        <w:trPr>
          <w:trHeight w:val="561"/>
        </w:trPr>
        <w:tc>
          <w:tcPr>
            <w:tcW w:w="1160" w:type="dxa"/>
            <w:vAlign w:val="bottom"/>
          </w:tcPr>
          <w:p>
            <w:pPr>
              <w:spacing w:after="0"/>
              <w:rPr>
                <w:sz w:val="20"/>
                <w:szCs w:val="20"/>
                <w:color w:val="auto"/>
              </w:rPr>
            </w:pPr>
            <w:r>
              <w:rPr>
                <w:rFonts w:ascii="Arial" w:cs="Arial" w:eastAsia="Arial" w:hAnsi="Arial"/>
                <w:sz w:val="14"/>
                <w:szCs w:val="14"/>
                <w:color w:val="auto"/>
              </w:rPr>
              <w:t>Ouster, Inc.</w:t>
            </w:r>
          </w:p>
        </w:tc>
        <w:tc>
          <w:tcPr>
            <w:tcW w:w="1380" w:type="dxa"/>
            <w:vAlign w:val="bottom"/>
          </w:tcPr>
          <w:p>
            <w:pPr>
              <w:jc w:val="center"/>
              <w:ind w:left="68"/>
              <w:spacing w:after="0"/>
              <w:rPr>
                <w:sz w:val="20"/>
                <w:szCs w:val="20"/>
                <w:color w:val="auto"/>
              </w:rPr>
            </w:pPr>
            <w:r>
              <w:rPr>
                <w:rFonts w:ascii="Arial" w:cs="Arial" w:eastAsia="Arial" w:hAnsi="Arial"/>
                <w:sz w:val="14"/>
                <w:szCs w:val="14"/>
                <w:color w:val="auto"/>
                <w:w w:val="93"/>
              </w:rPr>
              <w:t>Technology</w:t>
            </w:r>
          </w:p>
        </w:tc>
      </w:tr>
      <w:tr>
        <w:trPr>
          <w:trHeight w:val="149"/>
        </w:trPr>
        <w:tc>
          <w:tcPr>
            <w:tcW w:w="1160" w:type="dxa"/>
            <w:vAlign w:val="bottom"/>
          </w:tcPr>
          <w:p>
            <w:pPr>
              <w:spacing w:after="0"/>
              <w:rPr>
                <w:sz w:val="12"/>
                <w:szCs w:val="12"/>
                <w:color w:val="auto"/>
              </w:rPr>
            </w:pPr>
          </w:p>
        </w:tc>
        <w:tc>
          <w:tcPr>
            <w:tcW w:w="138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3"/>
              </w:rPr>
              <w:t>Hardware, Storage &amp;</w:t>
            </w:r>
          </w:p>
        </w:tc>
      </w:tr>
      <w:tr>
        <w:trPr>
          <w:trHeight w:val="182"/>
        </w:trPr>
        <w:tc>
          <w:tcPr>
            <w:tcW w:w="1160" w:type="dxa"/>
            <w:vAlign w:val="bottom"/>
          </w:tcPr>
          <w:p>
            <w:pPr>
              <w:spacing w:after="0"/>
              <w:rPr>
                <w:sz w:val="15"/>
                <w:szCs w:val="15"/>
                <w:color w:val="auto"/>
              </w:rPr>
            </w:pPr>
          </w:p>
        </w:tc>
        <w:tc>
          <w:tcPr>
            <w:tcW w:w="1380" w:type="dxa"/>
            <w:vAlign w:val="bottom"/>
          </w:tcPr>
          <w:p>
            <w:pPr>
              <w:jc w:val="center"/>
              <w:ind w:left="68"/>
              <w:spacing w:after="0"/>
              <w:rPr>
                <w:sz w:val="20"/>
                <w:szCs w:val="20"/>
                <w:color w:val="auto"/>
              </w:rPr>
            </w:pPr>
            <w:r>
              <w:rPr>
                <w:rFonts w:ascii="Arial" w:cs="Arial" w:eastAsia="Arial" w:hAnsi="Arial"/>
                <w:sz w:val="14"/>
                <w:szCs w:val="14"/>
                <w:color w:val="auto"/>
                <w:w w:val="90"/>
              </w:rPr>
              <w:t>Peripherals</w:t>
            </w:r>
          </w:p>
        </w:tc>
      </w:tr>
      <w:tr>
        <w:trPr>
          <w:trHeight w:val="263"/>
        </w:trPr>
        <w:tc>
          <w:tcPr>
            <w:tcW w:w="1160" w:type="dxa"/>
            <w:vAlign w:val="bottom"/>
          </w:tcPr>
          <w:p>
            <w:pPr>
              <w:spacing w:after="0"/>
              <w:rPr>
                <w:sz w:val="20"/>
                <w:szCs w:val="20"/>
                <w:color w:val="auto"/>
              </w:rPr>
            </w:pPr>
            <w:r>
              <w:rPr>
                <w:rFonts w:ascii="Arial" w:cs="Arial" w:eastAsia="Arial" w:hAnsi="Arial"/>
                <w:sz w:val="14"/>
                <w:szCs w:val="14"/>
                <w:color w:val="auto"/>
              </w:rPr>
              <w:t>Pivot3, Inc.</w:t>
            </w:r>
          </w:p>
        </w:tc>
        <w:tc>
          <w:tcPr>
            <w:tcW w:w="1380" w:type="dxa"/>
            <w:vAlign w:val="bottom"/>
          </w:tcPr>
          <w:p>
            <w:pPr>
              <w:jc w:val="center"/>
              <w:ind w:left="68"/>
              <w:spacing w:after="0"/>
              <w:rPr>
                <w:sz w:val="20"/>
                <w:szCs w:val="20"/>
                <w:color w:val="auto"/>
              </w:rPr>
            </w:pPr>
            <w:r>
              <w:rPr>
                <w:rFonts w:ascii="Arial" w:cs="Arial" w:eastAsia="Arial" w:hAnsi="Arial"/>
                <w:sz w:val="14"/>
                <w:szCs w:val="14"/>
                <w:color w:val="auto"/>
                <w:w w:val="93"/>
              </w:rPr>
              <w:t>Data Processing &amp;</w:t>
            </w:r>
          </w:p>
        </w:tc>
      </w:tr>
      <w:tr>
        <w:trPr>
          <w:trHeight w:val="182"/>
        </w:trPr>
        <w:tc>
          <w:tcPr>
            <w:tcW w:w="1160" w:type="dxa"/>
            <w:vAlign w:val="bottom"/>
          </w:tcPr>
          <w:p>
            <w:pPr>
              <w:spacing w:after="0"/>
              <w:rPr>
                <w:sz w:val="15"/>
                <w:szCs w:val="15"/>
                <w:color w:val="auto"/>
              </w:rPr>
            </w:pPr>
          </w:p>
        </w:tc>
        <w:tc>
          <w:tcPr>
            <w:tcW w:w="1380" w:type="dxa"/>
            <w:vAlign w:val="bottom"/>
          </w:tcPr>
          <w:p>
            <w:pPr>
              <w:jc w:val="center"/>
              <w:ind w:left="48"/>
              <w:spacing w:after="0"/>
              <w:rPr>
                <w:sz w:val="20"/>
                <w:szCs w:val="20"/>
                <w:color w:val="auto"/>
              </w:rPr>
            </w:pPr>
            <w:r>
              <w:rPr>
                <w:rFonts w:ascii="Arial" w:cs="Arial" w:eastAsia="Arial" w:hAnsi="Arial"/>
                <w:sz w:val="14"/>
                <w:szCs w:val="14"/>
                <w:color w:val="auto"/>
                <w:w w:val="90"/>
              </w:rPr>
              <w:t>Outsourced Services</w:t>
            </w:r>
          </w:p>
        </w:tc>
      </w:tr>
      <w:tr>
        <w:trPr>
          <w:trHeight w:val="263"/>
        </w:trPr>
        <w:tc>
          <w:tcPr>
            <w:tcW w:w="1160" w:type="dxa"/>
            <w:vAlign w:val="bottom"/>
          </w:tcPr>
          <w:p>
            <w:pPr>
              <w:spacing w:after="0"/>
              <w:rPr>
                <w:sz w:val="20"/>
                <w:szCs w:val="20"/>
                <w:color w:val="auto"/>
              </w:rPr>
            </w:pPr>
            <w:r>
              <w:rPr>
                <w:rFonts w:ascii="Arial" w:cs="Arial" w:eastAsia="Arial" w:hAnsi="Arial"/>
                <w:sz w:val="14"/>
                <w:szCs w:val="14"/>
                <w:color w:val="auto"/>
              </w:rPr>
              <w:t>RealWear, Inc.</w:t>
            </w:r>
          </w:p>
        </w:tc>
        <w:tc>
          <w:tcPr>
            <w:tcW w:w="1380" w:type="dxa"/>
            <w:vAlign w:val="bottom"/>
          </w:tcPr>
          <w:p>
            <w:pPr>
              <w:jc w:val="center"/>
              <w:ind w:left="68"/>
              <w:spacing w:after="0"/>
              <w:rPr>
                <w:sz w:val="20"/>
                <w:szCs w:val="20"/>
                <w:color w:val="auto"/>
              </w:rPr>
            </w:pPr>
            <w:r>
              <w:rPr>
                <w:rFonts w:ascii="Arial" w:cs="Arial" w:eastAsia="Arial" w:hAnsi="Arial"/>
                <w:sz w:val="14"/>
                <w:szCs w:val="14"/>
                <w:color w:val="auto"/>
                <w:w w:val="93"/>
              </w:rPr>
              <w:t>Technology</w:t>
            </w:r>
          </w:p>
        </w:tc>
      </w:tr>
      <w:tr>
        <w:trPr>
          <w:trHeight w:val="149"/>
        </w:trPr>
        <w:tc>
          <w:tcPr>
            <w:tcW w:w="1160" w:type="dxa"/>
            <w:vAlign w:val="bottom"/>
          </w:tcPr>
          <w:p>
            <w:pPr>
              <w:spacing w:after="0"/>
              <w:rPr>
                <w:sz w:val="12"/>
                <w:szCs w:val="12"/>
                <w:color w:val="auto"/>
              </w:rPr>
            </w:pPr>
          </w:p>
        </w:tc>
        <w:tc>
          <w:tcPr>
            <w:tcW w:w="138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3"/>
              </w:rPr>
              <w:t>Hardware, Storage &amp;</w:t>
            </w:r>
          </w:p>
        </w:tc>
      </w:tr>
      <w:tr>
        <w:trPr>
          <w:trHeight w:val="182"/>
        </w:trPr>
        <w:tc>
          <w:tcPr>
            <w:tcW w:w="1160" w:type="dxa"/>
            <w:vAlign w:val="bottom"/>
          </w:tcPr>
          <w:p>
            <w:pPr>
              <w:spacing w:after="0"/>
              <w:rPr>
                <w:sz w:val="15"/>
                <w:szCs w:val="15"/>
                <w:color w:val="auto"/>
              </w:rPr>
            </w:pPr>
          </w:p>
        </w:tc>
        <w:tc>
          <w:tcPr>
            <w:tcW w:w="1380" w:type="dxa"/>
            <w:vAlign w:val="bottom"/>
          </w:tcPr>
          <w:p>
            <w:pPr>
              <w:jc w:val="center"/>
              <w:ind w:left="68"/>
              <w:spacing w:after="0"/>
              <w:rPr>
                <w:sz w:val="20"/>
                <w:szCs w:val="20"/>
                <w:color w:val="auto"/>
              </w:rPr>
            </w:pPr>
            <w:r>
              <w:rPr>
                <w:rFonts w:ascii="Arial" w:cs="Arial" w:eastAsia="Arial" w:hAnsi="Arial"/>
                <w:sz w:val="14"/>
                <w:szCs w:val="14"/>
                <w:color w:val="auto"/>
                <w:w w:val="90"/>
              </w:rPr>
              <w:t>Peripherals</w:t>
            </w:r>
          </w:p>
        </w:tc>
      </w:tr>
      <w:tr>
        <w:trPr>
          <w:trHeight w:val="263"/>
        </w:trPr>
        <w:tc>
          <w:tcPr>
            <w:tcW w:w="1160" w:type="dxa"/>
            <w:vAlign w:val="bottom"/>
          </w:tcPr>
          <w:p>
            <w:pPr>
              <w:spacing w:after="0"/>
              <w:rPr>
                <w:sz w:val="20"/>
                <w:szCs w:val="20"/>
                <w:color w:val="auto"/>
              </w:rPr>
            </w:pPr>
            <w:r>
              <w:rPr>
                <w:rFonts w:ascii="Arial" w:cs="Arial" w:eastAsia="Arial" w:hAnsi="Arial"/>
                <w:sz w:val="14"/>
                <w:szCs w:val="14"/>
                <w:color w:val="auto"/>
              </w:rPr>
              <w:t>Scale Computing,</w:t>
            </w:r>
          </w:p>
        </w:tc>
        <w:tc>
          <w:tcPr>
            <w:tcW w:w="1380" w:type="dxa"/>
            <w:vAlign w:val="bottom"/>
          </w:tcPr>
          <w:p>
            <w:pPr>
              <w:jc w:val="center"/>
              <w:ind w:left="48"/>
              <w:spacing w:after="0"/>
              <w:rPr>
                <w:sz w:val="20"/>
                <w:szCs w:val="20"/>
                <w:color w:val="auto"/>
              </w:rPr>
            </w:pPr>
            <w:r>
              <w:rPr>
                <w:rFonts w:ascii="Arial" w:cs="Arial" w:eastAsia="Arial" w:hAnsi="Arial"/>
                <w:sz w:val="14"/>
                <w:szCs w:val="14"/>
                <w:color w:val="auto"/>
                <w:w w:val="92"/>
              </w:rPr>
              <w:t>System Software</w:t>
            </w:r>
          </w:p>
        </w:tc>
      </w:tr>
      <w:tr>
        <w:trPr>
          <w:trHeight w:val="182"/>
        </w:trPr>
        <w:tc>
          <w:tcPr>
            <w:tcW w:w="1160" w:type="dxa"/>
            <w:vAlign w:val="bottom"/>
          </w:tcPr>
          <w:p>
            <w:pPr>
              <w:spacing w:after="0"/>
              <w:rPr>
                <w:sz w:val="20"/>
                <w:szCs w:val="20"/>
                <w:color w:val="auto"/>
              </w:rPr>
            </w:pPr>
            <w:r>
              <w:rPr>
                <w:rFonts w:ascii="Arial" w:cs="Arial" w:eastAsia="Arial" w:hAnsi="Arial"/>
                <w:sz w:val="14"/>
                <w:szCs w:val="14"/>
                <w:color w:val="auto"/>
              </w:rPr>
              <w:t>Inc.</w:t>
            </w:r>
          </w:p>
        </w:tc>
        <w:tc>
          <w:tcPr>
            <w:tcW w:w="1380" w:type="dxa"/>
            <w:vAlign w:val="bottom"/>
          </w:tcPr>
          <w:p>
            <w:pPr>
              <w:spacing w:after="0"/>
              <w:rPr>
                <w:sz w:val="15"/>
                <w:szCs w:val="15"/>
                <w:color w:val="auto"/>
              </w:rPr>
            </w:pPr>
          </w:p>
        </w:tc>
      </w:tr>
      <w:tr>
        <w:trPr>
          <w:trHeight w:val="263"/>
        </w:trPr>
        <w:tc>
          <w:tcPr>
            <w:tcW w:w="1160" w:type="dxa"/>
            <w:vAlign w:val="bottom"/>
          </w:tcPr>
          <w:p>
            <w:pPr>
              <w:spacing w:after="0"/>
              <w:rPr>
                <w:sz w:val="20"/>
                <w:szCs w:val="20"/>
                <w:color w:val="auto"/>
              </w:rPr>
            </w:pPr>
            <w:r>
              <w:rPr>
                <w:rFonts w:ascii="Arial" w:cs="Arial" w:eastAsia="Arial" w:hAnsi="Arial"/>
                <w:sz w:val="14"/>
                <w:szCs w:val="14"/>
                <w:color w:val="auto"/>
              </w:rPr>
              <w:t>ShareThis, Inc.</w:t>
            </w:r>
          </w:p>
        </w:tc>
        <w:tc>
          <w:tcPr>
            <w:tcW w:w="1380" w:type="dxa"/>
            <w:vAlign w:val="bottom"/>
          </w:tcPr>
          <w:p>
            <w:pPr>
              <w:jc w:val="center"/>
              <w:ind w:left="68"/>
              <w:spacing w:after="0"/>
              <w:rPr>
                <w:sz w:val="20"/>
                <w:szCs w:val="20"/>
                <w:color w:val="auto"/>
              </w:rPr>
            </w:pPr>
            <w:r>
              <w:rPr>
                <w:rFonts w:ascii="Arial" w:cs="Arial" w:eastAsia="Arial" w:hAnsi="Arial"/>
                <w:sz w:val="14"/>
                <w:szCs w:val="14"/>
                <w:color w:val="auto"/>
                <w:w w:val="93"/>
              </w:rPr>
              <w:t>Data Processing &amp;</w:t>
            </w:r>
          </w:p>
        </w:tc>
      </w:tr>
      <w:tr>
        <w:trPr>
          <w:trHeight w:val="182"/>
        </w:trPr>
        <w:tc>
          <w:tcPr>
            <w:tcW w:w="1160" w:type="dxa"/>
            <w:vAlign w:val="bottom"/>
          </w:tcPr>
          <w:p>
            <w:pPr>
              <w:spacing w:after="0"/>
              <w:rPr>
                <w:sz w:val="15"/>
                <w:szCs w:val="15"/>
                <w:color w:val="auto"/>
              </w:rPr>
            </w:pPr>
          </w:p>
        </w:tc>
        <w:tc>
          <w:tcPr>
            <w:tcW w:w="1380" w:type="dxa"/>
            <w:vAlign w:val="bottom"/>
          </w:tcPr>
          <w:p>
            <w:pPr>
              <w:jc w:val="center"/>
              <w:ind w:left="48"/>
              <w:spacing w:after="0"/>
              <w:rPr>
                <w:sz w:val="20"/>
                <w:szCs w:val="20"/>
                <w:color w:val="auto"/>
              </w:rPr>
            </w:pPr>
            <w:r>
              <w:rPr>
                <w:rFonts w:ascii="Arial" w:cs="Arial" w:eastAsia="Arial" w:hAnsi="Arial"/>
                <w:sz w:val="14"/>
                <w:szCs w:val="14"/>
                <w:color w:val="auto"/>
                <w:w w:val="90"/>
              </w:rPr>
              <w:t>Outsourced Services</w:t>
            </w:r>
          </w:p>
        </w:tc>
      </w:tr>
    </w:tbl>
    <w:p>
      <w:pPr>
        <w:spacing w:after="0" w:line="200" w:lineRule="exact"/>
        <w:rPr>
          <w:sz w:val="20"/>
          <w:szCs w:val="20"/>
          <w:color w:val="auto"/>
        </w:rPr>
      </w:pPr>
    </w:p>
    <w:p>
      <w:pPr>
        <w:spacing w:after="0" w:line="23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Total Senior Secured Term Loans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380"/>
        <w:spacing w:after="0" w:line="197" w:lineRule="auto"/>
        <w:rPr>
          <w:sz w:val="20"/>
          <w:szCs w:val="20"/>
          <w:color w:val="auto"/>
        </w:rPr>
      </w:pPr>
      <w:r>
        <w:rPr>
          <w:rFonts w:ascii="Arial" w:cs="Arial" w:eastAsia="Arial" w:hAnsi="Arial"/>
          <w:sz w:val="14"/>
          <w:szCs w:val="14"/>
          <w:color w:val="auto"/>
        </w:rPr>
        <w:t xml:space="preserve">Tranche I: LIBOR+12% PIK, 11.00% floor, 5% ETP, due 5/15/2021 </w:t>
      </w:r>
      <w:r>
        <w:rPr>
          <w:rFonts w:ascii="Arial" w:cs="Arial" w:eastAsia="Arial" w:hAnsi="Arial"/>
          <w:sz w:val="23"/>
          <w:szCs w:val="23"/>
          <w:color w:val="auto"/>
          <w:vertAlign w:val="superscript"/>
        </w:rPr>
        <w:t>(4), (9)</w:t>
      </w:r>
    </w:p>
    <w:p>
      <w:pPr>
        <w:ind w:right="340"/>
        <w:spacing w:after="0" w:line="190" w:lineRule="auto"/>
        <w:rPr>
          <w:sz w:val="20"/>
          <w:szCs w:val="20"/>
          <w:color w:val="auto"/>
        </w:rPr>
      </w:pPr>
      <w:r>
        <w:rPr>
          <w:rFonts w:ascii="Arial" w:cs="Arial" w:eastAsia="Arial" w:hAnsi="Arial"/>
          <w:sz w:val="14"/>
          <w:szCs w:val="14"/>
          <w:color w:val="auto"/>
        </w:rPr>
        <w:t xml:space="preserve">Tranche II: LIBOR+12% PIK, 11.00% floor, 5% ETP, due 5/15/2021 </w:t>
      </w:r>
      <w:r>
        <w:rPr>
          <w:rFonts w:ascii="Arial" w:cs="Arial" w:eastAsia="Arial" w:hAnsi="Arial"/>
          <w:sz w:val="23"/>
          <w:szCs w:val="23"/>
          <w:color w:val="auto"/>
          <w:vertAlign w:val="superscript"/>
        </w:rPr>
        <w:t>(4),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-208915</wp:posOffset>
            </wp:positionV>
            <wp:extent cx="7246620"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ind w:right="280"/>
        <w:spacing w:after="0" w:line="190" w:lineRule="auto"/>
        <w:rPr>
          <w:sz w:val="20"/>
          <w:szCs w:val="20"/>
          <w:color w:val="auto"/>
        </w:rPr>
      </w:pPr>
      <w:r>
        <w:rPr>
          <w:rFonts w:ascii="Arial" w:cs="Arial" w:eastAsia="Arial" w:hAnsi="Arial"/>
          <w:sz w:val="14"/>
          <w:szCs w:val="14"/>
          <w:color w:val="auto"/>
        </w:rPr>
        <w:t xml:space="preserve">Tranche III: LIBOR+12% PIK, 11.00% floor, 5% ETP, due 5/15/2021 </w:t>
      </w:r>
      <w:r>
        <w:rPr>
          <w:rFonts w:ascii="Arial" w:cs="Arial" w:eastAsia="Arial" w:hAnsi="Arial"/>
          <w:sz w:val="23"/>
          <w:szCs w:val="23"/>
          <w:color w:val="auto"/>
          <w:vertAlign w:val="superscript"/>
        </w:rPr>
        <w:t>(4), (9)</w:t>
      </w:r>
    </w:p>
    <w:p>
      <w:pPr>
        <w:spacing w:after="0" w:line="1" w:lineRule="exact"/>
        <w:rPr>
          <w:sz w:val="20"/>
          <w:szCs w:val="20"/>
          <w:color w:val="auto"/>
        </w:rPr>
      </w:pPr>
    </w:p>
    <w:p>
      <w:pPr>
        <w:ind w:right="300"/>
        <w:spacing w:after="0" w:line="190" w:lineRule="auto"/>
        <w:rPr>
          <w:sz w:val="20"/>
          <w:szCs w:val="20"/>
          <w:color w:val="auto"/>
        </w:rPr>
      </w:pPr>
      <w:r>
        <w:rPr>
          <w:rFonts w:ascii="Arial" w:cs="Arial" w:eastAsia="Arial" w:hAnsi="Arial"/>
          <w:sz w:val="14"/>
          <w:szCs w:val="14"/>
          <w:color w:val="auto"/>
        </w:rPr>
        <w:t xml:space="preserve">Tranche IV: LIBOR+12% PIK, 11.00% floor, 5% ETP, due 5/15/2021 </w:t>
      </w:r>
      <w:r>
        <w:rPr>
          <w:rFonts w:ascii="Arial" w:cs="Arial" w:eastAsia="Arial" w:hAnsi="Arial"/>
          <w:sz w:val="23"/>
          <w:szCs w:val="23"/>
          <w:color w:val="auto"/>
          <w:vertAlign w:val="superscript"/>
        </w:rPr>
        <w:t>(4),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-208915</wp:posOffset>
            </wp:positionV>
            <wp:extent cx="7246620"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ind w:right="340"/>
        <w:spacing w:after="0" w:line="194" w:lineRule="auto"/>
        <w:rPr>
          <w:sz w:val="20"/>
          <w:szCs w:val="20"/>
          <w:color w:val="auto"/>
        </w:rPr>
      </w:pPr>
      <w:r>
        <w:rPr>
          <w:rFonts w:ascii="Arial" w:cs="Arial" w:eastAsia="Arial" w:hAnsi="Arial"/>
          <w:sz w:val="14"/>
          <w:szCs w:val="14"/>
          <w:color w:val="auto"/>
        </w:rPr>
        <w:t xml:space="preserve">Tranche V: LIBOR+12% PIK, 11.00% floor, 5% ETP, due 5/15/2021 </w:t>
      </w:r>
      <w:r>
        <w:rPr>
          <w:rFonts w:ascii="Arial" w:cs="Arial" w:eastAsia="Arial" w:hAnsi="Arial"/>
          <w:sz w:val="23"/>
          <w:szCs w:val="23"/>
          <w:color w:val="auto"/>
          <w:vertAlign w:val="superscript"/>
        </w:rPr>
        <w:t>(4),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0</wp:posOffset>
            </wp:positionV>
            <wp:extent cx="724662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89" w:lineRule="auto"/>
        <w:rPr>
          <w:sz w:val="20"/>
          <w:szCs w:val="20"/>
          <w:color w:val="auto"/>
        </w:rPr>
      </w:pPr>
      <w:r>
        <w:rPr>
          <w:rFonts w:ascii="Arial" w:cs="Arial" w:eastAsia="Arial" w:hAnsi="Arial"/>
          <w:sz w:val="13"/>
          <w:szCs w:val="13"/>
          <w:color w:val="auto"/>
        </w:rPr>
        <w:t xml:space="preserve">Tranche VI: LIBOR+12% PIK, 11.00% floor, due 7/31/2019 </w:t>
      </w:r>
      <w:r>
        <w:rPr>
          <w:rFonts w:ascii="Arial" w:cs="Arial" w:eastAsia="Arial" w:hAnsi="Arial"/>
          <w:sz w:val="21"/>
          <w:szCs w:val="21"/>
          <w:color w:val="auto"/>
          <w:vertAlign w:val="superscript"/>
        </w:rPr>
        <w:t>(4),</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(9)</w:t>
      </w:r>
    </w:p>
    <w:p>
      <w:pPr>
        <w:spacing w:after="0" w:line="153" w:lineRule="exact"/>
        <w:rPr>
          <w:sz w:val="20"/>
          <w:szCs w:val="20"/>
          <w:color w:val="auto"/>
        </w:rPr>
      </w:pPr>
    </w:p>
    <w:p>
      <w:pPr>
        <w:ind w:right="540"/>
        <w:spacing w:after="0" w:line="230" w:lineRule="auto"/>
        <w:rPr>
          <w:sz w:val="20"/>
          <w:szCs w:val="20"/>
          <w:color w:val="auto"/>
        </w:rPr>
      </w:pPr>
      <w:r>
        <w:rPr>
          <w:rFonts w:ascii="Arial" w:cs="Arial" w:eastAsia="Arial" w:hAnsi="Arial"/>
          <w:sz w:val="14"/>
          <w:szCs w:val="14"/>
          <w:color w:val="auto"/>
        </w:rPr>
        <w:t>Tranche I: LIBOR+9.00%, 11.50% floor, 5% ETP, due 4/28/2022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-183515</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right="500"/>
        <w:spacing w:after="0" w:line="237" w:lineRule="auto"/>
        <w:rPr>
          <w:sz w:val="20"/>
          <w:szCs w:val="20"/>
          <w:color w:val="auto"/>
        </w:rPr>
      </w:pPr>
      <w:r>
        <w:rPr>
          <w:rFonts w:ascii="Arial" w:cs="Arial" w:eastAsia="Arial" w:hAnsi="Arial"/>
          <w:sz w:val="14"/>
          <w:szCs w:val="14"/>
          <w:color w:val="auto"/>
        </w:rPr>
        <w:t>Tranche II: LIBOR+9.00%, 11.50% floor, 5% ETP, due 4/28/2022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-8255</wp:posOffset>
            </wp:positionV>
            <wp:extent cx="7246620" cy="94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LIBOR+8.50%, 10.75% floor, 3.50% ETP, due 5/15/2021 </w:t>
      </w:r>
      <w:r>
        <w:rPr>
          <w:rFonts w:ascii="Arial" w:cs="Arial" w:eastAsia="Arial" w:hAnsi="Arial"/>
          <w:sz w:val="21"/>
          <w:szCs w:val="21"/>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135255</wp:posOffset>
            </wp:positionV>
            <wp:extent cx="7246620" cy="94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LIBOR+8.50%, 11.00% floor, 4% ETP, due 11/15/2022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98425</wp:posOffset>
            </wp:positionV>
            <wp:extent cx="7246620" cy="94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LIBOR+8%, 10.35% floor, 5% ETP, due 6/28/2023 </w:t>
      </w:r>
      <w:r>
        <w:rPr>
          <w:rFonts w:ascii="Arial" w:cs="Arial" w:eastAsia="Arial" w:hAnsi="Arial"/>
          <w:sz w:val="23"/>
          <w:szCs w:val="23"/>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120650</wp:posOffset>
            </wp:positionV>
            <wp:extent cx="7246620" cy="94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LIBOR+9.25%, 11.75% floor, 4.5% ETP, due 9/15/2022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98425</wp:posOffset>
            </wp:positionV>
            <wp:extent cx="7246620" cy="94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65" w:lineRule="exact"/>
        <w:rPr>
          <w:sz w:val="20"/>
          <w:szCs w:val="20"/>
          <w:color w:val="auto"/>
        </w:rPr>
      </w:pPr>
    </w:p>
    <w:p>
      <w:pPr>
        <w:ind w:right="540"/>
        <w:spacing w:after="0" w:line="230" w:lineRule="auto"/>
        <w:rPr>
          <w:sz w:val="20"/>
          <w:szCs w:val="20"/>
          <w:color w:val="auto"/>
        </w:rPr>
      </w:pPr>
      <w:r>
        <w:rPr>
          <w:rFonts w:ascii="Arial" w:cs="Arial" w:eastAsia="Arial" w:hAnsi="Arial"/>
          <w:sz w:val="14"/>
          <w:szCs w:val="14"/>
          <w:color w:val="auto"/>
        </w:rPr>
        <w:t>Tranche I: LIBOR+9.25%, 11.65% floor, 4% ETP, due 5/15/2022</w:t>
      </w:r>
    </w:p>
    <w:p>
      <w:pPr>
        <w:spacing w:after="0" w:line="1" w:lineRule="exact"/>
        <w:rPr>
          <w:sz w:val="20"/>
          <w:szCs w:val="20"/>
          <w:color w:val="auto"/>
        </w:rPr>
      </w:pPr>
    </w:p>
    <w:p>
      <w:pPr>
        <w:ind w:right="500"/>
        <w:spacing w:after="0" w:line="237" w:lineRule="auto"/>
        <w:rPr>
          <w:sz w:val="20"/>
          <w:szCs w:val="20"/>
          <w:color w:val="auto"/>
        </w:rPr>
      </w:pPr>
      <w:r>
        <w:rPr>
          <w:rFonts w:ascii="Arial" w:cs="Arial" w:eastAsia="Arial" w:hAnsi="Arial"/>
          <w:sz w:val="14"/>
          <w:szCs w:val="14"/>
          <w:color w:val="auto"/>
        </w:rPr>
        <w:t>Tranche II: LIBOR+9.25%, 11.65% floor, 4% ETP, due 5/15/2022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-196850</wp:posOffset>
            </wp:positionV>
            <wp:extent cx="7246620" cy="197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102235</wp:posOffset>
            </wp:positionV>
            <wp:extent cx="724662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Pr>
          <w:p>
            <w:pPr>
              <w:jc w:val="center"/>
              <w:spacing w:after="0"/>
              <w:rPr>
                <w:sz w:val="20"/>
                <w:szCs w:val="20"/>
                <w:color w:val="auto"/>
              </w:rPr>
            </w:pPr>
            <w:r>
              <w:rPr>
                <w:rFonts w:ascii="Arial" w:cs="Arial" w:eastAsia="Arial" w:hAnsi="Arial"/>
                <w:sz w:val="14"/>
                <w:szCs w:val="14"/>
                <w:color w:val="auto"/>
                <w:w w:val="93"/>
              </w:rPr>
              <w:t>5/16/2017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6,136,977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5,822,640</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5,168,784</w:t>
            </w:r>
          </w:p>
        </w:tc>
        <w:tc>
          <w:tcPr>
            <w:tcW w:w="2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1.77%</w:t>
            </w:r>
          </w:p>
        </w:tc>
      </w:tr>
      <w:tr>
        <w:trPr>
          <w:trHeight w:val="338"/>
        </w:trPr>
        <w:tc>
          <w:tcPr>
            <w:tcW w:w="720" w:type="dxa"/>
            <w:vAlign w:val="bottom"/>
          </w:tcPr>
          <w:p>
            <w:pPr>
              <w:jc w:val="center"/>
              <w:spacing w:after="0"/>
              <w:rPr>
                <w:sz w:val="20"/>
                <w:szCs w:val="20"/>
                <w:color w:val="auto"/>
              </w:rPr>
            </w:pPr>
            <w:r>
              <w:rPr>
                <w:rFonts w:ascii="Arial" w:cs="Arial" w:eastAsia="Arial" w:hAnsi="Arial"/>
                <w:sz w:val="14"/>
                <w:szCs w:val="14"/>
                <w:color w:val="auto"/>
                <w:w w:val="91"/>
              </w:rPr>
              <w:t>8/3/2017</w:t>
            </w:r>
          </w:p>
        </w:tc>
        <w:tc>
          <w:tcPr>
            <w:tcW w:w="160" w:type="dxa"/>
            <w:vAlign w:val="bottom"/>
          </w:tcPr>
          <w:p>
            <w:pPr>
              <w:spacing w:after="0"/>
              <w:rPr>
                <w:sz w:val="24"/>
                <w:szCs w:val="2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2,045,659</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1,946,228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1,727,676</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0.59</w:t>
            </w:r>
          </w:p>
        </w:tc>
        <w:tc>
          <w:tcPr>
            <w:tcW w:w="120" w:type="dxa"/>
            <w:vAlign w:val="bottom"/>
          </w:tcPr>
          <w:p>
            <w:pPr>
              <w:spacing w:after="0"/>
              <w:rPr>
                <w:sz w:val="24"/>
                <w:szCs w:val="24"/>
                <w:color w:val="auto"/>
              </w:rPr>
            </w:pPr>
          </w:p>
        </w:tc>
      </w:tr>
      <w:tr>
        <w:trPr>
          <w:trHeight w:val="338"/>
        </w:trPr>
        <w:tc>
          <w:tcPr>
            <w:tcW w:w="720" w:type="dxa"/>
            <w:vAlign w:val="bottom"/>
          </w:tcPr>
          <w:p>
            <w:pPr>
              <w:jc w:val="center"/>
              <w:spacing w:after="0"/>
              <w:rPr>
                <w:sz w:val="20"/>
                <w:szCs w:val="20"/>
                <w:color w:val="auto"/>
              </w:rPr>
            </w:pPr>
            <w:r>
              <w:rPr>
                <w:rFonts w:ascii="Arial" w:cs="Arial" w:eastAsia="Arial" w:hAnsi="Arial"/>
                <w:sz w:val="14"/>
                <w:szCs w:val="14"/>
                <w:color w:val="auto"/>
                <w:w w:val="91"/>
              </w:rPr>
              <w:t>7/6/2018</w:t>
            </w:r>
          </w:p>
        </w:tc>
        <w:tc>
          <w:tcPr>
            <w:tcW w:w="160" w:type="dxa"/>
            <w:vAlign w:val="bottom"/>
          </w:tcPr>
          <w:p>
            <w:pPr>
              <w:spacing w:after="0"/>
              <w:rPr>
                <w:sz w:val="24"/>
                <w:szCs w:val="2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510,898</w:t>
            </w:r>
          </w:p>
        </w:tc>
        <w:tc>
          <w:tcPr>
            <w:tcW w:w="1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489,598</w:t>
            </w: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434,619</w:t>
            </w:r>
          </w:p>
        </w:tc>
        <w:tc>
          <w:tcPr>
            <w:tcW w:w="680" w:type="dxa"/>
            <w:vAlign w:val="bottom"/>
          </w:tcPr>
          <w:p>
            <w:pPr>
              <w:jc w:val="right"/>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24"/>
                <w:szCs w:val="24"/>
                <w:color w:val="auto"/>
              </w:rPr>
            </w:pPr>
          </w:p>
        </w:tc>
      </w:tr>
      <w:tr>
        <w:trPr>
          <w:trHeight w:val="338"/>
        </w:trPr>
        <w:tc>
          <w:tcPr>
            <w:tcW w:w="720" w:type="dxa"/>
            <w:vAlign w:val="bottom"/>
          </w:tcPr>
          <w:p>
            <w:pPr>
              <w:jc w:val="center"/>
              <w:spacing w:after="0"/>
              <w:rPr>
                <w:sz w:val="20"/>
                <w:szCs w:val="20"/>
                <w:color w:val="auto"/>
              </w:rPr>
            </w:pPr>
            <w:r>
              <w:rPr>
                <w:rFonts w:ascii="Arial" w:cs="Arial" w:eastAsia="Arial" w:hAnsi="Arial"/>
                <w:sz w:val="14"/>
                <w:szCs w:val="14"/>
                <w:color w:val="auto"/>
                <w:w w:val="91"/>
              </w:rPr>
              <w:t>9/5/2018</w:t>
            </w:r>
          </w:p>
        </w:tc>
        <w:tc>
          <w:tcPr>
            <w:tcW w:w="160" w:type="dxa"/>
            <w:vAlign w:val="bottom"/>
          </w:tcPr>
          <w:p>
            <w:pPr>
              <w:spacing w:after="0"/>
              <w:rPr>
                <w:sz w:val="24"/>
                <w:szCs w:val="2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510,185</w:t>
            </w:r>
          </w:p>
        </w:tc>
        <w:tc>
          <w:tcPr>
            <w:tcW w:w="1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487,266</w:t>
            </w: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432,548</w:t>
            </w:r>
          </w:p>
        </w:tc>
        <w:tc>
          <w:tcPr>
            <w:tcW w:w="680" w:type="dxa"/>
            <w:vAlign w:val="bottom"/>
          </w:tcPr>
          <w:p>
            <w:pPr>
              <w:jc w:val="right"/>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24"/>
                <w:szCs w:val="24"/>
                <w:color w:val="auto"/>
              </w:rPr>
            </w:pPr>
          </w:p>
        </w:tc>
      </w:tr>
      <w:tr>
        <w:trPr>
          <w:trHeight w:val="338"/>
        </w:trPr>
        <w:tc>
          <w:tcPr>
            <w:tcW w:w="720" w:type="dxa"/>
            <w:vAlign w:val="bottom"/>
          </w:tcPr>
          <w:p>
            <w:pPr>
              <w:jc w:val="center"/>
              <w:spacing w:after="0"/>
              <w:rPr>
                <w:sz w:val="20"/>
                <w:szCs w:val="20"/>
                <w:color w:val="auto"/>
              </w:rPr>
            </w:pPr>
            <w:r>
              <w:rPr>
                <w:rFonts w:ascii="Arial" w:cs="Arial" w:eastAsia="Arial" w:hAnsi="Arial"/>
                <w:sz w:val="14"/>
                <w:szCs w:val="14"/>
                <w:color w:val="auto"/>
                <w:w w:val="93"/>
              </w:rPr>
              <w:t>1/28/2019</w:t>
            </w:r>
          </w:p>
        </w:tc>
        <w:tc>
          <w:tcPr>
            <w:tcW w:w="160" w:type="dxa"/>
            <w:vAlign w:val="bottom"/>
          </w:tcPr>
          <w:p>
            <w:pPr>
              <w:spacing w:after="0"/>
              <w:rPr>
                <w:sz w:val="24"/>
                <w:szCs w:val="2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1,016,008</w:t>
            </w:r>
          </w:p>
        </w:tc>
        <w:tc>
          <w:tcPr>
            <w:tcW w:w="1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956,832</w:t>
            </w: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849,384</w:t>
            </w:r>
          </w:p>
        </w:tc>
        <w:tc>
          <w:tcPr>
            <w:tcW w:w="680" w:type="dxa"/>
            <w:vAlign w:val="bottom"/>
          </w:tcPr>
          <w:p>
            <w:pPr>
              <w:jc w:val="right"/>
              <w:spacing w:after="0"/>
              <w:rPr>
                <w:sz w:val="20"/>
                <w:szCs w:val="20"/>
                <w:color w:val="auto"/>
              </w:rPr>
            </w:pPr>
            <w:r>
              <w:rPr>
                <w:rFonts w:ascii="Arial" w:cs="Arial" w:eastAsia="Arial" w:hAnsi="Arial"/>
                <w:sz w:val="14"/>
                <w:szCs w:val="14"/>
                <w:color w:val="auto"/>
              </w:rPr>
              <w:t>0.29</w:t>
            </w:r>
          </w:p>
        </w:tc>
        <w:tc>
          <w:tcPr>
            <w:tcW w:w="120" w:type="dxa"/>
            <w:vAlign w:val="bottom"/>
          </w:tcPr>
          <w:p>
            <w:pPr>
              <w:spacing w:after="0"/>
              <w:rPr>
                <w:sz w:val="24"/>
                <w:szCs w:val="24"/>
                <w:color w:val="auto"/>
              </w:rPr>
            </w:pPr>
          </w:p>
        </w:tc>
      </w:tr>
      <w:tr>
        <w:trPr>
          <w:trHeight w:val="351"/>
        </w:trPr>
        <w:tc>
          <w:tcPr>
            <w:tcW w:w="720" w:type="dxa"/>
            <w:vAlign w:val="bottom"/>
          </w:tcPr>
          <w:p>
            <w:pPr>
              <w:jc w:val="center"/>
              <w:spacing w:after="0"/>
              <w:rPr>
                <w:sz w:val="20"/>
                <w:szCs w:val="20"/>
                <w:color w:val="auto"/>
              </w:rPr>
            </w:pPr>
            <w:r>
              <w:rPr>
                <w:rFonts w:ascii="Arial" w:cs="Arial" w:eastAsia="Arial" w:hAnsi="Arial"/>
                <w:sz w:val="14"/>
                <w:szCs w:val="14"/>
                <w:color w:val="auto"/>
                <w:w w:val="93"/>
              </w:rPr>
              <w:t>5/30/2019</w:t>
            </w:r>
          </w:p>
        </w:tc>
        <w:tc>
          <w:tcPr>
            <w:tcW w:w="160" w:type="dxa"/>
            <w:vAlign w:val="bottom"/>
          </w:tcPr>
          <w:p>
            <w:pPr>
              <w:spacing w:after="0"/>
              <w:rPr>
                <w:sz w:val="24"/>
                <w:szCs w:val="2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1,006,453</w:t>
            </w:r>
          </w:p>
        </w:tc>
        <w:tc>
          <w:tcPr>
            <w:tcW w:w="1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999,105</w:t>
            </w: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886,910</w:t>
            </w:r>
          </w:p>
        </w:tc>
        <w:tc>
          <w:tcPr>
            <w:tcW w:w="680" w:type="dxa"/>
            <w:vAlign w:val="bottom"/>
          </w:tcPr>
          <w:p>
            <w:pPr>
              <w:jc w:val="right"/>
              <w:spacing w:after="0"/>
              <w:rPr>
                <w:sz w:val="20"/>
                <w:szCs w:val="20"/>
                <w:color w:val="auto"/>
              </w:rPr>
            </w:pPr>
            <w:r>
              <w:rPr>
                <w:rFonts w:ascii="Arial" w:cs="Arial" w:eastAsia="Arial" w:hAnsi="Arial"/>
                <w:sz w:val="14"/>
                <w:szCs w:val="14"/>
                <w:color w:val="auto"/>
              </w:rPr>
              <w:t>0.30</w:t>
            </w:r>
          </w:p>
        </w:tc>
        <w:tc>
          <w:tcPr>
            <w:tcW w:w="120" w:type="dxa"/>
            <w:vAlign w:val="bottom"/>
          </w:tcPr>
          <w:p>
            <w:pPr>
              <w:spacing w:after="0"/>
              <w:rPr>
                <w:sz w:val="24"/>
                <w:szCs w:val="24"/>
                <w:color w:val="auto"/>
              </w:rPr>
            </w:pPr>
          </w:p>
        </w:tc>
      </w:tr>
      <w:tr>
        <w:trPr>
          <w:trHeight w:val="446"/>
        </w:trPr>
        <w:tc>
          <w:tcPr>
            <w:tcW w:w="720" w:type="dxa"/>
            <w:vAlign w:val="bottom"/>
          </w:tcPr>
          <w:p>
            <w:pPr>
              <w:jc w:val="center"/>
              <w:spacing w:after="0"/>
              <w:rPr>
                <w:sz w:val="20"/>
                <w:szCs w:val="20"/>
                <w:color w:val="auto"/>
              </w:rPr>
            </w:pPr>
            <w:r>
              <w:rPr>
                <w:rFonts w:ascii="Arial" w:cs="Arial" w:eastAsia="Arial" w:hAnsi="Arial"/>
                <w:sz w:val="14"/>
                <w:szCs w:val="14"/>
                <w:color w:val="auto"/>
                <w:w w:val="94"/>
              </w:rPr>
              <w:t>12/28/2018</w:t>
            </w:r>
          </w:p>
        </w:tc>
        <w:tc>
          <w:tcPr>
            <w:tcW w:w="160" w:type="dxa"/>
            <w:vAlign w:val="bottom"/>
          </w:tcPr>
          <w:p>
            <w:pPr>
              <w:spacing w:after="0"/>
              <w:rPr>
                <w:sz w:val="24"/>
                <w:szCs w:val="2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7,000,000</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6,917,586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6,917,586</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4"/>
                <w:szCs w:val="24"/>
                <w:color w:val="auto"/>
              </w:rPr>
            </w:pPr>
          </w:p>
        </w:tc>
      </w:tr>
      <w:tr>
        <w:trPr>
          <w:trHeight w:val="297"/>
        </w:trPr>
        <w:tc>
          <w:tcPr>
            <w:tcW w:w="720" w:type="dxa"/>
            <w:vAlign w:val="bottom"/>
          </w:tcPr>
          <w:p>
            <w:pPr>
              <w:jc w:val="center"/>
              <w:spacing w:after="0"/>
              <w:rPr>
                <w:sz w:val="20"/>
                <w:szCs w:val="20"/>
                <w:color w:val="auto"/>
              </w:rPr>
            </w:pPr>
            <w:r>
              <w:rPr>
                <w:rFonts w:ascii="Arial" w:cs="Arial" w:eastAsia="Arial" w:hAnsi="Arial"/>
                <w:sz w:val="14"/>
                <w:szCs w:val="14"/>
                <w:color w:val="auto"/>
                <w:w w:val="93"/>
              </w:rPr>
              <w:t>6/12/2019</w:t>
            </w:r>
          </w:p>
        </w:tc>
        <w:tc>
          <w:tcPr>
            <w:tcW w:w="160" w:type="dxa"/>
            <w:vAlign w:val="bottom"/>
          </w:tcPr>
          <w:p>
            <w:pPr>
              <w:spacing w:after="0"/>
              <w:rPr>
                <w:sz w:val="24"/>
                <w:szCs w:val="2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495,666</w:t>
            </w: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495,666</w:t>
            </w:r>
          </w:p>
        </w:tc>
        <w:tc>
          <w:tcPr>
            <w:tcW w:w="680" w:type="dxa"/>
            <w:vAlign w:val="bottom"/>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24"/>
                <w:szCs w:val="24"/>
                <w:color w:val="auto"/>
              </w:rPr>
            </w:pPr>
          </w:p>
        </w:tc>
      </w:tr>
      <w:tr>
        <w:trPr>
          <w:trHeight w:val="594"/>
        </w:trPr>
        <w:tc>
          <w:tcPr>
            <w:tcW w:w="720" w:type="dxa"/>
            <w:vAlign w:val="bottom"/>
          </w:tcPr>
          <w:p>
            <w:pPr>
              <w:jc w:val="center"/>
              <w:spacing w:after="0"/>
              <w:rPr>
                <w:sz w:val="20"/>
                <w:szCs w:val="20"/>
                <w:color w:val="auto"/>
              </w:rPr>
            </w:pPr>
            <w:r>
              <w:rPr>
                <w:rFonts w:ascii="Arial" w:cs="Arial" w:eastAsia="Arial" w:hAnsi="Arial"/>
                <w:sz w:val="14"/>
                <w:szCs w:val="14"/>
                <w:color w:val="auto"/>
                <w:w w:val="94"/>
              </w:rPr>
              <w:t>11/27/2018</w:t>
            </w:r>
          </w:p>
        </w:tc>
        <w:tc>
          <w:tcPr>
            <w:tcW w:w="160" w:type="dxa"/>
            <w:vAlign w:val="bottom"/>
          </w:tcPr>
          <w:p>
            <w:pPr>
              <w:spacing w:after="0"/>
              <w:rPr>
                <w:sz w:val="24"/>
                <w:szCs w:val="2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w w:val="94"/>
              </w:rPr>
              <w:t>10,000,000</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9,924,409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9,924,409</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24"/>
                <w:szCs w:val="24"/>
                <w:color w:val="auto"/>
              </w:rPr>
            </w:pPr>
          </w:p>
        </w:tc>
      </w:tr>
      <w:tr>
        <w:trPr>
          <w:trHeight w:val="446"/>
        </w:trPr>
        <w:tc>
          <w:tcPr>
            <w:tcW w:w="720" w:type="dxa"/>
            <w:vAlign w:val="bottom"/>
          </w:tcPr>
          <w:p>
            <w:pPr>
              <w:jc w:val="center"/>
              <w:spacing w:after="0"/>
              <w:rPr>
                <w:sz w:val="20"/>
                <w:szCs w:val="20"/>
                <w:color w:val="auto"/>
              </w:rPr>
            </w:pPr>
            <w:r>
              <w:rPr>
                <w:rFonts w:ascii="Arial" w:cs="Arial" w:eastAsia="Arial" w:hAnsi="Arial"/>
                <w:sz w:val="14"/>
                <w:szCs w:val="14"/>
                <w:color w:val="auto"/>
                <w:w w:val="93"/>
              </w:rPr>
              <w:t>5/13/2019</w:t>
            </w:r>
          </w:p>
        </w:tc>
        <w:tc>
          <w:tcPr>
            <w:tcW w:w="160" w:type="dxa"/>
            <w:vAlign w:val="bottom"/>
          </w:tcPr>
          <w:p>
            <w:pPr>
              <w:spacing w:after="0"/>
              <w:rPr>
                <w:sz w:val="24"/>
                <w:szCs w:val="2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w w:val="94"/>
              </w:rPr>
              <w:t>20,000,000</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19,640,127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19,640,126</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24"/>
                <w:szCs w:val="24"/>
                <w:color w:val="auto"/>
              </w:rPr>
            </w:pPr>
          </w:p>
        </w:tc>
      </w:tr>
      <w:tr>
        <w:trPr>
          <w:trHeight w:val="594"/>
        </w:trPr>
        <w:tc>
          <w:tcPr>
            <w:tcW w:w="720" w:type="dxa"/>
            <w:vAlign w:val="bottom"/>
          </w:tcPr>
          <w:p>
            <w:pPr>
              <w:jc w:val="center"/>
              <w:spacing w:after="0"/>
              <w:rPr>
                <w:sz w:val="20"/>
                <w:szCs w:val="20"/>
                <w:color w:val="auto"/>
              </w:rPr>
            </w:pPr>
            <w:r>
              <w:rPr>
                <w:rFonts w:ascii="Arial" w:cs="Arial" w:eastAsia="Arial" w:hAnsi="Arial"/>
                <w:sz w:val="14"/>
                <w:szCs w:val="14"/>
                <w:color w:val="auto"/>
                <w:w w:val="93"/>
              </w:rPr>
              <w:t>6/28/2018</w:t>
            </w:r>
          </w:p>
        </w:tc>
        <w:tc>
          <w:tcPr>
            <w:tcW w:w="160" w:type="dxa"/>
            <w:vAlign w:val="bottom"/>
          </w:tcPr>
          <w:p>
            <w:pPr>
              <w:spacing w:after="0"/>
              <w:rPr>
                <w:sz w:val="24"/>
                <w:szCs w:val="2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w w:val="94"/>
              </w:rPr>
              <w:t>25,000,000</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24,385,275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24,385,275</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8.34</w:t>
            </w:r>
          </w:p>
        </w:tc>
        <w:tc>
          <w:tcPr>
            <w:tcW w:w="120" w:type="dxa"/>
            <w:vAlign w:val="bottom"/>
          </w:tcPr>
          <w:p>
            <w:pPr>
              <w:spacing w:after="0"/>
              <w:rPr>
                <w:sz w:val="24"/>
                <w:szCs w:val="24"/>
                <w:color w:val="auto"/>
              </w:rPr>
            </w:pPr>
          </w:p>
        </w:tc>
      </w:tr>
      <w:tr>
        <w:trPr>
          <w:trHeight w:val="446"/>
        </w:trPr>
        <w:tc>
          <w:tcPr>
            <w:tcW w:w="720" w:type="dxa"/>
            <w:vAlign w:val="bottom"/>
          </w:tcPr>
          <w:p>
            <w:pPr>
              <w:jc w:val="center"/>
              <w:spacing w:after="0"/>
              <w:rPr>
                <w:sz w:val="20"/>
                <w:szCs w:val="20"/>
                <w:color w:val="auto"/>
              </w:rPr>
            </w:pPr>
            <w:r>
              <w:rPr>
                <w:rFonts w:ascii="Arial" w:cs="Arial" w:eastAsia="Arial" w:hAnsi="Arial"/>
                <w:sz w:val="14"/>
                <w:szCs w:val="14"/>
                <w:color w:val="auto"/>
                <w:w w:val="93"/>
              </w:rPr>
              <w:t>3/29/2019</w:t>
            </w:r>
          </w:p>
        </w:tc>
        <w:tc>
          <w:tcPr>
            <w:tcW w:w="160" w:type="dxa"/>
            <w:vAlign w:val="bottom"/>
          </w:tcPr>
          <w:p>
            <w:pPr>
              <w:spacing w:after="0"/>
              <w:rPr>
                <w:sz w:val="24"/>
                <w:szCs w:val="2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w w:val="94"/>
              </w:rPr>
              <w:t>15,000,000</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14,599,121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14,583,369</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4.99</w:t>
            </w:r>
          </w:p>
        </w:tc>
        <w:tc>
          <w:tcPr>
            <w:tcW w:w="120" w:type="dxa"/>
            <w:vAlign w:val="bottom"/>
          </w:tcPr>
          <w:p>
            <w:pPr>
              <w:spacing w:after="0"/>
              <w:rPr>
                <w:sz w:val="24"/>
                <w:szCs w:val="24"/>
                <w:color w:val="auto"/>
              </w:rPr>
            </w:pPr>
          </w:p>
        </w:tc>
      </w:tr>
      <w:tr>
        <w:trPr>
          <w:trHeight w:val="446"/>
        </w:trPr>
        <w:tc>
          <w:tcPr>
            <w:tcW w:w="720" w:type="dxa"/>
            <w:vAlign w:val="bottom"/>
          </w:tcPr>
          <w:p>
            <w:pPr>
              <w:jc w:val="center"/>
              <w:spacing w:after="0"/>
              <w:rPr>
                <w:sz w:val="20"/>
                <w:szCs w:val="20"/>
                <w:color w:val="auto"/>
              </w:rPr>
            </w:pPr>
            <w:r>
              <w:rPr>
                <w:rFonts w:ascii="Arial" w:cs="Arial" w:eastAsia="Arial" w:hAnsi="Arial"/>
                <w:sz w:val="14"/>
                <w:szCs w:val="14"/>
                <w:color w:val="auto"/>
                <w:w w:val="93"/>
              </w:rPr>
              <w:t>12/3/2018</w:t>
            </w:r>
          </w:p>
        </w:tc>
        <w:tc>
          <w:tcPr>
            <w:tcW w:w="160" w:type="dxa"/>
            <w:vAlign w:val="bottom"/>
          </w:tcPr>
          <w:p>
            <w:pPr>
              <w:spacing w:after="0"/>
              <w:rPr>
                <w:sz w:val="24"/>
                <w:szCs w:val="2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w w:val="94"/>
              </w:rPr>
              <w:t>19,250,000</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18,008,006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18,008,006</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6.16</w:t>
            </w:r>
          </w:p>
        </w:tc>
        <w:tc>
          <w:tcPr>
            <w:tcW w:w="120" w:type="dxa"/>
            <w:vAlign w:val="bottom"/>
          </w:tcPr>
          <w:p>
            <w:pPr>
              <w:spacing w:after="0"/>
              <w:rPr>
                <w:sz w:val="24"/>
                <w:szCs w:val="24"/>
                <w:color w:val="auto"/>
              </w:rPr>
            </w:pPr>
          </w:p>
        </w:tc>
      </w:tr>
      <w:tr>
        <w:trPr>
          <w:trHeight w:val="296"/>
        </w:trPr>
        <w:tc>
          <w:tcPr>
            <w:tcW w:w="720" w:type="dxa"/>
            <w:vAlign w:val="bottom"/>
          </w:tcPr>
          <w:p>
            <w:pPr>
              <w:jc w:val="center"/>
              <w:spacing w:after="0"/>
              <w:rPr>
                <w:sz w:val="20"/>
                <w:szCs w:val="20"/>
                <w:color w:val="auto"/>
              </w:rPr>
            </w:pPr>
            <w:r>
              <w:rPr>
                <w:rFonts w:ascii="Arial" w:cs="Arial" w:eastAsia="Arial" w:hAnsi="Arial"/>
                <w:sz w:val="14"/>
                <w:szCs w:val="14"/>
                <w:color w:val="auto"/>
                <w:w w:val="93"/>
              </w:rPr>
              <w:t>1/17/2019</w:t>
            </w:r>
          </w:p>
        </w:tc>
        <w:tc>
          <w:tcPr>
            <w:tcW w:w="160" w:type="dxa"/>
            <w:vAlign w:val="bottom"/>
          </w:tcPr>
          <w:p>
            <w:pPr>
              <w:spacing w:after="0"/>
              <w:rPr>
                <w:sz w:val="24"/>
                <w:szCs w:val="2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750,000</w:t>
            </w:r>
          </w:p>
        </w:tc>
        <w:tc>
          <w:tcPr>
            <w:tcW w:w="1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755,531</w:t>
            </w: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755,531</w:t>
            </w:r>
          </w:p>
        </w:tc>
        <w:tc>
          <w:tcPr>
            <w:tcW w:w="680" w:type="dxa"/>
            <w:vAlign w:val="bottom"/>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2"/>
              </w:rPr>
              <w:t>267,981,293</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2"/>
              </w:rPr>
              <w:t>264,357,266</w:t>
            </w:r>
          </w:p>
        </w:tc>
        <w:tc>
          <w:tcPr>
            <w:tcW w:w="2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90.43%</w:t>
            </w: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2720" w:space="120"/>
            <w:col w:w="3700" w:space="180"/>
            <w:col w:w="4700"/>
          </w:cols>
          <w:pgMar w:left="240" w:top="904"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 Companies</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Sub-Industry</w:t>
            </w:r>
          </w:p>
        </w:tc>
        <w:tc>
          <w:tcPr>
            <w:tcW w:w="4060" w:type="dxa"/>
            <w:vAlign w:val="bottom"/>
            <w:gridSpan w:val="2"/>
          </w:tcPr>
          <w:p>
            <w:pPr>
              <w:ind w:left="1240"/>
              <w:spacing w:after="0"/>
              <w:rPr>
                <w:sz w:val="20"/>
                <w:szCs w:val="20"/>
                <w:color w:val="auto"/>
              </w:rPr>
            </w:pPr>
            <w:r>
              <w:rPr>
                <w:rFonts w:ascii="Arial" w:cs="Arial" w:eastAsia="Arial" w:hAnsi="Arial"/>
                <w:sz w:val="14"/>
                <w:szCs w:val="14"/>
                <w:b w:val="1"/>
                <w:bCs w:val="1"/>
                <w:color w:val="auto"/>
              </w:rPr>
              <w:t>Investment Description</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Acquisition</w:t>
            </w:r>
          </w:p>
        </w:tc>
        <w:tc>
          <w:tcPr>
            <w:tcW w:w="10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Principal/</w:t>
            </w:r>
          </w:p>
        </w:tc>
        <w:tc>
          <w:tcPr>
            <w:tcW w:w="80" w:type="dxa"/>
            <w:vAlign w:val="bottom"/>
          </w:tcPr>
          <w:p>
            <w:pPr>
              <w:spacing w:after="0"/>
              <w:rPr>
                <w:sz w:val="14"/>
                <w:szCs w:val="14"/>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11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23"/>
                <w:szCs w:val="23"/>
                <w:b w:val="1"/>
                <w:bCs w:val="1"/>
                <w:color w:val="auto"/>
                <w:vertAlign w:val="superscript"/>
              </w:rPr>
              <w:t>(2)</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3960" w:type="dxa"/>
            <w:vAlign w:val="bottom"/>
          </w:tcPr>
          <w:p>
            <w:pPr>
              <w:ind w:left="1600"/>
              <w:spacing w:after="0"/>
              <w:rPr>
                <w:sz w:val="20"/>
                <w:szCs w:val="20"/>
                <w:color w:val="auto"/>
              </w:rPr>
            </w:pPr>
            <w:r>
              <w:rPr>
                <w:rFonts w:ascii="Arial" w:cs="Arial" w:eastAsia="Arial" w:hAnsi="Arial"/>
                <w:sz w:val="12"/>
                <w:szCs w:val="12"/>
                <w:b w:val="1"/>
                <w:bCs w:val="1"/>
                <w:color w:val="auto"/>
              </w:rPr>
              <w:t>(1), (5), (6),(13)</w:t>
            </w: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 xml:space="preserve">Preferred Stock </w:t>
            </w:r>
            <w:r>
              <w:rPr>
                <w:rFonts w:ascii="Arial" w:cs="Arial" w:eastAsia="Arial" w:hAnsi="Arial"/>
                <w:sz w:val="21"/>
                <w:szCs w:val="21"/>
                <w:b w:val="1"/>
                <w:bCs w:val="1"/>
                <w:color w:val="auto"/>
                <w:vertAlign w:val="superscript"/>
              </w:rPr>
              <w:t>(8)</w:t>
            </w: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Aria Systems, Inc.</w:t>
            </w:r>
          </w:p>
        </w:tc>
        <w:tc>
          <w:tcPr>
            <w:tcW w:w="14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7"/>
              </w:rPr>
              <w:t>Application Software</w:t>
            </w: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Series G Preferred Stock</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7/10/2018</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289,419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250,000</w:t>
            </w:r>
          </w:p>
        </w:tc>
        <w:tc>
          <w:tcPr>
            <w:tcW w:w="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461,826</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90"/>
              </w:rPr>
              <w:t>0.16%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 xml:space="preserve">Warrants </w:t>
            </w:r>
            <w:r>
              <w:rPr>
                <w:rFonts w:ascii="Arial" w:cs="Arial" w:eastAsia="Arial" w:hAnsi="Arial"/>
                <w:sz w:val="21"/>
                <w:szCs w:val="21"/>
                <w:b w:val="1"/>
                <w:bCs w:val="1"/>
                <w:color w:val="auto"/>
                <w:vertAlign w:val="superscript"/>
              </w:rPr>
              <w:t>(8)</w:t>
            </w: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Aginity, Inc.</w:t>
            </w:r>
          </w:p>
        </w:tc>
        <w:tc>
          <w:tcPr>
            <w:tcW w:w="144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7"/>
              </w:rPr>
              <w:t>Application Software</w:t>
            </w:r>
          </w:p>
        </w:tc>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8"/>
              </w:rPr>
              <w:t>Warrant for Series A Preferred Stock, exercise price $1.949/share,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expires 5/25/2028</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5/25/2018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359,159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67,727</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Aginity, Inc.</w:t>
            </w:r>
          </w:p>
        </w:tc>
        <w:tc>
          <w:tcPr>
            <w:tcW w:w="144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7"/>
              </w:rPr>
              <w:t>Application Software</w:t>
            </w:r>
          </w:p>
        </w:tc>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7"/>
              </w:rPr>
              <w:t>Warrant for Series A-1 Preferred Stock, exercise price $0.01/share,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expires 2/25/2029</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2/25/2019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205,234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151,873</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AllClear ID, Inc.</w:t>
            </w:r>
          </w:p>
        </w:tc>
        <w:tc>
          <w:tcPr>
            <w:tcW w:w="144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1"/>
              </w:rPr>
              <w:t>Specialized Consumer</w:t>
            </w:r>
          </w:p>
        </w:tc>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Warrant for Common Stock, exercise price $0.01/share, expires</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9"/>
              </w:rPr>
              <w:t>Services</w:t>
            </w: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9/1/2027</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9/1/2017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870,514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3"/>
              </w:rPr>
              <w:t>1,749,733</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906,205</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Aria Systems, Inc.</w:t>
            </w:r>
          </w:p>
        </w:tc>
        <w:tc>
          <w:tcPr>
            <w:tcW w:w="144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7"/>
              </w:rPr>
              <w:t>Application Software</w:t>
            </w:r>
          </w:p>
        </w:tc>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5"/>
              </w:rPr>
              <w:t>Warrant for Series G-Preferred Stock, exercise price $0.8638/share,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expires 6/29/2028</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6/29/2018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2,170,641</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770,578</w:t>
            </w: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1,743,025</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Aspen Group Inc.</w:t>
            </w:r>
          </w:p>
        </w:tc>
        <w:tc>
          <w:tcPr>
            <w:tcW w:w="144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3"/>
              </w:rPr>
              <w:t>Education Services</w:t>
            </w:r>
          </w:p>
        </w:tc>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Warrant for Common Stock, exercise price $6.87/share, expires</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7/25/2022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7/25/2017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224,174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583,301</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CareCloud</w:t>
            </w:r>
          </w:p>
        </w:tc>
        <w:tc>
          <w:tcPr>
            <w:tcW w:w="144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1"/>
              </w:rPr>
              <w:t>Healthcare Technology</w:t>
            </w:r>
          </w:p>
        </w:tc>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Warrant for Series A-1 Preferred Stock, exercise price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line="208" w:lineRule="exact"/>
              <w:rPr>
                <w:sz w:val="20"/>
                <w:szCs w:val="20"/>
                <w:color w:val="auto"/>
              </w:rPr>
            </w:pPr>
            <w:r>
              <w:rPr>
                <w:rFonts w:ascii="Arial" w:cs="Arial" w:eastAsia="Arial" w:hAnsi="Arial"/>
                <w:sz w:val="14"/>
                <w:szCs w:val="14"/>
                <w:color w:val="auto"/>
              </w:rPr>
              <w:t xml:space="preserve">$0.8287/share, expires 6/16/2025 </w:t>
            </w:r>
            <w:r>
              <w:rPr>
                <w:rFonts w:ascii="Arial" w:cs="Arial" w:eastAsia="Arial" w:hAnsi="Arial"/>
                <w:sz w:val="23"/>
                <w:szCs w:val="23"/>
                <w:color w:val="auto"/>
                <w:vertAlign w:val="superscript"/>
              </w:rPr>
              <w:t>(16)</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4/17/2019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2,262,579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394,163</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642,573</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Circadence</w:t>
            </w:r>
          </w:p>
        </w:tc>
        <w:tc>
          <w:tcPr>
            <w:tcW w:w="144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7"/>
              </w:rPr>
              <w:t>Application Software</w:t>
            </w:r>
          </w:p>
        </w:tc>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7"/>
              </w:rPr>
              <w:t>Warrant for Series A-5 Preferred Stock, exercise price $1.08/share,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expires 12/20/2028</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12/20/2018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1,666,667</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3"/>
              </w:rPr>
              <w:t>3,630,000</w:t>
            </w: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3,630,000</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CloudPassage, Inc.</w:t>
            </w:r>
          </w:p>
        </w:tc>
        <w:tc>
          <w:tcPr>
            <w:tcW w:w="144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3"/>
              </w:rPr>
              <w:t>Data Processing &amp;</w:t>
            </w:r>
          </w:p>
        </w:tc>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6"/>
              </w:rPr>
              <w:t>Warrant for Series D-1 Preferred Stock, exercise price $1.60/share,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Outsourced Services</w:t>
            </w:r>
          </w:p>
        </w:tc>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expires 6/13/2029</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6/13/2019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210,938</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273,798</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272,532</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Dejero Labs Inc.</w:t>
            </w:r>
          </w:p>
        </w:tc>
        <w:tc>
          <w:tcPr>
            <w:tcW w:w="144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3"/>
              </w:rPr>
              <w:t>Data Processing &amp;</w:t>
            </w:r>
          </w:p>
        </w:tc>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6"/>
              </w:rPr>
              <w:t>Warrant for Series C Preferred Stock, exercise price $0.6000/share,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Outsourced Services</w:t>
            </w:r>
          </w:p>
        </w:tc>
        <w:tc>
          <w:tcPr>
            <w:tcW w:w="4060" w:type="dxa"/>
            <w:vAlign w:val="bottom"/>
            <w:gridSpan w:val="2"/>
            <w:shd w:val="clear" w:color="auto" w:fill="CCEEFF"/>
          </w:tcPr>
          <w:p>
            <w:pPr>
              <w:spacing w:after="0" w:line="208" w:lineRule="exact"/>
              <w:rPr>
                <w:sz w:val="20"/>
                <w:szCs w:val="20"/>
                <w:color w:val="auto"/>
              </w:rPr>
            </w:pPr>
            <w:r>
              <w:rPr>
                <w:rFonts w:ascii="Arial" w:cs="Arial" w:eastAsia="Arial" w:hAnsi="Arial"/>
                <w:sz w:val="14"/>
                <w:szCs w:val="14"/>
                <w:color w:val="auto"/>
              </w:rPr>
              <w:t>expires 6/1/2025</w:t>
            </w:r>
            <w:r>
              <w:rPr>
                <w:rFonts w:ascii="Arial" w:cs="Arial" w:eastAsia="Arial" w:hAnsi="Arial"/>
                <w:sz w:val="23"/>
                <w:szCs w:val="23"/>
                <w:color w:val="auto"/>
                <w:vertAlign w:val="superscript"/>
              </w:rPr>
              <w:t>(3) (7)</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5/31/2019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333,621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192,499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198,238</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40" w:type="dxa"/>
            <w:vAlign w:val="bottom"/>
            <w:gridSpan w:val="2"/>
            <w:shd w:val="clear" w:color="auto" w:fill="CCEEFF"/>
          </w:tcPr>
          <w:p>
            <w:pPr>
              <w:ind w:left="160"/>
              <w:spacing w:after="0" w:line="140" w:lineRule="exact"/>
              <w:rPr>
                <w:sz w:val="20"/>
                <w:szCs w:val="20"/>
                <w:color w:val="auto"/>
              </w:rPr>
            </w:pPr>
            <w:r>
              <w:rPr>
                <w:rFonts w:ascii="Arial" w:cs="Arial" w:eastAsia="Arial" w:hAnsi="Arial"/>
                <w:sz w:val="14"/>
                <w:szCs w:val="14"/>
                <w:color w:val="auto"/>
              </w:rPr>
              <w:t>Dtex Systems, Inc.</w:t>
            </w:r>
          </w:p>
        </w:tc>
        <w:tc>
          <w:tcPr>
            <w:tcW w:w="1440" w:type="dxa"/>
            <w:vAlign w:val="bottom"/>
            <w:gridSpan w:val="2"/>
            <w:shd w:val="clear" w:color="auto" w:fill="CCEEFF"/>
          </w:tcPr>
          <w:p>
            <w:pPr>
              <w:jc w:val="center"/>
              <w:ind w:right="120"/>
              <w:spacing w:after="0" w:line="140" w:lineRule="exact"/>
              <w:rPr>
                <w:sz w:val="20"/>
                <w:szCs w:val="20"/>
                <w:color w:val="auto"/>
              </w:rPr>
            </w:pPr>
            <w:r>
              <w:rPr>
                <w:rFonts w:ascii="Arial" w:cs="Arial" w:eastAsia="Arial" w:hAnsi="Arial"/>
                <w:sz w:val="14"/>
                <w:szCs w:val="14"/>
                <w:color w:val="auto"/>
                <w:w w:val="97"/>
              </w:rPr>
              <w:t>Application Software</w:t>
            </w:r>
          </w:p>
        </w:tc>
        <w:tc>
          <w:tcPr>
            <w:tcW w:w="406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w w:val="96"/>
              </w:rPr>
              <w:t>Warrant for Series C Preferred Stock, exercise price $0.6000/share,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6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expires 6/1/2025</w:t>
            </w:r>
            <w:r>
              <w:rPr>
                <w:rFonts w:ascii="Arial" w:cs="Arial" w:eastAsia="Arial" w:hAnsi="Arial"/>
                <w:sz w:val="22"/>
                <w:szCs w:val="22"/>
                <w:color w:val="auto"/>
                <w:vertAlign w:val="superscript"/>
              </w:rPr>
              <w:t>(17)</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6/1/2018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59,000</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54,500</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Echo 360 Holdings,</w:t>
            </w:r>
          </w:p>
        </w:tc>
        <w:tc>
          <w:tcPr>
            <w:tcW w:w="144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3"/>
              </w:rPr>
              <w:t>Education Services</w:t>
            </w:r>
          </w:p>
        </w:tc>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6"/>
              </w:rPr>
              <w:t>Warrant for Series E Preferred Stock, exercise price $1.5963/share,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expires 5/3/2029</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5/3/2019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1,066,767</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299,762</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281,627</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eSilicon</w:t>
            </w:r>
          </w:p>
        </w:tc>
        <w:tc>
          <w:tcPr>
            <w:tcW w:w="144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1"/>
              </w:rPr>
              <w:t>Semiconductors</w:t>
            </w:r>
          </w:p>
        </w:tc>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Warrant for Series H Preferred Stock, exercise price $1.01/share,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expires 7/31/2027</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7/31/2017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1,485,150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543,564</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441,584</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60" w:type="dxa"/>
            <w:vAlign w:val="bottom"/>
            <w:gridSpan w:val="2"/>
          </w:tcPr>
          <w:p>
            <w:pPr>
              <w:spacing w:after="0" w:line="130" w:lineRule="exact"/>
              <w:rPr>
                <w:sz w:val="20"/>
                <w:szCs w:val="20"/>
                <w:color w:val="auto"/>
              </w:rPr>
            </w:pPr>
            <w:r>
              <w:rPr>
                <w:rFonts w:ascii="Arial" w:cs="Arial" w:eastAsia="Arial" w:hAnsi="Arial"/>
                <w:sz w:val="14"/>
                <w:szCs w:val="14"/>
                <w:color w:val="auto"/>
                <w:w w:val="99"/>
              </w:rPr>
              <w:t>Warrant for Series H Preferred Stock, exercise price $1.01/share,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expires 6/11/2029</w:t>
            </w:r>
          </w:p>
        </w:tc>
        <w:tc>
          <w:tcPr>
            <w:tcW w:w="720" w:type="dxa"/>
            <w:vAlign w:val="bottom"/>
          </w:tcPr>
          <w:p>
            <w:pPr>
              <w:jc w:val="right"/>
              <w:spacing w:after="0"/>
              <w:rPr>
                <w:sz w:val="20"/>
                <w:szCs w:val="20"/>
                <w:color w:val="auto"/>
              </w:rPr>
            </w:pPr>
            <w:r>
              <w:rPr>
                <w:rFonts w:ascii="Arial" w:cs="Arial" w:eastAsia="Arial" w:hAnsi="Arial"/>
                <w:sz w:val="14"/>
                <w:szCs w:val="14"/>
                <w:color w:val="auto"/>
              </w:rPr>
              <w:t>6/21/2019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990,099</w:t>
            </w:r>
          </w:p>
        </w:tc>
        <w:tc>
          <w:tcPr>
            <w:tcW w:w="8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312,871</w:t>
            </w:r>
          </w:p>
        </w:tc>
        <w:tc>
          <w:tcPr>
            <w:tcW w:w="2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919,307</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3"/>
              </w:rPr>
              <w:t>Portfolio Companies</w:t>
            </w:r>
          </w:p>
        </w:tc>
        <w:tc>
          <w:tcPr>
            <w:tcW w:w="100" w:type="dxa"/>
            <w:vAlign w:val="bottom"/>
            <w:vMerge w:val="restart"/>
          </w:tcPr>
          <w:p>
            <w:pPr>
              <w:spacing w:after="0"/>
              <w:rPr>
                <w:sz w:val="14"/>
                <w:szCs w:val="14"/>
                <w:color w:val="auto"/>
              </w:rPr>
            </w:pPr>
          </w:p>
        </w:tc>
        <w:tc>
          <w:tcPr>
            <w:tcW w:w="12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Sub-Industry</w:t>
            </w:r>
          </w:p>
        </w:tc>
        <w:tc>
          <w:tcPr>
            <w:tcW w:w="120" w:type="dxa"/>
            <w:vAlign w:val="bottom"/>
            <w:vMerge w:val="restart"/>
          </w:tcPr>
          <w:p>
            <w:pPr>
              <w:spacing w:after="0"/>
              <w:rPr>
                <w:sz w:val="14"/>
                <w:szCs w:val="14"/>
                <w:color w:val="auto"/>
              </w:rPr>
            </w:pPr>
          </w:p>
        </w:tc>
        <w:tc>
          <w:tcPr>
            <w:tcW w:w="3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Investment Description</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Principal/</w:t>
            </w:r>
          </w:p>
        </w:tc>
        <w:tc>
          <w:tcPr>
            <w:tcW w:w="8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110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1"/>
              </w:rPr>
              <w:t xml:space="preserve">Fair Value </w:t>
            </w:r>
            <w:r>
              <w:rPr>
                <w:rFonts w:ascii="Arial" w:cs="Arial" w:eastAsia="Arial" w:hAnsi="Arial"/>
                <w:sz w:val="23"/>
                <w:szCs w:val="23"/>
                <w:b w:val="1"/>
                <w:bCs w:val="1"/>
                <w:color w:val="auto"/>
                <w:w w:val="91"/>
                <w:vertAlign w:val="superscript"/>
              </w:rPr>
              <w:t>(2)</w:t>
            </w:r>
          </w:p>
        </w:tc>
        <w:tc>
          <w:tcPr>
            <w:tcW w:w="220" w:type="dxa"/>
            <w:vAlign w:val="bottom"/>
            <w:vMerge w:val="restart"/>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5"/>
        </w:trPr>
        <w:tc>
          <w:tcPr>
            <w:tcW w:w="13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800" w:type="dxa"/>
            <w:vAlign w:val="bottom"/>
            <w:tcBorders>
              <w:bottom w:val="single" w:sz="8" w:color="auto"/>
            </w:tcBorders>
          </w:tcPr>
          <w:p>
            <w:pPr>
              <w:jc w:val="right"/>
              <w:ind w:right="1454"/>
              <w:spacing w:after="0"/>
              <w:rPr>
                <w:sz w:val="20"/>
                <w:szCs w:val="20"/>
                <w:color w:val="auto"/>
              </w:rPr>
            </w:pPr>
            <w:r>
              <w:rPr>
                <w:rFonts w:ascii="Arial" w:cs="Arial" w:eastAsia="Arial" w:hAnsi="Arial"/>
                <w:sz w:val="12"/>
                <w:szCs w:val="12"/>
                <w:b w:val="1"/>
                <w:bCs w:val="1"/>
                <w:color w:val="auto"/>
              </w:rPr>
              <w:t>(1), (5), (6),(13)</w:t>
            </w:r>
          </w:p>
        </w:tc>
        <w:tc>
          <w:tcPr>
            <w:tcW w:w="1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Non-control/non-affiliate investments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946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Warrants </w:t>
      </w:r>
      <w:r>
        <w:rPr>
          <w:rFonts w:ascii="Arial" w:cs="Arial" w:eastAsia="Arial" w:hAnsi="Arial"/>
          <w:sz w:val="23"/>
          <w:szCs w:val="23"/>
          <w:b w:val="1"/>
          <w:bCs w:val="1"/>
          <w:color w:val="auto"/>
          <w:vertAlign w:val="superscript"/>
        </w:rPr>
        <w:t>(8)</w:t>
      </w:r>
      <w:r>
        <w:rPr>
          <w:rFonts w:ascii="Arial" w:cs="Arial" w:eastAsia="Arial" w:hAnsi="Arial"/>
          <w:sz w:val="14"/>
          <w:szCs w:val="14"/>
          <w:b w:val="1"/>
          <w:bCs w:val="1"/>
          <w:color w:val="auto"/>
        </w:rPr>
        <w:t xml:space="preserv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Mingle HealthCare</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Healthcare</w:t>
            </w:r>
          </w:p>
        </w:tc>
        <w:tc>
          <w:tcPr>
            <w:tcW w:w="3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Warrant for Series AA Preferred Stock, exercise price</w:t>
            </w:r>
          </w:p>
        </w:tc>
        <w:tc>
          <w:tcPr>
            <w:tcW w:w="8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Solutions, Inc.</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Technology</w:t>
            </w:r>
          </w:p>
        </w:tc>
        <w:tc>
          <w:tcPr>
            <w:tcW w:w="3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$0.24/share, expires 8/15/2028</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8/15/2018</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$ 1,625,000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492,375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385,125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Mobius Imaging,</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Healthcare</w:t>
            </w:r>
          </w:p>
        </w:tc>
        <w:tc>
          <w:tcPr>
            <w:tcW w:w="39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3"/>
              </w:rPr>
              <w:t>Warrant for next round security exercise price $136/share, expires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Technology</w:t>
            </w:r>
          </w:p>
        </w:tc>
        <w:tc>
          <w:tcPr>
            <w:tcW w:w="3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11/23/2028</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11/23/2018</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7,123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1,820,000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1,905,377</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8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Mojix, Inc.</w:t>
            </w:r>
          </w:p>
        </w:tc>
        <w:tc>
          <w:tcPr>
            <w:tcW w:w="1380" w:type="dxa"/>
            <w:vAlign w:val="bottom"/>
            <w:shd w:val="clear" w:color="auto" w:fill="CCEEFF"/>
          </w:tcPr>
          <w:p>
            <w:pPr>
              <w:jc w:val="center"/>
              <w:spacing w:after="0" w:line="140" w:lineRule="exact"/>
              <w:rPr>
                <w:sz w:val="20"/>
                <w:szCs w:val="20"/>
                <w:color w:val="auto"/>
              </w:rPr>
            </w:pPr>
            <w:r>
              <w:rPr>
                <w:rFonts w:ascii="Arial" w:cs="Arial" w:eastAsia="Arial" w:hAnsi="Arial"/>
                <w:sz w:val="14"/>
                <w:szCs w:val="14"/>
                <w:color w:val="auto"/>
                <w:w w:val="97"/>
              </w:rPr>
              <w:t>Application Software</w:t>
            </w:r>
          </w:p>
        </w:tc>
        <w:tc>
          <w:tcPr>
            <w:tcW w:w="394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w w:val="96"/>
              </w:rPr>
              <w:t>Warrant for Common Stock exercise price $10.64/share, expires</w:t>
            </w: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94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5/16/2027 </w:t>
            </w:r>
            <w:r>
              <w:rPr>
                <w:rFonts w:ascii="Arial" w:cs="Arial" w:eastAsia="Arial" w:hAnsi="Arial"/>
                <w:sz w:val="22"/>
                <w:szCs w:val="22"/>
                <w:color w:val="auto"/>
                <w:vertAlign w:val="superscript"/>
              </w:rPr>
              <w:t>(9),(10)</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5/16/2017</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164,427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417,645</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940" w:type="dxa"/>
            <w:vAlign w:val="bottom"/>
          </w:tcPr>
          <w:p>
            <w:pPr>
              <w:ind w:left="80"/>
              <w:spacing w:after="0" w:line="140" w:lineRule="exact"/>
              <w:rPr>
                <w:sz w:val="20"/>
                <w:szCs w:val="20"/>
                <w:color w:val="auto"/>
              </w:rPr>
            </w:pPr>
            <w:r>
              <w:rPr>
                <w:rFonts w:ascii="Arial" w:cs="Arial" w:eastAsia="Arial" w:hAnsi="Arial"/>
                <w:sz w:val="14"/>
                <w:szCs w:val="14"/>
                <w:color w:val="auto"/>
                <w:w w:val="96"/>
              </w:rPr>
              <w:t>Warrant for Series 1 Preferred Stock exercise price $0.28/share,</w:t>
            </w: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940" w:type="dxa"/>
            <w:vAlign w:val="bottom"/>
          </w:tcPr>
          <w:p>
            <w:pPr>
              <w:ind w:left="80"/>
              <w:spacing w:after="0" w:line="198" w:lineRule="exact"/>
              <w:rPr>
                <w:sz w:val="20"/>
                <w:szCs w:val="20"/>
                <w:color w:val="auto"/>
              </w:rPr>
            </w:pPr>
            <w:r>
              <w:rPr>
                <w:rFonts w:ascii="Arial" w:cs="Arial" w:eastAsia="Arial" w:hAnsi="Arial"/>
                <w:sz w:val="14"/>
                <w:szCs w:val="14"/>
                <w:color w:val="auto"/>
              </w:rPr>
              <w:t xml:space="preserve">expires 12/20/2028 </w:t>
            </w:r>
            <w:r>
              <w:rPr>
                <w:rFonts w:ascii="Arial" w:cs="Arial" w:eastAsia="Arial" w:hAnsi="Arial"/>
                <w:sz w:val="22"/>
                <w:szCs w:val="22"/>
                <w:color w:val="auto"/>
                <w:vertAlign w:val="superscript"/>
              </w:rPr>
              <w:t>(9),(10)</w:t>
            </w: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12/20/2018</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7,176,973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806,991</w:t>
            </w: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182,691</w:t>
            </w: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94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w w:val="96"/>
              </w:rPr>
              <w:t>Warrant for Series 1 Preferred Stock exercise price $0.28/share,</w:t>
            </w: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94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expires 5/30/2029 </w:t>
            </w:r>
            <w:r>
              <w:rPr>
                <w:rFonts w:ascii="Arial" w:cs="Arial" w:eastAsia="Arial" w:hAnsi="Arial"/>
                <w:sz w:val="22"/>
                <w:szCs w:val="22"/>
                <w:color w:val="auto"/>
                <w:vertAlign w:val="superscript"/>
              </w:rPr>
              <w:t>(9),(10)</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5/30/2019</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358,849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21,531</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4,874</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3DNA Corp. (dba</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Application Software</w:t>
            </w:r>
          </w:p>
        </w:tc>
        <w:tc>
          <w:tcPr>
            <w:tcW w:w="39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Series C-1 Preferred Stock exercise price</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NationBuilder)</w:t>
            </w:r>
          </w:p>
        </w:tc>
        <w:tc>
          <w:tcPr>
            <w:tcW w:w="1380" w:type="dxa"/>
            <w:vAlign w:val="bottom"/>
            <w:shd w:val="clear" w:color="auto" w:fill="CCEEFF"/>
          </w:tcPr>
          <w:p>
            <w:pPr>
              <w:spacing w:after="0"/>
              <w:rPr>
                <w:sz w:val="14"/>
                <w:szCs w:val="14"/>
                <w:color w:val="auto"/>
              </w:rPr>
            </w:pPr>
          </w:p>
        </w:tc>
        <w:tc>
          <w:tcPr>
            <w:tcW w:w="3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$1.4643/share, expires 12/28/2028</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12/28/2018</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273,164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104,138</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94,788</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Ouster, Inc.</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Technology</w:t>
            </w:r>
          </w:p>
        </w:tc>
        <w:tc>
          <w:tcPr>
            <w:tcW w:w="39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Series A Preferred Stock, exercise price</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Hardware, Storage &amp;</w:t>
            </w:r>
          </w:p>
        </w:tc>
        <w:tc>
          <w:tcPr>
            <w:tcW w:w="3940" w:type="dxa"/>
            <w:vAlign w:val="bottom"/>
            <w:shd w:val="clear" w:color="auto" w:fill="CCEEFF"/>
          </w:tcPr>
          <w:p>
            <w:pPr>
              <w:ind w:left="80"/>
              <w:spacing w:after="0" w:line="181" w:lineRule="exact"/>
              <w:rPr>
                <w:sz w:val="20"/>
                <w:szCs w:val="20"/>
                <w:color w:val="auto"/>
              </w:rPr>
            </w:pPr>
            <w:r>
              <w:rPr>
                <w:rFonts w:ascii="Arial" w:cs="Arial" w:eastAsia="Arial" w:hAnsi="Arial"/>
                <w:sz w:val="13"/>
                <w:szCs w:val="13"/>
                <w:color w:val="auto"/>
              </w:rPr>
              <w:t xml:space="preserve">$11.3158/share, expires 11/27/2028 </w:t>
            </w:r>
            <w:r>
              <w:rPr>
                <w:rFonts w:ascii="Arial" w:cs="Arial" w:eastAsia="Arial" w:hAnsi="Arial"/>
                <w:sz w:val="20"/>
                <w:szCs w:val="20"/>
                <w:color w:val="auto"/>
                <w:vertAlign w:val="superscript"/>
              </w:rPr>
              <w:t>(18)</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11/27/2018</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35,349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76,212</w:t>
            </w:r>
          </w:p>
        </w:tc>
        <w:tc>
          <w:tcPr>
            <w:tcW w:w="1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70,113</w:t>
            </w:r>
          </w:p>
        </w:tc>
        <w:tc>
          <w:tcPr>
            <w:tcW w:w="80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3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0"/>
              </w:rPr>
              <w:t>Peripherals</w:t>
            </w:r>
          </w:p>
        </w:tc>
        <w:tc>
          <w:tcPr>
            <w:tcW w:w="394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Pivot3, Inc.</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Data Processing</w:t>
            </w:r>
          </w:p>
        </w:tc>
        <w:tc>
          <w:tcPr>
            <w:tcW w:w="39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4"/>
              </w:rPr>
              <w:t>Warrant for Series D Preferred Stock, exercise price $0.59/share,</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&amp;Outsourced</w:t>
            </w:r>
          </w:p>
        </w:tc>
        <w:tc>
          <w:tcPr>
            <w:tcW w:w="39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expires 5/13/2029</w:t>
            </w: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Services</w:t>
            </w:r>
          </w:p>
        </w:tc>
        <w:tc>
          <w:tcPr>
            <w:tcW w:w="394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5/13/2019</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2,033,898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216,610</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208,475</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Realwear, Inc.</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Technology</w:t>
            </w:r>
          </w:p>
        </w:tc>
        <w:tc>
          <w:tcPr>
            <w:tcW w:w="39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Series A Preferred Stock, exercise price</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Hardware, Storage &amp;</w:t>
            </w:r>
          </w:p>
        </w:tc>
        <w:tc>
          <w:tcPr>
            <w:tcW w:w="39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$4.4464/share, expires 10/5/2028</w:t>
            </w: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Peripherals</w:t>
            </w:r>
          </w:p>
        </w:tc>
        <w:tc>
          <w:tcPr>
            <w:tcW w:w="394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10/5/2018</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112,451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135,841</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416,294</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940" w:type="dxa"/>
            <w:vAlign w:val="bottom"/>
          </w:tcPr>
          <w:p>
            <w:pPr>
              <w:ind w:left="80"/>
              <w:spacing w:after="0" w:line="130" w:lineRule="exact"/>
              <w:rPr>
                <w:sz w:val="20"/>
                <w:szCs w:val="20"/>
                <w:color w:val="auto"/>
              </w:rPr>
            </w:pPr>
            <w:r>
              <w:rPr>
                <w:rFonts w:ascii="Arial" w:cs="Arial" w:eastAsia="Arial" w:hAnsi="Arial"/>
                <w:sz w:val="14"/>
                <w:szCs w:val="14"/>
                <w:color w:val="auto"/>
              </w:rPr>
              <w:t>Warrant for Series A Preferred Stock, exercise price</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940" w:type="dxa"/>
            <w:vAlign w:val="bottom"/>
          </w:tcPr>
          <w:p>
            <w:pPr>
              <w:ind w:left="80"/>
              <w:spacing w:after="0"/>
              <w:rPr>
                <w:sz w:val="20"/>
                <w:szCs w:val="20"/>
                <w:color w:val="auto"/>
              </w:rPr>
            </w:pPr>
            <w:r>
              <w:rPr>
                <w:rFonts w:ascii="Arial" w:cs="Arial" w:eastAsia="Arial" w:hAnsi="Arial"/>
                <w:sz w:val="14"/>
                <w:szCs w:val="14"/>
                <w:color w:val="auto"/>
              </w:rPr>
              <w:t>$4.4464/share, expires 12/28/2028</w:t>
            </w: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12/28/2018</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22,491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25,248</w:t>
            </w:r>
          </w:p>
        </w:tc>
        <w:tc>
          <w:tcPr>
            <w:tcW w:w="1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83,262</w:t>
            </w: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94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w w:val="98"/>
              </w:rPr>
              <w:t>Warrant A Preferred Stock, exercise price $6.78/share, expires</w:t>
            </w: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94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6/27/2029 </w:t>
            </w:r>
            <w:r>
              <w:rPr>
                <w:rFonts w:ascii="Arial" w:cs="Arial" w:eastAsia="Arial" w:hAnsi="Arial"/>
                <w:sz w:val="22"/>
                <w:szCs w:val="22"/>
                <w:color w:val="auto"/>
                <w:vertAlign w:val="superscript"/>
              </w:rPr>
              <w:t>(14)</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6/27/2019</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123,894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380,850</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369,947</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Scale Computing,</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System Software</w:t>
            </w:r>
          </w:p>
        </w:tc>
        <w:tc>
          <w:tcPr>
            <w:tcW w:w="39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Series F-1 Preferred Stock exercise price</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380" w:type="dxa"/>
            <w:vAlign w:val="bottom"/>
            <w:shd w:val="clear" w:color="auto" w:fill="CCEEFF"/>
          </w:tcPr>
          <w:p>
            <w:pPr>
              <w:spacing w:after="0"/>
              <w:rPr>
                <w:sz w:val="14"/>
                <w:szCs w:val="14"/>
                <w:color w:val="auto"/>
              </w:rPr>
            </w:pPr>
          </w:p>
        </w:tc>
        <w:tc>
          <w:tcPr>
            <w:tcW w:w="3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$0.8031/share, expires 3/29/2029</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3/29/2019</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2,147,926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345,816</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309,301</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w w:val="97"/>
              </w:rPr>
              <w:t>SendtoNews Video,</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8"/>
              </w:rPr>
              <w:t>Advertising</w:t>
            </w:r>
          </w:p>
        </w:tc>
        <w:tc>
          <w:tcPr>
            <w:tcW w:w="39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Class B Non-Voting Stock, exercise price</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380" w:type="dxa"/>
            <w:vAlign w:val="bottom"/>
            <w:shd w:val="clear" w:color="auto" w:fill="CCEEFF"/>
          </w:tcPr>
          <w:p>
            <w:pPr>
              <w:spacing w:after="0"/>
              <w:rPr>
                <w:sz w:val="18"/>
                <w:szCs w:val="18"/>
                <w:color w:val="auto"/>
              </w:rPr>
            </w:pPr>
          </w:p>
        </w:tc>
        <w:tc>
          <w:tcPr>
            <w:tcW w:w="3940" w:type="dxa"/>
            <w:vAlign w:val="bottom"/>
            <w:shd w:val="clear" w:color="auto" w:fill="CCEEFF"/>
          </w:tcPr>
          <w:p>
            <w:pPr>
              <w:ind w:left="80"/>
              <w:spacing w:after="0" w:line="208" w:lineRule="exact"/>
              <w:rPr>
                <w:sz w:val="20"/>
                <w:szCs w:val="20"/>
                <w:color w:val="auto"/>
              </w:rPr>
            </w:pPr>
            <w:r>
              <w:rPr>
                <w:rFonts w:ascii="Arial" w:cs="Arial" w:eastAsia="Arial" w:hAnsi="Arial"/>
                <w:sz w:val="14"/>
                <w:szCs w:val="14"/>
                <w:color w:val="auto"/>
              </w:rPr>
              <w:t xml:space="preserve">$0.67/share, expires 6/30/2027 </w:t>
            </w:r>
            <w:r>
              <w:rPr>
                <w:rFonts w:ascii="Arial" w:cs="Arial" w:eastAsia="Arial" w:hAnsi="Arial"/>
                <w:sz w:val="23"/>
                <w:szCs w:val="23"/>
                <w:color w:val="auto"/>
                <w:vertAlign w:val="superscript"/>
              </w:rPr>
              <w:t>(3) (7)</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6/30/2017</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246,461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64,000</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ShareThis, Inc.</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Data Processing &amp;</w:t>
            </w:r>
          </w:p>
        </w:tc>
        <w:tc>
          <w:tcPr>
            <w:tcW w:w="39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Series D-3 Preferred Stock, exercise price</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Outsourced Services</w:t>
            </w:r>
          </w:p>
        </w:tc>
        <w:tc>
          <w:tcPr>
            <w:tcW w:w="3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$2.4320/share, expires 12/3/2028</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12/3/2018</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371,030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1,548,052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1,589,976</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zSpace, Inc.</w:t>
            </w:r>
          </w:p>
        </w:tc>
        <w:tc>
          <w:tcPr>
            <w:tcW w:w="138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Technology</w:t>
            </w:r>
          </w:p>
        </w:tc>
        <w:tc>
          <w:tcPr>
            <w:tcW w:w="39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5"/>
              </w:rPr>
              <w:t>Warrant for Series E Preferred Stock, exercise price $0.90/share,</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Hardware, Storage &amp;</w:t>
            </w:r>
          </w:p>
        </w:tc>
        <w:tc>
          <w:tcPr>
            <w:tcW w:w="39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expires 12/29/2027</w:t>
            </w: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Peripherals</w:t>
            </w:r>
          </w:p>
        </w:tc>
        <w:tc>
          <w:tcPr>
            <w:tcW w:w="394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12/29/2017</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1,896,966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707,568</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278,127</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940" w:type="dxa"/>
            <w:vAlign w:val="bottom"/>
          </w:tcPr>
          <w:p>
            <w:pPr>
              <w:ind w:left="80"/>
              <w:spacing w:after="0" w:line="130" w:lineRule="exact"/>
              <w:rPr>
                <w:sz w:val="20"/>
                <w:szCs w:val="20"/>
                <w:color w:val="auto"/>
              </w:rPr>
            </w:pPr>
            <w:r>
              <w:rPr>
                <w:rFonts w:ascii="Arial" w:cs="Arial" w:eastAsia="Arial" w:hAnsi="Arial"/>
                <w:sz w:val="14"/>
                <w:szCs w:val="14"/>
                <w:color w:val="auto"/>
                <w:w w:val="95"/>
              </w:rPr>
              <w:t>Warrant for Series E Preferred Stock, exercise price $0.90/share,</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940" w:type="dxa"/>
            <w:vAlign w:val="bottom"/>
          </w:tcPr>
          <w:p>
            <w:pPr>
              <w:ind w:left="80"/>
              <w:spacing w:after="0"/>
              <w:rPr>
                <w:sz w:val="20"/>
                <w:szCs w:val="20"/>
                <w:color w:val="auto"/>
              </w:rPr>
            </w:pPr>
            <w:r>
              <w:rPr>
                <w:rFonts w:ascii="Arial" w:cs="Arial" w:eastAsia="Arial" w:hAnsi="Arial"/>
                <w:sz w:val="14"/>
                <w:szCs w:val="14"/>
                <w:color w:val="auto"/>
              </w:rPr>
              <w:t>expires 2/11/2029</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2/11/2019</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2,806,830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411,528</w:t>
            </w:r>
          </w:p>
        </w:tc>
        <w:tc>
          <w:tcPr>
            <w:tcW w:w="1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411,528</w:t>
            </w: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1380" w:type="dxa"/>
            <w:vAlign w:val="bottom"/>
            <w:tcBorders>
              <w:top w:val="single" w:sz="8" w:color="CCEEFF"/>
            </w:tcBorders>
            <w:shd w:val="clear" w:color="auto" w:fill="CCEEFF"/>
          </w:tcPr>
          <w:p>
            <w:pPr>
              <w:spacing w:after="0"/>
              <w:rPr>
                <w:sz w:val="12"/>
                <w:szCs w:val="12"/>
                <w:color w:val="auto"/>
              </w:rPr>
            </w:pPr>
          </w:p>
        </w:tc>
        <w:tc>
          <w:tcPr>
            <w:tcW w:w="39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16,885,735</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15,206,802</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5.20</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6"/>
              </w:rPr>
              <w:t>Total non-control/non-affiliate investments</w:t>
            </w:r>
          </w:p>
        </w:tc>
        <w:tc>
          <w:tcPr>
            <w:tcW w:w="39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9"/>
              </w:rPr>
              <w:t>285,117,028</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280,025,894</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 Companies</w:t>
            </w:r>
          </w:p>
        </w:tc>
        <w:tc>
          <w:tcPr>
            <w:tcW w:w="14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4"/>
                <w:szCs w:val="14"/>
                <w:color w:val="auto"/>
              </w:rPr>
            </w:pPr>
          </w:p>
        </w:tc>
        <w:tc>
          <w:tcPr>
            <w:tcW w:w="380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 xml:space="preserve">Investment Description </w:t>
            </w:r>
            <w:r>
              <w:rPr>
                <w:rFonts w:ascii="Arial" w:cs="Arial" w:eastAsia="Arial" w:hAnsi="Arial"/>
                <w:sz w:val="23"/>
                <w:szCs w:val="23"/>
                <w:b w:val="1"/>
                <w:bCs w:val="1"/>
                <w:color w:val="auto"/>
                <w:vertAlign w:val="superscript"/>
              </w:rPr>
              <w:t>(5), (6)</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Acquisition</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Principal/</w:t>
            </w:r>
          </w:p>
        </w:tc>
        <w:tc>
          <w:tcPr>
            <w:tcW w:w="100" w:type="dxa"/>
            <w:vAlign w:val="bottom"/>
          </w:tcPr>
          <w:p>
            <w:pPr>
              <w:spacing w:after="0"/>
              <w:rPr>
                <w:sz w:val="14"/>
                <w:szCs w:val="1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23"/>
                <w:szCs w:val="23"/>
                <w:b w:val="1"/>
                <w:bCs w:val="1"/>
                <w:color w:val="auto"/>
                <w:vertAlign w:val="superscript"/>
              </w:rPr>
              <w:t>(2)</w:t>
            </w:r>
          </w:p>
        </w:tc>
        <w:tc>
          <w:tcPr>
            <w:tcW w:w="8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Date</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8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U.S. Treasury</w:t>
            </w:r>
          </w:p>
        </w:tc>
        <w:tc>
          <w:tcPr>
            <w:tcW w:w="1400" w:type="dxa"/>
            <w:vAlign w:val="bottom"/>
            <w:shd w:val="clear" w:color="auto" w:fill="CCEEFF"/>
          </w:tcPr>
          <w:p>
            <w:pPr>
              <w:spacing w:after="0"/>
              <w:rPr>
                <w:sz w:val="16"/>
                <w:szCs w:val="16"/>
                <w:color w:val="auto"/>
              </w:rPr>
            </w:pPr>
          </w:p>
        </w:tc>
        <w:tc>
          <w:tcPr>
            <w:tcW w:w="3900" w:type="dxa"/>
            <w:vAlign w:val="bottom"/>
            <w:gridSpan w:val="3"/>
            <w:shd w:val="clear" w:color="auto" w:fill="CCEEFF"/>
          </w:tcPr>
          <w:p>
            <w:pPr>
              <w:ind w:left="100"/>
              <w:spacing w:after="0" w:line="189" w:lineRule="exact"/>
              <w:rPr>
                <w:sz w:val="20"/>
                <w:szCs w:val="20"/>
                <w:color w:val="auto"/>
              </w:rPr>
            </w:pPr>
            <w:r>
              <w:rPr>
                <w:rFonts w:ascii="Arial" w:cs="Arial" w:eastAsia="Arial" w:hAnsi="Arial"/>
                <w:sz w:val="13"/>
                <w:szCs w:val="13"/>
                <w:color w:val="auto"/>
              </w:rPr>
              <w:t>U.S. Treasury Bill, 2.02%, due 7/5/2019</w:t>
            </w:r>
            <w:r>
              <w:rPr>
                <w:rFonts w:ascii="Arial" w:cs="Arial" w:eastAsia="Arial" w:hAnsi="Arial"/>
                <w:sz w:val="21"/>
                <w:szCs w:val="21"/>
                <w:color w:val="auto"/>
                <w:vertAlign w:val="superscript"/>
              </w:rPr>
              <w:t>(12)</w:t>
            </w: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49,988,846</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49,988,846</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900" w:type="dxa"/>
            <w:vAlign w:val="bottom"/>
            <w:gridSpan w:val="3"/>
          </w:tcPr>
          <w:p>
            <w:pPr>
              <w:ind w:left="100"/>
              <w:spacing w:after="0" w:line="202" w:lineRule="exact"/>
              <w:rPr>
                <w:sz w:val="20"/>
                <w:szCs w:val="20"/>
                <w:color w:val="auto"/>
              </w:rPr>
            </w:pPr>
            <w:r>
              <w:rPr>
                <w:rFonts w:ascii="Arial" w:cs="Arial" w:eastAsia="Arial" w:hAnsi="Arial"/>
                <w:sz w:val="14"/>
                <w:szCs w:val="14"/>
                <w:color w:val="auto"/>
              </w:rPr>
              <w:t>U.S. Treasury Bill, 2.02%, due 7/5/2019</w:t>
            </w:r>
            <w:r>
              <w:rPr>
                <w:rFonts w:ascii="Arial" w:cs="Arial" w:eastAsia="Arial" w:hAnsi="Arial"/>
                <w:sz w:val="23"/>
                <w:szCs w:val="23"/>
                <w:color w:val="auto"/>
                <w:vertAlign w:val="superscript"/>
              </w:rPr>
              <w:t>(12)</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35,991,969</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35,991,969</w:t>
            </w:r>
          </w:p>
        </w:tc>
        <w:tc>
          <w:tcPr>
            <w:tcW w:w="220" w:type="dxa"/>
            <w:vAlign w:val="bottom"/>
          </w:tcPr>
          <w:p>
            <w:pPr>
              <w:spacing w:after="0"/>
              <w:rPr>
                <w:sz w:val="17"/>
                <w:szCs w:val="17"/>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12.31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85,980,815</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85,980,815</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29.41</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Investments</w:t>
            </w: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371,097,843</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366,006,709</w:t>
            </w: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125.20</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June 30, 2019, the 3-Month LIBOR was 2.32% and the U.S. Prime Rate was 5.50%.</w:t>
      </w:r>
    </w:p>
    <w:p>
      <w:pPr>
        <w:spacing w:after="0" w:line="146"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investments in portfolio companies, which as of June 30, 2019 represented 95.79% of the Company’s net assets, are restricted as to resale and were valued at fair value as determined in good faith by the Company’s Board of Directors.</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is not a qualifying investment as defined under Section 55(a) of the Investment Company Act of 1940, as amended. Non-qualifying assets represent 3.74% of total investments at fair value as of June 30, 2019. Qualifying assets must represent at least 70% of the Company’s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PIK security. PIK interest will be accrued and paid at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investments are valued using unobservable inputs, except the U.S. Treasury Bills which are valued using observable inputs.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investments are domiciled in the United States, unless otherwise noted.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is domiciled in Canada.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Investments are non-income producing.</w:t>
      </w:r>
    </w:p>
    <w:p>
      <w:pPr>
        <w:spacing w:after="0" w:line="225"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May 30, 2019, the Mojix, Inc. loan and security agreement was amended to: (a) provide for a $1,000,000 bridge loan to be funded by the Company with a maturity date of July 31, 2019 “Bridge Loan Maturity”, (b) increase the term loans and bridge loan applicable rate by 1.50% until the Bridge Loan Maturity, (c) PIK all interest for the term loans and bridge loan until the Bridge Loan Maturity, (d) extend the amortization date of the term loans to October 15, 2019; and, (e) in regards to the bridge loan, all PIK interest above 12.00% upon the Bridge Loan Maturity will be payable on the term loan maturity date. In connection with the amendment, the Company received a warrant to purchase an additional 358,849 shares of Series 1 Preferred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June 30, 2019</w:t>
      </w:r>
    </w:p>
    <w:p>
      <w:pPr>
        <w:spacing w:after="0" w:line="229" w:lineRule="exact"/>
        <w:rPr>
          <w:sz w:val="20"/>
          <w:szCs w:val="20"/>
          <w:color w:val="auto"/>
        </w:rPr>
      </w:pPr>
    </w:p>
    <w:p>
      <w:pPr>
        <w:jc w:val="both"/>
        <w:ind w:left="660" w:right="2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the Amended and Restated Certificate of Incorporation dated September 4, 2018, each one warrant share of Series E Preferred Stock converted into one one-hundredth of a warrant share of Common Stock. The Company previously held 16,442,732 in warrants for Series E Preferred Stock which converted into 164,427 warrants for common stock.</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Investments are held at Fair Value net of the Fair Value of Unfunded Commitments. See Note 3 for additional detail.</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Treasury bills with $86,000,000 in aggregate of par value were purchased pursuant to a 4.00% reverse repurchase agreement with Goldman Sachs, dated June 26, 2019, due July 3, 2019, with a repurchase price of $86,000,000 and collateralized by a 2.02% U.S. Treasury Bill due July 5, 2019 with a par value of $50,000,000 and fair value of $49,988,846 and a 2.02% U.S. Treasury Bill due July 5, 2019 with a par value of $36,000,000 and fair value of $35,991,969.</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Disclosures of end-of-term-payments (“ETP”) are one-time payments stated as a percentage of original principal amount.</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June 28, 2019, pursuant to the Company’s Amended and Restated Loan and Security Agreement, RealWear, Inc. paid down the $3,000,000 revolving note. The Company funded an additional $16,000,000 senior secured term loan to RealWear, Inc. and purchased a warrant to purchase 123,894 shares of Series A Preferred Stock for a total cost of $24,840,000.</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July 23, 2019, the Aginity, Inc. loan and security agreement was amended to: (a) extend a loan amount maximum of $2,000,000, which shall not exceed a maximum of $500,000 per month; and, (b) the maturity date was modified to be the earlier of the closing date of the sale of Aginity, Inc. or November 30, 2019. Effective July 1, 2019, the Company has placed Aginity, Inc. at nonaccrual status.</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of April 17, 2019, the CareCloud Corporation warrant to purchase preferred stock was amended to change the warrant entitlement of the Company from Series C Preferred Stock to Series A-1 Preferred Stock at 2,262,579 shares at an exercise price of $0.08287 per share.</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July 11, 2019, the Dtex Systems, Inc. loan and security agreement was amended to: (a) extend the amortization date to October 15, 2019, (b) increase the final payment amount to $800,000, (c) PIK all interest through September 15, 2019; and, (d) increase the applicable interest rate by 1.50% through September 15, 2019.</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August 5, 2019, in exchange for modification to certain financial covenants in the Loan and Security Agreement, the Ouster, Inc. warrant was modified to increase the Company's warrant coverage from 4% of the Loan Amount to 6% of the Loan Amount. The warrant price per share remains $11.3158, subject to adjustment as provided for under terms of the warrant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June 30, 2019:</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June 30, 2019</w:t>
            </w:r>
          </w:p>
        </w:tc>
        <w:tc>
          <w:tcPr>
            <w:tcW w:w="0" w:type="dxa"/>
            <w:vAlign w:val="bottom"/>
          </w:tcPr>
          <w:p>
            <w:pPr>
              <w:spacing w:after="0"/>
              <w:rPr>
                <w:sz w:val="1"/>
                <w:szCs w:val="1"/>
                <w:color w:val="auto"/>
              </w:rPr>
            </w:pPr>
          </w:p>
        </w:tc>
      </w:tr>
      <w:tr>
        <w:trPr>
          <w:trHeight w:val="191"/>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Geographic Region</w:t>
            </w:r>
          </w:p>
        </w:tc>
        <w:tc>
          <w:tcPr>
            <w:tcW w:w="2620" w:type="dxa"/>
            <w:vAlign w:val="bottom"/>
          </w:tcPr>
          <w:p>
            <w:pPr>
              <w:spacing w:after="0"/>
              <w:rPr>
                <w:sz w:val="16"/>
                <w:szCs w:val="16"/>
                <w:color w:val="auto"/>
              </w:rPr>
            </w:pP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Investments at</w:t>
            </w:r>
          </w:p>
        </w:tc>
        <w:tc>
          <w:tcPr>
            <w:tcW w:w="1240" w:type="dxa"/>
            <w:vAlign w:val="bottom"/>
            <w:tcBorders>
              <w:top w:val="single" w:sz="8" w:color="auto"/>
            </w:tcBorders>
            <w:gridSpan w:val="3"/>
          </w:tcPr>
          <w:p>
            <w:pPr>
              <w:jc w:val="right"/>
              <w:ind w:right="20"/>
              <w:spacing w:after="0" w:line="191" w:lineRule="exact"/>
              <w:rPr>
                <w:sz w:val="20"/>
                <w:szCs w:val="20"/>
                <w:color w:val="auto"/>
              </w:rPr>
            </w:pPr>
            <w:r>
              <w:rPr>
                <w:rFonts w:ascii="Arial" w:cs="Arial" w:eastAsia="Arial" w:hAnsi="Arial"/>
                <w:sz w:val="18"/>
                <w:szCs w:val="18"/>
                <w:b w:val="1"/>
                <w:bCs w:val="1"/>
                <w:color w:val="auto"/>
              </w:rPr>
              <w:t>Percentage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gridSpan w:val="2"/>
            <w:vMerge w:val="continue"/>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20"/>
                <w:szCs w:val="20"/>
                <w:color w:val="auto"/>
              </w:rPr>
            </w:pPr>
          </w:p>
        </w:tc>
        <w:tc>
          <w:tcPr>
            <w:tcW w:w="12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4"/>
              </w:rPr>
              <w:t>Net 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274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146,376,046</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Northeastern United States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31,165,492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Pacific Northwestern United States</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25,254,778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Southeastern United States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24,810,182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South Central United States</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20,754,806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Midwestern United States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20,724,671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7.09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10,939,919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6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280,025,894</w:t>
            </w:r>
          </w:p>
        </w:tc>
        <w:tc>
          <w:tcPr>
            <w:tcW w:w="20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95.79</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June 30, 2019</w:t>
            </w:r>
          </w:p>
        </w:tc>
        <w:tc>
          <w:tcPr>
            <w:tcW w:w="0" w:type="dxa"/>
            <w:vAlign w:val="bottom"/>
          </w:tcPr>
          <w:p>
            <w:pPr>
              <w:spacing w:after="0"/>
              <w:rPr>
                <w:sz w:val="1"/>
                <w:szCs w:val="1"/>
                <w:color w:val="auto"/>
              </w:rPr>
            </w:pPr>
          </w:p>
        </w:tc>
      </w:tr>
      <w:tr>
        <w:trPr>
          <w:trHeight w:val="191"/>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Industry</w:t>
            </w:r>
          </w:p>
        </w:tc>
        <w:tc>
          <w:tcPr>
            <w:tcW w:w="2240" w:type="dxa"/>
            <w:vAlign w:val="bottom"/>
          </w:tcPr>
          <w:p>
            <w:pPr>
              <w:spacing w:after="0"/>
              <w:rPr>
                <w:sz w:val="16"/>
                <w:szCs w:val="16"/>
                <w:color w:val="auto"/>
              </w:rPr>
            </w:pP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Investments at</w:t>
            </w:r>
          </w:p>
        </w:tc>
        <w:tc>
          <w:tcPr>
            <w:tcW w:w="1240" w:type="dxa"/>
            <w:vAlign w:val="bottom"/>
            <w:tcBorders>
              <w:top w:val="single" w:sz="8" w:color="auto"/>
            </w:tcBorders>
            <w:gridSpan w:val="3"/>
          </w:tcPr>
          <w:p>
            <w:pPr>
              <w:jc w:val="right"/>
              <w:ind w:right="20"/>
              <w:spacing w:after="0" w:line="191" w:lineRule="exact"/>
              <w:rPr>
                <w:sz w:val="20"/>
                <w:szCs w:val="20"/>
                <w:color w:val="auto"/>
              </w:rPr>
            </w:pPr>
            <w:r>
              <w:rPr>
                <w:rFonts w:ascii="Arial" w:cs="Arial" w:eastAsia="Arial" w:hAnsi="Arial"/>
                <w:sz w:val="18"/>
                <w:szCs w:val="18"/>
                <w:b w:val="1"/>
                <w:bCs w:val="1"/>
                <w:color w:val="auto"/>
              </w:rPr>
              <w:t>Percentage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gridSpan w:val="2"/>
            <w:vMerge w:val="continue"/>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20"/>
                <w:szCs w:val="20"/>
                <w:color w:val="auto"/>
              </w:rPr>
            </w:pPr>
          </w:p>
        </w:tc>
        <w:tc>
          <w:tcPr>
            <w:tcW w:w="12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4"/>
              </w:rPr>
              <w:t>Net 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236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75,971,194</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Data Processing &amp; Outsourced Services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58,509,566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Healthcare Technology</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46,646,359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Technology Hardware, Storage &amp; Peripherals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35,938,955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12.29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Semiconductors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31,734,359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Education Services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15,362,586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System Software</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14,892,670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Specialized Consumer Services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906,205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280,025,894</w:t>
            </w:r>
          </w:p>
        </w:tc>
        <w:tc>
          <w:tcPr>
            <w:tcW w:w="20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95.79</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 Companies</w:t>
            </w: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Sub-Industry</w:t>
            </w:r>
          </w:p>
        </w:tc>
        <w:tc>
          <w:tcPr>
            <w:tcW w:w="394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 xml:space="preserve">Investment Description </w:t>
            </w:r>
            <w:r>
              <w:rPr>
                <w:rFonts w:ascii="Arial" w:cs="Arial" w:eastAsia="Arial" w:hAnsi="Arial"/>
                <w:sz w:val="23"/>
                <w:szCs w:val="23"/>
                <w:b w:val="1"/>
                <w:bCs w:val="1"/>
                <w:color w:val="auto"/>
                <w:vertAlign w:val="superscript"/>
              </w:rPr>
              <w:t>(1),(5),(6)</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Principal</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23"/>
                <w:szCs w:val="23"/>
                <w:b w:val="1"/>
                <w:bCs w:val="1"/>
                <w:color w:val="auto"/>
                <w:vertAlign w:val="superscript"/>
              </w:rPr>
              <w:t>(2)</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3940" w:type="dxa"/>
            <w:vAlign w:val="bottom"/>
            <w:gridSpan w:val="2"/>
            <w:vMerge w:val="continue"/>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86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Non-control/non-affiliate investments</w:t>
            </w:r>
          </w:p>
        </w:tc>
        <w:tc>
          <w:tcPr>
            <w:tcW w:w="3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8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Secured Term Loans</w:t>
            </w:r>
          </w:p>
        </w:tc>
        <w:tc>
          <w:tcPr>
            <w:tcW w:w="3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Aginity, Inc.</w:t>
            </w:r>
          </w:p>
        </w:tc>
        <w:tc>
          <w:tcPr>
            <w:tcW w:w="142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5"/>
              </w:rPr>
              <w:t>Application Software</w:t>
            </w: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LIBOR+9.5%, 11.5% floor, 5% ETP, due 5/25/2022</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5/25/2018</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2"/>
              </w:rPr>
              <w:t>$  7,000,000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6,795,581</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6,675,922</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AllClear ID, Inc.</w:t>
            </w:r>
          </w:p>
        </w:tc>
        <w:tc>
          <w:tcPr>
            <w:tcW w:w="1420" w:type="dxa"/>
            <w:vAlign w:val="bottom"/>
            <w:gridSpan w:val="3"/>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Specialized Consumer</w:t>
            </w:r>
          </w:p>
        </w:tc>
        <w:tc>
          <w:tcPr>
            <w:tcW w:w="3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6"/>
              </w:rPr>
              <w:t>Tranche I: LIBOR+10.75%, 12.25% floor, 5% ETP, due 8/15/2021</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93"/>
              </w:rPr>
              <w:t>Services</w:t>
            </w:r>
          </w:p>
        </w:tc>
        <w:tc>
          <w:tcPr>
            <w:tcW w:w="3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9/1/2017</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10,000,000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9,545,594</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9,841,798</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Tranche II: LIBOR+8.50%, 10% floor, 5% ETP, due 8/15/2021</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4"/>
              </w:rPr>
              <w:t>10/17/2018</w:t>
            </w:r>
          </w:p>
        </w:tc>
        <w:tc>
          <w:tcPr>
            <w:tcW w:w="1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5,000,000</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4,342,367</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4,920,899</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Aria Systems, Inc.</w:t>
            </w:r>
          </w:p>
        </w:tc>
        <w:tc>
          <w:tcPr>
            <w:tcW w:w="14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5"/>
              </w:rPr>
              <w:t>Application Software</w:t>
            </w: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LIBOR+9.00%, 11.35% floor, 4% ETP, due 12/15/2021</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3"/>
              </w:rPr>
              <w:t>6/29/2018</w:t>
            </w:r>
          </w:p>
        </w:tc>
        <w:tc>
          <w:tcPr>
            <w:tcW w:w="1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25,000,000</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24,305,208</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24,212,998</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CareCloud</w:t>
            </w:r>
          </w:p>
        </w:tc>
        <w:tc>
          <w:tcPr>
            <w:tcW w:w="1420" w:type="dxa"/>
            <w:vAlign w:val="bottom"/>
            <w:gridSpan w:val="3"/>
          </w:tcPr>
          <w:p>
            <w:pPr>
              <w:jc w:val="center"/>
              <w:ind w:right="120"/>
              <w:spacing w:after="0" w:line="130" w:lineRule="exact"/>
              <w:rPr>
                <w:sz w:val="20"/>
                <w:szCs w:val="20"/>
                <w:color w:val="auto"/>
              </w:rPr>
            </w:pPr>
            <w:r>
              <w:rPr>
                <w:rFonts w:ascii="Arial" w:cs="Arial" w:eastAsia="Arial" w:hAnsi="Arial"/>
                <w:sz w:val="14"/>
                <w:szCs w:val="14"/>
                <w:color w:val="auto"/>
                <w:w w:val="91"/>
              </w:rPr>
              <w:t>Healthcare</w:t>
            </w:r>
          </w:p>
        </w:tc>
        <w:tc>
          <w:tcPr>
            <w:tcW w:w="3940" w:type="dxa"/>
            <w:vAlign w:val="bottom"/>
            <w:gridSpan w:val="2"/>
          </w:tcPr>
          <w:p>
            <w:pPr>
              <w:spacing w:after="0" w:line="130" w:lineRule="exact"/>
              <w:rPr>
                <w:sz w:val="20"/>
                <w:szCs w:val="20"/>
                <w:color w:val="auto"/>
              </w:rPr>
            </w:pPr>
            <w:r>
              <w:rPr>
                <w:rFonts w:ascii="Arial" w:cs="Arial" w:eastAsia="Arial" w:hAnsi="Arial"/>
                <w:sz w:val="14"/>
                <w:szCs w:val="14"/>
                <w:color w:val="auto"/>
              </w:rPr>
              <w:t>Prime+7.00%, 11.75% floor, 3.5% ETP, due 6/15/2022</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Corporation</w:t>
            </w:r>
          </w:p>
        </w:tc>
        <w:tc>
          <w:tcPr>
            <w:tcW w:w="142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Technology</w:t>
            </w: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6/29/2018</w:t>
            </w:r>
          </w:p>
        </w:tc>
        <w:tc>
          <w:tcPr>
            <w:tcW w:w="1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25,000,000</w:t>
            </w:r>
          </w:p>
        </w:tc>
        <w:tc>
          <w:tcPr>
            <w:tcW w:w="760" w:type="dxa"/>
            <w:vAlign w:val="bottom"/>
          </w:tcPr>
          <w:p>
            <w:pPr>
              <w:jc w:val="right"/>
              <w:spacing w:after="0"/>
              <w:rPr>
                <w:sz w:val="20"/>
                <w:szCs w:val="20"/>
                <w:color w:val="auto"/>
              </w:rPr>
            </w:pPr>
            <w:r>
              <w:rPr>
                <w:rFonts w:ascii="Arial" w:cs="Arial" w:eastAsia="Arial" w:hAnsi="Arial"/>
                <w:sz w:val="14"/>
                <w:szCs w:val="14"/>
                <w:color w:val="auto"/>
              </w:rPr>
              <w:t>24,570,129</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24,123,158</w:t>
            </w:r>
          </w:p>
        </w:tc>
        <w:tc>
          <w:tcPr>
            <w:tcW w:w="2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Circadence</w:t>
            </w:r>
          </w:p>
        </w:tc>
        <w:tc>
          <w:tcPr>
            <w:tcW w:w="1420" w:type="dxa"/>
            <w:vAlign w:val="bottom"/>
            <w:gridSpan w:val="3"/>
          </w:tcPr>
          <w:p>
            <w:pPr>
              <w:jc w:val="center"/>
              <w:ind w:right="120"/>
              <w:spacing w:after="0" w:line="130" w:lineRule="exact"/>
              <w:rPr>
                <w:sz w:val="20"/>
                <w:szCs w:val="20"/>
                <w:color w:val="auto"/>
              </w:rPr>
            </w:pPr>
            <w:r>
              <w:rPr>
                <w:rFonts w:ascii="Arial" w:cs="Arial" w:eastAsia="Arial" w:hAnsi="Arial"/>
                <w:sz w:val="14"/>
                <w:szCs w:val="14"/>
                <w:color w:val="auto"/>
                <w:w w:val="95"/>
              </w:rPr>
              <w:t>Application Software</w:t>
            </w:r>
          </w:p>
        </w:tc>
        <w:tc>
          <w:tcPr>
            <w:tcW w:w="3940" w:type="dxa"/>
            <w:vAlign w:val="bottom"/>
            <w:gridSpan w:val="2"/>
          </w:tcPr>
          <w:p>
            <w:pPr>
              <w:spacing w:after="0" w:line="130" w:lineRule="exact"/>
              <w:rPr>
                <w:sz w:val="20"/>
                <w:szCs w:val="20"/>
                <w:color w:val="auto"/>
              </w:rPr>
            </w:pPr>
            <w:r>
              <w:rPr>
                <w:rFonts w:ascii="Arial" w:cs="Arial" w:eastAsia="Arial" w:hAnsi="Arial"/>
                <w:sz w:val="14"/>
                <w:szCs w:val="14"/>
                <w:color w:val="auto"/>
              </w:rPr>
              <w:t>LIBOR+9.5%, 12% floor, 5% ETP, due 6/20/2022</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Corporation</w:t>
            </w: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4"/>
              </w:rPr>
              <w:t>12/20/2018</w:t>
            </w:r>
          </w:p>
        </w:tc>
        <w:tc>
          <w:tcPr>
            <w:tcW w:w="1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18,000,000</w:t>
            </w:r>
          </w:p>
        </w:tc>
        <w:tc>
          <w:tcPr>
            <w:tcW w:w="760" w:type="dxa"/>
            <w:vAlign w:val="bottom"/>
          </w:tcPr>
          <w:p>
            <w:pPr>
              <w:jc w:val="right"/>
              <w:spacing w:after="0"/>
              <w:rPr>
                <w:sz w:val="20"/>
                <w:szCs w:val="20"/>
                <w:color w:val="auto"/>
              </w:rPr>
            </w:pPr>
            <w:r>
              <w:rPr>
                <w:rFonts w:ascii="Arial" w:cs="Arial" w:eastAsia="Arial" w:hAnsi="Arial"/>
                <w:sz w:val="14"/>
                <w:szCs w:val="14"/>
                <w:color w:val="auto"/>
              </w:rPr>
              <w:t>14,239,085</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14,239,085</w:t>
            </w:r>
          </w:p>
        </w:tc>
        <w:tc>
          <w:tcPr>
            <w:tcW w:w="2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Drawbridge, Inc.</w:t>
            </w:r>
          </w:p>
        </w:tc>
        <w:tc>
          <w:tcPr>
            <w:tcW w:w="1420" w:type="dxa"/>
            <w:vAlign w:val="bottom"/>
            <w:gridSpan w:val="3"/>
          </w:tcPr>
          <w:p>
            <w:pPr>
              <w:jc w:val="center"/>
              <w:ind w:right="140"/>
              <w:spacing w:after="0" w:line="130" w:lineRule="exact"/>
              <w:rPr>
                <w:sz w:val="20"/>
                <w:szCs w:val="20"/>
                <w:color w:val="auto"/>
              </w:rPr>
            </w:pPr>
            <w:r>
              <w:rPr>
                <w:rFonts w:ascii="Arial" w:cs="Arial" w:eastAsia="Arial" w:hAnsi="Arial"/>
                <w:sz w:val="14"/>
                <w:szCs w:val="14"/>
                <w:color w:val="auto"/>
                <w:w w:val="93"/>
              </w:rPr>
              <w:t>Data Processing &amp;</w:t>
            </w:r>
          </w:p>
        </w:tc>
        <w:tc>
          <w:tcPr>
            <w:tcW w:w="3940" w:type="dxa"/>
            <w:vAlign w:val="bottom"/>
            <w:gridSpan w:val="2"/>
          </w:tcPr>
          <w:p>
            <w:pPr>
              <w:spacing w:after="0" w:line="130" w:lineRule="exact"/>
              <w:rPr>
                <w:sz w:val="20"/>
                <w:szCs w:val="20"/>
                <w:color w:val="auto"/>
              </w:rPr>
            </w:pPr>
            <w:r>
              <w:rPr>
                <w:rFonts w:ascii="Arial" w:cs="Arial" w:eastAsia="Arial" w:hAnsi="Arial"/>
                <w:sz w:val="14"/>
                <w:szCs w:val="14"/>
                <w:color w:val="auto"/>
              </w:rPr>
              <w:t>LIBOR+9%, 11.25% floor, 4% ETP, due 10/22/2022</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color w:val="auto"/>
                <w:w w:val="90"/>
              </w:rPr>
              <w:t>Outsourced Services</w:t>
            </w: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4"/>
              </w:rPr>
              <w:t>10/22/2018</w:t>
            </w:r>
          </w:p>
        </w:tc>
        <w:tc>
          <w:tcPr>
            <w:tcW w:w="1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15,000,000</w:t>
            </w:r>
          </w:p>
        </w:tc>
        <w:tc>
          <w:tcPr>
            <w:tcW w:w="760" w:type="dxa"/>
            <w:vAlign w:val="bottom"/>
          </w:tcPr>
          <w:p>
            <w:pPr>
              <w:jc w:val="right"/>
              <w:spacing w:after="0"/>
              <w:rPr>
                <w:sz w:val="20"/>
                <w:szCs w:val="20"/>
                <w:color w:val="auto"/>
              </w:rPr>
            </w:pPr>
            <w:r>
              <w:rPr>
                <w:rFonts w:ascii="Arial" w:cs="Arial" w:eastAsia="Arial" w:hAnsi="Arial"/>
                <w:sz w:val="14"/>
                <w:szCs w:val="14"/>
                <w:color w:val="auto"/>
              </w:rPr>
              <w:t>14,467,708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14,467,708</w:t>
            </w:r>
          </w:p>
        </w:tc>
        <w:tc>
          <w:tcPr>
            <w:tcW w:w="2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Dtex Systems, Inc.</w:t>
            </w:r>
          </w:p>
        </w:tc>
        <w:tc>
          <w:tcPr>
            <w:tcW w:w="1420" w:type="dxa"/>
            <w:vAlign w:val="bottom"/>
            <w:gridSpan w:val="3"/>
          </w:tcPr>
          <w:p>
            <w:pPr>
              <w:jc w:val="center"/>
              <w:ind w:right="120"/>
              <w:spacing w:after="0" w:line="130" w:lineRule="exact"/>
              <w:rPr>
                <w:sz w:val="20"/>
                <w:szCs w:val="20"/>
                <w:color w:val="auto"/>
              </w:rPr>
            </w:pPr>
            <w:r>
              <w:rPr>
                <w:rFonts w:ascii="Arial" w:cs="Arial" w:eastAsia="Arial" w:hAnsi="Arial"/>
                <w:sz w:val="14"/>
                <w:szCs w:val="14"/>
                <w:color w:val="auto"/>
                <w:w w:val="95"/>
              </w:rPr>
              <w:t>Application Software</w:t>
            </w:r>
          </w:p>
        </w:tc>
        <w:tc>
          <w:tcPr>
            <w:tcW w:w="3940" w:type="dxa"/>
            <w:vAlign w:val="bottom"/>
            <w:gridSpan w:val="2"/>
          </w:tcPr>
          <w:p>
            <w:pPr>
              <w:spacing w:after="0" w:line="130" w:lineRule="exact"/>
              <w:rPr>
                <w:sz w:val="20"/>
                <w:szCs w:val="20"/>
                <w:color w:val="auto"/>
              </w:rPr>
            </w:pPr>
            <w:r>
              <w:rPr>
                <w:rFonts w:ascii="Arial" w:cs="Arial" w:eastAsia="Arial" w:hAnsi="Arial"/>
                <w:sz w:val="14"/>
                <w:szCs w:val="14"/>
                <w:color w:val="auto"/>
              </w:rPr>
              <w:t>LIBOR+9.5%, 11.5% floor, 11.5% cash cap, 4% ETP, due</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11/15/2021</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1"/>
              </w:rPr>
              <w:t>6/1/2018</w:t>
            </w:r>
          </w:p>
        </w:tc>
        <w:tc>
          <w:tcPr>
            <w:tcW w:w="1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8,000,000</w:t>
            </w:r>
          </w:p>
        </w:tc>
        <w:tc>
          <w:tcPr>
            <w:tcW w:w="760" w:type="dxa"/>
            <w:vAlign w:val="bottom"/>
          </w:tcPr>
          <w:p>
            <w:pPr>
              <w:jc w:val="right"/>
              <w:spacing w:after="0"/>
              <w:rPr>
                <w:sz w:val="20"/>
                <w:szCs w:val="20"/>
                <w:color w:val="auto"/>
              </w:rPr>
            </w:pPr>
            <w:r>
              <w:rPr>
                <w:rFonts w:ascii="Arial" w:cs="Arial" w:eastAsia="Arial" w:hAnsi="Arial"/>
                <w:sz w:val="14"/>
                <w:szCs w:val="14"/>
                <w:color w:val="auto"/>
              </w:rPr>
              <w:t>7,938,983</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7,887,407</w:t>
            </w:r>
          </w:p>
        </w:tc>
        <w:tc>
          <w:tcPr>
            <w:tcW w:w="2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eSilicon</w:t>
            </w:r>
          </w:p>
        </w:tc>
        <w:tc>
          <w:tcPr>
            <w:tcW w:w="1420" w:type="dxa"/>
            <w:vAlign w:val="bottom"/>
            <w:gridSpan w:val="3"/>
          </w:tcPr>
          <w:p>
            <w:pPr>
              <w:jc w:val="center"/>
              <w:ind w:right="120"/>
              <w:spacing w:after="0" w:line="130" w:lineRule="exact"/>
              <w:rPr>
                <w:sz w:val="20"/>
                <w:szCs w:val="20"/>
                <w:color w:val="auto"/>
              </w:rPr>
            </w:pPr>
            <w:r>
              <w:rPr>
                <w:rFonts w:ascii="Arial" w:cs="Arial" w:eastAsia="Arial" w:hAnsi="Arial"/>
                <w:sz w:val="14"/>
                <w:szCs w:val="14"/>
                <w:color w:val="auto"/>
                <w:w w:val="93"/>
              </w:rPr>
              <w:t>Semiconductors</w:t>
            </w:r>
          </w:p>
        </w:tc>
        <w:tc>
          <w:tcPr>
            <w:tcW w:w="3940" w:type="dxa"/>
            <w:vAlign w:val="bottom"/>
            <w:gridSpan w:val="2"/>
          </w:tcPr>
          <w:p>
            <w:pPr>
              <w:spacing w:after="0" w:line="130" w:lineRule="exact"/>
              <w:rPr>
                <w:sz w:val="20"/>
                <w:szCs w:val="20"/>
                <w:color w:val="auto"/>
              </w:rPr>
            </w:pPr>
            <w:r>
              <w:rPr>
                <w:rFonts w:ascii="Arial" w:cs="Arial" w:eastAsia="Arial" w:hAnsi="Arial"/>
                <w:sz w:val="14"/>
                <w:szCs w:val="14"/>
                <w:color w:val="auto"/>
              </w:rPr>
              <w:t>Tranche I: LIBOR+10.5%, 11.5% floor, 5% ETP, due 7/15/2020</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Corporation</w:t>
            </w: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7/31/2017</w:t>
            </w:r>
          </w:p>
        </w:tc>
        <w:tc>
          <w:tcPr>
            <w:tcW w:w="1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7,916,667</w:t>
            </w:r>
          </w:p>
        </w:tc>
        <w:tc>
          <w:tcPr>
            <w:tcW w:w="760" w:type="dxa"/>
            <w:vAlign w:val="bottom"/>
          </w:tcPr>
          <w:p>
            <w:pPr>
              <w:jc w:val="right"/>
              <w:spacing w:after="0"/>
              <w:rPr>
                <w:sz w:val="20"/>
                <w:szCs w:val="20"/>
                <w:color w:val="auto"/>
              </w:rPr>
            </w:pPr>
            <w:r>
              <w:rPr>
                <w:rFonts w:ascii="Arial" w:cs="Arial" w:eastAsia="Arial" w:hAnsi="Arial"/>
                <w:sz w:val="14"/>
                <w:szCs w:val="14"/>
                <w:color w:val="auto"/>
              </w:rPr>
              <w:t>7,976,198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8,227,697</w:t>
            </w:r>
          </w:p>
        </w:tc>
        <w:tc>
          <w:tcPr>
            <w:tcW w:w="2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Tranche II: LIBOR+10.5%, 11.5% floor, 5% ETP, due 7/15/2020</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2/8/2018</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5,000,000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5,063,065</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5,196,440</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Jibe, Inc.</w:t>
            </w:r>
          </w:p>
        </w:tc>
        <w:tc>
          <w:tcPr>
            <w:tcW w:w="142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5"/>
              </w:rPr>
              <w:t>Application Software</w:t>
            </w: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LIBOR+10%, 12.25% floor, 5% ETP, due 6/7/2022</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6/7/2018</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7,000,000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6,951,535</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6,951,535</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MingleHealth Care</w:t>
            </w:r>
          </w:p>
        </w:tc>
        <w:tc>
          <w:tcPr>
            <w:tcW w:w="1420" w:type="dxa"/>
            <w:vAlign w:val="bottom"/>
            <w:gridSpan w:val="3"/>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1"/>
              </w:rPr>
              <w:t>Healthcare</w:t>
            </w:r>
          </w:p>
        </w:tc>
        <w:tc>
          <w:tcPr>
            <w:tcW w:w="3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LIBOR+9.5%, 11.75% floor, 4% ETP, due 8/15/2022</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Solutions, Inc.</w:t>
            </w:r>
          </w:p>
        </w:tc>
        <w:tc>
          <w:tcPr>
            <w:tcW w:w="142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w w:val="93"/>
              </w:rPr>
              <w:t>Technology</w:t>
            </w:r>
          </w:p>
        </w:tc>
        <w:tc>
          <w:tcPr>
            <w:tcW w:w="3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8/15/2018</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6,000,000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5,532,093</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5,532,093</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3"/>
              </w:rPr>
              <w:t>Portfolio Companies</w:t>
            </w:r>
          </w:p>
        </w:tc>
        <w:tc>
          <w:tcPr>
            <w:tcW w:w="100" w:type="dxa"/>
            <w:vAlign w:val="bottom"/>
            <w:vMerge w:val="restart"/>
          </w:tcPr>
          <w:p>
            <w:pPr>
              <w:spacing w:after="0"/>
              <w:rPr>
                <w:sz w:val="14"/>
                <w:szCs w:val="14"/>
                <w:color w:val="auto"/>
              </w:rPr>
            </w:pPr>
          </w:p>
        </w:tc>
        <w:tc>
          <w:tcPr>
            <w:tcW w:w="12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Sub-Industry</w:t>
            </w:r>
          </w:p>
        </w:tc>
        <w:tc>
          <w:tcPr>
            <w:tcW w:w="120" w:type="dxa"/>
            <w:vAlign w:val="bottom"/>
            <w:vMerge w:val="restart"/>
          </w:tcPr>
          <w:p>
            <w:pPr>
              <w:spacing w:after="0"/>
              <w:rPr>
                <w:sz w:val="14"/>
                <w:szCs w:val="14"/>
                <w:color w:val="auto"/>
              </w:rPr>
            </w:pPr>
          </w:p>
        </w:tc>
        <w:tc>
          <w:tcPr>
            <w:tcW w:w="376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 xml:space="preserve">Investment Description </w:t>
            </w:r>
            <w:r>
              <w:rPr>
                <w:rFonts w:ascii="Arial" w:cs="Arial" w:eastAsia="Arial" w:hAnsi="Arial"/>
                <w:sz w:val="23"/>
                <w:szCs w:val="23"/>
                <w:b w:val="1"/>
                <w:bCs w:val="1"/>
                <w:color w:val="auto"/>
                <w:vertAlign w:val="superscript"/>
              </w:rPr>
              <w:t>(5), (6)</w:t>
            </w:r>
          </w:p>
        </w:tc>
        <w:tc>
          <w:tcPr>
            <w:tcW w:w="100" w:type="dxa"/>
            <w:vAlign w:val="bottom"/>
            <w:vMerge w:val="restart"/>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Principal/</w:t>
            </w:r>
          </w:p>
        </w:tc>
        <w:tc>
          <w:tcPr>
            <w:tcW w:w="8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4"/>
                <w:szCs w:val="14"/>
                <w:color w:val="auto"/>
              </w:rPr>
            </w:pPr>
          </w:p>
        </w:tc>
        <w:tc>
          <w:tcPr>
            <w:tcW w:w="8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 xml:space="preserve">Fair Value </w:t>
            </w:r>
            <w:r>
              <w:rPr>
                <w:rFonts w:ascii="Arial" w:cs="Arial" w:eastAsia="Arial" w:hAnsi="Arial"/>
                <w:sz w:val="23"/>
                <w:szCs w:val="23"/>
                <w:b w:val="1"/>
                <w:bCs w:val="1"/>
                <w:color w:val="auto"/>
                <w:w w:val="91"/>
                <w:vertAlign w:val="superscript"/>
              </w:rPr>
              <w:t>(2)</w:t>
            </w:r>
          </w:p>
        </w:tc>
        <w:tc>
          <w:tcPr>
            <w:tcW w:w="220" w:type="dxa"/>
            <w:vAlign w:val="bottom"/>
            <w:vMerge w:val="restart"/>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 of Net</w:t>
            </w:r>
          </w:p>
        </w:tc>
        <w:tc>
          <w:tcPr>
            <w:tcW w:w="0" w:type="dxa"/>
            <w:vAlign w:val="bottom"/>
          </w:tcPr>
          <w:p>
            <w:pPr>
              <w:spacing w:after="0"/>
              <w:rPr>
                <w:sz w:val="1"/>
                <w:szCs w:val="1"/>
                <w:color w:val="auto"/>
              </w:rPr>
            </w:pPr>
          </w:p>
        </w:tc>
      </w:tr>
      <w:tr>
        <w:trPr>
          <w:trHeight w:val="171"/>
        </w:trPr>
        <w:tc>
          <w:tcPr>
            <w:tcW w:w="13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7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Non-control/non-affiliate investments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94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Secured Term Loans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94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p>
      <w:pPr>
        <w:spacing w:after="0" w:line="12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140" w:type="dxa"/>
            <w:vAlign w:val="bottom"/>
          </w:tcPr>
          <w:p>
            <w:pPr>
              <w:spacing w:after="0"/>
              <w:rPr>
                <w:sz w:val="20"/>
                <w:szCs w:val="20"/>
                <w:color w:val="auto"/>
              </w:rPr>
            </w:pPr>
            <w:r>
              <w:rPr>
                <w:rFonts w:ascii="Arial" w:cs="Arial" w:eastAsia="Arial" w:hAnsi="Arial"/>
                <w:sz w:val="14"/>
                <w:szCs w:val="14"/>
                <w:color w:val="auto"/>
              </w:rPr>
              <w:t>Mobius Imaging,</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4"/>
              </w:rPr>
              <w:t>Healthcare</w:t>
            </w:r>
          </w:p>
        </w:tc>
        <w:tc>
          <w:tcPr>
            <w:tcW w:w="3800" w:type="dxa"/>
            <w:vAlign w:val="bottom"/>
          </w:tcPr>
          <w:p>
            <w:pPr>
              <w:ind w:left="80"/>
              <w:spacing w:after="0"/>
              <w:rPr>
                <w:sz w:val="20"/>
                <w:szCs w:val="20"/>
                <w:color w:val="auto"/>
              </w:rPr>
            </w:pPr>
            <w:r>
              <w:rPr>
                <w:rFonts w:ascii="Arial" w:cs="Arial" w:eastAsia="Arial" w:hAnsi="Arial"/>
                <w:sz w:val="14"/>
                <w:szCs w:val="14"/>
                <w:color w:val="auto"/>
              </w:rPr>
              <w:t>LIBOR+9.25%, 11.00% floor, 4% ETP, due 10/15/2022</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20"/>
                <w:szCs w:val="20"/>
                <w:color w:val="auto"/>
              </w:rPr>
            </w:pPr>
            <w:r>
              <w:rPr>
                <w:rFonts w:ascii="Arial" w:cs="Arial" w:eastAsia="Arial" w:hAnsi="Arial"/>
                <w:sz w:val="14"/>
                <w:szCs w:val="14"/>
                <w:color w:val="auto"/>
              </w:rPr>
              <w:t>LLC</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3"/>
              </w:rPr>
              <w:t>Technology</w:t>
            </w: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0"/>
                <w:szCs w:val="20"/>
                <w:color w:val="auto"/>
              </w:rPr>
            </w:pPr>
            <w:r>
              <w:rPr>
                <w:rFonts w:ascii="Arial" w:cs="Arial" w:eastAsia="Arial" w:hAnsi="Arial"/>
                <w:sz w:val="14"/>
                <w:szCs w:val="14"/>
                <w:color w:val="auto"/>
              </w:rPr>
              <w:t>Mojix, Inc.</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7"/>
              </w:rPr>
              <w:t>Application Software</w:t>
            </w:r>
          </w:p>
        </w:tc>
        <w:tc>
          <w:tcPr>
            <w:tcW w:w="3800" w:type="dxa"/>
            <w:vAlign w:val="bottom"/>
          </w:tcPr>
          <w:p>
            <w:pPr>
              <w:ind w:left="80"/>
              <w:spacing w:after="0"/>
              <w:rPr>
                <w:sz w:val="20"/>
                <w:szCs w:val="20"/>
                <w:color w:val="auto"/>
              </w:rPr>
            </w:pPr>
            <w:r>
              <w:rPr>
                <w:rFonts w:ascii="Arial" w:cs="Arial" w:eastAsia="Arial" w:hAnsi="Arial"/>
                <w:sz w:val="14"/>
                <w:szCs w:val="14"/>
                <w:color w:val="auto"/>
                <w:w w:val="95"/>
              </w:rPr>
              <w:t>Tranche I: LIBOR+10.50%, 11.00% floor, 12.0% cash cap, 5%</w:t>
            </w: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00" w:type="dxa"/>
            <w:vAlign w:val="bottom"/>
          </w:tcPr>
          <w:p>
            <w:pPr>
              <w:ind w:left="80"/>
              <w:spacing w:after="0" w:line="179" w:lineRule="exact"/>
              <w:rPr>
                <w:sz w:val="20"/>
                <w:szCs w:val="20"/>
                <w:color w:val="auto"/>
              </w:rPr>
            </w:pPr>
            <w:r>
              <w:rPr>
                <w:rFonts w:ascii="Arial" w:cs="Arial" w:eastAsia="Arial" w:hAnsi="Arial"/>
                <w:sz w:val="13"/>
                <w:szCs w:val="13"/>
                <w:color w:val="auto"/>
              </w:rPr>
              <w:t xml:space="preserve">ETP, due 5/15/2021 </w:t>
            </w:r>
            <w:r>
              <w:rPr>
                <w:rFonts w:ascii="Arial" w:cs="Arial" w:eastAsia="Arial" w:hAnsi="Arial"/>
                <w:sz w:val="20"/>
                <w:szCs w:val="20"/>
                <w:color w:val="auto"/>
                <w:vertAlign w:val="superscript"/>
              </w:rPr>
              <w:t>(4), (9)</w:t>
            </w: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800" w:type="dxa"/>
            <w:vAlign w:val="bottom"/>
          </w:tcPr>
          <w:p>
            <w:pPr>
              <w:ind w:left="80"/>
              <w:spacing w:after="0" w:line="159" w:lineRule="exact"/>
              <w:rPr>
                <w:sz w:val="20"/>
                <w:szCs w:val="20"/>
                <w:color w:val="auto"/>
              </w:rPr>
            </w:pPr>
            <w:r>
              <w:rPr>
                <w:rFonts w:ascii="Arial" w:cs="Arial" w:eastAsia="Arial" w:hAnsi="Arial"/>
                <w:sz w:val="14"/>
                <w:szCs w:val="14"/>
                <w:color w:val="auto"/>
                <w:w w:val="94"/>
              </w:rPr>
              <w:t>Tranche II: LIBOR+10.50%, 11.00% floor, 12.0% cash cap, 5%</w:t>
            </w: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00" w:type="dxa"/>
            <w:vAlign w:val="bottom"/>
          </w:tcPr>
          <w:p>
            <w:pPr>
              <w:ind w:left="80"/>
              <w:spacing w:after="0" w:line="179" w:lineRule="exact"/>
              <w:rPr>
                <w:sz w:val="20"/>
                <w:szCs w:val="20"/>
                <w:color w:val="auto"/>
              </w:rPr>
            </w:pPr>
            <w:r>
              <w:rPr>
                <w:rFonts w:ascii="Arial" w:cs="Arial" w:eastAsia="Arial" w:hAnsi="Arial"/>
                <w:sz w:val="13"/>
                <w:szCs w:val="13"/>
                <w:color w:val="auto"/>
              </w:rPr>
              <w:t xml:space="preserve">ETP, due 5/15/2021 </w:t>
            </w:r>
            <w:r>
              <w:rPr>
                <w:rFonts w:ascii="Arial" w:cs="Arial" w:eastAsia="Arial" w:hAnsi="Arial"/>
                <w:sz w:val="20"/>
                <w:szCs w:val="20"/>
                <w:color w:val="auto"/>
                <w:vertAlign w:val="superscript"/>
              </w:rPr>
              <w:t>(4), (9)</w:t>
            </w: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800" w:type="dxa"/>
            <w:vAlign w:val="bottom"/>
          </w:tcPr>
          <w:p>
            <w:pPr>
              <w:ind w:left="80"/>
              <w:spacing w:after="0" w:line="159" w:lineRule="exact"/>
              <w:rPr>
                <w:sz w:val="20"/>
                <w:szCs w:val="20"/>
                <w:color w:val="auto"/>
              </w:rPr>
            </w:pPr>
            <w:r>
              <w:rPr>
                <w:rFonts w:ascii="Arial" w:cs="Arial" w:eastAsia="Arial" w:hAnsi="Arial"/>
                <w:sz w:val="14"/>
                <w:szCs w:val="14"/>
                <w:color w:val="auto"/>
                <w:w w:val="93"/>
              </w:rPr>
              <w:t>Tranche III: LIBOR+10.50%, 11.00% floor, 12.0% cash cap, 5%</w:t>
            </w: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00" w:type="dxa"/>
            <w:vAlign w:val="bottom"/>
          </w:tcPr>
          <w:p>
            <w:pPr>
              <w:ind w:left="80"/>
              <w:spacing w:after="0" w:line="179" w:lineRule="exact"/>
              <w:rPr>
                <w:sz w:val="20"/>
                <w:szCs w:val="20"/>
                <w:color w:val="auto"/>
              </w:rPr>
            </w:pPr>
            <w:r>
              <w:rPr>
                <w:rFonts w:ascii="Arial" w:cs="Arial" w:eastAsia="Arial" w:hAnsi="Arial"/>
                <w:sz w:val="13"/>
                <w:szCs w:val="13"/>
                <w:color w:val="auto"/>
              </w:rPr>
              <w:t xml:space="preserve">ETP, due 5/15/2021 </w:t>
            </w:r>
            <w:r>
              <w:rPr>
                <w:rFonts w:ascii="Arial" w:cs="Arial" w:eastAsia="Arial" w:hAnsi="Arial"/>
                <w:sz w:val="20"/>
                <w:szCs w:val="20"/>
                <w:color w:val="auto"/>
                <w:vertAlign w:val="superscript"/>
              </w:rPr>
              <w:t>(4), (9)</w:t>
            </w: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800" w:type="dxa"/>
            <w:vAlign w:val="bottom"/>
          </w:tcPr>
          <w:p>
            <w:pPr>
              <w:ind w:left="80"/>
              <w:spacing w:after="0" w:line="159" w:lineRule="exact"/>
              <w:rPr>
                <w:sz w:val="20"/>
                <w:szCs w:val="20"/>
                <w:color w:val="auto"/>
              </w:rPr>
            </w:pPr>
            <w:r>
              <w:rPr>
                <w:rFonts w:ascii="Arial" w:cs="Arial" w:eastAsia="Arial" w:hAnsi="Arial"/>
                <w:sz w:val="14"/>
                <w:szCs w:val="14"/>
                <w:color w:val="auto"/>
                <w:w w:val="93"/>
              </w:rPr>
              <w:t>Tranche IV: LIBOR+10.50%, 11.00% floor, 12.0% cash cap, 5%</w:t>
            </w:r>
          </w:p>
        </w:tc>
        <w:tc>
          <w:tcPr>
            <w:tcW w:w="0" w:type="dxa"/>
            <w:vAlign w:val="bottom"/>
          </w:tcPr>
          <w:p>
            <w:pPr>
              <w:spacing w:after="0"/>
              <w:rPr>
                <w:sz w:val="1"/>
                <w:szCs w:val="1"/>
                <w:color w:val="auto"/>
              </w:rPr>
            </w:pPr>
          </w:p>
        </w:tc>
      </w:tr>
      <w:tr>
        <w:trPr>
          <w:trHeight w:val="313"/>
        </w:trPr>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0" w:type="dxa"/>
            <w:vAlign w:val="bottom"/>
          </w:tcPr>
          <w:p>
            <w:pPr>
              <w:ind w:left="80"/>
              <w:spacing w:after="0"/>
              <w:rPr>
                <w:sz w:val="20"/>
                <w:szCs w:val="20"/>
                <w:color w:val="auto"/>
              </w:rPr>
            </w:pPr>
            <w:r>
              <w:rPr>
                <w:rFonts w:ascii="Arial" w:cs="Arial" w:eastAsia="Arial" w:hAnsi="Arial"/>
                <w:sz w:val="14"/>
                <w:szCs w:val="14"/>
                <w:color w:val="auto"/>
              </w:rPr>
              <w:t xml:space="preserve">ETP, due 5/15/2021 </w:t>
            </w:r>
            <w:r>
              <w:rPr>
                <w:rFonts w:ascii="Arial" w:cs="Arial" w:eastAsia="Arial" w:hAnsi="Arial"/>
                <w:sz w:val="23"/>
                <w:szCs w:val="23"/>
                <w:color w:val="auto"/>
                <w:vertAlign w:val="superscript"/>
              </w:rPr>
              <w:t>(4), (9)</w:t>
            </w:r>
          </w:p>
        </w:tc>
        <w:tc>
          <w:tcPr>
            <w:tcW w:w="0" w:type="dxa"/>
            <w:vAlign w:val="bottom"/>
          </w:tcPr>
          <w:p>
            <w:pPr>
              <w:spacing w:after="0"/>
              <w:rPr>
                <w:sz w:val="1"/>
                <w:szCs w:val="1"/>
                <w:color w:val="auto"/>
              </w:rPr>
            </w:pPr>
          </w:p>
        </w:tc>
      </w:tr>
      <w:tr>
        <w:trPr>
          <w:trHeight w:val="163"/>
        </w:trPr>
        <w:tc>
          <w:tcPr>
            <w:tcW w:w="1140" w:type="dxa"/>
            <w:vAlign w:val="bottom"/>
          </w:tcPr>
          <w:p>
            <w:pPr>
              <w:spacing w:after="0"/>
              <w:rPr>
                <w:sz w:val="20"/>
                <w:szCs w:val="20"/>
                <w:color w:val="auto"/>
              </w:rPr>
            </w:pPr>
            <w:r>
              <w:rPr>
                <w:rFonts w:ascii="Arial" w:cs="Arial" w:eastAsia="Arial" w:hAnsi="Arial"/>
                <w:sz w:val="14"/>
                <w:szCs w:val="14"/>
                <w:color w:val="auto"/>
              </w:rPr>
              <w:t>3DNA Corp.(dba</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7"/>
              </w:rPr>
              <w:t>Application Software</w:t>
            </w:r>
          </w:p>
        </w:tc>
        <w:tc>
          <w:tcPr>
            <w:tcW w:w="3800" w:type="dxa"/>
            <w:vAlign w:val="bottom"/>
          </w:tcPr>
          <w:p>
            <w:pPr>
              <w:ind w:left="80"/>
              <w:spacing w:after="0"/>
              <w:rPr>
                <w:sz w:val="20"/>
                <w:szCs w:val="20"/>
                <w:color w:val="auto"/>
              </w:rPr>
            </w:pPr>
            <w:r>
              <w:rPr>
                <w:rFonts w:ascii="Arial" w:cs="Arial" w:eastAsia="Arial" w:hAnsi="Arial"/>
                <w:sz w:val="14"/>
                <w:szCs w:val="14"/>
                <w:color w:val="auto"/>
              </w:rPr>
              <w:t>LIBOR+9.00%, 11.50% floor, 5% ETP, due 4/28/2022</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20"/>
                <w:szCs w:val="20"/>
                <w:color w:val="auto"/>
              </w:rPr>
            </w:pPr>
            <w:r>
              <w:rPr>
                <w:rFonts w:ascii="Arial" w:cs="Arial" w:eastAsia="Arial" w:hAnsi="Arial"/>
                <w:sz w:val="14"/>
                <w:szCs w:val="14"/>
                <w:color w:val="auto"/>
              </w:rPr>
              <w:t>NationBuilder)</w:t>
            </w:r>
          </w:p>
        </w:tc>
        <w:tc>
          <w:tcPr>
            <w:tcW w:w="14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140" w:type="dxa"/>
            <w:vAlign w:val="bottom"/>
          </w:tcPr>
          <w:p>
            <w:pPr>
              <w:spacing w:after="0"/>
              <w:rPr>
                <w:sz w:val="20"/>
                <w:szCs w:val="20"/>
                <w:color w:val="auto"/>
              </w:rPr>
            </w:pPr>
            <w:r>
              <w:rPr>
                <w:rFonts w:ascii="Arial" w:cs="Arial" w:eastAsia="Arial" w:hAnsi="Arial"/>
                <w:sz w:val="14"/>
                <w:szCs w:val="14"/>
                <w:color w:val="auto"/>
              </w:rPr>
              <w:t>Ouster, Inc.</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3"/>
              </w:rPr>
              <w:t>Technology</w:t>
            </w:r>
          </w:p>
        </w:tc>
        <w:tc>
          <w:tcPr>
            <w:tcW w:w="3800" w:type="dxa"/>
            <w:vAlign w:val="bottom"/>
          </w:tcPr>
          <w:p>
            <w:pPr>
              <w:ind w:left="340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1440" w:type="dxa"/>
            <w:vAlign w:val="bottom"/>
          </w:tcPr>
          <w:p>
            <w:pPr>
              <w:jc w:val="center"/>
              <w:ind w:left="8"/>
              <w:spacing w:after="0" w:line="157" w:lineRule="exact"/>
              <w:rPr>
                <w:sz w:val="20"/>
                <w:szCs w:val="20"/>
                <w:color w:val="auto"/>
              </w:rPr>
            </w:pPr>
            <w:r>
              <w:rPr>
                <w:rFonts w:ascii="Arial" w:cs="Arial" w:eastAsia="Arial" w:hAnsi="Arial"/>
                <w:sz w:val="14"/>
                <w:szCs w:val="14"/>
                <w:color w:val="auto"/>
                <w:w w:val="94"/>
              </w:rPr>
              <w:t>Hardware, Storage &amp;</w:t>
            </w:r>
          </w:p>
        </w:tc>
        <w:tc>
          <w:tcPr>
            <w:tcW w:w="3800" w:type="dxa"/>
            <w:vAlign w:val="bottom"/>
          </w:tcPr>
          <w:p>
            <w:pPr>
              <w:ind w:left="80"/>
              <w:spacing w:after="0" w:line="157" w:lineRule="exact"/>
              <w:rPr>
                <w:sz w:val="20"/>
                <w:szCs w:val="20"/>
                <w:color w:val="auto"/>
              </w:rPr>
            </w:pPr>
            <w:r>
              <w:rPr>
                <w:rFonts w:ascii="Arial" w:cs="Arial" w:eastAsia="Arial" w:hAnsi="Arial"/>
                <w:sz w:val="14"/>
                <w:szCs w:val="14"/>
                <w:color w:val="auto"/>
              </w:rPr>
              <w:t>LIBOR+8.50%, 10.75% floor, 5.25% ETP, due 5/15/2012</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0"/>
              </w:rPr>
              <w:t>Peripherals</w:t>
            </w: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0"/>
                <w:szCs w:val="20"/>
                <w:color w:val="auto"/>
              </w:rPr>
            </w:pPr>
            <w:r>
              <w:rPr>
                <w:rFonts w:ascii="Arial" w:cs="Arial" w:eastAsia="Arial" w:hAnsi="Arial"/>
                <w:sz w:val="14"/>
                <w:szCs w:val="14"/>
                <w:color w:val="auto"/>
              </w:rPr>
              <w:t>RealWear, Inc.</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3"/>
              </w:rPr>
              <w:t>Technology</w:t>
            </w:r>
          </w:p>
        </w:tc>
        <w:tc>
          <w:tcPr>
            <w:tcW w:w="3800" w:type="dxa"/>
            <w:vAlign w:val="bottom"/>
          </w:tcPr>
          <w:p>
            <w:pPr>
              <w:ind w:left="80"/>
              <w:spacing w:after="0"/>
              <w:rPr>
                <w:sz w:val="20"/>
                <w:szCs w:val="20"/>
                <w:color w:val="auto"/>
              </w:rPr>
            </w:pPr>
            <w:r>
              <w:rPr>
                <w:rFonts w:ascii="Arial" w:cs="Arial" w:eastAsia="Arial" w:hAnsi="Arial"/>
                <w:sz w:val="14"/>
                <w:szCs w:val="14"/>
                <w:color w:val="auto"/>
              </w:rPr>
              <w:t>Tranche I: LIBOR+9.50%, 10.85% floor, 5% ETP, due</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440" w:type="dxa"/>
            <w:vAlign w:val="bottom"/>
          </w:tcPr>
          <w:p>
            <w:pPr>
              <w:jc w:val="center"/>
              <w:ind w:left="8"/>
              <w:spacing w:after="0" w:line="149" w:lineRule="exact"/>
              <w:rPr>
                <w:sz w:val="20"/>
                <w:szCs w:val="20"/>
                <w:color w:val="auto"/>
              </w:rPr>
            </w:pPr>
            <w:r>
              <w:rPr>
                <w:rFonts w:ascii="Arial" w:cs="Arial" w:eastAsia="Arial" w:hAnsi="Arial"/>
                <w:sz w:val="14"/>
                <w:szCs w:val="14"/>
                <w:color w:val="auto"/>
                <w:w w:val="94"/>
              </w:rPr>
              <w:t>Hardware, Storage &amp;</w:t>
            </w:r>
          </w:p>
        </w:tc>
        <w:tc>
          <w:tcPr>
            <w:tcW w:w="3800" w:type="dxa"/>
            <w:vAlign w:val="bottom"/>
          </w:tcPr>
          <w:p>
            <w:pPr>
              <w:ind w:left="80"/>
              <w:spacing w:after="0" w:line="149" w:lineRule="exact"/>
              <w:rPr>
                <w:sz w:val="20"/>
                <w:szCs w:val="20"/>
                <w:color w:val="auto"/>
              </w:rPr>
            </w:pPr>
            <w:r>
              <w:rPr>
                <w:rFonts w:ascii="Arial" w:cs="Arial" w:eastAsia="Arial" w:hAnsi="Arial"/>
                <w:sz w:val="14"/>
                <w:szCs w:val="14"/>
                <w:color w:val="auto"/>
              </w:rPr>
              <w:t>10/5/2021</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0"/>
              </w:rPr>
              <w:t>Peripherals</w:t>
            </w:r>
          </w:p>
        </w:tc>
        <w:tc>
          <w:tcPr>
            <w:tcW w:w="3800" w:type="dxa"/>
            <w:vAlign w:val="bottom"/>
            <w:vMerge w:val="restart"/>
          </w:tcPr>
          <w:p>
            <w:pPr>
              <w:ind w:left="80"/>
              <w:spacing w:after="0"/>
              <w:rPr>
                <w:sz w:val="20"/>
                <w:szCs w:val="20"/>
                <w:color w:val="auto"/>
              </w:rPr>
            </w:pPr>
            <w:r>
              <w:rPr>
                <w:rFonts w:ascii="Arial" w:cs="Arial" w:eastAsia="Arial" w:hAnsi="Arial"/>
                <w:sz w:val="14"/>
                <w:szCs w:val="14"/>
                <w:color w:val="auto"/>
              </w:rPr>
              <w:t>Tranche II; LIBOR+9.50%, 10.85% floor, 5% ETP, due</w:t>
            </w:r>
          </w:p>
        </w:tc>
        <w:tc>
          <w:tcPr>
            <w:tcW w:w="0" w:type="dxa"/>
            <w:vAlign w:val="bottom"/>
          </w:tcPr>
          <w:p>
            <w:pPr>
              <w:spacing w:after="0"/>
              <w:rPr>
                <w:sz w:val="1"/>
                <w:szCs w:val="1"/>
                <w:color w:val="auto"/>
              </w:rPr>
            </w:pPr>
          </w:p>
        </w:tc>
      </w:tr>
      <w:tr>
        <w:trPr>
          <w:trHeight w:val="115"/>
        </w:trPr>
        <w:tc>
          <w:tcPr>
            <w:tcW w:w="1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00" w:type="dxa"/>
            <w:vAlign w:val="bottom"/>
          </w:tcPr>
          <w:p>
            <w:pPr>
              <w:ind w:left="80"/>
              <w:spacing w:after="0"/>
              <w:rPr>
                <w:sz w:val="20"/>
                <w:szCs w:val="20"/>
                <w:color w:val="auto"/>
              </w:rPr>
            </w:pPr>
            <w:r>
              <w:rPr>
                <w:rFonts w:ascii="Arial" w:cs="Arial" w:eastAsia="Arial" w:hAnsi="Arial"/>
                <w:sz w:val="14"/>
                <w:szCs w:val="14"/>
                <w:color w:val="auto"/>
              </w:rPr>
              <w:t>10/5/2021</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14"/>
                <w:szCs w:val="14"/>
                <w:color w:val="auto"/>
              </w:rPr>
              <w:t>RedSeal, Inc.</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7"/>
              </w:rPr>
              <w:t>Application Software</w:t>
            </w:r>
          </w:p>
        </w:tc>
        <w:tc>
          <w:tcPr>
            <w:tcW w:w="3800" w:type="dxa"/>
            <w:vAlign w:val="bottom"/>
          </w:tcPr>
          <w:p>
            <w:pPr>
              <w:ind w:left="80"/>
              <w:spacing w:after="0"/>
              <w:rPr>
                <w:sz w:val="20"/>
                <w:szCs w:val="20"/>
                <w:color w:val="auto"/>
              </w:rPr>
            </w:pPr>
            <w:r>
              <w:rPr>
                <w:rFonts w:ascii="Arial" w:cs="Arial" w:eastAsia="Arial" w:hAnsi="Arial"/>
                <w:sz w:val="14"/>
                <w:szCs w:val="14"/>
                <w:color w:val="auto"/>
              </w:rPr>
              <w:t>LIBOR+9.50%, 11.00% floor, 5.25% ETP, due 12/15/2020</w:t>
            </w: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0"/>
                <w:szCs w:val="20"/>
                <w:color w:val="auto"/>
              </w:rPr>
            </w:pPr>
            <w:r>
              <w:rPr>
                <w:rFonts w:ascii="Arial" w:cs="Arial" w:eastAsia="Arial" w:hAnsi="Arial"/>
                <w:sz w:val="14"/>
                <w:szCs w:val="14"/>
                <w:color w:val="auto"/>
              </w:rPr>
              <w:t>ShareThis, Inc.</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3"/>
              </w:rPr>
              <w:t>Data Processing &amp;</w:t>
            </w:r>
          </w:p>
        </w:tc>
        <w:tc>
          <w:tcPr>
            <w:tcW w:w="3800" w:type="dxa"/>
            <w:vAlign w:val="bottom"/>
          </w:tcPr>
          <w:p>
            <w:pPr>
              <w:ind w:left="80"/>
              <w:spacing w:after="0"/>
              <w:rPr>
                <w:sz w:val="20"/>
                <w:szCs w:val="20"/>
                <w:color w:val="auto"/>
              </w:rPr>
            </w:pPr>
            <w:r>
              <w:rPr>
                <w:rFonts w:ascii="Arial" w:cs="Arial" w:eastAsia="Arial" w:hAnsi="Arial"/>
                <w:sz w:val="14"/>
                <w:szCs w:val="14"/>
                <w:color w:val="auto"/>
              </w:rPr>
              <w:t>LIBOR+9.25%, 11.65% floor, 4% ETP, due 5/15/2022</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2"/>
              </w:rPr>
              <w:t>Outsourced Services</w:t>
            </w: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0"/>
                <w:szCs w:val="20"/>
                <w:color w:val="auto"/>
              </w:rPr>
            </w:pPr>
            <w:r>
              <w:rPr>
                <w:rFonts w:ascii="Arial" w:cs="Arial" w:eastAsia="Arial" w:hAnsi="Arial"/>
                <w:sz w:val="14"/>
                <w:szCs w:val="14"/>
                <w:color w:val="auto"/>
              </w:rPr>
              <w:t>zSpace, Inc.</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3"/>
              </w:rPr>
              <w:t>Technology</w:t>
            </w:r>
          </w:p>
        </w:tc>
        <w:tc>
          <w:tcPr>
            <w:tcW w:w="3800" w:type="dxa"/>
            <w:vAlign w:val="bottom"/>
          </w:tcPr>
          <w:p>
            <w:pPr>
              <w:ind w:left="80"/>
              <w:spacing w:after="0"/>
              <w:rPr>
                <w:sz w:val="20"/>
                <w:szCs w:val="20"/>
                <w:color w:val="auto"/>
              </w:rPr>
            </w:pPr>
            <w:r>
              <w:rPr>
                <w:rFonts w:ascii="Arial" w:cs="Arial" w:eastAsia="Arial" w:hAnsi="Arial"/>
                <w:sz w:val="14"/>
                <w:szCs w:val="14"/>
                <w:color w:val="auto"/>
              </w:rPr>
              <w:t>LIBOR+10.50%, 12.00% floor, 5% ETP, due 12/29/2020</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440" w:type="dxa"/>
            <w:vAlign w:val="bottom"/>
          </w:tcPr>
          <w:p>
            <w:pPr>
              <w:jc w:val="center"/>
              <w:ind w:left="8"/>
              <w:spacing w:after="0" w:line="149" w:lineRule="exact"/>
              <w:rPr>
                <w:sz w:val="20"/>
                <w:szCs w:val="20"/>
                <w:color w:val="auto"/>
              </w:rPr>
            </w:pPr>
            <w:r>
              <w:rPr>
                <w:rFonts w:ascii="Arial" w:cs="Arial" w:eastAsia="Arial" w:hAnsi="Arial"/>
                <w:sz w:val="14"/>
                <w:szCs w:val="14"/>
                <w:color w:val="auto"/>
                <w:w w:val="94"/>
              </w:rPr>
              <w:t>Hardware, Storage &amp;</w:t>
            </w:r>
          </w:p>
        </w:tc>
        <w:tc>
          <w:tcPr>
            <w:tcW w:w="3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0"/>
              </w:rPr>
              <w:t>Peripherals</w:t>
            </w: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-3224530</wp:posOffset>
            </wp:positionV>
            <wp:extent cx="724662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-2941955</wp:posOffset>
            </wp:positionV>
            <wp:extent cx="7246620" cy="214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-2513330</wp:posOffset>
            </wp:positionV>
            <wp:extent cx="7246620"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-2084070</wp:posOffset>
            </wp:positionV>
            <wp:extent cx="7246620" cy="94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-1801495</wp:posOffset>
            </wp:positionV>
            <wp:extent cx="7246620"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-1423670</wp:posOffset>
            </wp:positionV>
            <wp:extent cx="724662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-1046480</wp:posOffset>
            </wp:positionV>
            <wp:extent cx="72466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-763270</wp:posOffset>
            </wp:positionV>
            <wp:extent cx="7246620" cy="94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24662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1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Total Senior Secured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102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Pr>
          <w:p>
            <w:pPr>
              <w:jc w:val="center"/>
              <w:ind w:right="8"/>
              <w:spacing w:after="0"/>
              <w:rPr>
                <w:sz w:val="20"/>
                <w:szCs w:val="20"/>
                <w:color w:val="auto"/>
              </w:rPr>
            </w:pPr>
            <w:r>
              <w:rPr>
                <w:rFonts w:ascii="Arial" w:cs="Arial" w:eastAsia="Arial" w:hAnsi="Arial"/>
                <w:sz w:val="14"/>
                <w:szCs w:val="14"/>
                <w:color w:val="auto"/>
                <w:w w:val="91"/>
              </w:rPr>
              <w:t>11/23/2018</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w w:val="97"/>
              </w:rPr>
              <w:t>$ 15,500,000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13,551,386</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13,551,386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8.10%</w:t>
            </w:r>
          </w:p>
        </w:tc>
      </w:tr>
      <w:tr>
        <w:trPr>
          <w:trHeight w:val="486"/>
        </w:trPr>
        <w:tc>
          <w:tcPr>
            <w:tcW w:w="720" w:type="dxa"/>
            <w:vAlign w:val="bottom"/>
          </w:tcPr>
          <w:p>
            <w:pPr>
              <w:jc w:val="center"/>
              <w:spacing w:after="0"/>
              <w:rPr>
                <w:sz w:val="20"/>
                <w:szCs w:val="20"/>
                <w:color w:val="auto"/>
              </w:rPr>
            </w:pPr>
            <w:r>
              <w:rPr>
                <w:rFonts w:ascii="Arial" w:cs="Arial" w:eastAsia="Arial" w:hAnsi="Arial"/>
                <w:sz w:val="14"/>
                <w:szCs w:val="14"/>
                <w:color w:val="auto"/>
                <w:w w:val="93"/>
              </w:rPr>
              <w:t>5/16/2017</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6,034,383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5,514,492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5,200,452</w:t>
            </w:r>
          </w:p>
        </w:tc>
        <w:tc>
          <w:tcPr>
            <w:tcW w:w="660" w:type="dxa"/>
            <w:vAlign w:val="bottom"/>
          </w:tcPr>
          <w:p>
            <w:pPr>
              <w:jc w:val="right"/>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4"/>
                <w:szCs w:val="24"/>
                <w:color w:val="auto"/>
              </w:rPr>
            </w:pPr>
          </w:p>
        </w:tc>
      </w:tr>
      <w:tr>
        <w:trPr>
          <w:trHeight w:val="338"/>
        </w:trPr>
        <w:tc>
          <w:tcPr>
            <w:tcW w:w="720" w:type="dxa"/>
            <w:vAlign w:val="bottom"/>
          </w:tcPr>
          <w:p>
            <w:pPr>
              <w:jc w:val="center"/>
              <w:ind w:right="8"/>
              <w:spacing w:after="0"/>
              <w:rPr>
                <w:sz w:val="20"/>
                <w:szCs w:val="20"/>
                <w:color w:val="auto"/>
              </w:rPr>
            </w:pPr>
            <w:r>
              <w:rPr>
                <w:rFonts w:ascii="Arial" w:cs="Arial" w:eastAsia="Arial" w:hAnsi="Arial"/>
                <w:sz w:val="14"/>
                <w:szCs w:val="14"/>
                <w:color w:val="auto"/>
                <w:w w:val="95"/>
              </w:rPr>
              <w:t>8/3/2017</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2,011,462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1,845,251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1,733,484</w:t>
            </w:r>
          </w:p>
        </w:tc>
        <w:tc>
          <w:tcPr>
            <w:tcW w:w="66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4"/>
                <w:szCs w:val="24"/>
                <w:color w:val="auto"/>
              </w:rPr>
            </w:pPr>
          </w:p>
        </w:tc>
      </w:tr>
      <w:tr>
        <w:trPr>
          <w:trHeight w:val="338"/>
        </w:trPr>
        <w:tc>
          <w:tcPr>
            <w:tcW w:w="720" w:type="dxa"/>
            <w:vAlign w:val="bottom"/>
          </w:tcPr>
          <w:p>
            <w:pPr>
              <w:jc w:val="center"/>
              <w:ind w:right="8"/>
              <w:spacing w:after="0"/>
              <w:rPr>
                <w:sz w:val="20"/>
                <w:szCs w:val="20"/>
                <w:color w:val="auto"/>
              </w:rPr>
            </w:pPr>
            <w:r>
              <w:rPr>
                <w:rFonts w:ascii="Arial" w:cs="Arial" w:eastAsia="Arial" w:hAnsi="Arial"/>
                <w:sz w:val="14"/>
                <w:szCs w:val="14"/>
                <w:color w:val="auto"/>
                <w:w w:val="95"/>
              </w:rPr>
              <w:t>7/6/2018</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502,357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465,516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432,933</w:t>
            </w:r>
          </w:p>
        </w:tc>
        <w:tc>
          <w:tcPr>
            <w:tcW w:w="660" w:type="dxa"/>
            <w:vAlign w:val="bottom"/>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24"/>
                <w:szCs w:val="24"/>
                <w:color w:val="auto"/>
              </w:rPr>
            </w:pPr>
          </w:p>
        </w:tc>
      </w:tr>
      <w:tr>
        <w:trPr>
          <w:trHeight w:val="338"/>
        </w:trPr>
        <w:tc>
          <w:tcPr>
            <w:tcW w:w="720" w:type="dxa"/>
            <w:vAlign w:val="bottom"/>
          </w:tcPr>
          <w:p>
            <w:pPr>
              <w:jc w:val="center"/>
              <w:ind w:right="8"/>
              <w:spacing w:after="0"/>
              <w:rPr>
                <w:sz w:val="20"/>
                <w:szCs w:val="20"/>
                <w:color w:val="auto"/>
              </w:rPr>
            </w:pPr>
            <w:r>
              <w:rPr>
                <w:rFonts w:ascii="Arial" w:cs="Arial" w:eastAsia="Arial" w:hAnsi="Arial"/>
                <w:sz w:val="14"/>
                <w:szCs w:val="14"/>
                <w:color w:val="auto"/>
                <w:w w:val="95"/>
              </w:rPr>
              <w:t>9/5/2018</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501,656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462,652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432,329</w:t>
            </w:r>
          </w:p>
        </w:tc>
        <w:tc>
          <w:tcPr>
            <w:tcW w:w="660" w:type="dxa"/>
            <w:vAlign w:val="bottom"/>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24"/>
                <w:szCs w:val="24"/>
                <w:color w:val="auto"/>
              </w:rPr>
            </w:pPr>
          </w:p>
        </w:tc>
      </w:tr>
      <w:tr>
        <w:trPr>
          <w:trHeight w:val="446"/>
        </w:trPr>
        <w:tc>
          <w:tcPr>
            <w:tcW w:w="720" w:type="dxa"/>
            <w:vAlign w:val="bottom"/>
          </w:tcPr>
          <w:p>
            <w:pPr>
              <w:jc w:val="center"/>
              <w:spacing w:after="0"/>
              <w:rPr>
                <w:sz w:val="20"/>
                <w:szCs w:val="20"/>
                <w:color w:val="auto"/>
              </w:rPr>
            </w:pPr>
            <w:r>
              <w:rPr>
                <w:rFonts w:ascii="Arial" w:cs="Arial" w:eastAsia="Arial" w:hAnsi="Arial"/>
                <w:sz w:val="14"/>
                <w:szCs w:val="14"/>
                <w:color w:val="auto"/>
                <w:w w:val="94"/>
              </w:rPr>
              <w:t>12/28/2018</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7,000,000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6,827,787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6,827,787</w:t>
            </w:r>
          </w:p>
        </w:tc>
        <w:tc>
          <w:tcPr>
            <w:tcW w:w="660" w:type="dxa"/>
            <w:vAlign w:val="bottom"/>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Pr>
          <w:p>
            <w:pPr>
              <w:spacing w:after="0"/>
              <w:rPr>
                <w:sz w:val="24"/>
                <w:szCs w:val="24"/>
                <w:color w:val="auto"/>
              </w:rPr>
            </w:pPr>
          </w:p>
        </w:tc>
      </w:tr>
      <w:tr>
        <w:trPr>
          <w:trHeight w:val="594"/>
        </w:trPr>
        <w:tc>
          <w:tcPr>
            <w:tcW w:w="720" w:type="dxa"/>
            <w:vAlign w:val="bottom"/>
          </w:tcPr>
          <w:p>
            <w:pPr>
              <w:jc w:val="center"/>
              <w:ind w:right="8"/>
              <w:spacing w:after="0"/>
              <w:rPr>
                <w:sz w:val="20"/>
                <w:szCs w:val="20"/>
                <w:color w:val="auto"/>
              </w:rPr>
            </w:pPr>
            <w:r>
              <w:rPr>
                <w:rFonts w:ascii="Arial" w:cs="Arial" w:eastAsia="Arial" w:hAnsi="Arial"/>
                <w:sz w:val="14"/>
                <w:szCs w:val="14"/>
                <w:color w:val="auto"/>
                <w:w w:val="91"/>
              </w:rPr>
              <w:t>11/27/2018</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r>
      <w:tr>
        <w:trPr>
          <w:trHeight w:val="594"/>
        </w:trPr>
        <w:tc>
          <w:tcPr>
            <w:tcW w:w="720" w:type="dxa"/>
            <w:vAlign w:val="bottom"/>
          </w:tcPr>
          <w:p>
            <w:pPr>
              <w:jc w:val="center"/>
              <w:spacing w:after="0"/>
              <w:rPr>
                <w:sz w:val="20"/>
                <w:szCs w:val="20"/>
                <w:color w:val="auto"/>
              </w:rPr>
            </w:pPr>
            <w:r>
              <w:rPr>
                <w:rFonts w:ascii="Arial" w:cs="Arial" w:eastAsia="Arial" w:hAnsi="Arial"/>
                <w:sz w:val="14"/>
                <w:szCs w:val="14"/>
                <w:color w:val="auto"/>
                <w:w w:val="93"/>
              </w:rPr>
              <w:t>10/5/2018</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4,854,551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4,832,563</w:t>
            </w:r>
          </w:p>
        </w:tc>
        <w:tc>
          <w:tcPr>
            <w:tcW w:w="660" w:type="dxa"/>
            <w:vAlign w:val="bottom"/>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4"/>
                <w:szCs w:val="24"/>
                <w:color w:val="auto"/>
              </w:rPr>
            </w:pPr>
          </w:p>
        </w:tc>
      </w:tr>
      <w:tr>
        <w:trPr>
          <w:trHeight w:val="297"/>
        </w:trPr>
        <w:tc>
          <w:tcPr>
            <w:tcW w:w="720" w:type="dxa"/>
            <w:vAlign w:val="bottom"/>
          </w:tcPr>
          <w:p>
            <w:pPr>
              <w:jc w:val="center"/>
              <w:spacing w:after="0"/>
              <w:rPr>
                <w:sz w:val="20"/>
                <w:szCs w:val="20"/>
                <w:color w:val="auto"/>
              </w:rPr>
            </w:pPr>
            <w:r>
              <w:rPr>
                <w:rFonts w:ascii="Arial" w:cs="Arial" w:eastAsia="Arial" w:hAnsi="Arial"/>
                <w:sz w:val="14"/>
                <w:szCs w:val="14"/>
                <w:color w:val="auto"/>
                <w:w w:val="94"/>
              </w:rPr>
              <w:t>12/28/2018</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965,139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966,513</w:t>
            </w:r>
          </w:p>
        </w:tc>
        <w:tc>
          <w:tcPr>
            <w:tcW w:w="660" w:type="dxa"/>
            <w:vAlign w:val="bottom"/>
          </w:tcPr>
          <w:p>
            <w:pPr>
              <w:jc w:val="right"/>
              <w:spacing w:after="0"/>
              <w:rPr>
                <w:sz w:val="20"/>
                <w:szCs w:val="20"/>
                <w:color w:val="auto"/>
              </w:rPr>
            </w:pPr>
            <w:r>
              <w:rPr>
                <w:rFonts w:ascii="Arial" w:cs="Arial" w:eastAsia="Arial" w:hAnsi="Arial"/>
                <w:sz w:val="14"/>
                <w:szCs w:val="14"/>
                <w:color w:val="auto"/>
              </w:rPr>
              <w:t>0.58</w:t>
            </w:r>
          </w:p>
        </w:tc>
        <w:tc>
          <w:tcPr>
            <w:tcW w:w="120" w:type="dxa"/>
            <w:vAlign w:val="bottom"/>
          </w:tcPr>
          <w:p>
            <w:pPr>
              <w:spacing w:after="0"/>
              <w:rPr>
                <w:sz w:val="24"/>
                <w:szCs w:val="24"/>
                <w:color w:val="auto"/>
              </w:rPr>
            </w:pPr>
          </w:p>
        </w:tc>
      </w:tr>
      <w:tr>
        <w:trPr>
          <w:trHeight w:val="297"/>
        </w:trPr>
        <w:tc>
          <w:tcPr>
            <w:tcW w:w="720" w:type="dxa"/>
            <w:vAlign w:val="bottom"/>
          </w:tcPr>
          <w:p>
            <w:pPr>
              <w:jc w:val="center"/>
              <w:spacing w:after="0"/>
              <w:rPr>
                <w:sz w:val="20"/>
                <w:szCs w:val="20"/>
                <w:color w:val="auto"/>
              </w:rPr>
            </w:pPr>
            <w:r>
              <w:rPr>
                <w:rFonts w:ascii="Arial" w:cs="Arial" w:eastAsia="Arial" w:hAnsi="Arial"/>
                <w:sz w:val="14"/>
                <w:szCs w:val="14"/>
                <w:color w:val="auto"/>
                <w:w w:val="94"/>
              </w:rPr>
              <w:t>12/15/2017</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15,000,000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15,123,353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15,123,353</w:t>
            </w:r>
          </w:p>
        </w:tc>
        <w:tc>
          <w:tcPr>
            <w:tcW w:w="660" w:type="dxa"/>
            <w:vAlign w:val="bottom"/>
          </w:tcPr>
          <w:p>
            <w:pPr>
              <w:jc w:val="right"/>
              <w:spacing w:after="0"/>
              <w:rPr>
                <w:sz w:val="20"/>
                <w:szCs w:val="20"/>
                <w:color w:val="auto"/>
              </w:rPr>
            </w:pPr>
            <w:r>
              <w:rPr>
                <w:rFonts w:ascii="Arial" w:cs="Arial" w:eastAsia="Arial" w:hAnsi="Arial"/>
                <w:sz w:val="14"/>
                <w:szCs w:val="14"/>
                <w:color w:val="auto"/>
              </w:rPr>
              <w:t>9.04</w:t>
            </w:r>
          </w:p>
        </w:tc>
        <w:tc>
          <w:tcPr>
            <w:tcW w:w="120" w:type="dxa"/>
            <w:vAlign w:val="bottom"/>
          </w:tcPr>
          <w:p>
            <w:pPr>
              <w:spacing w:after="0"/>
              <w:rPr>
                <w:sz w:val="24"/>
                <w:szCs w:val="24"/>
                <w:color w:val="auto"/>
              </w:rPr>
            </w:pPr>
          </w:p>
        </w:tc>
      </w:tr>
      <w:tr>
        <w:trPr>
          <w:trHeight w:val="446"/>
        </w:trPr>
        <w:tc>
          <w:tcPr>
            <w:tcW w:w="720" w:type="dxa"/>
            <w:vAlign w:val="bottom"/>
          </w:tcPr>
          <w:p>
            <w:pPr>
              <w:jc w:val="center"/>
              <w:spacing w:after="0"/>
              <w:rPr>
                <w:sz w:val="20"/>
                <w:szCs w:val="20"/>
                <w:color w:val="auto"/>
              </w:rPr>
            </w:pPr>
            <w:r>
              <w:rPr>
                <w:rFonts w:ascii="Arial" w:cs="Arial" w:eastAsia="Arial" w:hAnsi="Arial"/>
                <w:sz w:val="14"/>
                <w:szCs w:val="14"/>
                <w:color w:val="auto"/>
                <w:w w:val="93"/>
              </w:rPr>
              <w:t>12/3/2018</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19,250,000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17,568,105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17,567,923</w:t>
            </w:r>
          </w:p>
        </w:tc>
        <w:tc>
          <w:tcPr>
            <w:tcW w:w="660" w:type="dxa"/>
            <w:vAlign w:val="bottom"/>
          </w:tcPr>
          <w:p>
            <w:pPr>
              <w:jc w:val="right"/>
              <w:spacing w:after="0"/>
              <w:rPr>
                <w:sz w:val="20"/>
                <w:szCs w:val="20"/>
                <w:color w:val="auto"/>
              </w:rPr>
            </w:pPr>
            <w:r>
              <w:rPr>
                <w:rFonts w:ascii="Arial" w:cs="Arial" w:eastAsia="Arial" w:hAnsi="Arial"/>
                <w:sz w:val="14"/>
                <w:szCs w:val="14"/>
                <w:color w:val="auto"/>
              </w:rPr>
              <w:t>10.50</w:t>
            </w:r>
          </w:p>
        </w:tc>
        <w:tc>
          <w:tcPr>
            <w:tcW w:w="120" w:type="dxa"/>
            <w:vAlign w:val="bottom"/>
          </w:tcPr>
          <w:p>
            <w:pPr>
              <w:spacing w:after="0"/>
              <w:rPr>
                <w:sz w:val="24"/>
                <w:szCs w:val="24"/>
                <w:color w:val="auto"/>
              </w:rPr>
            </w:pPr>
          </w:p>
        </w:tc>
      </w:tr>
      <w:tr>
        <w:trPr>
          <w:trHeight w:val="593"/>
        </w:trPr>
        <w:tc>
          <w:tcPr>
            <w:tcW w:w="720" w:type="dxa"/>
            <w:vAlign w:val="bottom"/>
          </w:tcPr>
          <w:p>
            <w:pPr>
              <w:jc w:val="center"/>
              <w:spacing w:after="0"/>
              <w:rPr>
                <w:sz w:val="20"/>
                <w:szCs w:val="20"/>
                <w:color w:val="auto"/>
              </w:rPr>
            </w:pPr>
            <w:r>
              <w:rPr>
                <w:rFonts w:ascii="Arial" w:cs="Arial" w:eastAsia="Arial" w:hAnsi="Arial"/>
                <w:sz w:val="14"/>
                <w:szCs w:val="14"/>
                <w:color w:val="auto"/>
                <w:w w:val="94"/>
              </w:rPr>
              <w:t>12/29/2017</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9,682,603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9,593,890</w:t>
            </w:r>
          </w:p>
        </w:tc>
        <w:tc>
          <w:tcPr>
            <w:tcW w:w="660" w:type="dxa"/>
            <w:vAlign w:val="bottom"/>
          </w:tcPr>
          <w:p>
            <w:pPr>
              <w:jc w:val="right"/>
              <w:spacing w:after="0"/>
              <w:rPr>
                <w:sz w:val="20"/>
                <w:szCs w:val="20"/>
                <w:color w:val="auto"/>
              </w:rPr>
            </w:pPr>
            <w:r>
              <w:rPr>
                <w:rFonts w:ascii="Arial" w:cs="Arial" w:eastAsia="Arial" w:hAnsi="Arial"/>
                <w:sz w:val="14"/>
                <w:szCs w:val="14"/>
                <w:color w:val="auto"/>
              </w:rPr>
              <w:t>5.73</w:t>
            </w:r>
          </w:p>
        </w:tc>
        <w:tc>
          <w:tcPr>
            <w:tcW w:w="12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208,588,381</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208,539,353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124.61%</w:t>
            </w: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6560" w:space="180"/>
            <w:col w:w="4680"/>
          </w:cols>
          <w:pgMar w:left="240" w:top="904"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3"/>
              </w:rPr>
              <w:t>Portfolio Companies</w:t>
            </w:r>
          </w:p>
        </w:tc>
        <w:tc>
          <w:tcPr>
            <w:tcW w:w="120" w:type="dxa"/>
            <w:vAlign w:val="bottom"/>
            <w:vMerge w:val="restart"/>
          </w:tcPr>
          <w:p>
            <w:pPr>
              <w:spacing w:after="0"/>
              <w:rPr>
                <w:sz w:val="14"/>
                <w:szCs w:val="14"/>
                <w:color w:val="auto"/>
              </w:rPr>
            </w:pPr>
          </w:p>
        </w:tc>
        <w:tc>
          <w:tcPr>
            <w:tcW w:w="13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Sub-Industry</w:t>
            </w:r>
          </w:p>
        </w:tc>
        <w:tc>
          <w:tcPr>
            <w:tcW w:w="100" w:type="dxa"/>
            <w:vAlign w:val="bottom"/>
            <w:vMerge w:val="restart"/>
          </w:tcPr>
          <w:p>
            <w:pPr>
              <w:spacing w:after="0"/>
              <w:rPr>
                <w:sz w:val="14"/>
                <w:szCs w:val="14"/>
                <w:color w:val="auto"/>
              </w:rPr>
            </w:pPr>
          </w:p>
        </w:tc>
        <w:tc>
          <w:tcPr>
            <w:tcW w:w="396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 xml:space="preserve">Investment Description </w:t>
            </w:r>
            <w:r>
              <w:rPr>
                <w:rFonts w:ascii="Arial" w:cs="Arial" w:eastAsia="Arial" w:hAnsi="Arial"/>
                <w:sz w:val="23"/>
                <w:szCs w:val="23"/>
                <w:b w:val="1"/>
                <w:bCs w:val="1"/>
                <w:color w:val="auto"/>
                <w:vertAlign w:val="superscript"/>
              </w:rPr>
              <w:t>(5), (6)</w:t>
            </w:r>
          </w:p>
        </w:tc>
        <w:tc>
          <w:tcPr>
            <w:tcW w:w="100" w:type="dxa"/>
            <w:vAlign w:val="bottom"/>
            <w:vMerge w:val="restart"/>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Acquisition</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Principal/</w:t>
            </w:r>
          </w:p>
        </w:tc>
        <w:tc>
          <w:tcPr>
            <w:tcW w:w="6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4"/>
                <w:szCs w:val="14"/>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23"/>
                <w:szCs w:val="23"/>
                <w:b w:val="1"/>
                <w:bCs w:val="1"/>
                <w:color w:val="auto"/>
                <w:vertAlign w:val="superscript"/>
              </w:rPr>
              <w:t>(2)</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13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9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Non-control/non-affiliate investments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Preferred Stock</w:t>
            </w:r>
          </w:p>
        </w:tc>
        <w:tc>
          <w:tcPr>
            <w:tcW w:w="1480" w:type="dxa"/>
            <w:vAlign w:val="bottom"/>
            <w:shd w:val="clear" w:color="auto" w:fill="CCEEFF"/>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Aria Systems, Inc.</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Application Software</w:t>
            </w:r>
          </w:p>
        </w:tc>
        <w:tc>
          <w:tcPr>
            <w:tcW w:w="40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Series G Preferred Stock</w:t>
            </w: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7/10/2018</w:t>
            </w:r>
          </w:p>
        </w:tc>
        <w:tc>
          <w:tcPr>
            <w:tcW w:w="8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289,419</w:t>
            </w: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  250,000</w:t>
            </w:r>
          </w:p>
        </w:tc>
        <w:tc>
          <w:tcPr>
            <w:tcW w:w="2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461,826</w:t>
            </w:r>
          </w:p>
        </w:tc>
        <w:tc>
          <w:tcPr>
            <w:tcW w:w="7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90"/>
              </w:rPr>
              <w:t>0.28%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 xml:space="preserve">Warrants </w:t>
            </w:r>
            <w:r>
              <w:rPr>
                <w:rFonts w:ascii="Arial" w:cs="Arial" w:eastAsia="Arial" w:hAnsi="Arial"/>
                <w:sz w:val="21"/>
                <w:szCs w:val="21"/>
                <w:b w:val="1"/>
                <w:bCs w:val="1"/>
                <w:color w:val="auto"/>
                <w:vertAlign w:val="superscript"/>
              </w:rPr>
              <w:t>(8)</w:t>
            </w:r>
          </w:p>
        </w:tc>
        <w:tc>
          <w:tcPr>
            <w:tcW w:w="1480" w:type="dxa"/>
            <w:vAlign w:val="bottom"/>
            <w:shd w:val="clear" w:color="auto" w:fill="CCEEFF"/>
          </w:tcPr>
          <w:p>
            <w:pPr>
              <w:spacing w:after="0"/>
              <w:rPr>
                <w:sz w:val="16"/>
                <w:szCs w:val="16"/>
                <w:color w:val="auto"/>
              </w:rPr>
            </w:pPr>
          </w:p>
        </w:tc>
        <w:tc>
          <w:tcPr>
            <w:tcW w:w="40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Aginity, Inc.</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Application Software</w:t>
            </w:r>
          </w:p>
        </w:tc>
        <w:tc>
          <w:tcPr>
            <w:tcW w:w="40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Warrant for Series A Preferred Stock, exercise price $1.949/share,</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expires 5/25/2028</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5/25/2018</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359,158</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167,727</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154,346</w:t>
            </w:r>
          </w:p>
        </w:tc>
        <w:tc>
          <w:tcPr>
            <w:tcW w:w="7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AllClear ID, Inc.</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Education Services</w:t>
            </w:r>
          </w:p>
        </w:tc>
        <w:tc>
          <w:tcPr>
            <w:tcW w:w="40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Common Stock, exercise price $0.01/share, expires</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9/1/2027</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9/1/2017</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870,514</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1,749,733</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99"/>
              </w:rPr>
              <w:t>1,176,700</w:t>
            </w:r>
          </w:p>
        </w:tc>
        <w:tc>
          <w:tcPr>
            <w:tcW w:w="7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Aria Systems, Inc.</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Application Software</w:t>
            </w:r>
          </w:p>
        </w:tc>
        <w:tc>
          <w:tcPr>
            <w:tcW w:w="40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4"/>
              </w:rPr>
              <w:t>Warrant for Series G-Preferred Stock, exercise price $0.8638/share,</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expires 6/29/2028</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6/29/2018</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2,170,641</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770,578</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99"/>
              </w:rPr>
              <w:t>1,827,680</w:t>
            </w:r>
          </w:p>
        </w:tc>
        <w:tc>
          <w:tcPr>
            <w:tcW w:w="7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Aspen Group Inc.</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Education Services</w:t>
            </w:r>
          </w:p>
        </w:tc>
        <w:tc>
          <w:tcPr>
            <w:tcW w:w="40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Common Stock, exercise price $6.87/share, expires</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7/25/2022</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7/25/2017</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224,174</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583,301</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593,000</w:t>
            </w:r>
          </w:p>
        </w:tc>
        <w:tc>
          <w:tcPr>
            <w:tcW w:w="7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CareCloud</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Healthcare Technology</w:t>
            </w:r>
          </w:p>
        </w:tc>
        <w:tc>
          <w:tcPr>
            <w:tcW w:w="40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4"/>
              </w:rPr>
              <w:t>Warrant for Series C Preferred Stock, exercise price $1.2035/share,</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480" w:type="dxa"/>
            <w:vAlign w:val="bottom"/>
            <w:shd w:val="clear" w:color="auto" w:fill="CCEEFF"/>
          </w:tcPr>
          <w:p>
            <w:pPr>
              <w:spacing w:after="0"/>
              <w:rPr>
                <w:sz w:val="14"/>
                <w:szCs w:val="14"/>
                <w:color w:val="auto"/>
              </w:rPr>
            </w:pPr>
          </w:p>
        </w:tc>
        <w:tc>
          <w:tcPr>
            <w:tcW w:w="4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expires 6/19/2025</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6/19/2018</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1,557,956</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394,163</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364,562</w:t>
            </w:r>
          </w:p>
        </w:tc>
        <w:tc>
          <w:tcPr>
            <w:tcW w:w="7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Circadence Corp.</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Application Software</w:t>
            </w:r>
          </w:p>
        </w:tc>
        <w:tc>
          <w:tcPr>
            <w:tcW w:w="40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5"/>
              </w:rPr>
              <w:t>Warrant for Series A-5 Preferred Stock, exercise price $1.08/share,</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expires 12/20/2028</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12/20/2018</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1,666,667</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3,630,000</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99"/>
              </w:rPr>
              <w:t>3,630,000</w:t>
            </w:r>
          </w:p>
        </w:tc>
        <w:tc>
          <w:tcPr>
            <w:tcW w:w="7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Drawbridge, Inc.</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Data Processing &amp;</w:t>
            </w:r>
          </w:p>
        </w:tc>
        <w:tc>
          <w:tcPr>
            <w:tcW w:w="40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4"/>
              </w:rPr>
              <w:t>Warrant for Series C Preferred Stock, exercise price $2.2595/share,</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Outsourced Services</w:t>
            </w:r>
          </w:p>
        </w:tc>
        <w:tc>
          <w:tcPr>
            <w:tcW w:w="4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expires 10/22/2028</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10/22/2018</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663,864</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406,285</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429,520</w:t>
            </w:r>
          </w:p>
        </w:tc>
        <w:tc>
          <w:tcPr>
            <w:tcW w:w="7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w w:val="99"/>
              </w:rPr>
              <w:t>Dtex Systems, Inc.</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Application Software</w:t>
            </w:r>
          </w:p>
        </w:tc>
        <w:tc>
          <w:tcPr>
            <w:tcW w:w="40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Warrant for Series C Preferred Stock, exercise price $0.600/share,</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expires 6/1/2025</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6/1/2018</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500,000</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59,000</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56,000</w:t>
            </w:r>
          </w:p>
        </w:tc>
        <w:tc>
          <w:tcPr>
            <w:tcW w:w="7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eSilicon</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Semiconductors</w:t>
            </w:r>
          </w:p>
        </w:tc>
        <w:tc>
          <w:tcPr>
            <w:tcW w:w="40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8"/>
              </w:rPr>
              <w:t>Warrant for Series H Preferred Stock, exercise price $1.01/share,</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480" w:type="dxa"/>
            <w:vAlign w:val="bottom"/>
            <w:shd w:val="clear" w:color="auto" w:fill="CCEEFF"/>
          </w:tcPr>
          <w:p>
            <w:pPr>
              <w:spacing w:after="0"/>
              <w:rPr>
                <w:sz w:val="14"/>
                <w:szCs w:val="14"/>
                <w:color w:val="auto"/>
              </w:rPr>
            </w:pPr>
          </w:p>
        </w:tc>
        <w:tc>
          <w:tcPr>
            <w:tcW w:w="4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expires 7/31/2027</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7/31/2017</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1,485,149</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543,564</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99"/>
              </w:rPr>
              <w:t>1,005,446</w:t>
            </w:r>
          </w:p>
        </w:tc>
        <w:tc>
          <w:tcPr>
            <w:tcW w:w="7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Jibe, Inc.</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Application Software</w:t>
            </w:r>
          </w:p>
        </w:tc>
        <w:tc>
          <w:tcPr>
            <w:tcW w:w="40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Warrant for Series C Preferred Stock, exercise price $2.265/share,</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expires 6/7/2028</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6/7/2018</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247,242</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40,795</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35,603</w:t>
            </w:r>
          </w:p>
        </w:tc>
        <w:tc>
          <w:tcPr>
            <w:tcW w:w="7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4"/>
              </w:rPr>
              <w:t>Portfolio Companies</w:t>
            </w:r>
          </w:p>
        </w:tc>
        <w:tc>
          <w:tcPr>
            <w:tcW w:w="100" w:type="dxa"/>
            <w:vAlign w:val="bottom"/>
            <w:vMerge w:val="restart"/>
          </w:tcPr>
          <w:p>
            <w:pPr>
              <w:spacing w:after="0"/>
              <w:rPr>
                <w:sz w:val="14"/>
                <w:szCs w:val="14"/>
                <w:color w:val="auto"/>
              </w:rPr>
            </w:pPr>
          </w:p>
        </w:tc>
        <w:tc>
          <w:tcPr>
            <w:tcW w:w="1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Sub-Industry</w:t>
            </w:r>
          </w:p>
        </w:tc>
        <w:tc>
          <w:tcPr>
            <w:tcW w:w="100" w:type="dxa"/>
            <w:vAlign w:val="bottom"/>
            <w:vMerge w:val="restart"/>
          </w:tcPr>
          <w:p>
            <w:pPr>
              <w:spacing w:after="0"/>
              <w:rPr>
                <w:sz w:val="14"/>
                <w:szCs w:val="14"/>
                <w:color w:val="auto"/>
              </w:rPr>
            </w:pPr>
          </w:p>
        </w:tc>
        <w:tc>
          <w:tcPr>
            <w:tcW w:w="396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 xml:space="preserve">Investment Description </w:t>
            </w:r>
            <w:r>
              <w:rPr>
                <w:rFonts w:ascii="Arial" w:cs="Arial" w:eastAsia="Arial" w:hAnsi="Arial"/>
                <w:sz w:val="23"/>
                <w:szCs w:val="23"/>
                <w:b w:val="1"/>
                <w:bCs w:val="1"/>
                <w:color w:val="auto"/>
                <w:vertAlign w:val="superscript"/>
              </w:rPr>
              <w:t>(5), (6)</w:t>
            </w:r>
          </w:p>
        </w:tc>
        <w:tc>
          <w:tcPr>
            <w:tcW w:w="100" w:type="dxa"/>
            <w:vAlign w:val="bottom"/>
            <w:vMerge w:val="restart"/>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Acquisition</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Principal/</w:t>
            </w:r>
          </w:p>
        </w:tc>
        <w:tc>
          <w:tcPr>
            <w:tcW w:w="6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4"/>
                <w:szCs w:val="14"/>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23"/>
                <w:szCs w:val="23"/>
                <w:b w:val="1"/>
                <w:bCs w:val="1"/>
                <w:color w:val="auto"/>
                <w:vertAlign w:val="superscript"/>
              </w:rPr>
              <w:t>(2)</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13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9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Non-control/non-affiliate investments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94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Warrants </w:t>
      </w:r>
      <w:r>
        <w:rPr>
          <w:rFonts w:ascii="Arial" w:cs="Arial" w:eastAsia="Arial" w:hAnsi="Arial"/>
          <w:sz w:val="23"/>
          <w:szCs w:val="23"/>
          <w:b w:val="1"/>
          <w:bCs w:val="1"/>
          <w:color w:val="auto"/>
          <w:vertAlign w:val="superscript"/>
        </w:rPr>
        <w:t>(8)</w:t>
      </w:r>
      <w:r>
        <w:rPr>
          <w:rFonts w:ascii="Arial" w:cs="Arial" w:eastAsia="Arial" w:hAnsi="Arial"/>
          <w:sz w:val="14"/>
          <w:szCs w:val="14"/>
          <w:b w:val="1"/>
          <w:bCs w:val="1"/>
          <w:color w:val="auto"/>
        </w:rPr>
        <w:t xml:space="preserv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MingleHealth Care</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Healthcare</w:t>
            </w:r>
          </w:p>
        </w:tc>
        <w:tc>
          <w:tcPr>
            <w:tcW w:w="40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6"/>
              </w:rPr>
              <w:t>Warrant for Series AA Preferred Stock, exercise price $0.24/share,</w:t>
            </w:r>
          </w:p>
        </w:tc>
        <w:tc>
          <w:tcPr>
            <w:tcW w:w="8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7"/>
        </w:trPr>
        <w:tc>
          <w:tcPr>
            <w:tcW w:w="1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Solutions, Inc.</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Technology</w:t>
            </w:r>
          </w:p>
        </w:tc>
        <w:tc>
          <w:tcPr>
            <w:tcW w:w="40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expires 8/15/2028</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8/15/2018</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1,625,000</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492,375</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471,913</w:t>
            </w:r>
          </w:p>
        </w:tc>
        <w:tc>
          <w:tcPr>
            <w:tcW w:w="70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0"/>
              </w:rPr>
              <w:t>0.28%</w:t>
            </w:r>
          </w:p>
        </w:tc>
      </w:tr>
      <w:tr>
        <w:trPr>
          <w:trHeight w:val="149"/>
        </w:trPr>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30"/>
        </w:trPr>
        <w:tc>
          <w:tcPr>
            <w:tcW w:w="14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Mobius Imaging,</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Healthcare</w:t>
            </w:r>
          </w:p>
        </w:tc>
        <w:tc>
          <w:tcPr>
            <w:tcW w:w="40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7"/>
              </w:rPr>
              <w:t>Warrant for next round security exercise price $136/share, expires</w:t>
            </w:r>
          </w:p>
        </w:tc>
        <w:tc>
          <w:tcPr>
            <w:tcW w:w="8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67"/>
        </w:trPr>
        <w:tc>
          <w:tcPr>
            <w:tcW w:w="1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LLC</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Technology</w:t>
            </w:r>
          </w:p>
        </w:tc>
        <w:tc>
          <w:tcPr>
            <w:tcW w:w="4080" w:type="dxa"/>
            <w:vAlign w:val="bottom"/>
            <w:shd w:val="clear" w:color="auto" w:fill="CCEEFF"/>
          </w:tcPr>
          <w:p>
            <w:pPr>
              <w:ind w:left="60"/>
              <w:spacing w:after="0"/>
              <w:rPr>
                <w:sz w:val="20"/>
                <w:szCs w:val="20"/>
                <w:color w:val="auto"/>
              </w:rPr>
            </w:pPr>
            <w:r>
              <w:rPr>
                <w:rFonts w:ascii="Arial" w:cs="Arial" w:eastAsia="Arial" w:hAnsi="Arial"/>
                <w:sz w:val="14"/>
                <w:szCs w:val="14"/>
                <w:color w:val="auto"/>
              </w:rPr>
              <w:t>11/23/2028</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11/23/2018</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7,123</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1,820,000</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99"/>
              </w:rPr>
              <w:t>1,820,000</w:t>
            </w:r>
          </w:p>
        </w:tc>
        <w:tc>
          <w:tcPr>
            <w:tcW w:w="7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1.09</w:t>
            </w:r>
          </w:p>
        </w:tc>
      </w:tr>
      <w:tr>
        <w:trPr>
          <w:trHeight w:val="149"/>
        </w:trPr>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0"/>
        </w:trPr>
        <w:tc>
          <w:tcPr>
            <w:tcW w:w="140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Mojix, Inc.</w:t>
            </w:r>
          </w:p>
        </w:tc>
        <w:tc>
          <w:tcPr>
            <w:tcW w:w="1440" w:type="dxa"/>
            <w:vAlign w:val="bottom"/>
            <w:shd w:val="clear" w:color="auto" w:fill="CCEEFF"/>
          </w:tcPr>
          <w:p>
            <w:pPr>
              <w:jc w:val="center"/>
              <w:spacing w:after="0" w:line="140" w:lineRule="exact"/>
              <w:rPr>
                <w:sz w:val="20"/>
                <w:szCs w:val="20"/>
                <w:color w:val="auto"/>
              </w:rPr>
            </w:pPr>
            <w:r>
              <w:rPr>
                <w:rFonts w:ascii="Arial" w:cs="Arial" w:eastAsia="Arial" w:hAnsi="Arial"/>
                <w:sz w:val="14"/>
                <w:szCs w:val="14"/>
                <w:color w:val="auto"/>
                <w:w w:val="95"/>
              </w:rPr>
              <w:t>Application Software</w:t>
            </w:r>
          </w:p>
        </w:tc>
        <w:tc>
          <w:tcPr>
            <w:tcW w:w="4080" w:type="dxa"/>
            <w:vAlign w:val="bottom"/>
            <w:shd w:val="clear" w:color="auto" w:fill="CCEEFF"/>
          </w:tcPr>
          <w:p>
            <w:pPr>
              <w:ind w:left="60"/>
              <w:spacing w:after="0" w:line="140" w:lineRule="exact"/>
              <w:rPr>
                <w:sz w:val="20"/>
                <w:szCs w:val="20"/>
                <w:color w:val="auto"/>
              </w:rPr>
            </w:pPr>
            <w:r>
              <w:rPr>
                <w:rFonts w:ascii="Arial" w:cs="Arial" w:eastAsia="Arial" w:hAnsi="Arial"/>
                <w:sz w:val="14"/>
                <w:szCs w:val="14"/>
                <w:color w:val="auto"/>
              </w:rPr>
              <w:t>Warrant for Common Stock exercise price $10.64/share, expires</w:t>
            </w: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98"/>
        </w:trPr>
        <w:tc>
          <w:tcPr>
            <w:tcW w:w="14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080" w:type="dxa"/>
            <w:vAlign w:val="bottom"/>
            <w:shd w:val="clear" w:color="auto" w:fill="CCEEFF"/>
          </w:tcPr>
          <w:p>
            <w:pPr>
              <w:ind w:left="60"/>
              <w:spacing w:after="0" w:line="198" w:lineRule="exact"/>
              <w:rPr>
                <w:sz w:val="20"/>
                <w:szCs w:val="20"/>
                <w:color w:val="auto"/>
              </w:rPr>
            </w:pPr>
            <w:r>
              <w:rPr>
                <w:rFonts w:ascii="Arial" w:cs="Arial" w:eastAsia="Arial" w:hAnsi="Arial"/>
                <w:sz w:val="14"/>
                <w:szCs w:val="14"/>
                <w:color w:val="auto"/>
              </w:rPr>
              <w:t>5/16/2027</w:t>
            </w:r>
            <w:r>
              <w:rPr>
                <w:rFonts w:ascii="Arial" w:cs="Arial" w:eastAsia="Arial" w:hAnsi="Arial"/>
                <w:sz w:val="22"/>
                <w:szCs w:val="22"/>
                <w:color w:val="auto"/>
                <w:vertAlign w:val="superscript"/>
              </w:rPr>
              <w:t>(9),(10)</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5/16/2017</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164,427</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417,645</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0.00</w:t>
            </w:r>
          </w:p>
        </w:tc>
      </w:tr>
      <w:tr>
        <w:trPr>
          <w:trHeight w:val="140"/>
        </w:trPr>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80" w:type="dxa"/>
            <w:vAlign w:val="bottom"/>
          </w:tcPr>
          <w:p>
            <w:pPr>
              <w:ind w:left="60"/>
              <w:spacing w:after="0" w:line="140" w:lineRule="exact"/>
              <w:rPr>
                <w:sz w:val="20"/>
                <w:szCs w:val="20"/>
                <w:color w:val="auto"/>
              </w:rPr>
            </w:pPr>
            <w:r>
              <w:rPr>
                <w:rFonts w:ascii="Arial" w:cs="Arial" w:eastAsia="Arial" w:hAnsi="Arial"/>
                <w:sz w:val="14"/>
                <w:szCs w:val="14"/>
                <w:color w:val="auto"/>
              </w:rPr>
              <w:t>Warrant for Series 1 Preferred Stock exercise price $0.28/share,</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98"/>
        </w:trPr>
        <w:tc>
          <w:tcPr>
            <w:tcW w:w="1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80" w:type="dxa"/>
            <w:vAlign w:val="bottom"/>
          </w:tcPr>
          <w:p>
            <w:pPr>
              <w:ind w:left="60"/>
              <w:spacing w:after="0" w:line="198" w:lineRule="exact"/>
              <w:rPr>
                <w:sz w:val="20"/>
                <w:szCs w:val="20"/>
                <w:color w:val="auto"/>
              </w:rPr>
            </w:pPr>
            <w:r>
              <w:rPr>
                <w:rFonts w:ascii="Arial" w:cs="Arial" w:eastAsia="Arial" w:hAnsi="Arial"/>
                <w:sz w:val="14"/>
                <w:szCs w:val="14"/>
                <w:color w:val="auto"/>
              </w:rPr>
              <w:t>expires 12/20/2028</w:t>
            </w:r>
            <w:r>
              <w:rPr>
                <w:rFonts w:ascii="Arial" w:cs="Arial" w:eastAsia="Arial" w:hAnsi="Arial"/>
                <w:sz w:val="22"/>
                <w:szCs w:val="22"/>
                <w:color w:val="auto"/>
                <w:vertAlign w:val="superscript"/>
              </w:rPr>
              <w:t>(9),(10)</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12/20/2018</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7,176,973</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806,991</w:t>
            </w:r>
          </w:p>
        </w:tc>
        <w:tc>
          <w:tcPr>
            <w:tcW w:w="280" w:type="dxa"/>
            <w:vAlign w:val="bottom"/>
          </w:tcPr>
          <w:p>
            <w:pPr>
              <w:spacing w:after="0"/>
              <w:rPr>
                <w:sz w:val="17"/>
                <w:szCs w:val="17"/>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798,389</w:t>
            </w:r>
          </w:p>
        </w:tc>
        <w:tc>
          <w:tcPr>
            <w:tcW w:w="700" w:type="dxa"/>
            <w:vAlign w:val="bottom"/>
          </w:tcPr>
          <w:p>
            <w:pPr>
              <w:ind w:left="320"/>
              <w:spacing w:after="0"/>
              <w:rPr>
                <w:sz w:val="20"/>
                <w:szCs w:val="20"/>
                <w:color w:val="auto"/>
              </w:rPr>
            </w:pPr>
            <w:r>
              <w:rPr>
                <w:rFonts w:ascii="Arial" w:cs="Arial" w:eastAsia="Arial" w:hAnsi="Arial"/>
                <w:sz w:val="14"/>
                <w:szCs w:val="14"/>
                <w:color w:val="auto"/>
              </w:rPr>
              <w:t>0.48</w:t>
            </w:r>
          </w:p>
        </w:tc>
      </w:tr>
      <w:tr>
        <w:trPr>
          <w:trHeight w:val="149"/>
        </w:trPr>
        <w:tc>
          <w:tcPr>
            <w:tcW w:w="14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30"/>
        </w:trPr>
        <w:tc>
          <w:tcPr>
            <w:tcW w:w="1400" w:type="dxa"/>
            <w:vAlign w:val="bottom"/>
          </w:tcPr>
          <w:p>
            <w:pPr>
              <w:ind w:left="180"/>
              <w:spacing w:after="0" w:line="130" w:lineRule="exact"/>
              <w:rPr>
                <w:sz w:val="20"/>
                <w:szCs w:val="20"/>
                <w:color w:val="auto"/>
              </w:rPr>
            </w:pPr>
            <w:r>
              <w:rPr>
                <w:rFonts w:ascii="Arial" w:cs="Arial" w:eastAsia="Arial" w:hAnsi="Arial"/>
                <w:sz w:val="14"/>
                <w:szCs w:val="14"/>
                <w:color w:val="auto"/>
              </w:rPr>
              <w:t>3DNA Corp. (dba</w:t>
            </w:r>
          </w:p>
        </w:tc>
        <w:tc>
          <w:tcPr>
            <w:tcW w:w="1440" w:type="dxa"/>
            <w:vAlign w:val="bottom"/>
          </w:tcPr>
          <w:p>
            <w:pPr>
              <w:jc w:val="center"/>
              <w:spacing w:after="0" w:line="130" w:lineRule="exact"/>
              <w:rPr>
                <w:sz w:val="20"/>
                <w:szCs w:val="20"/>
                <w:color w:val="auto"/>
              </w:rPr>
            </w:pPr>
            <w:r>
              <w:rPr>
                <w:rFonts w:ascii="Arial" w:cs="Arial" w:eastAsia="Arial" w:hAnsi="Arial"/>
                <w:sz w:val="14"/>
                <w:szCs w:val="14"/>
                <w:color w:val="auto"/>
                <w:w w:val="95"/>
              </w:rPr>
              <w:t>Application Software</w:t>
            </w:r>
          </w:p>
        </w:tc>
        <w:tc>
          <w:tcPr>
            <w:tcW w:w="4080" w:type="dxa"/>
            <w:vAlign w:val="bottom"/>
          </w:tcPr>
          <w:p>
            <w:pPr>
              <w:ind w:left="60"/>
              <w:spacing w:after="0" w:line="130" w:lineRule="exact"/>
              <w:rPr>
                <w:sz w:val="20"/>
                <w:szCs w:val="20"/>
                <w:color w:val="auto"/>
              </w:rPr>
            </w:pPr>
            <w:r>
              <w:rPr>
                <w:rFonts w:ascii="Arial" w:cs="Arial" w:eastAsia="Arial" w:hAnsi="Arial"/>
                <w:sz w:val="14"/>
                <w:szCs w:val="14"/>
                <w:color w:val="auto"/>
                <w:w w:val="93"/>
              </w:rPr>
              <w:t>Warrant for Series C-1 Preferred Stock exercise price $1.4643/share,</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1400" w:type="dxa"/>
            <w:vAlign w:val="bottom"/>
          </w:tcPr>
          <w:p>
            <w:pPr>
              <w:ind w:left="180"/>
              <w:spacing w:after="0"/>
              <w:rPr>
                <w:sz w:val="20"/>
                <w:szCs w:val="20"/>
                <w:color w:val="auto"/>
              </w:rPr>
            </w:pPr>
            <w:r>
              <w:rPr>
                <w:rFonts w:ascii="Arial" w:cs="Arial" w:eastAsia="Arial" w:hAnsi="Arial"/>
                <w:sz w:val="14"/>
                <w:szCs w:val="14"/>
                <w:color w:val="auto"/>
              </w:rPr>
              <w:t>NationBuilder)</w:t>
            </w:r>
          </w:p>
        </w:tc>
        <w:tc>
          <w:tcPr>
            <w:tcW w:w="1440" w:type="dxa"/>
            <w:vAlign w:val="bottom"/>
          </w:tcPr>
          <w:p>
            <w:pPr>
              <w:spacing w:after="0"/>
              <w:rPr>
                <w:sz w:val="14"/>
                <w:szCs w:val="14"/>
                <w:color w:val="auto"/>
              </w:rPr>
            </w:pPr>
          </w:p>
        </w:tc>
        <w:tc>
          <w:tcPr>
            <w:tcW w:w="4080" w:type="dxa"/>
            <w:vAlign w:val="bottom"/>
          </w:tcPr>
          <w:p>
            <w:pPr>
              <w:ind w:left="60"/>
              <w:spacing w:after="0"/>
              <w:rPr>
                <w:sz w:val="20"/>
                <w:szCs w:val="20"/>
                <w:color w:val="auto"/>
              </w:rPr>
            </w:pPr>
            <w:r>
              <w:rPr>
                <w:rFonts w:ascii="Arial" w:cs="Arial" w:eastAsia="Arial" w:hAnsi="Arial"/>
                <w:sz w:val="14"/>
                <w:szCs w:val="14"/>
                <w:color w:val="auto"/>
              </w:rPr>
              <w:t>expires 12/28/2028</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12/28/2018</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273,164</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104,138</w:t>
            </w:r>
          </w:p>
        </w:tc>
        <w:tc>
          <w:tcPr>
            <w:tcW w:w="28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104,138</w:t>
            </w:r>
          </w:p>
        </w:tc>
        <w:tc>
          <w:tcPr>
            <w:tcW w:w="700" w:type="dxa"/>
            <w:vAlign w:val="bottom"/>
          </w:tcPr>
          <w:p>
            <w:pPr>
              <w:ind w:left="320"/>
              <w:spacing w:after="0"/>
              <w:rPr>
                <w:sz w:val="20"/>
                <w:szCs w:val="20"/>
                <w:color w:val="auto"/>
              </w:rPr>
            </w:pPr>
            <w:r>
              <w:rPr>
                <w:rFonts w:ascii="Arial" w:cs="Arial" w:eastAsia="Arial" w:hAnsi="Arial"/>
                <w:sz w:val="14"/>
                <w:szCs w:val="14"/>
                <w:color w:val="auto"/>
              </w:rPr>
              <w:t>0.06</w:t>
            </w:r>
          </w:p>
        </w:tc>
      </w:tr>
      <w:tr>
        <w:trPr>
          <w:trHeight w:val="149"/>
        </w:trPr>
        <w:tc>
          <w:tcPr>
            <w:tcW w:w="14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30"/>
        </w:trPr>
        <w:tc>
          <w:tcPr>
            <w:tcW w:w="1400" w:type="dxa"/>
            <w:vAlign w:val="bottom"/>
          </w:tcPr>
          <w:p>
            <w:pPr>
              <w:ind w:left="180"/>
              <w:spacing w:after="0" w:line="130" w:lineRule="exact"/>
              <w:rPr>
                <w:sz w:val="20"/>
                <w:szCs w:val="20"/>
                <w:color w:val="auto"/>
              </w:rPr>
            </w:pPr>
            <w:r>
              <w:rPr>
                <w:rFonts w:ascii="Arial" w:cs="Arial" w:eastAsia="Arial" w:hAnsi="Arial"/>
                <w:sz w:val="14"/>
                <w:szCs w:val="14"/>
                <w:color w:val="auto"/>
              </w:rPr>
              <w:t>Ouster, Inc.</w:t>
            </w:r>
          </w:p>
        </w:tc>
        <w:tc>
          <w:tcPr>
            <w:tcW w:w="1440" w:type="dxa"/>
            <w:vAlign w:val="bottom"/>
          </w:tcPr>
          <w:p>
            <w:pPr>
              <w:jc w:val="center"/>
              <w:spacing w:after="0" w:line="130" w:lineRule="exact"/>
              <w:rPr>
                <w:sz w:val="20"/>
                <w:szCs w:val="20"/>
                <w:color w:val="auto"/>
              </w:rPr>
            </w:pPr>
            <w:r>
              <w:rPr>
                <w:rFonts w:ascii="Arial" w:cs="Arial" w:eastAsia="Arial" w:hAnsi="Arial"/>
                <w:sz w:val="14"/>
                <w:szCs w:val="14"/>
                <w:color w:val="auto"/>
                <w:w w:val="92"/>
              </w:rPr>
              <w:t>Technology Hardware,</w:t>
            </w:r>
          </w:p>
        </w:tc>
        <w:tc>
          <w:tcPr>
            <w:tcW w:w="4080" w:type="dxa"/>
            <w:vAlign w:val="bottom"/>
          </w:tcPr>
          <w:p>
            <w:pPr>
              <w:ind w:left="60"/>
              <w:spacing w:after="0" w:line="130" w:lineRule="exact"/>
              <w:rPr>
                <w:sz w:val="20"/>
                <w:szCs w:val="20"/>
                <w:color w:val="auto"/>
              </w:rPr>
            </w:pPr>
            <w:r>
              <w:rPr>
                <w:rFonts w:ascii="Arial" w:cs="Arial" w:eastAsia="Arial" w:hAnsi="Arial"/>
                <w:sz w:val="14"/>
                <w:szCs w:val="14"/>
                <w:color w:val="auto"/>
                <w:w w:val="93"/>
              </w:rPr>
              <w:t>Warrant for Series A Preferred Stock, exercise price $11.3158/share,</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08"/>
        </w:trPr>
        <w:tc>
          <w:tcPr>
            <w:tcW w:w="14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Storage &amp; Peripherals</w:t>
            </w:r>
          </w:p>
        </w:tc>
        <w:tc>
          <w:tcPr>
            <w:tcW w:w="4080" w:type="dxa"/>
            <w:vAlign w:val="bottom"/>
          </w:tcPr>
          <w:p>
            <w:pPr>
              <w:ind w:left="60"/>
              <w:spacing w:after="0" w:line="208" w:lineRule="exact"/>
              <w:rPr>
                <w:sz w:val="20"/>
                <w:szCs w:val="20"/>
                <w:color w:val="auto"/>
              </w:rPr>
            </w:pPr>
            <w:r>
              <w:rPr>
                <w:rFonts w:ascii="Arial" w:cs="Arial" w:eastAsia="Arial" w:hAnsi="Arial"/>
                <w:sz w:val="14"/>
                <w:szCs w:val="14"/>
                <w:color w:val="auto"/>
              </w:rPr>
              <w:t>expires 11/27/2028</w:t>
            </w:r>
            <w:r>
              <w:rPr>
                <w:rFonts w:ascii="Arial" w:cs="Arial" w:eastAsia="Arial" w:hAnsi="Arial"/>
                <w:sz w:val="23"/>
                <w:szCs w:val="23"/>
                <w:color w:val="auto"/>
                <w:vertAlign w:val="superscript"/>
              </w:rPr>
              <w:t>(14)</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49"/>
        </w:trPr>
        <w:tc>
          <w:tcPr>
            <w:tcW w:w="14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30"/>
        </w:trPr>
        <w:tc>
          <w:tcPr>
            <w:tcW w:w="1400" w:type="dxa"/>
            <w:vAlign w:val="bottom"/>
          </w:tcPr>
          <w:p>
            <w:pPr>
              <w:ind w:left="180"/>
              <w:spacing w:after="0" w:line="130" w:lineRule="exact"/>
              <w:rPr>
                <w:sz w:val="20"/>
                <w:szCs w:val="20"/>
                <w:color w:val="auto"/>
              </w:rPr>
            </w:pPr>
            <w:r>
              <w:rPr>
                <w:rFonts w:ascii="Arial" w:cs="Arial" w:eastAsia="Arial" w:hAnsi="Arial"/>
                <w:sz w:val="14"/>
                <w:szCs w:val="14"/>
                <w:color w:val="auto"/>
              </w:rPr>
              <w:t>Realwear, Inc.</w:t>
            </w:r>
          </w:p>
        </w:tc>
        <w:tc>
          <w:tcPr>
            <w:tcW w:w="1440" w:type="dxa"/>
            <w:vAlign w:val="bottom"/>
          </w:tcPr>
          <w:p>
            <w:pPr>
              <w:jc w:val="center"/>
              <w:spacing w:after="0" w:line="130" w:lineRule="exact"/>
              <w:rPr>
                <w:sz w:val="20"/>
                <w:szCs w:val="20"/>
                <w:color w:val="auto"/>
              </w:rPr>
            </w:pPr>
            <w:r>
              <w:rPr>
                <w:rFonts w:ascii="Arial" w:cs="Arial" w:eastAsia="Arial" w:hAnsi="Arial"/>
                <w:sz w:val="14"/>
                <w:szCs w:val="14"/>
                <w:color w:val="auto"/>
                <w:w w:val="92"/>
              </w:rPr>
              <w:t>Technology Hardware,</w:t>
            </w:r>
          </w:p>
        </w:tc>
        <w:tc>
          <w:tcPr>
            <w:tcW w:w="4080" w:type="dxa"/>
            <w:vAlign w:val="bottom"/>
          </w:tcPr>
          <w:p>
            <w:pPr>
              <w:ind w:left="60"/>
              <w:spacing w:after="0" w:line="130" w:lineRule="exact"/>
              <w:rPr>
                <w:sz w:val="20"/>
                <w:szCs w:val="20"/>
                <w:color w:val="auto"/>
              </w:rPr>
            </w:pPr>
            <w:r>
              <w:rPr>
                <w:rFonts w:ascii="Arial" w:cs="Arial" w:eastAsia="Arial" w:hAnsi="Arial"/>
                <w:sz w:val="14"/>
                <w:szCs w:val="14"/>
                <w:color w:val="auto"/>
                <w:w w:val="95"/>
              </w:rPr>
              <w:t>Warrant for Series A Preferred Stock, exercise price $4.4464/share,</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14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Storage &amp; Peripherals</w:t>
            </w:r>
          </w:p>
        </w:tc>
        <w:tc>
          <w:tcPr>
            <w:tcW w:w="4080" w:type="dxa"/>
            <w:vAlign w:val="bottom"/>
          </w:tcPr>
          <w:p>
            <w:pPr>
              <w:ind w:left="60"/>
              <w:spacing w:after="0"/>
              <w:rPr>
                <w:sz w:val="20"/>
                <w:szCs w:val="20"/>
                <w:color w:val="auto"/>
              </w:rPr>
            </w:pPr>
            <w:r>
              <w:rPr>
                <w:rFonts w:ascii="Arial" w:cs="Arial" w:eastAsia="Arial" w:hAnsi="Arial"/>
                <w:sz w:val="14"/>
                <w:szCs w:val="14"/>
                <w:color w:val="auto"/>
              </w:rPr>
              <w:t>expires 10/5/2028</w:t>
            </w:r>
          </w:p>
        </w:tc>
        <w:tc>
          <w:tcPr>
            <w:tcW w:w="860" w:type="dxa"/>
            <w:vAlign w:val="bottom"/>
          </w:tcPr>
          <w:p>
            <w:pPr>
              <w:jc w:val="center"/>
              <w:spacing w:after="0"/>
              <w:rPr>
                <w:sz w:val="20"/>
                <w:szCs w:val="20"/>
                <w:color w:val="auto"/>
              </w:rPr>
            </w:pPr>
            <w:r>
              <w:rPr>
                <w:rFonts w:ascii="Arial" w:cs="Arial" w:eastAsia="Arial" w:hAnsi="Arial"/>
                <w:sz w:val="14"/>
                <w:szCs w:val="14"/>
                <w:color w:val="auto"/>
                <w:w w:val="96"/>
              </w:rPr>
              <w:t>10/5/2018</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112,451</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135,841</w:t>
            </w:r>
          </w:p>
        </w:tc>
        <w:tc>
          <w:tcPr>
            <w:tcW w:w="28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141,435</w:t>
            </w:r>
          </w:p>
        </w:tc>
        <w:tc>
          <w:tcPr>
            <w:tcW w:w="700" w:type="dxa"/>
            <w:vAlign w:val="bottom"/>
          </w:tcPr>
          <w:p>
            <w:pPr>
              <w:ind w:left="320"/>
              <w:spacing w:after="0"/>
              <w:rPr>
                <w:sz w:val="20"/>
                <w:szCs w:val="20"/>
                <w:color w:val="auto"/>
              </w:rPr>
            </w:pPr>
            <w:r>
              <w:rPr>
                <w:rFonts w:ascii="Arial" w:cs="Arial" w:eastAsia="Arial" w:hAnsi="Arial"/>
                <w:sz w:val="14"/>
                <w:szCs w:val="14"/>
                <w:color w:val="auto"/>
              </w:rPr>
              <w:t>0.08</w:t>
            </w:r>
          </w:p>
        </w:tc>
      </w:tr>
      <w:tr>
        <w:trPr>
          <w:trHeight w:val="130"/>
        </w:trPr>
        <w:tc>
          <w:tcPr>
            <w:tcW w:w="14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40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5"/>
              </w:rPr>
              <w:t>Warrant for Series A Preferred Stock, exercise price $4.4464/share,</w:t>
            </w:r>
          </w:p>
        </w:tc>
        <w:tc>
          <w:tcPr>
            <w:tcW w:w="8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67"/>
        </w:trPr>
        <w:tc>
          <w:tcPr>
            <w:tcW w:w="1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40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expires 12/28/2028</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12/28/2018</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22,491</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25,248</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28,288</w:t>
            </w:r>
          </w:p>
        </w:tc>
        <w:tc>
          <w:tcPr>
            <w:tcW w:w="7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0.02</w:t>
            </w:r>
          </w:p>
        </w:tc>
      </w:tr>
      <w:tr>
        <w:trPr>
          <w:trHeight w:val="149"/>
        </w:trPr>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30"/>
        </w:trPr>
        <w:tc>
          <w:tcPr>
            <w:tcW w:w="14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RedSeal, Inc.</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Application Software</w:t>
            </w:r>
          </w:p>
        </w:tc>
        <w:tc>
          <w:tcPr>
            <w:tcW w:w="40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Series C-Prime Preferred Stock, exercise price</w:t>
            </w:r>
          </w:p>
        </w:tc>
        <w:tc>
          <w:tcPr>
            <w:tcW w:w="8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67"/>
        </w:trPr>
        <w:tc>
          <w:tcPr>
            <w:tcW w:w="1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4080" w:type="dxa"/>
            <w:vAlign w:val="bottom"/>
            <w:shd w:val="clear" w:color="auto" w:fill="CCEEFF"/>
          </w:tcPr>
          <w:p>
            <w:pPr>
              <w:ind w:left="60"/>
              <w:spacing w:after="0"/>
              <w:rPr>
                <w:sz w:val="20"/>
                <w:szCs w:val="20"/>
                <w:color w:val="auto"/>
              </w:rPr>
            </w:pPr>
            <w:r>
              <w:rPr>
                <w:rFonts w:ascii="Arial" w:cs="Arial" w:eastAsia="Arial" w:hAnsi="Arial"/>
                <w:sz w:val="14"/>
                <w:szCs w:val="14"/>
                <w:color w:val="auto"/>
              </w:rPr>
              <w:t>$0.27318/share, expires 12/15/2027</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12/15/2017</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3,569,075</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364,046</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292,664</w:t>
            </w:r>
          </w:p>
        </w:tc>
        <w:tc>
          <w:tcPr>
            <w:tcW w:w="7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0.17</w:t>
            </w:r>
          </w:p>
        </w:tc>
      </w:tr>
      <w:tr>
        <w:trPr>
          <w:trHeight w:val="149"/>
        </w:trPr>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30"/>
        </w:trPr>
        <w:tc>
          <w:tcPr>
            <w:tcW w:w="14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7"/>
              </w:rPr>
              <w:t>SendtoNews Video,</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8"/>
              </w:rPr>
              <w:t>Advertising</w:t>
            </w:r>
          </w:p>
        </w:tc>
        <w:tc>
          <w:tcPr>
            <w:tcW w:w="40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7"/>
              </w:rPr>
              <w:t>Warrant for Class B Non-Voting Stock, exercise price $0.67/share,</w:t>
            </w:r>
          </w:p>
        </w:tc>
        <w:tc>
          <w:tcPr>
            <w:tcW w:w="8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208"/>
        </w:trPr>
        <w:tc>
          <w:tcPr>
            <w:tcW w:w="1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1440" w:type="dxa"/>
            <w:vAlign w:val="bottom"/>
            <w:shd w:val="clear" w:color="auto" w:fill="CCEEFF"/>
          </w:tcPr>
          <w:p>
            <w:pPr>
              <w:spacing w:after="0"/>
              <w:rPr>
                <w:sz w:val="18"/>
                <w:szCs w:val="18"/>
                <w:color w:val="auto"/>
              </w:rPr>
            </w:pPr>
          </w:p>
        </w:tc>
        <w:tc>
          <w:tcPr>
            <w:tcW w:w="4080" w:type="dxa"/>
            <w:vAlign w:val="bottom"/>
            <w:shd w:val="clear" w:color="auto" w:fill="CCEEFF"/>
          </w:tcPr>
          <w:p>
            <w:pPr>
              <w:ind w:left="60"/>
              <w:spacing w:after="0" w:line="208" w:lineRule="exact"/>
              <w:rPr>
                <w:sz w:val="20"/>
                <w:szCs w:val="20"/>
                <w:color w:val="auto"/>
              </w:rPr>
            </w:pPr>
            <w:r>
              <w:rPr>
                <w:rFonts w:ascii="Arial" w:cs="Arial" w:eastAsia="Arial" w:hAnsi="Arial"/>
                <w:sz w:val="14"/>
                <w:szCs w:val="14"/>
                <w:color w:val="auto"/>
              </w:rPr>
              <w:t xml:space="preserve">expires 6/30/2027 </w:t>
            </w:r>
            <w:r>
              <w:rPr>
                <w:rFonts w:ascii="Arial" w:cs="Arial" w:eastAsia="Arial" w:hAnsi="Arial"/>
                <w:sz w:val="23"/>
                <w:szCs w:val="23"/>
                <w:color w:val="auto"/>
                <w:vertAlign w:val="superscript"/>
              </w:rPr>
              <w:t>(3) (7)</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6/30/2017</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191,500</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246,461</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66,000</w:t>
            </w:r>
          </w:p>
        </w:tc>
        <w:tc>
          <w:tcPr>
            <w:tcW w:w="7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0.04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3"/>
              </w:rPr>
              <w:t>Portfolio Companies</w:t>
            </w:r>
          </w:p>
        </w:tc>
        <w:tc>
          <w:tcPr>
            <w:tcW w:w="100" w:type="dxa"/>
            <w:vAlign w:val="bottom"/>
            <w:vMerge w:val="restart"/>
          </w:tcPr>
          <w:p>
            <w:pPr>
              <w:spacing w:after="0"/>
              <w:rPr>
                <w:sz w:val="14"/>
                <w:szCs w:val="14"/>
                <w:color w:val="auto"/>
              </w:rPr>
            </w:pPr>
          </w:p>
        </w:tc>
        <w:tc>
          <w:tcPr>
            <w:tcW w:w="12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Sub-Industry</w:t>
            </w:r>
          </w:p>
        </w:tc>
        <w:tc>
          <w:tcPr>
            <w:tcW w:w="120" w:type="dxa"/>
            <w:vAlign w:val="bottom"/>
            <w:vMerge w:val="restart"/>
          </w:tcPr>
          <w:p>
            <w:pPr>
              <w:spacing w:after="0"/>
              <w:rPr>
                <w:sz w:val="14"/>
                <w:szCs w:val="14"/>
                <w:color w:val="auto"/>
              </w:rPr>
            </w:pPr>
          </w:p>
        </w:tc>
        <w:tc>
          <w:tcPr>
            <w:tcW w:w="376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 xml:space="preserve">Investment Description </w:t>
            </w:r>
            <w:r>
              <w:rPr>
                <w:rFonts w:ascii="Arial" w:cs="Arial" w:eastAsia="Arial" w:hAnsi="Arial"/>
                <w:sz w:val="23"/>
                <w:szCs w:val="23"/>
                <w:b w:val="1"/>
                <w:bCs w:val="1"/>
                <w:color w:val="auto"/>
                <w:vertAlign w:val="superscript"/>
              </w:rPr>
              <w:t>(5), (6)</w:t>
            </w:r>
          </w:p>
        </w:tc>
        <w:tc>
          <w:tcPr>
            <w:tcW w:w="100" w:type="dxa"/>
            <w:vAlign w:val="bottom"/>
            <w:vMerge w:val="restart"/>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Principal/</w:t>
            </w:r>
          </w:p>
        </w:tc>
        <w:tc>
          <w:tcPr>
            <w:tcW w:w="8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4"/>
                <w:szCs w:val="14"/>
                <w:color w:val="auto"/>
              </w:rPr>
            </w:pPr>
          </w:p>
        </w:tc>
        <w:tc>
          <w:tcPr>
            <w:tcW w:w="8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 xml:space="preserve">Fair Value </w:t>
            </w:r>
            <w:r>
              <w:rPr>
                <w:rFonts w:ascii="Arial" w:cs="Arial" w:eastAsia="Arial" w:hAnsi="Arial"/>
                <w:sz w:val="23"/>
                <w:szCs w:val="23"/>
                <w:b w:val="1"/>
                <w:bCs w:val="1"/>
                <w:color w:val="auto"/>
                <w:w w:val="91"/>
                <w:vertAlign w:val="superscript"/>
              </w:rPr>
              <w:t>(2)</w:t>
            </w:r>
          </w:p>
        </w:tc>
        <w:tc>
          <w:tcPr>
            <w:tcW w:w="220" w:type="dxa"/>
            <w:vAlign w:val="bottom"/>
            <w:vMerge w:val="restart"/>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 of Net</w:t>
            </w:r>
          </w:p>
        </w:tc>
        <w:tc>
          <w:tcPr>
            <w:tcW w:w="0" w:type="dxa"/>
            <w:vAlign w:val="bottom"/>
          </w:tcPr>
          <w:p>
            <w:pPr>
              <w:spacing w:after="0"/>
              <w:rPr>
                <w:sz w:val="1"/>
                <w:szCs w:val="1"/>
                <w:color w:val="auto"/>
              </w:rPr>
            </w:pPr>
          </w:p>
        </w:tc>
      </w:tr>
      <w:tr>
        <w:trPr>
          <w:trHeight w:val="171"/>
        </w:trPr>
        <w:tc>
          <w:tcPr>
            <w:tcW w:w="13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7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Non-control/non-affiliate investments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94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Warrants </w:t>
      </w:r>
      <w:r>
        <w:rPr>
          <w:rFonts w:ascii="Arial" w:cs="Arial" w:eastAsia="Arial" w:hAnsi="Arial"/>
          <w:sz w:val="23"/>
          <w:szCs w:val="23"/>
          <w:b w:val="1"/>
          <w:bCs w:val="1"/>
          <w:color w:val="auto"/>
          <w:vertAlign w:val="superscript"/>
        </w:rPr>
        <w:t>(8)</w:t>
      </w:r>
      <w:r>
        <w:rPr>
          <w:rFonts w:ascii="Arial" w:cs="Arial" w:eastAsia="Arial" w:hAnsi="Arial"/>
          <w:sz w:val="14"/>
          <w:szCs w:val="14"/>
          <w:b w:val="1"/>
          <w:bCs w:val="1"/>
          <w:color w:val="auto"/>
        </w:rPr>
        <w:t xml:space="preserv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ShareThis, Inc.</w:t>
            </w:r>
          </w:p>
        </w:tc>
        <w:tc>
          <w:tcPr>
            <w:tcW w:w="148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3"/>
              </w:rPr>
              <w:t>Data Processing &amp;</w:t>
            </w:r>
          </w:p>
        </w:tc>
        <w:tc>
          <w:tcPr>
            <w:tcW w:w="38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Warrant for Series D-3 Preferred Stock, exercise price</w:t>
            </w:r>
          </w:p>
        </w:tc>
        <w:tc>
          <w:tcPr>
            <w:tcW w:w="8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8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2"/>
              </w:rPr>
              <w:t>Outsourced Services</w:t>
            </w:r>
          </w:p>
        </w:tc>
        <w:tc>
          <w:tcPr>
            <w:tcW w:w="3880" w:type="dxa"/>
            <w:vAlign w:val="bottom"/>
            <w:shd w:val="clear" w:color="auto" w:fill="CCEEFF"/>
          </w:tcPr>
          <w:p>
            <w:pPr>
              <w:ind w:left="80"/>
              <w:spacing w:after="0"/>
              <w:rPr>
                <w:sz w:val="20"/>
                <w:szCs w:val="20"/>
                <w:color w:val="auto"/>
              </w:rPr>
            </w:pPr>
            <w:r>
              <w:rPr>
                <w:rFonts w:ascii="Arial" w:cs="Arial" w:eastAsia="Arial" w:hAnsi="Arial"/>
                <w:sz w:val="14"/>
                <w:szCs w:val="14"/>
                <w:color w:val="auto"/>
              </w:rPr>
              <w:t>$2.4320/share, expires 12/3/2028</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12/3/2018</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371,030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1,548,052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1,580,000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zSpace, Inc.</w:t>
            </w:r>
          </w:p>
        </w:tc>
        <w:tc>
          <w:tcPr>
            <w:tcW w:w="1480" w:type="dxa"/>
            <w:vAlign w:val="bottom"/>
            <w:shd w:val="clear" w:color="auto" w:fill="CCEEFF"/>
          </w:tcPr>
          <w:p>
            <w:pPr>
              <w:jc w:val="center"/>
              <w:ind w:left="48"/>
              <w:spacing w:after="0" w:line="130" w:lineRule="exact"/>
              <w:rPr>
                <w:sz w:val="20"/>
                <w:szCs w:val="20"/>
                <w:color w:val="auto"/>
              </w:rPr>
            </w:pPr>
            <w:r>
              <w:rPr>
                <w:rFonts w:ascii="Arial" w:cs="Arial" w:eastAsia="Arial" w:hAnsi="Arial"/>
                <w:sz w:val="14"/>
                <w:szCs w:val="14"/>
                <w:color w:val="auto"/>
                <w:w w:val="93"/>
              </w:rPr>
              <w:t>Technology</w:t>
            </w:r>
          </w:p>
        </w:tc>
        <w:tc>
          <w:tcPr>
            <w:tcW w:w="38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3"/>
              </w:rPr>
              <w:t>Warrant for Series E Preferred Stock, exercise price $0.90/share,</w:t>
            </w:r>
          </w:p>
        </w:tc>
        <w:tc>
          <w:tcPr>
            <w:tcW w:w="8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80" w:type="dxa"/>
            <w:vAlign w:val="bottom"/>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Hardware, Storage &amp;</w:t>
            </w:r>
          </w:p>
        </w:tc>
        <w:tc>
          <w:tcPr>
            <w:tcW w:w="38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expires 12/29/2027</w:t>
            </w:r>
          </w:p>
        </w:tc>
        <w:tc>
          <w:tcPr>
            <w:tcW w:w="8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8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0"/>
              </w:rPr>
              <w:t>Peripherals</w:t>
            </w:r>
          </w:p>
        </w:tc>
        <w:tc>
          <w:tcPr>
            <w:tcW w:w="38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12/29/2017</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1,896,966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707,568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671,526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ind w:left="160"/>
              <w:spacing w:after="0" w:line="142" w:lineRule="exact"/>
              <w:rPr>
                <w:sz w:val="20"/>
                <w:szCs w:val="20"/>
                <w:color w:val="auto"/>
              </w:rPr>
            </w:pPr>
            <w:r>
              <w:rPr>
                <w:rFonts w:ascii="Arial" w:cs="Arial" w:eastAsia="Arial" w:hAnsi="Arial"/>
                <w:sz w:val="14"/>
                <w:szCs w:val="14"/>
                <w:b w:val="1"/>
                <w:bCs w:val="1"/>
                <w:color w:val="auto"/>
              </w:rPr>
              <w:t>Total Warrants</w:t>
            </w:r>
          </w:p>
        </w:tc>
        <w:tc>
          <w:tcPr>
            <w:tcW w:w="1480" w:type="dxa"/>
            <w:vAlign w:val="bottom"/>
            <w:tcBorders>
              <w:bottom w:val="single" w:sz="8" w:color="CCEEFF"/>
            </w:tcBorders>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15,013,511</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15,247,210</w:t>
            </w:r>
          </w:p>
        </w:tc>
        <w:tc>
          <w:tcPr>
            <w:tcW w:w="2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9,10</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40" w:type="dxa"/>
            <w:vAlign w:val="bottom"/>
            <w:gridSpan w:val="2"/>
          </w:tcPr>
          <w:p>
            <w:pPr>
              <w:spacing w:after="0"/>
              <w:rPr>
                <w:sz w:val="20"/>
                <w:szCs w:val="20"/>
                <w:color w:val="auto"/>
              </w:rPr>
            </w:pPr>
            <w:r>
              <w:rPr>
                <w:rFonts w:ascii="Arial" w:cs="Arial" w:eastAsia="Arial" w:hAnsi="Arial"/>
                <w:sz w:val="14"/>
                <w:szCs w:val="14"/>
                <w:b w:val="1"/>
                <w:bCs w:val="1"/>
                <w:color w:val="auto"/>
                <w:w w:val="95"/>
              </w:rPr>
              <w:t>Total non-control/non-affiliate investments</w:t>
            </w:r>
          </w:p>
        </w:tc>
        <w:tc>
          <w:tcPr>
            <w:tcW w:w="3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223,851,892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224,248,389</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133.99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38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U.S. Treasury</w:t>
            </w:r>
          </w:p>
        </w:tc>
        <w:tc>
          <w:tcPr>
            <w:tcW w:w="1480" w:type="dxa"/>
            <w:vAlign w:val="bottom"/>
          </w:tcPr>
          <w:p>
            <w:pPr>
              <w:spacing w:after="0"/>
              <w:rPr>
                <w:sz w:val="17"/>
                <w:szCs w:val="17"/>
                <w:color w:val="auto"/>
              </w:rPr>
            </w:pPr>
          </w:p>
        </w:tc>
        <w:tc>
          <w:tcPr>
            <w:tcW w:w="3880" w:type="dxa"/>
            <w:vAlign w:val="bottom"/>
          </w:tcPr>
          <w:p>
            <w:pPr>
              <w:ind w:left="80"/>
              <w:spacing w:after="0" w:line="202" w:lineRule="exact"/>
              <w:rPr>
                <w:sz w:val="20"/>
                <w:szCs w:val="20"/>
                <w:color w:val="auto"/>
              </w:rPr>
            </w:pPr>
            <w:r>
              <w:rPr>
                <w:rFonts w:ascii="Arial" w:cs="Arial" w:eastAsia="Arial" w:hAnsi="Arial"/>
                <w:sz w:val="14"/>
                <w:szCs w:val="14"/>
                <w:color w:val="auto"/>
              </w:rPr>
              <w:t>U.S. Treasury Bill, 2.254%, due 1/3/2019</w:t>
            </w:r>
            <w:r>
              <w:rPr>
                <w:rFonts w:ascii="Arial" w:cs="Arial" w:eastAsia="Arial" w:hAnsi="Arial"/>
                <w:sz w:val="23"/>
                <w:szCs w:val="23"/>
                <w:color w:val="auto"/>
                <w:vertAlign w:val="superscript"/>
              </w:rPr>
              <w:t>(12)</w:t>
            </w:r>
          </w:p>
        </w:tc>
        <w:tc>
          <w:tcPr>
            <w:tcW w:w="82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w w:val="97"/>
              </w:rPr>
              <w:t>$ 80,000,000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79,959,928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79,959,928</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47.77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38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4"/>
                <w:szCs w:val="14"/>
                <w:b w:val="1"/>
                <w:bCs w:val="1"/>
                <w:color w:val="auto"/>
              </w:rPr>
              <w:t>Total Investments</w:t>
            </w:r>
          </w:p>
        </w:tc>
        <w:tc>
          <w:tcPr>
            <w:tcW w:w="14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303,811,820</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304,208,317</w:t>
            </w:r>
          </w:p>
        </w:tc>
        <w:tc>
          <w:tcPr>
            <w:tcW w:w="780" w:type="dxa"/>
            <w:vAlign w:val="bottom"/>
            <w:gridSpan w:val="3"/>
          </w:tcPr>
          <w:p>
            <w:pPr>
              <w:jc w:val="right"/>
              <w:spacing w:after="0" w:line="176" w:lineRule="exact"/>
              <w:rPr>
                <w:sz w:val="20"/>
                <w:szCs w:val="20"/>
                <w:color w:val="auto"/>
              </w:rPr>
            </w:pPr>
            <w:r>
              <w:rPr>
                <w:rFonts w:ascii="Arial" w:cs="Arial" w:eastAsia="Arial" w:hAnsi="Arial"/>
                <w:sz w:val="12"/>
                <w:szCs w:val="12"/>
                <w:color w:val="auto"/>
              </w:rPr>
              <w:t>181.76</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31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December 31, 2018, the 3-Month LIBOR was 2.80% and the U.S. Prime Rate was 5.50%.</w:t>
      </w:r>
    </w:p>
    <w:p>
      <w:pPr>
        <w:spacing w:after="0" w:line="14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investments in portfolio companies, which as of December 31, 2018 represented 133.99% of the Company’s net assets, are restricted as to resale and were valued at fair value as determined in good faith by the Company’s Board of Directors.</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is not a qualifying investment as defined under Section 55(a) of the Investment Company Act of 1940, as amended. Non-qualifying assets represent 0.04% of total investments at fair value as of December 31, 2018.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a PIK security. If the interest rate goes above the cap of 12.00%, PIK interest will be accrued on the excess amount and paid at maturity.</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investments are valued using unobservable inputs, except the U.S. Treasury Bill which is valued using observable inputs.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investments are domiciled in the United States, unless otherwise noted.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is domiciled in Canada.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Investments are non-income producing.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of June 29, 2018, the Mojix, Inc. (“Mojix”) loan and security agreement was amended to: (a) increase the LIBOR spread from 10.0% to 10.5%;</w:t>
      </w:r>
    </w:p>
    <w:p>
      <w:pPr>
        <w:spacing w:after="0" w:line="46" w:lineRule="exact"/>
        <w:rPr>
          <w:rFonts w:ascii="Arial" w:cs="Arial" w:eastAsia="Arial" w:hAnsi="Arial"/>
          <w:sz w:val="16"/>
          <w:szCs w:val="16"/>
          <w:color w:val="auto"/>
        </w:rPr>
      </w:pPr>
    </w:p>
    <w:p>
      <w:pPr>
        <w:jc w:val="both"/>
        <w:ind w:left="660" w:hanging="4"/>
        <w:spacing w:after="0" w:line="253" w:lineRule="auto"/>
        <w:tabs>
          <w:tab w:leader="none" w:pos="938" w:val="left"/>
        </w:tabs>
        <w:numPr>
          <w:ilvl w:val="1"/>
          <w:numId w:val="6"/>
        </w:numPr>
        <w:rPr>
          <w:rFonts w:ascii="Arial" w:cs="Arial" w:eastAsia="Arial" w:hAnsi="Arial"/>
          <w:sz w:val="18"/>
          <w:szCs w:val="18"/>
          <w:color w:val="auto"/>
        </w:rPr>
      </w:pPr>
      <w:r>
        <w:rPr>
          <w:rFonts w:ascii="Arial" w:cs="Arial" w:eastAsia="Arial" w:hAnsi="Arial"/>
          <w:sz w:val="18"/>
          <w:szCs w:val="18"/>
          <w:color w:val="auto"/>
        </w:rPr>
        <w:t>require existing shareholders to invest additional amounts of equity in Mojix; and, (c) make certain adjustments to the length and timing of interest-only periods based on the accomplishment of performance milestones. In exchange, the Company has agreed to provide forbearance on certain covenant defaults and make available, upon certain additional equity investment by the shareholders, the remaining $2,000,000 under the original loan commitment. As of December 31, 2018, the Company has funded $1,000,000 in a third and fourth tranche in the amount of $500,000 each.</w:t>
      </w:r>
    </w:p>
    <w:p>
      <w:pPr>
        <w:spacing w:after="0" w:line="191"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the Amended and Restated Certificate of Incorporation dated September 4, 2018, each one warrant share of Series E Preferred Stock converted into one one-hundredth of a warrant share of Common Stock. The Company previously held 16,442,732 in warrants for Series E Preferred Stock which converted into 164,427 warrants for common stock.</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Investments are held at Fair Value net of the Fair Value of Unfunded Commitments. See Note 3 for additional detail.</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treasury bill with $80,000,000 of par value was purchased pursuant to a 4.90% reverse repurchase agreement with Goldman Sachs, dated December 26, 2018, due January 2, 2019, with a repurchase price of $80,000,000 and collateralized by a 2.254% U.S. Treasury Bill due January 3, 2019 with a par value of $80,000,000 and fair value of $79,959,928.</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Disclosures of end-of-term-payments (“ETP”) are one-time payments stated as a percentage of original principal amount.</w:t>
      </w:r>
    </w:p>
    <w:p>
      <w:pPr>
        <w:spacing w:after="0" w:line="225" w:lineRule="exact"/>
        <w:rPr>
          <w:rFonts w:ascii="Arial" w:cs="Arial" w:eastAsia="Arial" w:hAnsi="Arial"/>
          <w:sz w:val="18"/>
          <w:szCs w:val="18"/>
          <w:color w:val="auto"/>
        </w:rPr>
      </w:pPr>
    </w:p>
    <w:p>
      <w:pPr>
        <w:jc w:val="both"/>
        <w:ind w:left="660" w:hanging="328"/>
        <w:spacing w:after="0" w:line="297"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November 27, 2018, the Company entered into a Loan &amp; Security Agreement whereby, upon attainment of certain financial milestones Ouster may borrow up to $10,000,000 under the facility. As of December 31, 2018, Ouster had not met the conditions required to borrow any amount under the loan facility. Upon borrowing under the loan facility the Company will receive a Warrant to purchase up to $400,000, or 353,348 shares of Series A preferred stock of Ouster at an exercise price of $11.3158 per share, with the number of shares calculated based on the amount of borrowings under the facility. In the event Ouster fails to meet required financial milestone for borrowing by March 31, 2019, the facility will terminate.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December 31, 2018:</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191"/>
        </w:trPr>
        <w:tc>
          <w:tcPr>
            <w:tcW w:w="4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Geographic Region</w:t>
            </w:r>
          </w:p>
        </w:tc>
        <w:tc>
          <w:tcPr>
            <w:tcW w:w="2880" w:type="dxa"/>
            <w:vAlign w:val="bottom"/>
          </w:tcPr>
          <w:p>
            <w:pPr>
              <w:spacing w:after="0"/>
              <w:rPr>
                <w:sz w:val="16"/>
                <w:szCs w:val="16"/>
                <w:color w:val="auto"/>
              </w:rPr>
            </w:pP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Investments at</w:t>
            </w:r>
          </w:p>
        </w:tc>
        <w:tc>
          <w:tcPr>
            <w:tcW w:w="12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Percentage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80" w:type="dxa"/>
            <w:vAlign w:val="bottom"/>
            <w:gridSpan w:val="2"/>
            <w:vMerge w:val="continue"/>
          </w:tcPr>
          <w:p>
            <w:pPr>
              <w:spacing w:after="0"/>
              <w:rPr>
                <w:sz w:val="20"/>
                <w:szCs w:val="20"/>
                <w:color w:val="auto"/>
              </w:rPr>
            </w:pP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20"/>
                <w:szCs w:val="20"/>
                <w:color w:val="auto"/>
              </w:rPr>
            </w:pPr>
          </w:p>
        </w:tc>
        <w:tc>
          <w:tcPr>
            <w:tcW w:w="12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4"/>
              </w:rPr>
              <w:t>Net 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300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154,566,480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Southeastern United States</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24,487,720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Northeastern United States</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22,358,524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South Central United States</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15,939,397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Midwestern United States</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6,830,268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Canada</w:t>
            </w: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224,248,389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191"/>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Industry</w:t>
            </w:r>
          </w:p>
        </w:tc>
        <w:tc>
          <w:tcPr>
            <w:tcW w:w="2240" w:type="dxa"/>
            <w:vAlign w:val="bottom"/>
          </w:tcPr>
          <w:p>
            <w:pPr>
              <w:spacing w:after="0"/>
              <w:rPr>
                <w:sz w:val="16"/>
                <w:szCs w:val="16"/>
                <w:color w:val="auto"/>
              </w:rPr>
            </w:pP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Investments at</w:t>
            </w:r>
          </w:p>
        </w:tc>
        <w:tc>
          <w:tcPr>
            <w:tcW w:w="12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Percentage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gridSpan w:val="2"/>
            <w:vMerge w:val="continue"/>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20"/>
                <w:szCs w:val="20"/>
                <w:color w:val="auto"/>
              </w:rPr>
            </w:pPr>
          </w:p>
        </w:tc>
        <w:tc>
          <w:tcPr>
            <w:tcW w:w="12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4"/>
              </w:rPr>
              <w:t>Net 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236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97,077,931</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Healthcare Technology</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45,863,112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&amp; Outsourced Services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34,045,151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Technology Hardware, Storage &amp; Peripherals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16,234,215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Specialized Consumer Services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15,939,397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Semiconductors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14,429,583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Education Services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Advertising</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224,248,389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Runway Growth Credit Fund Inc. (the “Company”) is a Maryland corporation that was formed on August 31, 2015. The Company is an externally managed, non-diversified, closed-end investment company that has elected to be regulated as a business development company (“BDC”) under the Investment Company Act of 1940, as amended (the “1940 Act”). In addition, the Company has elected to be treated, and intends to qualify annually, as a regulated investment company (“RIC”) under Subchapter M of the Internal Revenue Code of 1986, as amended (the “Code”).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was formed primarily to lend to, and selectively invest in, small, fast-growing companies in the United States. The Company’s investment objective is to maximize its total return to its stockholders primarily through current income on its loan portfolio, and secondarily through capital appreciation on its warrants and other equity positions. The Company’s investment activities are managed by its external investment adviser, Runway Growth Capital LLC (“RGC”). Runway Administrator Services LLC (the “Administrator”) is a wholly owned subsidiary of RGC and provides administrative services necessary for the Company to operate.</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October 2015, in connection with the Company’s formation, the Company issued and sold 1,667 shares of common stock to R. David Spreng, the President and Chief Executive Officer of the Company and Chairman of the Company’s Board of Directors, for an aggregate purchase price of $25,000. The sale of shares of common stock was approved by the unanimous consent of the Company’s sole director at the time. In December 2016, the Company completed the initial closing of capital commitments in its first private offering of shares of common stock to investors (the “Initial Private Offering”) in reliance on exemptions from the registration requirements of the Securities Act of 1933, as amended (the “Securities Act”), and other applicable securities laws. The final closing of the Initial Private Offering occurred on December 1, 2017. As of June 30, 2019, in connection with the Initial Private Offering, the Company had total capital commitments of $275,000,000 and had 18,241,157 shares of its common stock for a total purchase price of $275,000,000. The Company has issued an additional 1,557,228 shares of its common stock as part of the Company’s dividend reinvestment plan. Refer to Note 6 for further detail.</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2019, the Company had completed an initial closing under its second private offering (the “Second Private Offering”) and had accepted capital commitments of $146,023,500. Subsequent to June 30, 2019, the Company has completed additional closings under the Second Private Offering totaling $22,200,000. No shares have been issued under these capital commitments and the full amount of capital remains available for the Company to draw down.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interim unaudited financial statements of the Company are prepared on the accrual basis of accounting in conformity with U.S. Generally Accepted Accounting Principles (“U.S.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opinion of management, all adjustments, all of which were of a normal recurring nature, considered necessary for the fair presentation of financial statements for the interim period have been included. The results of operations for the current interim period are not necessarily indicative of results that ultimately may be achieved for any other interim period or for the year ending December 31, 2019. The interim unaudited financial statements and notes hereto should be read in conjunction with the audited financial statements and notes thereto contained in the Company’s annual report on Form 10-K for the year ended December 31, 2018 filed with the SEC on March 29,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Actual results could differ from those estimates.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represents deposits held at financial institutions, while cash equivalents are highly liquid investments held at financial institutions with an original maturity of three months or less at the date of acquisition. At times, the Company’s cash and cash equivalents exceed federally insured limits, subjecting the Company to risks related to the uninsured balance. Cash and cash equivalents are held at large, established, high credit-quality financial institutions, and management believes that risk of loss associated with any uninsured balance is remote.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Credit Facility Fees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fees and expenses associated with opening the KeyBank loan facilities or Credit Agreement (as defined below) are being deferred and amortized as part of interest expense using the effective interest method over the term of the Credit Agreement in accordance with ASC 470, Debt. Debt issuance costs associated with the Credit Agreement are classified as a direct reduction of the carrying amount of borrowings with the Credit Agreement, unless there are no outstanding borrowings, in which case the debt issuance costs are presented as an asset.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fees and expenses associated with opening the CIBC USA Credit Facilities (as defined below) are being deferred and amortized as part of interest expense using the effective interest method over the term of the Credit Facilities in accordance with ASC 470, Debt. Debt issuance costs associated with the Credit Facilities are classified as an asset, regardless of whether there are any outstanding borrowings on the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may enter into reverse repurchase agreements, under the terms of a Master Repurchase Agreement, with selected commercial banks and broker-dealers, under which the Company acquires securities as collateral (debt obligation) subject to an obligation of the counterparty to repurchase and the Company to resell the securities (obligation) at an agreed upon time and price. The Company, through the custodian or a sub-custodian, receives delivery of the underlying securities collateralizing repurchase agreements. The Company requires the custodian to take possession, to have legally segregated in the Federal Reserve Book Entry System, or to have segregated within the custodian’s vault, all securities held as collateral for repurchase agreements. The Company and the counterparties are permitted to sell, re-pledge, or use the collateral associated with the transaction. It is the Company’s policy that the market value of the collateral be at least equal to 100 percent of the repurchase price in the case of a repurchase agreement of one-day duration and 102 percent of the repurchase price in the case of all other repurchase agreements. Upon an event of default under the terms of the Master Repurchase Agreement, both parties have the right to set-off. If the seller defaults or enters an insolvency proceeding, realization of the collateral by the Company may be delayed, limited or wholly denied.</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a reverse repurchase agreement with Goldman Sachs, which expired on July 3, 2019, the Company purchased a U.S. Treasury Bill, due July 5, 2019. The value of the related collateral that the Company received for this agreement was $85,980,815 at June 30, 2019. Pursuant to a reverse repurchase agreement with Goldman Sachs which expired on January 2, 2019, the Company purchased a U.S. Treasury Bill, due January 3, 2019. The value of the related collateral that the Company received for this agreement was $79,959,928 at December 31, 2018. At June 30, 2019 and December 31, 2018, the repurchase liability is $85,526,546 and $79,560,129, respectively, which is reflected as Reverse Repurchase Agreement on the Statement of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Security transactions, if any, are recorded on a trade-date basis. Realized gains or losses from the repayment or sale of investments are measured using the specific identification method. The amortized cost basis of investments represents the original cost adjusted for the accretion/amortization of discounts and premiums and upfront loan origination fees. The Company reports changes from the prior period in fair value of investments that are measured at fair value as a component of net change in unrealized appreciation (depreciation) on investments in the statement of operations.</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Dividends are recorded on the ex-dividend date. Interest income, if any, adjusted for amortization of market premium and accretion of market discount, is recorded on an accrual basis to the extent that the Company expects to collect such amounts. Original issue discount, principally representing the estimated fair value of detachable equity or warrants obtained in conjunction with the Company’s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loan or debt security, any prepayment penalties, unamortized loan origination fees, end-of-term payments, and unamortized market discounts are recorded as interest income.</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currently holds, and expects to hold in the future, some investments in its portfolio that contain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the Company is required to distribute to stockholders to maintain its qualification as a RIC for U.S. federal income tax purposes, even though the Company has not yet collected the cash. Generally, when current cash interest and/or principal payments on a loan become past due, or if the Company otherwise does not expect the borrower to be able to service its debt and other obligations, the Company will place the investment on non-accrual status and will generally cease recognizing PIK interest and dividend income on that loan for financial reporting purposes until all principal and interest have been brought current through payment or due to a restructuring such that the interest and dividend income is deemed to be collectible. As of June 30, 2019, and December 31, 2018, we have not written off any accrued and uncollected PIK interest and dividends. For the three and six months ended June 30, 2019 approximately 2.4% and 2.0%, respectively, of the Company’s total investment income was attributable to non-cash PIK interest and dividend income. The Company did not have non-cash PIK interest and dividend income for the three and six months ended June 30, 2018.</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464"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Company measures the value of its investments at fair value in accordance with ASC </w:t>
      </w:r>
      <w:r>
        <w:rPr>
          <w:rFonts w:ascii="Arial" w:cs="Arial" w:eastAsia="Arial" w:hAnsi="Arial"/>
          <w:sz w:val="18"/>
          <w:szCs w:val="18"/>
          <w:i w:val="1"/>
          <w:iCs w:val="1"/>
          <w:color w:val="auto"/>
        </w:rPr>
        <w:t>Topic 820, Fair Value Measurements and Disclosure</w:t>
      </w:r>
      <w:r>
        <w:rPr>
          <w:rFonts w:ascii="Arial" w:cs="Arial" w:eastAsia="Arial" w:hAnsi="Arial"/>
          <w:sz w:val="18"/>
          <w:szCs w:val="18"/>
          <w:color w:val="auto"/>
        </w:rPr>
        <w:t xml:space="preserve"> (“ASC Topic 820”), issued by the FASB.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audit committee of the Company’s Board of Directors (the “Audit Committee”) is responsible for assisting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Company’s Board of Directors, with the assistance of the Audit Committee, RGC and its senior investment team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spacing w:after="0" w:line="182" w:lineRule="exact"/>
        <w:rPr>
          <w:sz w:val="20"/>
          <w:szCs w:val="20"/>
          <w:color w:val="auto"/>
        </w:rPr>
      </w:pPr>
    </w:p>
    <w:p>
      <w:pPr>
        <w:jc w:val="both"/>
        <w:ind w:firstLine="701"/>
        <w:spacing w:after="0" w:line="257" w:lineRule="auto"/>
        <w:rPr>
          <w:sz w:val="20"/>
          <w:szCs w:val="20"/>
          <w:color w:val="auto"/>
        </w:rPr>
      </w:pPr>
      <w:r>
        <w:rPr>
          <w:rFonts w:ascii="Arial" w:cs="Arial" w:eastAsia="Arial" w:hAnsi="Arial"/>
          <w:sz w:val="18"/>
          <w:szCs w:val="18"/>
          <w:color w:val="auto"/>
        </w:rPr>
        <w:t>The Company’s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1—Valuations are based on quoted prices in active markets for identical assets or liabilities that are accessible at the measurement date.</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ind w:firstLine="648"/>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Company undertakes a multi-step valuation process each quarter, as described below:</w:t>
      </w:r>
    </w:p>
    <w:p>
      <w:pPr>
        <w:spacing w:after="0" w:line="170"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investment being initially valued by RGC’s investment professionals that are responsible for the portfolio investment;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an independent valuation firm. Certain investments, however, may not be evaluated by an independent valuation firm if the net asset value and other aspects of such investments in the aggregate do not exceed certain thresholds;</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independent valuation firm, if any, and makes a recommendation to our Board of Directors regarding such valuations;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Board of Directors reviews the recommended preliminary valuations and determines the fair value of each investment in the Company’s portfolio, in good faith, based on the input of RGC, the independent valuation firm and the Audit Committee.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investments are primarily loans made to and equity and warrants of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firstLine="707"/>
        <w:spacing w:after="0" w:line="293" w:lineRule="auto"/>
        <w:rPr>
          <w:sz w:val="20"/>
          <w:szCs w:val="20"/>
          <w:color w:val="auto"/>
        </w:rPr>
      </w:pPr>
      <w:r>
        <w:rPr>
          <w:rFonts w:ascii="Arial" w:cs="Arial" w:eastAsia="Arial" w:hAnsi="Arial"/>
          <w:sz w:val="16"/>
          <w:szCs w:val="16"/>
          <w:i w:val="1"/>
          <w:iCs w:val="1"/>
          <w:color w:val="auto"/>
        </w:rPr>
        <w:t xml:space="preserve">Debt Investments: </w:t>
      </w:r>
      <w:r>
        <w:rPr>
          <w:rFonts w:ascii="Arial" w:cs="Arial" w:eastAsia="Arial" w:hAnsi="Arial"/>
          <w:sz w:val="16"/>
          <w:szCs w:val="16"/>
          <w:color w:val="auto"/>
        </w:rPr>
        <w:t>To determine the fair value of the Company’s debt investments, the Company compares the cost basis of the debt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includes original 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which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6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significant increase or decrease in these unobservable inputs.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Fair value of warrants is primarily determined using a Black Scholes option-pricing model. Privately held warrants and equity-related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valued based on an analysis of various factors including, but not limited to, the following: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left="660" w:hanging="328"/>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92"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71"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71"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86"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The fair value of an equity investment in a privately held company is initially the face value of the amount invested.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amounts of the Company’s financial instruments, including cash and accrued liabilities, approximate fair value due to their short-term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Classification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a non-diversified company within the meaning of the 1940 Act. The Company classifies its investments by level of control. As defined in the 1940 Act, control investments are those where there is the ability or power to exercise a controlling influence over the management or policies of a company. Control is generally deemed to exist when a company or individual possesses or has the right to acquire within 60 days or less, beneficial ownership of more than 25.0% of the voting securities of a company. Affiliated investments and affiliated companies are defined by a lesser degree of influence and are deemed to exist through the possession outright, or via the right to acquire within 60 days or less, beneficial ownership of 5.0% or more of the outstanding voting securities of a company.</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in the Statements of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elected to be treated as a RIC under Subchapter M of the Code starting with its taxable year ended December 31, 2016 and intends to qualify annually for the tax treatment applicable to RICs. Generally, a RIC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obtains and maintains its status as a RIC, it generally will not pay corporate-level U.S. federal income taxes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tax treatment each year and it does not anticipate paying any material U.S. federal income taxes in the future.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firstLine="648"/>
        <w:spacing w:after="0" w:line="291" w:lineRule="auto"/>
        <w:rPr>
          <w:sz w:val="20"/>
          <w:szCs w:val="20"/>
          <w:color w:val="auto"/>
        </w:rPr>
      </w:pPr>
      <w:r>
        <w:rPr>
          <w:rFonts w:ascii="Arial" w:cs="Arial" w:eastAsia="Arial" w:hAnsi="Arial"/>
          <w:sz w:val="16"/>
          <w:szCs w:val="16"/>
          <w:color w:val="auto"/>
        </w:rPr>
        <w:t>If the Company does not distribute (or is not deemed to have distributed) each calendar year the sum of (1) 98% of its net ordinary income for each calendar year, (2) 98.2% of its capital gain net income for the one-year period ending October 31 in that calendar year and (3) any income recognized, but not distributed, in preceding years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the Company does not qualify to be treated as a RIC for any taxable year, the Company will be taxed as a regular corporation (a “C corporation”) under subchapter C of the Code for such taxable year. If the Company has previously qualified to be treated as a RIC but is subsequently unable to qualify for treatment as a RIC,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regular corporate-level U.S. federal income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Basic and diluted earnings per common share is calculated using the weighted-average number of common shares outstanding for the period presented. For the three and six months ended June 30, 2019 and 2018, basic and diluted earnings per share of common stock were the same because there were no potentially dilutive securities outstanding. Per share data is based on the weighted-average shares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generally intends to distribute, out of assets legally available for distribution, substantially all of its available earnings, on a quarterly basis, subject to the discretion of the Board of Directors. For the three and six months ended June 30, 2019, the Company declared dividends in the amount of $15,971,678 and $22,132,302, respectively, of which $3,264,411 and $4,482,867, respectively, was cash and the remainder shares of common stock to stockholders pursuant to the Company’s dividend reinvestment plan. Of these distributions for the three and six months ended June 30, 2019, $7,077,595 and 13,238,219 was paid as of June 30, 2019, respectively, of which $1,407,128 and $2,625,584, respectively, was cash distributed and the remainder distributed in shares to stockholders pursuant to the Company’s dividend reinvestment plan. The remainder of dividends declared during the three months ended June 30, 2019 was paid on July 16, 2019 in the amount of $1,857,283 in cash and $7,036,800 in common stock. For each of the three and six months ended June 30, 2018, the Company declared and paid dividends in the amount of $1,300,250, of which $254,680 was distributed in cash and the remainder distributed in shares to stockholders pursuant to the Company’s dividend reinvestment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Offering Costs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Organization costs include, among other things, the cost of organizing as a Maryland corporation, including the cost of legal services and other fees pertaining to our organization, all of which are expensed as incurred. Offering costs include, among other things, legal fees and other costs pertaining to the preparation of the Company’s private placement memorandum and other offering documents, including travel-related expenses related to the Initial Private Offering. Pursuant to the investment advisory agreement between the Company and RGC, as subsequently amended and restated (the “Amended Advisory Agreement”), the Company and RGC agreed that organization and offering costs incurred in connection with the Initial Private Offering would be borne by the Company up to a maximum amount of $1,000,000, provided that the amount of such costs in excess of $1,000,000 would be paid by RGC. As of December 31, 2016, the Company had already incurred the maximum amount of $1,000,000 in organization and offering costs incurred in connection with the Initial Private Offering. As a result, for year ended December 31, 2018, the Company did not incur any organization or offering expenses.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ind w:right="20" w:firstLine="648"/>
        <w:spacing w:after="0" w:line="308" w:lineRule="auto"/>
        <w:rPr>
          <w:sz w:val="20"/>
          <w:szCs w:val="20"/>
          <w:color w:val="auto"/>
        </w:rPr>
      </w:pPr>
      <w:r>
        <w:rPr>
          <w:rFonts w:ascii="Arial" w:cs="Arial" w:eastAsia="Arial" w:hAnsi="Arial"/>
          <w:sz w:val="17"/>
          <w:szCs w:val="17"/>
          <w:color w:val="auto"/>
        </w:rPr>
        <w:t>Offering costs related to new or follow on offerings will be accumulated and charged to additional paid in capital at the time of closing. As of June 30, 2019 and December 31, 2018, respectively, we had accumulated and recorded $281,487 and $102,865 of deferred offering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which changes the fair value measurement disclosure requirements of ASC 820. The key provisions include new,</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financial statements, however the impact of the adoption is not expected to be material.</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March 2019, the SEC issued Final Rule Release No. 33-10618, </w:t>
      </w:r>
      <w:r>
        <w:rPr>
          <w:rFonts w:ascii="Arial" w:cs="Arial" w:eastAsia="Arial" w:hAnsi="Arial"/>
          <w:sz w:val="18"/>
          <w:szCs w:val="18"/>
          <w:i w:val="1"/>
          <w:iCs w:val="1"/>
          <w:color w:val="auto"/>
        </w:rPr>
        <w:t>FAST Act Modernization and Simplification of Regulation S-K</w:t>
      </w:r>
      <w:r>
        <w:rPr>
          <w:rFonts w:ascii="Arial" w:cs="Arial" w:eastAsia="Arial" w:hAnsi="Arial"/>
          <w:sz w:val="18"/>
          <w:szCs w:val="18"/>
          <w:color w:val="auto"/>
        </w:rPr>
        <w:t>, which amends certain SEC disclosure requirements. The amendments are intended to simplify certain disclosure requirements, improve readability and navigability of disclosure documents, and discourage repetition and disclosure of immaterial information. The amendments are effective for all filings submitted on or after May 2, 2019. The Company adopted the requisite amendments effective May 9, 2019. As it pertains to the Company for this Quarterly Report on Form 10-Q, there were no significant changes to the Company’s financial position or disclosures. The Company is still evaluating the impact this amendment will have on its future periodic filings.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Commitments and Contingencies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June 30, 2019, the Company had $26,000,000 in unfunded loan commitments to provide debt financing to its portfolio companies. The balance of unfunded commitments to extend financing as of June 30, 2019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w:t>
            </w:r>
          </w:p>
        </w:tc>
        <w:tc>
          <w:tcPr>
            <w:tcW w:w="2840" w:type="dxa"/>
            <w:vAlign w:val="bottom"/>
          </w:tcPr>
          <w:p>
            <w:pPr>
              <w:spacing w:after="0"/>
              <w:rPr>
                <w:sz w:val="20"/>
                <w:szCs w:val="20"/>
                <w:color w:val="auto"/>
              </w:rPr>
            </w:pPr>
            <w:r>
              <w:rPr>
                <w:rFonts w:ascii="Arial" w:cs="Arial" w:eastAsia="Arial" w:hAnsi="Arial"/>
                <w:sz w:val="18"/>
                <w:szCs w:val="18"/>
                <w:b w:val="1"/>
                <w:bCs w:val="1"/>
                <w:color w:val="auto"/>
              </w:rPr>
              <w:t>Investment Type</w:t>
            </w:r>
          </w:p>
        </w:tc>
        <w:tc>
          <w:tcPr>
            <w:tcW w:w="1260" w:type="dxa"/>
            <w:vAlign w:val="bottom"/>
            <w:gridSpan w:val="3"/>
          </w:tcPr>
          <w:p>
            <w:pPr>
              <w:ind w:left="120"/>
              <w:spacing w:after="0"/>
              <w:rPr>
                <w:sz w:val="20"/>
                <w:szCs w:val="20"/>
                <w:color w:val="auto"/>
              </w:rPr>
            </w:pPr>
            <w:r>
              <w:rPr>
                <w:rFonts w:ascii="Arial" w:cs="Arial" w:eastAsia="Arial" w:hAnsi="Arial"/>
                <w:sz w:val="18"/>
                <w:szCs w:val="18"/>
                <w:b w:val="1"/>
                <w:bCs w:val="1"/>
                <w:color w:val="auto"/>
                <w:w w:val="95"/>
              </w:rPr>
              <w:t>June 30, 2019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Aria Systems, Inc.</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CloudPassage, Inc.</w:t>
            </w:r>
          </w:p>
        </w:tc>
        <w:tc>
          <w:tcPr>
            <w:tcW w:w="2840" w:type="dxa"/>
            <w:vAlign w:val="bottom"/>
          </w:tcPr>
          <w:p>
            <w:pPr>
              <w:spacing w:after="0"/>
              <w:rPr>
                <w:sz w:val="20"/>
                <w:szCs w:val="20"/>
                <w:color w:val="auto"/>
              </w:rPr>
            </w:pPr>
            <w:r>
              <w:rPr>
                <w:rFonts w:ascii="Arial" w:cs="Arial" w:eastAsia="Arial" w:hAnsi="Arial"/>
                <w:sz w:val="18"/>
                <w:szCs w:val="18"/>
                <w:color w:val="auto"/>
              </w:rPr>
              <w:t>Senior Secured Term Loan</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Dejero Labs, Inc.</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Dtex Systems, Inc.</w:t>
            </w:r>
          </w:p>
        </w:tc>
        <w:tc>
          <w:tcPr>
            <w:tcW w:w="2840" w:type="dxa"/>
            <w:vAlign w:val="bottom"/>
          </w:tcPr>
          <w:p>
            <w:pPr>
              <w:spacing w:after="0"/>
              <w:rPr>
                <w:sz w:val="20"/>
                <w:szCs w:val="20"/>
                <w:color w:val="auto"/>
              </w:rPr>
            </w:pPr>
            <w:r>
              <w:rPr>
                <w:rFonts w:ascii="Arial" w:cs="Arial" w:eastAsia="Arial" w:hAnsi="Arial"/>
                <w:sz w:val="18"/>
                <w:szCs w:val="18"/>
                <w:color w:val="auto"/>
              </w:rPr>
              <w:t>Senior Secured Term Loan</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Echo Holdings, Inc.</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eSilicon Corporation</w:t>
            </w:r>
          </w:p>
        </w:tc>
        <w:tc>
          <w:tcPr>
            <w:tcW w:w="2840" w:type="dxa"/>
            <w:vAlign w:val="bottom"/>
          </w:tcPr>
          <w:p>
            <w:pPr>
              <w:spacing w:after="0"/>
              <w:rPr>
                <w:sz w:val="20"/>
                <w:szCs w:val="20"/>
                <w:color w:val="auto"/>
              </w:rPr>
            </w:pPr>
            <w:r>
              <w:rPr>
                <w:rFonts w:ascii="Arial" w:cs="Arial" w:eastAsia="Arial" w:hAnsi="Arial"/>
                <w:sz w:val="18"/>
                <w:szCs w:val="18"/>
                <w:color w:val="auto"/>
              </w:rPr>
              <w:t>Senior Secured Term Loan</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Mobius Imaging, LLC</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Mojix, Inc.</w:t>
            </w:r>
          </w:p>
        </w:tc>
        <w:tc>
          <w:tcPr>
            <w:tcW w:w="2840" w:type="dxa"/>
            <w:vAlign w:val="bottom"/>
          </w:tcPr>
          <w:p>
            <w:pPr>
              <w:spacing w:after="0"/>
              <w:rPr>
                <w:sz w:val="20"/>
                <w:szCs w:val="20"/>
                <w:color w:val="auto"/>
              </w:rPr>
            </w:pPr>
            <w:r>
              <w:rPr>
                <w:rFonts w:ascii="Arial" w:cs="Arial" w:eastAsia="Arial" w:hAnsi="Arial"/>
                <w:sz w:val="18"/>
                <w:szCs w:val="18"/>
                <w:color w:val="auto"/>
              </w:rPr>
              <w:t>Senior Secured Term Loan</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unused commitments to extend financing</w:t>
            </w:r>
          </w:p>
        </w:tc>
        <w:tc>
          <w:tcPr>
            <w:tcW w:w="284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26,000,000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2018, the Company had $41,250,000 in unfunded loan commitments.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management believes that its available cash balances, availability under the Credit Agreement and/or ability to drawdown capital from investors provides sufficient funds to cover its unfunded commitments as of June 30, 2019. The Company has evaluated the expected net future cash flows related to unfunded commitments and determined the fair value to be zero as of each of June 30, 2019 and December 31, 2018.</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is currently not subject to any material legal proceedings, nor, to its knowledge, is any material proceeding threatened against the Company.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4 – Concentration of Credit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normal course of business, the Company maintains its cash balances in financial institutions, which at times may exceed federally insured limits. The Company is subject to credit risk to the extent that any financial institution with which it conducts business is unable to fulfill contractual obligations on its behalf. Management monitors the financial condition of those financial institutions and does not currently anticipate any losses from these counterparties.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Net Increase in Net Assets Resulting from Operations per Common Share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information sets forth the computation of basic income/losses per common share for the three and six months ended June 30,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7"/>
          </w:tcPr>
          <w:p>
            <w:pPr>
              <w:ind w:left="1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8,616,198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2,189,209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14,449,712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3,592,518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for period</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15,727,990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8,692,372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16,280,773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8,680,419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15,727,990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8,692,372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16,280,773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8,680,419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Basic and diluted income per common share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0.55</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0.89</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0.55</w:t>
            </w:r>
          </w:p>
        </w:tc>
        <w:tc>
          <w:tcPr>
            <w:tcW w:w="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0.25</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0.89</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Per share data is based on average weighted shares outstanding.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Net Assets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has the authority to issue 100,000,000 shares of common stock, $0.01 par value per share. The common shares issued, the price per share and the proceeds raised, since inception, are detailed in the following table:</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Issuance Date</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Shares Issued</w:t>
            </w:r>
          </w:p>
        </w:tc>
        <w:tc>
          <w:tcPr>
            <w:tcW w:w="158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Price Per Share</w:t>
            </w:r>
          </w:p>
        </w:tc>
        <w:tc>
          <w:tcPr>
            <w:tcW w:w="1280" w:type="dxa"/>
            <w:vAlign w:val="bottom"/>
            <w:gridSpan w:val="4"/>
          </w:tcPr>
          <w:p>
            <w:pPr>
              <w:spacing w:after="0"/>
              <w:rPr>
                <w:sz w:val="20"/>
                <w:szCs w:val="20"/>
                <w:color w:val="auto"/>
              </w:rPr>
            </w:pPr>
            <w:r>
              <w:rPr>
                <w:rFonts w:ascii="Arial" w:cs="Arial" w:eastAsia="Arial" w:hAnsi="Arial"/>
                <w:sz w:val="18"/>
                <w:szCs w:val="18"/>
                <w:b w:val="1"/>
                <w:bCs w:val="1"/>
                <w:color w:val="auto"/>
                <w:w w:val="91"/>
              </w:rPr>
              <w:t>Gross Proceeds</w:t>
            </w:r>
          </w:p>
        </w:tc>
      </w:tr>
      <w:tr>
        <w:trPr>
          <w:trHeight w:val="210"/>
        </w:trPr>
        <w:tc>
          <w:tcPr>
            <w:tcW w:w="20" w:type="dxa"/>
            <w:vAlign w:val="bottom"/>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8, 2015</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December 22, 2016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333,333</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April 19, 2017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June 26, 2017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1,666,667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September 12, 2017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2,666,667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December 22, 2017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45,000,000</w:t>
            </w:r>
          </w:p>
        </w:tc>
        <w:tc>
          <w:tcPr>
            <w:tcW w:w="8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May 31, 2018 </w:t>
            </w:r>
            <w:r>
              <w:rPr>
                <w:rFonts w:ascii="Arial" w:cs="Arial" w:eastAsia="Arial" w:hAnsi="Arial"/>
                <w:sz w:val="29"/>
                <w:szCs w:val="29"/>
                <w:color w:val="auto"/>
                <w:vertAlign w:val="superscript"/>
              </w:rPr>
              <w:t>(1)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70,563</w:t>
            </w:r>
          </w:p>
        </w:tc>
        <w:tc>
          <w:tcPr>
            <w:tcW w:w="2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1,045,570</w:t>
            </w:r>
          </w:p>
        </w:tc>
        <w:tc>
          <w:tcPr>
            <w:tcW w:w="8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680" w:type="dxa"/>
            <w:vAlign w:val="bottom"/>
          </w:tcPr>
          <w:p>
            <w:pPr>
              <w:spacing w:after="0" w:line="256" w:lineRule="exact"/>
              <w:rPr>
                <w:sz w:val="20"/>
                <w:szCs w:val="20"/>
                <w:color w:val="auto"/>
              </w:rPr>
            </w:pPr>
            <w:r>
              <w:rPr>
                <w:rFonts w:ascii="Arial" w:cs="Arial" w:eastAsia="Arial" w:hAnsi="Arial"/>
                <w:sz w:val="18"/>
                <w:szCs w:val="18"/>
                <w:color w:val="auto"/>
              </w:rPr>
              <w:t xml:space="preserve">August 31, 2018 </w:t>
            </w:r>
            <w:r>
              <w:rPr>
                <w:rFonts w:ascii="Arial" w:cs="Arial" w:eastAsia="Arial" w:hAnsi="Arial"/>
                <w:sz w:val="29"/>
                <w:szCs w:val="29"/>
                <w:color w:val="auto"/>
                <w:vertAlign w:val="superscript"/>
              </w:rPr>
              <w:t>(1)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117,582</w:t>
            </w: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1,754,244</w:t>
            </w:r>
          </w:p>
        </w:tc>
        <w:tc>
          <w:tcPr>
            <w:tcW w:w="8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September 27, 2018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1,997,337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8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680" w:type="dxa"/>
            <w:vAlign w:val="bottom"/>
          </w:tcPr>
          <w:p>
            <w:pPr>
              <w:spacing w:after="0" w:line="256" w:lineRule="exact"/>
              <w:rPr>
                <w:sz w:val="20"/>
                <w:szCs w:val="20"/>
                <w:color w:val="auto"/>
              </w:rPr>
            </w:pPr>
            <w:r>
              <w:rPr>
                <w:rFonts w:ascii="Arial" w:cs="Arial" w:eastAsia="Arial" w:hAnsi="Arial"/>
                <w:sz w:val="18"/>
                <w:szCs w:val="18"/>
                <w:color w:val="auto"/>
              </w:rPr>
              <w:t>November 15, 2018</w:t>
            </w:r>
            <w:r>
              <w:rPr>
                <w:rFonts w:ascii="Arial" w:cs="Arial" w:eastAsia="Arial" w:hAnsi="Arial"/>
                <w:sz w:val="29"/>
                <w:szCs w:val="29"/>
                <w:color w:val="auto"/>
                <w:vertAlign w:val="superscript"/>
              </w:rPr>
              <w:t>(1)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202,779</w:t>
            </w: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15.07</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3,055,498</w:t>
            </w:r>
          </w:p>
        </w:tc>
        <w:tc>
          <w:tcPr>
            <w:tcW w:w="8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January 14, 2019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4,344,964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66,000,000</w:t>
            </w:r>
          </w:p>
        </w:tc>
        <w:tc>
          <w:tcPr>
            <w:tcW w:w="8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680" w:type="dxa"/>
            <w:vAlign w:val="bottom"/>
          </w:tcPr>
          <w:p>
            <w:pPr>
              <w:spacing w:after="0" w:line="256" w:lineRule="exact"/>
              <w:rPr>
                <w:sz w:val="20"/>
                <w:szCs w:val="20"/>
                <w:color w:val="auto"/>
              </w:rPr>
            </w:pPr>
            <w:r>
              <w:rPr>
                <w:rFonts w:ascii="Arial" w:cs="Arial" w:eastAsia="Arial" w:hAnsi="Arial"/>
                <w:sz w:val="18"/>
                <w:szCs w:val="18"/>
                <w:color w:val="auto"/>
              </w:rPr>
              <w:t xml:space="preserve">March 26, 2019 </w:t>
            </w:r>
            <w:r>
              <w:rPr>
                <w:rFonts w:ascii="Arial" w:cs="Arial" w:eastAsia="Arial" w:hAnsi="Arial"/>
                <w:sz w:val="29"/>
                <w:szCs w:val="29"/>
                <w:color w:val="auto"/>
                <w:vertAlign w:val="superscript"/>
              </w:rPr>
              <w:t>(1)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326,431</w:t>
            </w: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15.14</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4,942,168</w:t>
            </w:r>
          </w:p>
        </w:tc>
        <w:tc>
          <w:tcPr>
            <w:tcW w:w="8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May 21, 2019 </w:t>
            </w:r>
            <w:r>
              <w:rPr>
                <w:rFonts w:ascii="Arial" w:cs="Arial" w:eastAsia="Arial" w:hAnsi="Arial"/>
                <w:sz w:val="29"/>
                <w:szCs w:val="29"/>
                <w:color w:val="auto"/>
                <w:vertAlign w:val="superscript"/>
              </w:rPr>
              <w:t>(1)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374,783</w:t>
            </w:r>
          </w:p>
        </w:tc>
        <w:tc>
          <w:tcPr>
            <w:tcW w:w="2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5,670,467</w:t>
            </w:r>
          </w:p>
        </w:tc>
        <w:tc>
          <w:tcPr>
            <w:tcW w:w="8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May 24, 2019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3,232,189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49,000,000</w:t>
            </w:r>
          </w:p>
        </w:tc>
        <w:tc>
          <w:tcPr>
            <w:tcW w:w="8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68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July 16, 2019 </w:t>
            </w:r>
            <w:r>
              <w:rPr>
                <w:rFonts w:ascii="Arial" w:cs="Arial" w:eastAsia="Arial" w:hAnsi="Arial"/>
                <w:sz w:val="30"/>
                <w:szCs w:val="30"/>
                <w:color w:val="auto"/>
                <w:vertAlign w:val="superscript"/>
              </w:rPr>
              <w:t>(1)(2)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465,090</w:t>
            </w:r>
          </w:p>
        </w:tc>
        <w:tc>
          <w:tcPr>
            <w:tcW w:w="2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7,036,800</w:t>
            </w:r>
          </w:p>
        </w:tc>
        <w:tc>
          <w:tcPr>
            <w:tcW w:w="80" w:type="dxa"/>
            <w:vAlign w:val="bottom"/>
            <w:shd w:val="clear" w:color="auto" w:fill="CCEEFF"/>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19,800,052</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298,529,747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Shares were issued as part of the dividend reinvestment plan.</w:t>
      </w:r>
    </w:p>
    <w:p>
      <w:pPr>
        <w:spacing w:after="0" w:line="1" w:lineRule="exact"/>
        <w:rPr>
          <w:rFonts w:ascii="Arial" w:cs="Arial" w:eastAsia="Arial" w:hAnsi="Arial"/>
          <w:sz w:val="30"/>
          <w:szCs w:val="30"/>
          <w:color w:val="auto"/>
          <w:vertAlign w:val="superscript"/>
        </w:rPr>
      </w:pPr>
    </w:p>
    <w:p>
      <w:pPr>
        <w:ind w:left="980" w:hanging="324"/>
        <w:spacing w:after="0" w:line="186" w:lineRule="auto"/>
        <w:tabs>
          <w:tab w:leader="none" w:pos="98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Dividend reinvestment plan shares pending issue as of June 30, 2019.</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each of June 30, 2019 and December 31, 2018, the Company had total commitments of $275,000,000. As of December 31, 2018, $115,000,000 was undrawn. As of June 30, 2019, all capital commitments under the Initial Private Offering had been drawn. Between June 14, 2019 and June 30, 2019, the Company accepted $146,023,500 in capital commitments under its Second Private Offering. No capital commitments under the Second Private Offering had been drawn as of June 30, 2019.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both"/>
        <w:ind w:firstLine="648"/>
        <w:spacing w:after="0" w:line="312" w:lineRule="auto"/>
        <w:rPr>
          <w:sz w:val="20"/>
          <w:szCs w:val="20"/>
          <w:color w:val="auto"/>
        </w:rPr>
      </w:pPr>
      <w:r>
        <w:rPr>
          <w:rFonts w:ascii="Arial" w:cs="Arial" w:eastAsia="Arial" w:hAnsi="Arial"/>
          <w:sz w:val="16"/>
          <w:szCs w:val="16"/>
          <w:color w:val="auto"/>
        </w:rPr>
        <w:t>Capital commitments may be drawn down by the Company on a pro rata basis, as needed, upon not less than ten (10) days’ prior written notice for the purposes of funding the Company’s investments (including follow-on investments), paying the Company’s expenses, including fees under the Amended Advisory Agreement, by and between the Company and RGC, and/or maintaining a reserve account for the payment of future expenses or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Agreements and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Advisory Agreement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November 29, 2016, the Company’s Board of Directors approved an investment advisory agreement between RGC and the Company, under which RGC, subject to the overall supervision of the Board of Directors, manages the day-to-day operations of and provides investment advisory services to the Company. On August 3, 2017, the Board of Directors approved the Amended Advisory Agreement and recommended that the Company’s stockholders approve the Amended Advisory Agreement. The Amended Advisory Agreement became effective on September 12, 2017 after approval by the stockholders at a special meeting of stockholders of the Company. Under the terms of the Amended Advisory Agreement, RGC:</w:t>
      </w:r>
    </w:p>
    <w:p>
      <w:pPr>
        <w:spacing w:after="0" w:line="173"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determines the composition of the Company’s portfolio, the nature and timing of the changes to the portfolio and the manner of implementing such changes;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the Company makes;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executes, closes and monitors the investments the Company makes;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determines the securities and other assets that the Company will purchase, retain or sell;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performs due diligence on prospective investments;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provides the Company with other such investment advisory, research and related services as the Company may, from time to time, reasonably require for the investment of its funds.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Amended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Management Fee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base management fee is payable on the first day of each calendar quarter, is subject to an annual cap based on RGC’s actual operating expenses and is calculated based on the Capital Commitments (as defined below) and assets purchased with borrowed funds or other forms of leverage (collectively, the “Pre-Spin-Off Gross Assets”) during the preceding calendar quarter. For purposes of the Amended Advisory Agreement, “Capital Commitments” is defined as the aggregate amount of capital committed to the Company by investors as of the end of the most recently completed calendar quarter. On September 12, 2017, without changing the base management fee percentage, the Advisory Agreement was amended to provide clarification as to the calculation of the base management fee. Prior to amendment, the base management fee was collected on the first day of each quarter based on an estimate of actual operating expenses, not to exceed 1.75% per annum, for the following quarter with an implied, though not defined “true-up” mechanism effected once all actual costs were known. The Amended Advisory Agreement defines the process and timing of the true-up and base management fee. The base management fee is now collected at the maximum annualized rate of 1.75% per annum with a comparison of actual expenses for the immediately preceding calendar year to occur on or before March 31 of the subsequent calendar year, with any excess management fee collected when compared to actual operating expenses credited against the base management fee payable for subsequent quarters.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ind w:firstLine="648"/>
        <w:spacing w:after="0" w:line="269" w:lineRule="auto"/>
        <w:rPr>
          <w:sz w:val="20"/>
          <w:szCs w:val="20"/>
          <w:color w:val="auto"/>
        </w:rPr>
      </w:pPr>
      <w:r>
        <w:rPr>
          <w:rFonts w:ascii="Arial" w:cs="Arial" w:eastAsia="Arial" w:hAnsi="Arial"/>
          <w:sz w:val="17"/>
          <w:szCs w:val="17"/>
          <w:color w:val="auto"/>
        </w:rPr>
        <w:t>Until the earlier of (1) the consummation of an initial public offering (“IPO”) of the Public Fund (defined below) in connection with a Spin-Off transaction (defined below) and (2) the earliest date at which (a) all Capital Commitments have been called for investments and/or expenses and (b) the Company holds no more than 10.0% of its total assets in cash, the base management fee will be an amount equal to 0.4375% (1.75% annualized) of the Pre-Spin-Off Gross Assets at the end of the most recently completed calendar quarter, provided, however, that the base management fee payable in a calendar year will not exceed the actual operating expenses incurred by RGC during such calendar year (the “Management Fee Cap”). No later than March 31 of each calendar year, RGC will provide the Company a reconciliation of the actual operating expenses incurred by RGC for the prior calendar year and the base management fee paid to RGC for such prior calendar year. To the extent the base management fee paid to RGC for such prior calendar year exceeds the Management Fee Cap (the “Excess Fee”) for such prior calendar year, the base management fee payable to RGC for the second calendar quarter and each subsequent quarter immediately following such calendar year will be reduced by the Excess Fee until such time as the Excess Fee for the prior calendar year has been reduced to zero. For the avoidance of doubt, actual operating expenses of RGC for a particular year will not include any reduction in base management fees as a result of Excess Fees paid by the Company.</w:t>
      </w:r>
    </w:p>
    <w:p>
      <w:pPr>
        <w:spacing w:after="0" w:line="1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 purposes of the Amended Advisory Agreement, a “Spin-Off transaction” includes a transaction whereby the Company offers its stockholders the option to elect to either (i) retain their ownership of shares of the Company’s common stock; (ii) exchange their shares of the Company’s common stock for shares of common stock in a newly formed entity (the “Public Fund”) that will elect to be regulated as a BDC under the 1940 Act and treated as a RIC under Subchapter M of the Code, and will use its commercially reasonable best efforts to complete an IPO of shares of its common stock not later than three years after the Company’s final closing of the Initial Private Offering, which occurred on December 1, 2017; or (iii) exchange their shares of the Company’s common stock for interests of one or more newly formed entities (each, a “Liquidating Fund”) that will each be organized as a limited liability company, and which will, among other things, seek to complete an orderly wind down and/or liquidation of any such Liquidating Fund.</w:t>
      </w:r>
    </w:p>
    <w:p>
      <w:pPr>
        <w:spacing w:after="0" w:line="1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Following the earlier of (1) the consummation of an IPO of the Public Fund in connection with a Spin-Off transaction and (2) the earliest date at which (a) all Capital Commitments have been called for investments and/or expenses and (b) the Company holds no more than 10.0% of its total assets in cash, the base management fee will be an amount equal to 0.4375% (1.75% annualized) of the Company’s average daily Gross Assets (defined below) during the most recently completed calendar quarter for so long as the aggregate amount of Gross Assets of the Company as of the end of the most recently completed calendar quarter is less than $500,000,000. For purposes of the Amended Advisory Agreement, “Gross Assets” is defined as the Company’s gross assets, including assets purchased with borrowed funds or other forms of leverage, as well as any paid-in-kind interest, as of the end of the most recently completed fiscal quarter. If the aggregate amount of the Company’s Gross Assets as of the end of the most recently completed calendar quarter is equal to or greater than $500,000,000, but less than $1,000,000,000, the base management fee will be an amount equal to 0.40% (1.60% annualized) of the Company’s average daily Gross Assets during the most recently completed calendar quarter. If the aggregate amount of the Company’s Gross Assets as of the end of the most recently completed calendar quarter is equal to or greater than $1,000,000,000, the base management fee will be an amount equal to 0.375% (1.50% annualized) of the Company’s average daily Gross Assets during the most recently completed calendar quarter.</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June 13, 2019, the Company had called all Capital Commitments and held less than 10% of its total assets in cash. As such, pursuant to the Amended Advisory Agreement, the base management fee payable to the Company will now be calculated as an amount equal to 0.4375% (1.75% annualized) of the Company’s average daily Gross Assets during the most recently completed calendar quarter for so long as the aggregate amount of Gross Assets of the Company as of the end of the most recently completed calendar quarter is less than $500,000,000.</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RGC earned base management fees of $1,203,125 and $2,406,250, respectively, for each of the three and six months ended June 30, 2019 and 2018.</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Incentive Fee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firstLine="648"/>
        <w:spacing w:after="0" w:line="285" w:lineRule="auto"/>
        <w:rPr>
          <w:sz w:val="20"/>
          <w:szCs w:val="20"/>
          <w:color w:val="auto"/>
        </w:rPr>
      </w:pPr>
      <w:r>
        <w:rPr>
          <w:rFonts w:ascii="Arial" w:cs="Arial" w:eastAsia="Arial" w:hAnsi="Arial"/>
          <w:sz w:val="16"/>
          <w:szCs w:val="16"/>
          <w:color w:val="auto"/>
        </w:rPr>
        <w:t>Under the investment-income component (the “Income Incentive Fee”), the Company will pay RGC each quarter an incentive fee with respect to the Company’s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For this purpose, “Pre-Incentive Fee net investment income”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administration agreement with the Administrator (the “Administration Agreement”), and any dividends paid on any issued and outstanding preferred stock, but excluding the incentive fee); provided however, that Pre-Incentive Fee net investment income will be reduced by multiplying the Pre-Incentive Fee net investment income earned for the quarter by a fraction, the numerator of which is the Company’s average daily Gross Assets during the immediately preceding fiscal quarter minus average daily borrowings during the immediately preceding fiscal quarter, and the denominator of which is the Company’s average daily Gross Assets during the immediately preceding fiscal quarter. Pre-Incentive Fee net investment income includes, in the case of investments with a deferred interest feature (such as original issue discount,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net investment income does not include any realized capital gains, realized capital losses or unrealized capital appreciation or depreciation.</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Pre-Incentive Fee net investment income, expressed as a rate of return on the value of the Company’s net assets (defined as total assets less liabilities) at the end of the immediately preceding fiscal quarter, will be compared to a “hurdle rate” of 2.0% per quarter (8.0% annualized). The Company will pay RGC an Income Incentive Fee with respect to the Company’s Pre-Incentive Fee net investment income in each calendar quarter as follows: (1) no Income Incentive Fee in any calendar quarter in which the Company’s Pre-Incentive Fee net investment income does not exceed the hurdle rate of 2.0%; (2) 80% of the Company’s Pre-Incentive Fee net investment income with respect to that portion of such Pre-Incentive Fee net investment income, if any, that exceeds the hurdle rate but is less than 2.667% in any calendar quarter (10.668% annualized) (the portion of the Company’s Pre-Incentive Fee net investment income that exceeds the hurdle but is less than 2.667% is referred to as the “catch-up”; the “catch-up” is meant to provide RGC with 20.0% of the Company’s Pre-Incentive Fee net investment income as if a hurdle did not apply if the Company’s Pre-Incentive Fee net investment income exceeds 2.667% in any calendar quarter (10.668% annualized)); and (3) 20.0% of the amount of the Company’s Pre-Incentive Fee net investment income, if any, that exceeds 2.667% in any calendar quarter (10.668% annualized) payable to RGC (once the hurdle is reached and the catch-up is achieved, 20.0% of all Pre-Incentive Fee net investment income thereafter is allocated to RGC).</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Until the consummation of an IPO of the Public Fund in connection with a Spin-Off transaction, in the event that (a) the sum of the Company’s cumulative net realized losses since the date of the Company’s election to be regulated as a BDC exceeds 2.0% of the total non-control/non-affiliate investments made by the Company since the date of the Company’s election to be regulated as a BDC through the end of the quarter and (b) the Pre-Incentive Fee net investment income adjusted to include any realized capital gains and losses (“Adjusted Pre-Incentive Fee net investment income”), expressed as an annualized rate of return on the value of the Company’s average daily net assets (defined as total assets less liabilities), since the Company’s election to be regulated as a BDC through the end of the quarter is less than 10.0%, no Income Incentive Fee will be payable for such quarter until the first subsequent quarter in which either (x) the sum of the Company’s cumulative net realized losses since the date of the Company’s election to be regulated as a BDC is equal to or less than 2.0% of the total non-control/non-affiliate investments made by the Company since the date of the Company’s election to be regulated as a BDC through the end of such subsequent quarter or (y) the Adjusted Pre-Incentive Fee net investment income,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will any Income Incentive Fee be payable for any prior quarter after the three-year anniversary of the end of such quarter.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ind w:firstLine="648"/>
        <w:spacing w:after="0" w:line="287" w:lineRule="auto"/>
        <w:rPr>
          <w:sz w:val="20"/>
          <w:szCs w:val="20"/>
          <w:color w:val="auto"/>
        </w:rPr>
      </w:pPr>
      <w:r>
        <w:rPr>
          <w:rFonts w:ascii="Arial" w:cs="Arial" w:eastAsia="Arial" w:hAnsi="Arial"/>
          <w:sz w:val="16"/>
          <w:szCs w:val="16"/>
          <w:color w:val="auto"/>
        </w:rPr>
        <w:t>After the consummation of an IPO of the Public Fund in connection with a Spin-Off transaction, in the event that (a) the sum of the Company’s cumulative net realized losses for the previous four fiscal quarters or, if fewer than four fiscal quarters have passed since such IPO, that number of fiscal quarters since such IPO (the “Look-Back Period”), exceeds 2.0% of the total non-control/non-affiliate investments (i) made by the Company during the Look-Back Period or (ii) transferred to the Public Fund in connection with a Spin-Off transaction during the Look-Back Period and (b) the Adjusted Pre-Incentive Fee net investment income, expressed as an annualized rate of return on the value of the Company’s average daily net assets (defined as total assets less liabilities), during the Look-Back Period is less than 10.0% no Income Incentive Fee will be payable for such quarter until the first subsequent quarter in which (x) the sum of the Company’s cumulative net realized losses for the Look-Back Period is equal to or less than 2.0% of the total non-control/non-affiliate investments (i) made by the Company during the Look-Back Period or (ii) transferred to the Public Fund in connection with a Spin-Off transaction during the Look-Back Period or (y) the Adjusted Pre-Incentive Fee net investment income, expressed as an annualized rate of return on the value of the Company’s average daily net assets (defined as total assets less liabilities), during the Look-Back Period equals or exceeds 10.0%; provided, however, that in no event will any Income Incentive Fee be paid for any prior quarter after the three-year anniversary of the end of such quarter.</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Under the capital-gains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depreciation through the end of such year, less the aggregate amount of any previously paid Capital Gains Fee; provided, however, that the Company will not pay the Capital Gains Fee to RGC for any calendar year in which the sum of the Company’s (1) Pre-Incentive Fee net investment income and (2) realized gains less realized losses and unrealized capital depreciation from the date of the Company’s election to be regulated as a BDC through the end of such calendar year, expressed as a rate of return on the value of the Company’s net assets (defined as total assets less liabilities) at the end of such calendar year is less than 8.0% until the first subsequent calendar quarter in which the sum of the Company’s (1) Pre-Incentive Fee net investment income and (2) realized gains less realized losses and unrealized capital depreciation from the date of the Company’s election to be regulated as a BDC through, and including, the end of such subsequent calendar quarter, expressed as a rate of return on the value of the Company’s net assets (defined as total assets less liabilities) at the end of such calendar quarter is equal to or exceeds 8.0%; provided, further, that in no event will any Capital Gains Fee be paid for any prior year after the three-year anniversary of the end of such year. For the foregoing purpose, the Company’s “aggregate cumulative realized capital gains” will not include any unrealized appreciation. If such amount is negative, then no Capital Gains Fee will be payable for such year.</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RGC earned incentive fees of $2,734,626 and $4,615,995 for the three and six months ended June 30, 2019. RGC earned no incentive fee for the three and six months ended June 30, 2018. $2,442,435 and $4,005,256, respectively, of the incentive fees for the three and six months ended June 30, 2019 were earned, payable in cash, and $292,191 and $610,739, respectively of the incentive fees for the three and six months ended June 30, 2019 were accrued and generated from deferred interest (i.e., PIK and certain discount accretion) and are not payable pending receipt of cash by the Company. Both currently payable in cash and deferred incentive fees are included in accrued incentive fees in the statement of assets and liabilities as of June 30, 2019.</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capital gains incentive fee consists of fees related to realized gains, realized capital losses and unrealized capital depreciation. With respect to the incentive fee expense accrual related to the capital gains incentive fee, U.S. GAAP requires that the capital gains invective fee accrual consider the cumulative aggregate unrealized appreciation in the calculation, as a capital gains incentive fee would be payable if such unrealized appreciation were realized even though such unrealized appreciation is not permitted to be considered in calculating the fee actually payable under the Amended Advisory Agreement. As of each of June 30, 2019 and December 31, 2018, there was no capital gains incentive fee accrued, earned or payable to RGC under the Amended Advisory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Spin-Off Incentive Fee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Income Incentive Fee will be payable in connection with a Spin-Off transaction. The Income Incentive Fee will be calculated as of the date of the completion of each Spin-Off transaction and will equal the amount of Income Incentive Fee that would be payable to RGC if (1) all of the Company’s investments were liquidated for their current value and any unamortized deferred portfolio investment-related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a Spin-Off transaction (x) include the portion of the Income Incentive Fee attributable to deferred interest features of a particular investment that is not transferred pursuant to a Spin-Off transaction until such time as the deferred interest is received in cash, or (y) exceed 20.0% of the Company’s Pre-Incentive Fee net investment income accrued by the Company for the fiscal quarter as of the date of the completion of the Spin-Off transaction. The Company will make the payment of the Income Incentive Fee paid in connection with the completion of a Spin-Off transaction in cash on or immediately following the date of the completion of a Spin-Off transaction. After a Spin-Off transaction, all calculations relating to the incentive fee payable will be made beginning on the day immediately following the completion of the Spin-Off transaction without taking into account the exchanged shares of the Company’s common stock (or contributions, distributions or proceeds relating thereto).</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Capital Gains Fee will be payable in respect of the exchanged shares of the Company’s common stock in connection with a Spin-Off transaction and will be calculated as of the date of the completion of a Spin-Off transaction as if such date were a calendar year-end for purposes of calculating and paying the Capital Gains Fee.</w:t>
      </w:r>
    </w:p>
    <w:p>
      <w:pPr>
        <w:spacing w:after="0" w:line="3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No Income Incentive Fee or Capital Gains Fee will be payable in connection with a Spin-Off transaction unless, on the date of the completion of a Spin-Off transaction, the sum of the Company’s (i) Pre-Incentive Fee net investment income and (ii) realized capital gains less realized capital losses and unrealized capital depreciation from the date of the Company’s election to be regulated as a BDC through, and including, the date of the completion of such Spin-Off transaction, is greater than 8.0% of the cumulative net investments made by the Company since the Company’s election to be regulated as a BDC.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reimburses the Administrator for the allocable portion of overhead and other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certain of its officers, including the Company’s Chief Financial Officer, Chief Compliance Officer and any administrative support staff. Pursuant to the terms of the Administration Agreement, the amounts payable to the Administrator by the Company in any fiscal year will not exceed the greater of (i) 0.75% of the aggregate capital commitments as of the end of the most recently completed fiscal year and (ii) $1.0 million.</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reimbursed the Administrator $318,154 and $564,447 for the three and six months ended June 30, 2019, respectively, and $171,520 and $304,745 for the three and six months ended June 30, 2018, respectively. As of June 30, 2019, the Company had accrued a payable to the Administrator of $127,310. Of the total amount reimbursed and accrued during the three and six months ended June 30, 2019, $175,725 and $359,776, respectively, was related to overhead allocation expense. As of June 30, 2018, the Company accrued a payable to the Administrator of $20,267. Of the total amount reimbursed and accrued during the three and six months ended June 30, 2018, $60,388 and $178,502, respectively, was related to overhead allocation expense. The Company reimbursed the Administrator $614,405 during the year ended December 31, 2018 and accrued a payable of $116,697 due to the Administrator as of December 31, 2018. Administration fees were $103,291 and $284,865 for the three and six months ended June 30, 2019, respectively. Administration fees were $41,158 and $98,303 for the three and six months ended June 30, 2018, respectively.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entered into a license agreement with RGC (the “License Agreement”) pursuant to which RGC has granted the Company a personal, non-exclusive, royalty-free right and license to use the name “Runway Growth Credit Fund”. Under the License Agreement, the Company has the right to use the “Runway Growth Credit Fund” name for so long as RGC or one of its affiliates remains the Company’s investment adviser. Other than with respect to this limited license, the Company has no legal right to the “Runway Growth Credit Fund” name.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Oaktree Strategic Relationship</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2016, RGC entered into a strategic relationship with Oaktree Capital Management, L.P. (“Oaktree”). In connection with the strategic relationship, OCM Growth Holdings, LLC, a Delaware limited liability company (“OCM”) managed by Oaktree, made an initial $125.0 million capital commitment to the Company, which was subsequently increased to $139.0 million (the “Initial OCM Commitment”). On June 14, 2019, the Company accepted a capital commitment from OCM in the amount of $112.5 million (the “Subsequent OCM Commitment and, together with the Initial OCM Commitment, the “OCM Commitment”). OCM has granted a proxy to the Company pursuant to which the shares held by OCM will be voted in the same proportion as the Company’s other stockholders vote their shares.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connection with the OCM Commitment, the Company entered into a stockholder agreement, dated December 15, 2016, with OCM, pursuant to which OCM has a right to nominate a member of the Company’s Board of Directors for election. Brian Laibow was appointed to the Company’s Board of Directors as OCM’s representative. OCM also holds an interest in RGC and has the right to appoint a member of RGC’s board of managers and a member of RGC’s investment committee. Brian Laibow is OCM’s initial appointee to RGC’s board of managers and investment committee. In connection with the Subsequent OCM Commitment, the Company expects OCM to purchase additional equity in RGC.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assets recorded at fair value have been categorized based upon a fair value hierarchy in accordance with ASC Topic 820. See Note 2 for discussion of the Company’s policies.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present information about the Company’s assets measured at fair value as of June 30, 2019 and December 31, 2018,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9"/>
              </w:rPr>
              <w:t>As of June 30, 2019 (Unaudited)</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60"/>
              <w:spacing w:after="0"/>
              <w:rPr>
                <w:sz w:val="20"/>
                <w:szCs w:val="20"/>
                <w:color w:val="auto"/>
              </w:rPr>
            </w:pPr>
            <w:r>
              <w:rPr>
                <w:rFonts w:ascii="Arial" w:cs="Arial" w:eastAsia="Arial" w:hAnsi="Arial"/>
                <w:sz w:val="18"/>
                <w:szCs w:val="18"/>
                <w:color w:val="auto"/>
              </w:rPr>
              <w:t>Senior Secured Term Loans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264,357,266</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264,357,266</w:t>
            </w:r>
          </w:p>
        </w:tc>
      </w:tr>
      <w:tr>
        <w:trPr>
          <w:trHeight w:val="216"/>
        </w:trPr>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461,826</w:t>
            </w:r>
          </w:p>
        </w:tc>
      </w:tr>
      <w:tr>
        <w:trPr>
          <w:trHeight w:val="230"/>
        </w:trPr>
        <w:tc>
          <w:tcPr>
            <w:tcW w:w="5620" w:type="dxa"/>
            <w:vAlign w:val="bottom"/>
          </w:tcPr>
          <w:p>
            <w:pPr>
              <w:ind w:left="16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15,206,802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15,206,802</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280,025,894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280,025,894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b w:val="1"/>
                <w:bCs w:val="1"/>
                <w:color w:val="auto"/>
              </w:rPr>
              <w:t>U.S. Treasury Bill</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85,980,815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85,980,815</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85,980,815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280,025,894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366,006,709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ind w:left="180"/>
              <w:spacing w:after="0"/>
              <w:rPr>
                <w:sz w:val="20"/>
                <w:szCs w:val="20"/>
                <w:color w:val="auto"/>
              </w:rPr>
            </w:pPr>
            <w:r>
              <w:rPr>
                <w:rFonts w:ascii="Arial" w:cs="Arial" w:eastAsia="Arial" w:hAnsi="Arial"/>
                <w:sz w:val="18"/>
                <w:szCs w:val="18"/>
                <w:b w:val="1"/>
                <w:bCs w:val="1"/>
                <w:color w:val="auto"/>
              </w:rPr>
              <w:t>As of December 31, 2018</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60"/>
              <w:spacing w:after="0"/>
              <w:rPr>
                <w:sz w:val="20"/>
                <w:szCs w:val="20"/>
                <w:color w:val="auto"/>
              </w:rPr>
            </w:pPr>
            <w:r>
              <w:rPr>
                <w:rFonts w:ascii="Arial" w:cs="Arial" w:eastAsia="Arial" w:hAnsi="Arial"/>
                <w:sz w:val="18"/>
                <w:szCs w:val="18"/>
                <w:color w:val="auto"/>
              </w:rPr>
              <w:t>Senior Secured Term Loans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208,539,353</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208,539,353</w:t>
            </w:r>
          </w:p>
        </w:tc>
      </w:tr>
      <w:tr>
        <w:trPr>
          <w:trHeight w:val="216"/>
        </w:trPr>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461,826</w:t>
            </w:r>
          </w:p>
        </w:tc>
      </w:tr>
      <w:tr>
        <w:trPr>
          <w:trHeight w:val="230"/>
        </w:trPr>
        <w:tc>
          <w:tcPr>
            <w:tcW w:w="5620" w:type="dxa"/>
            <w:vAlign w:val="bottom"/>
          </w:tcPr>
          <w:p>
            <w:pPr>
              <w:ind w:left="160"/>
              <w:spacing w:after="0"/>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15,247,210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15,247,210</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224,248,389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224,248,389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b w:val="1"/>
                <w:bCs w:val="1"/>
                <w:color w:val="auto"/>
              </w:rPr>
              <w:t>U.S. Treasury Bill</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79,959,928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79,959,928</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79,959,928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224,348,389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304,208,317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33</w:t>
            </w: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5" w:name="page36"/>
    <w:bookmarkEnd w:id="35"/>
    <w:p>
      <w:pPr>
        <w:ind w:right="440"/>
        <w:spacing w:after="0" w:line="277" w:lineRule="auto"/>
        <w:rPr>
          <w:sz w:val="20"/>
          <w:szCs w:val="20"/>
          <w:color w:val="auto"/>
        </w:rPr>
      </w:pPr>
      <w:r>
        <w:rPr>
          <w:rFonts w:ascii="Arial" w:cs="Arial" w:eastAsia="Arial" w:hAnsi="Arial"/>
          <w:sz w:val="18"/>
          <w:szCs w:val="18"/>
          <w:color w:val="auto"/>
        </w:rPr>
        <w:t>The Company recognizes transfers into and out of the levels indicated above at the end of the reporting period. There were no transfers into or out of the levels during the period ended June 30, 2019 and the year ended December 31,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rollforward of Level 3 assets measured at fair value as of June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9"/>
              </w:rPr>
              <w:t>Senior Secured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Preferred Stock</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Term Loans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Warrants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December 31, 2018</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461,826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208,539,353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15,247,210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224,248,389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Amortization of fixed income premiums or discounts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5,978,725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5,978,725</w:t>
            </w: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Purchases of investments </w:t>
            </w:r>
            <w:r>
              <w:rPr>
                <w:rFonts w:ascii="Arial" w:cs="Arial" w:eastAsia="Arial" w:hAnsi="Arial"/>
                <w:sz w:val="29"/>
                <w:szCs w:val="29"/>
                <w:color w:val="auto"/>
                <w:vertAlign w:val="superscript"/>
              </w:rPr>
              <w:t>(1)</w:t>
            </w: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139,459,965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2,394,809</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141,854,774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Sales of investments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(86,045,780)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(1,015,891)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(87,061,671)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Reorganizations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Realized gain</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493,308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493,308</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 (loss)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(3,574,997)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(1,912,634)</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(5,487,631)</w:t>
            </w:r>
          </w:p>
        </w:tc>
      </w:tr>
      <w:tr>
        <w:trPr>
          <w:trHeight w:val="26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at June 30, 2019</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461,826</w:t>
            </w:r>
          </w:p>
        </w:tc>
        <w:tc>
          <w:tcPr>
            <w:tcW w:w="2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264,357,266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15,206,802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280,025,894</w:t>
            </w:r>
          </w:p>
        </w:tc>
        <w:tc>
          <w:tcPr>
            <w:tcW w:w="100" w:type="dxa"/>
            <w:vAlign w:val="bottom"/>
            <w:tcBorders>
              <w:bottom w:val="single" w:sz="8" w:color="CCEEFF"/>
            </w:tcBorders>
          </w:tcPr>
          <w:p>
            <w:pPr>
              <w:spacing w:after="0"/>
              <w:rPr>
                <w:sz w:val="22"/>
                <w:szCs w:val="22"/>
                <w:color w:val="auto"/>
              </w:rPr>
            </w:pPr>
          </w:p>
        </w:tc>
      </w:tr>
      <w:tr>
        <w:trPr>
          <w:trHeight w:val="155"/>
        </w:trPr>
        <w:tc>
          <w:tcPr>
            <w:tcW w:w="56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9"/>
              </w:rPr>
              <w:t>Change in unrealized gain (loss) on Level 3 investments still held as of</w:t>
            </w: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57"/>
        </w:trPr>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30, 2019</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(2,572,318)</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(1,303,799)</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(3,876,117)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87"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Includes PIK interest, reorganization and restructuring of investments.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rollforward of Level 3 assets measured at fair value as of June 30,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Senior Secured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w w:val="93"/>
              </w:rPr>
              <w:t>Preferred Stock</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Term Loans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Warrants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December 31, 2017</w:t>
            </w: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63,977,756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4,239,103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68,216,859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Amortization of fixed income premiums or discounts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1,980,637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1,980,637</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74,689,235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1,432,263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76,121,498</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Sales of investments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(9,500,629)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(92,724)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(9,593,353)</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Reorganizations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(114,629)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114,629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Realized gain</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59,792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59,792</w:t>
            </w:r>
          </w:p>
        </w:tc>
      </w:tr>
      <w:tr>
        <w:trPr>
          <w:trHeight w:val="23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 (loss)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(757,720)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(795,226)</w:t>
            </w:r>
          </w:p>
        </w:tc>
      </w:tr>
      <w:tr>
        <w:trPr>
          <w:trHeight w:val="263"/>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at June 30, 2018</w:t>
            </w:r>
          </w:p>
        </w:tc>
        <w:tc>
          <w:tcPr>
            <w:tcW w:w="220" w:type="dxa"/>
            <w:vAlign w:val="bottom"/>
            <w:tcBorders>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130,994,864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4,995,343</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135,990,207</w:t>
            </w:r>
          </w:p>
        </w:tc>
        <w:tc>
          <w:tcPr>
            <w:tcW w:w="100" w:type="dxa"/>
            <w:vAlign w:val="bottom"/>
            <w:tcBorders>
              <w:bottom w:val="single" w:sz="8" w:color="CCEEFF"/>
            </w:tcBorders>
          </w:tcPr>
          <w:p>
            <w:pPr>
              <w:spacing w:after="0"/>
              <w:rPr>
                <w:sz w:val="22"/>
                <w:szCs w:val="22"/>
                <w:color w:val="auto"/>
              </w:rPr>
            </w:pPr>
          </w:p>
        </w:tc>
      </w:tr>
      <w:tr>
        <w:trPr>
          <w:trHeight w:val="155"/>
        </w:trPr>
        <w:tc>
          <w:tcPr>
            <w:tcW w:w="536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5"/>
              </w:rPr>
              <w:t>Change in unrealized gain (loss) on Level 3 investments still held as of</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57"/>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2018</w:t>
            </w:r>
          </w:p>
        </w:tc>
        <w:tc>
          <w:tcPr>
            <w:tcW w:w="152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(37,506)</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(757,720)</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(795,226)</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as of June 30,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vMerge w:val="restart"/>
          </w:tcPr>
          <w:p>
            <w:pPr>
              <w:ind w:left="18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Fair Value</w:t>
            </w: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Valuation</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Unobservable</w:t>
            </w: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Range (Weighted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Technique</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Inputs</w:t>
            </w: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36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Preferred Stock</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1"/>
              </w:rPr>
              <w:t>Recent private market and</w:t>
            </w: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merger and acquisition</w:t>
            </w: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461,826</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transaction prices</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60" w:type="dxa"/>
            <w:vAlign w:val="bottom"/>
            <w:shd w:val="clear" w:color="auto" w:fill="CCEEFF"/>
          </w:tcPr>
          <w:p>
            <w:pPr>
              <w:spacing w:after="0" w:line="171" w:lineRule="exact"/>
              <w:rPr>
                <w:sz w:val="20"/>
                <w:szCs w:val="20"/>
                <w:color w:val="auto"/>
              </w:rPr>
            </w:pPr>
            <w:r>
              <w:rPr>
                <w:rFonts w:ascii="Arial" w:cs="Arial" w:eastAsia="Arial" w:hAnsi="Arial"/>
                <w:sz w:val="12"/>
                <w:szCs w:val="12"/>
                <w:b w:val="1"/>
                <w:bCs w:val="1"/>
                <w:color w:val="auto"/>
              </w:rPr>
              <w:t xml:space="preserve">Senior Secured Term Loans </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249,025,346</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Discounted Cash Flow analysis</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Discount rate</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12.7%-30.0% (17.0%)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3"/>
              </w:rPr>
              <w:t>Market approach</w:t>
            </w:r>
          </w:p>
        </w:tc>
        <w:tc>
          <w:tcPr>
            <w:tcW w:w="18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Origination yield</w:t>
            </w:r>
          </w:p>
        </w:tc>
        <w:tc>
          <w:tcPr>
            <w:tcW w:w="1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12.7%-26.0% (15.4%)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15,331,920</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PWERM</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Discount rate</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22.36%-40.9% (29.7%)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360" w:type="dxa"/>
            <w:vAlign w:val="bottom"/>
            <w:shd w:val="clear" w:color="auto" w:fill="CCEEFF"/>
          </w:tcPr>
          <w:p>
            <w:pPr>
              <w:spacing w:after="0" w:line="184" w:lineRule="exact"/>
              <w:rPr>
                <w:sz w:val="20"/>
                <w:szCs w:val="20"/>
                <w:color w:val="auto"/>
              </w:rPr>
            </w:pPr>
            <w:r>
              <w:rPr>
                <w:rFonts w:ascii="Arial" w:cs="Arial" w:eastAsia="Arial" w:hAnsi="Arial"/>
                <w:sz w:val="13"/>
                <w:szCs w:val="13"/>
                <w:b w:val="1"/>
                <w:bCs w:val="1"/>
                <w:color w:val="auto"/>
              </w:rPr>
              <w:t xml:space="preserve">Warrants </w:t>
            </w:r>
            <w:r>
              <w:rPr>
                <w:rFonts w:ascii="Arial" w:cs="Arial" w:eastAsia="Arial" w:hAnsi="Arial"/>
                <w:sz w:val="21"/>
                <w:szCs w:val="21"/>
                <w:b w:val="1"/>
                <w:bCs w:val="1"/>
                <w:color w:val="auto"/>
                <w:vertAlign w:val="superscript"/>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15,206,802</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Black-Scholes model</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Risk-free interest rate</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1.7%-1.9% (1.7%)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Average industry volatility</w:t>
            </w:r>
          </w:p>
        </w:tc>
        <w:tc>
          <w:tcPr>
            <w:tcW w:w="1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7.0%-65.0% (30.3%)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Estimated time to exit</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 years-6.4 years (2.9 years)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Level 3 Investments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280,025,894</w:t>
            </w: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as of December 31,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vMerge w:val="restart"/>
          </w:tcPr>
          <w:p>
            <w:pPr>
              <w:ind w:left="18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1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Valuation</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Unobservable</w:t>
            </w: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Range (Weighted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Technique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Inputs</w:t>
            </w: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36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Preferred Stock</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Recent private market and</w:t>
            </w:r>
          </w:p>
        </w:tc>
        <w:tc>
          <w:tcPr>
            <w:tcW w:w="1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3"/>
              </w:rPr>
              <w:t>merger and acquisition</w:t>
            </w: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461,826</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transaction prices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60" w:type="dxa"/>
            <w:vAlign w:val="bottom"/>
            <w:shd w:val="clear" w:color="auto" w:fill="CCEEFF"/>
          </w:tcPr>
          <w:p>
            <w:pPr>
              <w:spacing w:after="0" w:line="171" w:lineRule="exact"/>
              <w:rPr>
                <w:sz w:val="20"/>
                <w:szCs w:val="20"/>
                <w:color w:val="auto"/>
              </w:rPr>
            </w:pPr>
            <w:r>
              <w:rPr>
                <w:rFonts w:ascii="Arial" w:cs="Arial" w:eastAsia="Arial" w:hAnsi="Arial"/>
                <w:sz w:val="12"/>
                <w:szCs w:val="12"/>
                <w:b w:val="1"/>
                <w:bCs w:val="1"/>
                <w:color w:val="auto"/>
              </w:rPr>
              <w:t xml:space="preserve">Senior Secured Term Loans </w:t>
            </w:r>
            <w:r>
              <w:rPr>
                <w:rFonts w:ascii="Arial" w:cs="Arial" w:eastAsia="Arial" w:hAnsi="Arial"/>
                <w:sz w:val="19"/>
                <w:szCs w:val="19"/>
                <w:color w:val="auto"/>
                <w:vertAlign w:val="superscript"/>
              </w:rPr>
              <w:t>(1)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200,740,155</w:t>
            </w:r>
          </w:p>
        </w:tc>
        <w:tc>
          <w:tcPr>
            <w:tcW w:w="22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7"/>
              </w:rPr>
              <w:t>Discounted Cash Flow analysis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Discount rate</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14.6%-30.3% (18.4%)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3"/>
              </w:rPr>
              <w:t>Market approach</w:t>
            </w:r>
          </w:p>
        </w:tc>
        <w:tc>
          <w:tcPr>
            <w:tcW w:w="18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7"/>
              </w:rPr>
              <w:t>Origination yield</w:t>
            </w:r>
          </w:p>
        </w:tc>
        <w:tc>
          <w:tcPr>
            <w:tcW w:w="1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13.8%-26.0% (16.8%)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7,799,198</w:t>
            </w:r>
          </w:p>
        </w:tc>
        <w:tc>
          <w:tcPr>
            <w:tcW w:w="22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PWERM</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Discount rate</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24.4%-62.0% (40.3%)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60" w:type="dxa"/>
            <w:vAlign w:val="bottom"/>
            <w:shd w:val="clear" w:color="auto" w:fill="CCEEFF"/>
          </w:tcPr>
          <w:p>
            <w:pPr>
              <w:spacing w:after="0" w:line="171" w:lineRule="exact"/>
              <w:rPr>
                <w:sz w:val="20"/>
                <w:szCs w:val="20"/>
                <w:color w:val="auto"/>
              </w:rPr>
            </w:pPr>
            <w:r>
              <w:rPr>
                <w:rFonts w:ascii="Arial" w:cs="Arial" w:eastAsia="Arial" w:hAnsi="Arial"/>
                <w:sz w:val="12"/>
                <w:szCs w:val="12"/>
                <w:b w:val="1"/>
                <w:bCs w:val="1"/>
                <w:color w:val="auto"/>
              </w:rPr>
              <w:t xml:space="preserve">Warrants </w:t>
            </w:r>
            <w:r>
              <w:rPr>
                <w:rFonts w:ascii="Arial" w:cs="Arial" w:eastAsia="Arial" w:hAnsi="Arial"/>
                <w:sz w:val="19"/>
                <w:szCs w:val="19"/>
                <w:color w:val="auto"/>
                <w:vertAlign w:val="superscript"/>
              </w:rPr>
              <w:t>(2)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13,667,210</w:t>
            </w:r>
          </w:p>
        </w:tc>
        <w:tc>
          <w:tcPr>
            <w:tcW w:w="22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Black-Scholes model</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Risk-free interest rate</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2.5%-2.6% (2.5%)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Average industry volatility</w:t>
            </w:r>
          </w:p>
        </w:tc>
        <w:tc>
          <w:tcPr>
            <w:tcW w:w="1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8.0%-60.0% (25.2%)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Estimated time to exit</w:t>
            </w:r>
          </w:p>
        </w:tc>
        <w:tc>
          <w:tcPr>
            <w:tcW w:w="1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0.5 years-7.1 years (4.1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1,580,000</w:t>
            </w:r>
          </w:p>
        </w:tc>
        <w:tc>
          <w:tcPr>
            <w:tcW w:w="22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Monte Carlo simulation</w:t>
            </w:r>
          </w:p>
        </w:tc>
        <w:tc>
          <w:tcPr>
            <w:tcW w:w="18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Risk-free interest rate</w:t>
            </w:r>
          </w:p>
        </w:tc>
        <w:tc>
          <w:tcPr>
            <w:tcW w:w="1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Average industry volatility</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Level 3 Investments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224,248,389</w:t>
            </w:r>
          </w:p>
        </w:tc>
        <w:tc>
          <w:tcPr>
            <w:tcW w:w="2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0" w:lineRule="auto"/>
        <w:tabs>
          <w:tab w:leader="none" w:pos="66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(decreases) in the inputs in isolation may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207" w:lineRule="exact"/>
        <w:rPr>
          <w:rFonts w:ascii="Arial" w:cs="Arial" w:eastAsia="Arial" w:hAnsi="Arial"/>
          <w:sz w:val="30"/>
          <w:szCs w:val="30"/>
          <w:color w:val="auto"/>
          <w:vertAlign w:val="superscript"/>
        </w:rPr>
      </w:pPr>
    </w:p>
    <w:p>
      <w:pPr>
        <w:jc w:val="both"/>
        <w:ind w:left="660" w:hanging="328"/>
        <w:spacing w:after="0" w:line="242" w:lineRule="auto"/>
        <w:tabs>
          <w:tab w:leader="none" w:pos="66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The significant unobservable inputs used in the fair value measurement of the Company’s warrant and equity-related securities are inputs used in the Black Scholes option pricing model (“OPM”) which include industry volatility, risk free interest rate and estimated time to exit.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 For some investments, additional consideration may be given to data from the last round of financing or merger/acquisition events near the measurement 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 Financial Instruments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Warrants provide exposure and potential gains upon equity appreciation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Counterparty risk exists from the potential failure of an issuer of warrants to settle its exercised warrants. The maximum risk of loss from counterparty risk is the fair value of the contracts and the purchase price of the warrants. The Company’s Board of Directors considers the effects of counterparty risk when determining the fair value of its investments in warrants.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Credit Facilities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May 31, 2019, the Company entered into a Credit Agreement (the “Credit Agreement”) by and among the Company, as borrower, KeyBank National Association, as administrative agent, syndication agent, and a lender, CIBC Bank USA, as documentation agent and a lender, U.S. Bank National Association, as paying agent, the guarantors from time to time party thereto, and the other lenders from time to time party thereto.</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There can be no assurances that existing lenders will agree to such an increase, or that additional lenders will join the credit facility to increase available borrowings.</w:t>
      </w:r>
    </w:p>
    <w:p>
      <w:pPr>
        <w:spacing w:after="0" w:line="19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w:t>
      </w:r>
    </w:p>
    <w:p>
      <w:pPr>
        <w:spacing w:after="0" w:line="3" w:lineRule="exact"/>
        <w:rPr>
          <w:sz w:val="20"/>
          <w:szCs w:val="20"/>
          <w:color w:val="auto"/>
        </w:rPr>
      </w:pPr>
    </w:p>
    <w:p>
      <w:pPr>
        <w:jc w:val="both"/>
        <w:ind w:firstLine="8"/>
        <w:spacing w:after="0" w:line="254" w:lineRule="auto"/>
        <w:tabs>
          <w:tab w:leader="none" w:pos="2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funds rate plus 0.50% and (y) 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w:t>
      </w:r>
    </w:p>
    <w:p>
      <w:pPr>
        <w:spacing w:after="0" w:line="1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availability period under the Credit Agreement expires on May 31, 2022 and is followed by a two-year amortization period. The stated maturity date under the Credit Agreement is May 31, 2024.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Credit Agreement is secured by a perfected first priority security interest in substantially all of the Company’s assets and portfolio investments.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38" w:name="page39"/>
    <w:bookmarkEnd w:id="38"/>
    <w:p>
      <w:pPr>
        <w:jc w:val="both"/>
        <w:ind w:firstLine="648"/>
        <w:spacing w:after="0" w:line="288" w:lineRule="auto"/>
        <w:rPr>
          <w:sz w:val="20"/>
          <w:szCs w:val="20"/>
          <w:color w:val="auto"/>
        </w:rPr>
      </w:pPr>
      <w:r>
        <w:rPr>
          <w:rFonts w:ascii="Arial" w:cs="Arial" w:eastAsia="Arial" w:hAnsi="Arial"/>
          <w:sz w:val="16"/>
          <w:szCs w:val="16"/>
          <w:color w:val="auto"/>
        </w:rPr>
        <w:t>The Credit Agreement contains certain customary covenants and events of default for secured revolving credit facilities of this nature, including, without limitation, maintenance of a tangible net worth as of the last day of each fiscal quarter in excess of the greater of (i) $125 million plus 75% of the net proceeds of sales of equity interests in the Company and (ii) the loan balance of the Company’s four largest obligors; maintenance of an asset coverage ratio as of the last day of each fiscal quarter that equals or exceeds the greater of 150% and the ratio otherwise applicable to the Company under the 1940 Act; maintenance of an interest coverage ratio as of the last day of each fiscal quarter of 2.00 to 1.00; maintenance of a minimum liquidity amount as of the last day of each fiscal quarter; net income not being negative for two consecutive fiscal quarters or any trailing 12-month period; a limitation on incurring additional indebtedness without the prior written consent of the administrative agent (subject to limited exceptions); certain change-of-control events occur at the Company or the Company’s investment adviser; the departure of certain key persons from the Company or the Company’s investment adviser; RGC ceases to be the Company’s investment adviser; maintenance of business-development-company status and regulated-investment-company status; nonpayment; misrepresentation of representations and warranties; breach of covenant; and certain bankruptcy and liquidation events.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22, 2018, the Company entered into a demand loan agreement (the “Uncommitted Facility”) and a revolving loan agreement (the “Committed Facility,” and together with the Uncommitted Facility, the “Credit Facilities”) with CIBC Bank USA (“CIBC”). An amendment to the Credit Facilities was entered into on September 24, 2018 between the Company and CIBC. On May 31, 2019, in conjunction with securing and entering into the new Credit Agreement, the Company terminated the Credit Facilities.</w:t>
      </w:r>
    </w:p>
    <w:p>
      <w:pPr>
        <w:spacing w:after="0" w:line="187" w:lineRule="exact"/>
        <w:rPr>
          <w:sz w:val="20"/>
          <w:szCs w:val="20"/>
          <w:color w:val="auto"/>
        </w:rPr>
      </w:pPr>
    </w:p>
    <w:p>
      <w:pPr>
        <w:jc w:val="both"/>
        <w:ind w:firstLine="692"/>
        <w:spacing w:after="0" w:line="257" w:lineRule="auto"/>
        <w:rPr>
          <w:sz w:val="20"/>
          <w:szCs w:val="20"/>
          <w:color w:val="auto"/>
        </w:rPr>
      </w:pPr>
      <w:r>
        <w:rPr>
          <w:rFonts w:ascii="Arial" w:cs="Arial" w:eastAsia="Arial" w:hAnsi="Arial"/>
          <w:sz w:val="18"/>
          <w:szCs w:val="18"/>
          <w:color w:val="auto"/>
        </w:rPr>
        <w:t>The maximum principal amount of available borrowings under each of the Uncommitted Facility and the Committed Facility was $30 million (for a combined maximum principal amount under the Credit Facilities of $60 million), subject in each case to availability under the borrowing base, which is based on unused capital commitments. Borrowings under the Credit Facilities bear interest, at the Company’s election at the time of drawdown, at a rate per annum equal to (i) in the case of LIBOR rate loans, the LIBOR rate for the applicable interest period plus 2.50% or (ii) in the case of prime rate loans, CIBC’s prime commercial rate at the time of the borrowing minus 0.50%.</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Credit Facilities are secured by a perfected first priority security interest in the Company’s right, title, and interest in and to the capital commitments of the Company’s private investors, including the Company’s right to make capital calls, receive and apply capital contributions, enforce remedies and claims related thereto together with capital call proceeds and related rights, and a pledge of the collateral account into which capital call proceeds are deposited.</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Credit Facilities contain customary covenants and events of default for such subscription credit facilities (with customary cure and notice provisions), including, without limitation, maintenance of RIC status; nonpayment; misrepresentation of representations and warranties; breach of covenant; certain bankruptcy and liquidation events; change of control at RGC; the Amended Advisory Agreement or the Administration Agreement, ceasing to remain in effect; investors with aggregate capital commitments to the Company in excess of fifteen percent (15%) of the aggregate capital commitments of all investors in the Company failing to make capital contributions within ten (10) business days of when required; and the commitment period of the Company’s investors terminating because the Company engages in a Spin-Off transaction.</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2019, the Company had $0 outstanding under the Credit Agreement and the Credit Facilities. For the three and six months ended June 30, 2019, the weighted average outstanding debt balance was $1,717,033 and $5,348,066, respectively, and the weighted average effective interest rate under the Credit Agreement and Credit Facilities was 5.00% and 5.00%,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color w:val="auto"/>
        </w:rPr>
        <w:t>As of December 31, 2018, the Company had $59,500,000 outstanding under the Credit Facilities with maturities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380"/>
              <w:spacing w:after="0"/>
              <w:rPr>
                <w:sz w:val="20"/>
                <w:szCs w:val="20"/>
                <w:color w:val="auto"/>
              </w:rPr>
            </w:pPr>
            <w:r>
              <w:rPr>
                <w:rFonts w:ascii="Arial" w:cs="Arial" w:eastAsia="Arial" w:hAnsi="Arial"/>
                <w:sz w:val="18"/>
                <w:szCs w:val="18"/>
                <w:b w:val="1"/>
                <w:bCs w:val="1"/>
                <w:color w:val="auto"/>
              </w:rPr>
              <w:t>Date of</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500" w:type="dxa"/>
            <w:vAlign w:val="bottom"/>
            <w:tcBorders>
              <w:bottom w:val="single" w:sz="8" w:color="auto"/>
            </w:tcBorders>
          </w:tcPr>
          <w:p>
            <w:pPr>
              <w:ind w:left="2240"/>
              <w:spacing w:after="0"/>
              <w:rPr>
                <w:sz w:val="20"/>
                <w:szCs w:val="20"/>
                <w:color w:val="auto"/>
              </w:rPr>
            </w:pPr>
            <w:r>
              <w:rPr>
                <w:rFonts w:ascii="Arial" w:cs="Arial" w:eastAsia="Arial" w:hAnsi="Arial"/>
                <w:sz w:val="18"/>
                <w:szCs w:val="18"/>
                <w:b w:val="1"/>
                <w:bCs w:val="1"/>
                <w:color w:val="auto"/>
              </w:rPr>
              <w:t>Loan Facility</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Advance</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Due Date</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Rate</w:t>
            </w:r>
          </w:p>
        </w:tc>
        <w:tc>
          <w:tcPr>
            <w:tcW w:w="160" w:type="dxa"/>
            <w:vAlign w:val="bottom"/>
            <w:tcBorders>
              <w:bottom w:val="single" w:sz="8" w:color="CCEEFF"/>
            </w:tcBorders>
          </w:tcPr>
          <w:p>
            <w:pPr>
              <w:spacing w:after="0"/>
              <w:rPr>
                <w:sz w:val="20"/>
                <w:szCs w:val="20"/>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CIBC Bank USA Committed Loan Facility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10/22/2018</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4/20/2019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CIBC Bank USA Committed Loan Facility</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11/23/2018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5/22/2019</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14,000,000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CIBC Bank USA Committed Loan Facility</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12/3/2018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6/1/2019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CIBC Bank USA Demand Loan Facility</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12/3/2018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6/1/2019</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4,000,000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CIBC Bank USA Demand Loan Facility</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12/20/2018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6/18/2019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16,500,000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CIBC Bank USA Demand Loan Facility</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12/28/2018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6/26/2019</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9,000,000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23"/>
        </w:trPr>
        <w:tc>
          <w:tcPr>
            <w:tcW w:w="55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Note 11 – Financial Highlights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7660" w:type="dxa"/>
            <w:vAlign w:val="bottom"/>
          </w:tcPr>
          <w:p>
            <w:pPr>
              <w:spacing w:after="0"/>
              <w:rPr>
                <w:sz w:val="24"/>
                <w:szCs w:val="24"/>
                <w:color w:val="auto"/>
              </w:rPr>
            </w:pPr>
          </w:p>
        </w:tc>
        <w:tc>
          <w:tcPr>
            <w:tcW w:w="196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w:t>
            </w: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w w:val="99"/>
              </w:rPr>
              <w:t>Three Months Ended</w:t>
            </w:r>
          </w:p>
        </w:tc>
      </w:tr>
      <w:tr>
        <w:trPr>
          <w:trHeight w:val="216"/>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5"/>
              </w:rPr>
              <w:t>June 30, 2019</w:t>
            </w:r>
          </w:p>
        </w:tc>
        <w:tc>
          <w:tcPr>
            <w:tcW w:w="20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June 30, 2018</w:t>
            </w:r>
          </w:p>
        </w:tc>
      </w:tr>
      <w:tr>
        <w:trPr>
          <w:trHeight w:val="234"/>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(Unaudited)</w:t>
            </w:r>
          </w:p>
        </w:tc>
      </w:tr>
      <w:tr>
        <w:trPr>
          <w:trHeight w:val="237"/>
        </w:trPr>
        <w:tc>
          <w:tcPr>
            <w:tcW w:w="7660" w:type="dxa"/>
            <w:vAlign w:val="bottom"/>
            <w:tcBorders>
              <w:top w:val="single" w:sz="8" w:color="CCEEFF"/>
            </w:tcBorders>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 xml:space="preserve">Per Share Data </w:t>
            </w:r>
            <w:r>
              <w:rPr>
                <w:rFonts w:ascii="Arial" w:cs="Arial" w:eastAsia="Arial" w:hAnsi="Arial"/>
                <w:sz w:val="27"/>
                <w:szCs w:val="27"/>
                <w:b w:val="1"/>
                <w:bCs w:val="1"/>
                <w:color w:val="auto"/>
                <w:vertAlign w:val="superscript"/>
              </w:rPr>
              <w:t>(1)</w:t>
            </w:r>
            <w:r>
              <w:rPr>
                <w:rFonts w:ascii="Arial" w:cs="Arial" w:eastAsia="Arial" w:hAnsi="Arial"/>
                <w:sz w:val="17"/>
                <w:szCs w:val="17"/>
                <w:b w:val="1"/>
                <w:bCs w:val="1"/>
                <w:color w:val="auto"/>
              </w:rPr>
              <w:t>:</w:t>
            </w:r>
          </w:p>
        </w:tc>
        <w:tc>
          <w:tcPr>
            <w:tcW w:w="20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15.13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14.82</w:t>
            </w:r>
          </w:p>
        </w:tc>
      </w:tr>
      <w:tr>
        <w:trPr>
          <w:trHeight w:val="257"/>
        </w:trPr>
        <w:tc>
          <w:tcPr>
            <w:tcW w:w="76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9"/>
                <w:szCs w:val="29"/>
                <w:color w:val="auto"/>
                <w:vertAlign w:val="superscript"/>
              </w:rPr>
              <w:t>(3)</w:t>
            </w:r>
          </w:p>
        </w:tc>
        <w:tc>
          <w:tcPr>
            <w:tcW w:w="2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0.72</w:t>
            </w:r>
          </w:p>
        </w:tc>
        <w:tc>
          <w:tcPr>
            <w:tcW w:w="2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Realized gain (loss)</w:t>
            </w:r>
          </w:p>
        </w:tc>
        <w:tc>
          <w:tcPr>
            <w:tcW w:w="20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appreciation (depreciation)</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(0.21)</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Dividends</w:t>
            </w:r>
          </w:p>
        </w:tc>
        <w:tc>
          <w:tcPr>
            <w:tcW w:w="20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r>
      <w:tr>
        <w:trPr>
          <w:trHeight w:val="270"/>
        </w:trPr>
        <w:tc>
          <w:tcPr>
            <w:tcW w:w="766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Accretion </w:t>
            </w:r>
            <w:r>
              <w:rPr>
                <w:rFonts w:ascii="Arial" w:cs="Arial" w:eastAsia="Arial" w:hAnsi="Arial"/>
                <w:sz w:val="30"/>
                <w:szCs w:val="30"/>
                <w:color w:val="auto"/>
                <w:vertAlign w:val="superscript"/>
              </w:rPr>
              <w:t>(4)</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63"/>
        </w:trPr>
        <w:tc>
          <w:tcPr>
            <w:tcW w:w="7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asset value at end of period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3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160" w:type="dxa"/>
            <w:vAlign w:val="bottom"/>
            <w:tcBorders>
              <w:bottom w:val="single" w:sz="8" w:color="CCEEFF"/>
            </w:tcBorders>
          </w:tcPr>
          <w:p>
            <w:pPr>
              <w:spacing w:after="0"/>
              <w:rPr>
                <w:sz w:val="22"/>
                <w:szCs w:val="22"/>
                <w:color w:val="auto"/>
              </w:rPr>
            </w:pPr>
          </w:p>
        </w:tc>
      </w:tr>
      <w:tr>
        <w:trPr>
          <w:trHeight w:val="210"/>
        </w:trPr>
        <w:tc>
          <w:tcPr>
            <w:tcW w:w="766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Total return based on net asset value </w:t>
            </w:r>
            <w:r>
              <w:rPr>
                <w:rFonts w:ascii="Arial" w:cs="Arial" w:eastAsia="Arial" w:hAnsi="Arial"/>
                <w:sz w:val="24"/>
                <w:szCs w:val="24"/>
                <w:color w:val="auto"/>
                <w:vertAlign w:val="superscript"/>
              </w:rPr>
              <w:t>(2)</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Weighted-average shares outstanding for period, basic</w:t>
            </w:r>
          </w:p>
        </w:tc>
        <w:tc>
          <w:tcPr>
            <w:tcW w:w="20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15,727,990</w:t>
            </w:r>
          </w:p>
        </w:tc>
        <w:tc>
          <w:tcPr>
            <w:tcW w:w="20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8,692,372</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292,336,240</w:t>
            </w:r>
          </w:p>
        </w:tc>
        <w:tc>
          <w:tcPr>
            <w:tcW w:w="3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130,378,215</w:t>
            </w:r>
          </w:p>
        </w:tc>
      </w:tr>
      <w:tr>
        <w:trPr>
          <w:trHeight w:val="257"/>
        </w:trPr>
        <w:tc>
          <w:tcPr>
            <w:tcW w:w="76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Average net assets </w:t>
            </w:r>
            <w:r>
              <w:rPr>
                <w:rFonts w:ascii="Arial" w:cs="Arial" w:eastAsia="Arial" w:hAnsi="Arial"/>
                <w:sz w:val="29"/>
                <w:szCs w:val="29"/>
                <w:color w:val="auto"/>
                <w:vertAlign w:val="superscript"/>
              </w:rPr>
              <w:t>(5)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271,294,464</w:t>
            </w: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129,924,825</w:t>
            </w:r>
          </w:p>
        </w:tc>
      </w:tr>
      <w:tr>
        <w:trPr>
          <w:trHeight w:val="257"/>
        </w:trPr>
        <w:tc>
          <w:tcPr>
            <w:tcW w:w="7660" w:type="dxa"/>
            <w:vAlign w:val="bottom"/>
          </w:tcPr>
          <w:p>
            <w:pPr>
              <w:spacing w:after="0" w:line="256" w:lineRule="exact"/>
              <w:rPr>
                <w:sz w:val="20"/>
                <w:szCs w:val="20"/>
                <w:color w:val="auto"/>
              </w:rPr>
            </w:pPr>
            <w:r>
              <w:rPr>
                <w:rFonts w:ascii="Arial" w:cs="Arial" w:eastAsia="Arial" w:hAnsi="Arial"/>
                <w:sz w:val="18"/>
                <w:szCs w:val="18"/>
                <w:color w:val="auto"/>
              </w:rPr>
              <w:t xml:space="preserve">Annualized ratio of net operating expenses to average net assets </w:t>
            </w:r>
            <w:r>
              <w:rPr>
                <w:rFonts w:ascii="Arial" w:cs="Arial" w:eastAsia="Arial" w:hAnsi="Arial"/>
                <w:sz w:val="29"/>
                <w:szCs w:val="29"/>
                <w:color w:val="auto"/>
                <w:vertAlign w:val="superscript"/>
              </w:rPr>
              <w:t>(6)</w:t>
            </w:r>
          </w:p>
        </w:tc>
        <w:tc>
          <w:tcPr>
            <w:tcW w:w="20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7.43%</w:t>
            </w:r>
          </w:p>
        </w:tc>
        <w:tc>
          <w:tcPr>
            <w:tcW w:w="200" w:type="dxa"/>
            <w:vAlign w:val="bottom"/>
          </w:tcPr>
          <w:p>
            <w:pPr>
              <w:spacing w:after="0"/>
              <w:rPr>
                <w:sz w:val="22"/>
                <w:szCs w:val="22"/>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5.45%</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w w:val="92"/>
              </w:rPr>
              <w:t>Annualized ratio of net increase (decrease) in net assets resulting from operations to average net assets</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12.74%</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w:t>
            </w:r>
          </w:p>
        </w:tc>
      </w:tr>
      <w:tr>
        <w:trPr>
          <w:trHeight w:val="648"/>
        </w:trPr>
        <w:tc>
          <w:tcPr>
            <w:tcW w:w="766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2040" w:type="dxa"/>
            <w:vAlign w:val="bottom"/>
            <w:gridSpan w:val="4"/>
          </w:tcPr>
          <w:p>
            <w:pPr>
              <w:ind w:left="360"/>
              <w:spacing w:after="0"/>
              <w:rPr>
                <w:sz w:val="20"/>
                <w:szCs w:val="20"/>
                <w:color w:val="auto"/>
              </w:rPr>
            </w:pPr>
            <w:r>
              <w:rPr>
                <w:rFonts w:ascii="Arial" w:cs="Arial" w:eastAsia="Arial" w:hAnsi="Arial"/>
                <w:sz w:val="18"/>
                <w:szCs w:val="18"/>
                <w:b w:val="1"/>
                <w:bCs w:val="1"/>
                <w:color w:val="auto"/>
              </w:rPr>
              <w:t>Six Months Ended</w:t>
            </w:r>
          </w:p>
        </w:tc>
        <w:tc>
          <w:tcPr>
            <w:tcW w:w="1640" w:type="dxa"/>
            <w:vAlign w:val="bottom"/>
            <w:gridSpan w:val="4"/>
          </w:tcPr>
          <w:p>
            <w:pPr>
              <w:ind w:left="60"/>
              <w:spacing w:after="0"/>
              <w:rPr>
                <w:sz w:val="20"/>
                <w:szCs w:val="20"/>
                <w:color w:val="auto"/>
              </w:rPr>
            </w:pPr>
            <w:r>
              <w:rPr>
                <w:rFonts w:ascii="Arial" w:cs="Arial" w:eastAsia="Arial" w:hAnsi="Arial"/>
                <w:sz w:val="18"/>
                <w:szCs w:val="18"/>
                <w:b w:val="1"/>
                <w:bCs w:val="1"/>
                <w:color w:val="auto"/>
                <w:w w:val="99"/>
              </w:rPr>
              <w:t>Six Months Ended</w:t>
            </w:r>
          </w:p>
        </w:tc>
      </w:tr>
      <w:tr>
        <w:trPr>
          <w:trHeight w:val="216"/>
        </w:trPr>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0"/>
              </w:rPr>
              <w:t>June 30, 2019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June 30, 2018</w:t>
            </w:r>
          </w:p>
        </w:tc>
      </w:tr>
      <w:tr>
        <w:trPr>
          <w:trHeight w:val="234"/>
        </w:trPr>
        <w:tc>
          <w:tcPr>
            <w:tcW w:w="7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(Unaudited)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(Unaudited)</w:t>
            </w:r>
          </w:p>
        </w:tc>
      </w:tr>
      <w:tr>
        <w:trPr>
          <w:trHeight w:val="237"/>
        </w:trPr>
        <w:tc>
          <w:tcPr>
            <w:tcW w:w="7740" w:type="dxa"/>
            <w:vAlign w:val="bottom"/>
            <w:tcBorders>
              <w:top w:val="single" w:sz="8" w:color="CCEEFF"/>
            </w:tcBorders>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 xml:space="preserve">Per Share Data </w:t>
            </w:r>
            <w:r>
              <w:rPr>
                <w:rFonts w:ascii="Arial" w:cs="Arial" w:eastAsia="Arial" w:hAnsi="Arial"/>
                <w:sz w:val="27"/>
                <w:szCs w:val="27"/>
                <w:b w:val="1"/>
                <w:bCs w:val="1"/>
                <w:color w:val="auto"/>
                <w:vertAlign w:val="superscript"/>
              </w:rPr>
              <w:t>(1)</w:t>
            </w:r>
            <w:r>
              <w:rPr>
                <w:rFonts w:ascii="Arial" w:cs="Arial" w:eastAsia="Arial" w:hAnsi="Arial"/>
                <w:sz w:val="17"/>
                <w:szCs w:val="17"/>
                <w:b w:val="1"/>
                <w:bCs w:val="1"/>
                <w:color w:val="auto"/>
              </w:rPr>
              <w:t>:</w:t>
            </w:r>
          </w:p>
        </w:tc>
        <w:tc>
          <w:tcPr>
            <w:tcW w:w="3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15.14</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14.66</w:t>
            </w:r>
          </w:p>
        </w:tc>
      </w:tr>
      <w:tr>
        <w:trPr>
          <w:trHeight w:val="257"/>
        </w:trPr>
        <w:tc>
          <w:tcPr>
            <w:tcW w:w="7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9"/>
                <w:szCs w:val="29"/>
                <w:color w:val="auto"/>
                <w:vertAlign w:val="superscript"/>
              </w:rPr>
              <w:t>(3)</w:t>
            </w:r>
          </w:p>
        </w:tc>
        <w:tc>
          <w:tcPr>
            <w:tcW w:w="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Realized gain (loss)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appreciation (depreciation)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Dividends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r>
      <w:tr>
        <w:trPr>
          <w:trHeight w:val="270"/>
        </w:trPr>
        <w:tc>
          <w:tcPr>
            <w:tcW w:w="774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Accretion </w:t>
            </w:r>
            <w:r>
              <w:rPr>
                <w:rFonts w:ascii="Arial" w:cs="Arial" w:eastAsia="Arial" w:hAnsi="Arial"/>
                <w:sz w:val="30"/>
                <w:szCs w:val="30"/>
                <w:color w:val="auto"/>
                <w:vertAlign w:val="superscript"/>
              </w:rPr>
              <w:t>(4)</w:t>
            </w:r>
          </w:p>
        </w:tc>
        <w:tc>
          <w:tcPr>
            <w:tcW w:w="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0.10</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63"/>
        </w:trPr>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asset value at end of period</w:t>
            </w:r>
          </w:p>
        </w:tc>
        <w:tc>
          <w:tcPr>
            <w:tcW w:w="3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2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160" w:type="dxa"/>
            <w:vAlign w:val="bottom"/>
            <w:tcBorders>
              <w:bottom w:val="single" w:sz="8" w:color="CCEEFF"/>
            </w:tcBorders>
          </w:tcPr>
          <w:p>
            <w:pPr>
              <w:spacing w:after="0"/>
              <w:rPr>
                <w:sz w:val="22"/>
                <w:szCs w:val="22"/>
                <w:color w:val="auto"/>
              </w:rPr>
            </w:pPr>
          </w:p>
        </w:tc>
      </w:tr>
      <w:tr>
        <w:trPr>
          <w:trHeight w:val="210"/>
        </w:trPr>
        <w:tc>
          <w:tcPr>
            <w:tcW w:w="774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Total return based on net asset value </w:t>
            </w:r>
            <w:r>
              <w:rPr>
                <w:rFonts w:ascii="Arial" w:cs="Arial" w:eastAsia="Arial" w:hAnsi="Arial"/>
                <w:sz w:val="24"/>
                <w:szCs w:val="24"/>
                <w:color w:val="auto"/>
                <w:vertAlign w:val="superscript"/>
              </w:rPr>
              <w:t>(2)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Weighted-average shares outstanding for period, basic</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16,280,773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8,680,419</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292,336,240</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130,378,215</w:t>
            </w:r>
          </w:p>
        </w:tc>
      </w:tr>
      <w:tr>
        <w:trPr>
          <w:trHeight w:val="257"/>
        </w:trPr>
        <w:tc>
          <w:tcPr>
            <w:tcW w:w="7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Average net assets </w:t>
            </w:r>
            <w:r>
              <w:rPr>
                <w:rFonts w:ascii="Arial" w:cs="Arial" w:eastAsia="Arial" w:hAnsi="Arial"/>
                <w:sz w:val="29"/>
                <w:szCs w:val="29"/>
                <w:color w:val="auto"/>
                <w:vertAlign w:val="superscript"/>
              </w:rPr>
              <w:t>(5)</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249,634,072</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129,662,278</w:t>
            </w:r>
          </w:p>
        </w:tc>
      </w:tr>
      <w:tr>
        <w:trPr>
          <w:trHeight w:val="257"/>
        </w:trPr>
        <w:tc>
          <w:tcPr>
            <w:tcW w:w="7740" w:type="dxa"/>
            <w:vAlign w:val="bottom"/>
          </w:tcPr>
          <w:p>
            <w:pPr>
              <w:spacing w:after="0" w:line="256" w:lineRule="exact"/>
              <w:rPr>
                <w:sz w:val="20"/>
                <w:szCs w:val="20"/>
                <w:color w:val="auto"/>
              </w:rPr>
            </w:pPr>
            <w:r>
              <w:rPr>
                <w:rFonts w:ascii="Arial" w:cs="Arial" w:eastAsia="Arial" w:hAnsi="Arial"/>
                <w:sz w:val="18"/>
                <w:szCs w:val="18"/>
                <w:color w:val="auto"/>
              </w:rPr>
              <w:t xml:space="preserve">Annualized ratio of net operating expenses to average net assets </w:t>
            </w:r>
            <w:r>
              <w:rPr>
                <w:rFonts w:ascii="Arial" w:cs="Arial" w:eastAsia="Arial" w:hAnsi="Arial"/>
                <w:sz w:val="29"/>
                <w:szCs w:val="29"/>
                <w:color w:val="auto"/>
                <w:vertAlign w:val="superscript"/>
              </w:rPr>
              <w:t>(6)</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7.35%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5.37%</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w w:val="93"/>
              </w:rPr>
              <w:t>Annualized ratio of net increase (decrease) in net assets resulting from operations to average net assets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w:t>
            </w:r>
          </w:p>
        </w:tc>
      </w:tr>
    </w:tbl>
    <w:p>
      <w:pPr>
        <w:spacing w:after="0" w:line="20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highlights are based on weighted-average shares outstanding.</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return based on net asset value is based upon the change in net asset value per share between the opening and ending net asset values per share in the period. The total returns are not annualized.</w:t>
      </w:r>
    </w:p>
    <w:p>
      <w:pPr>
        <w:jc w:val="both"/>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Return from investment operations was 4.76% and 2.02% for the three months ended June 30, 2019 and 2018, respectively. Return from investment operations was 7.86% and 3.41% for the six months ended June 30, 2019 and 2018, respectively. Return from investment operations represents returns on net investment income from operations.</w:t>
      </w:r>
    </w:p>
    <w:p>
      <w:pPr>
        <w:spacing w:after="0" w:line="1" w:lineRule="exact"/>
        <w:rPr>
          <w:rFonts w:ascii="Arial" w:cs="Arial" w:eastAsia="Arial" w:hAnsi="Arial"/>
          <w:sz w:val="18"/>
          <w:szCs w:val="18"/>
          <w:color w:val="auto"/>
        </w:rPr>
      </w:pPr>
    </w:p>
    <w:p>
      <w:pPr>
        <w:ind w:left="340" w:righ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Return from accretion was 0.73% and 0.00% for the three months ended June 30, 2019 and 2018, respectively. Return from accretion was 0.68% and (0.07)% for the six months ended June 30, 2019 and 2018, respectively.</w:t>
      </w:r>
    </w:p>
    <w:p>
      <w:pPr>
        <w:jc w:val="both"/>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annualized ratio of net investment income to average net assets was 16.81% and 8.20% for the three months ended June 30, 2019 and 2018, respectively. The annualized ratio of net investment income to average net assets was 15.71% and 6.73% for the six months ended June 30, 2019 and 2018, respectively.</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annualized ratio of net operating expenses excluding management and incentive fees, to average net assets was 1.47% and 1.58% for the three months ended June 30, 2019 and 2018, respectively. The annualized ratio of net operating expenses excluding management and incentive fees, to average net assets was 1.48% and 1.52% for the six months ended June 30, 2019 and 2018,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16, 2019, pursuant to our dividend reinvestment plan, we issued 465,090 shares of our common stock, at a price of $15.13 per share for total proceeds of $7,036,800, to stockholders of record as of May 31, 2019 which did not opt out of the dividend reinvestment plan in order to satisfy the reinvestment portion of our dividends.</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On July 22, 2019, the Company funded an investment in Massdrop Inc. a San Francisco-based e-commerce company, funding $17,500,000 of a $22,500,000 senior secured loan commitment.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July 24, 2019, the Company funded, pursuant to the first amendment to the loan and security agreement, an additional investment of $1,000,000 to Sharethis, Inc.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25, 2019, the Company funded, pursuant to an amendment to the loan and security agreement, $625,000 to Aginity, Inc.</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On July 26, 2019, the Company funded an investment in INRIX, Inc. a Washington-based global provider of traffic and parking data company, funding $25,000,000 of a $33,000,000 senior secured loan commitment.</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July 30, 2019, The Company’s Board of Directors declared a dividend of $0.45 per share payable on August 26, 2019 to shareholders of record as of August 5, 2019.</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On July 31, 2019, the Mojix, Inc. bridge loan matured and was repaid pursuant to the amended loan and security agreement for total proceeds of $1,020,830.</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Between July 1, 2019 and August 7, 2019, the Company accepted additional capital commitments under its Second Private Offering of $22,200,000, bringing total available capital commitments under the Second Private Offering to $168,223,500.</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20" w:firstLine="691"/>
        <w:spacing w:after="0" w:line="271" w:lineRule="auto"/>
        <w:rPr>
          <w:sz w:val="20"/>
          <w:szCs w:val="20"/>
          <w:color w:val="auto"/>
        </w:rPr>
      </w:pPr>
      <w:r>
        <w:rPr>
          <w:rFonts w:ascii="Arial" w:cs="Arial" w:eastAsia="Arial" w:hAnsi="Arial"/>
          <w:sz w:val="17"/>
          <w:szCs w:val="17"/>
          <w:color w:val="auto"/>
        </w:rPr>
        <w:t>This quarterly report on Form 10-Q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79" w:lineRule="exact"/>
        <w:rPr>
          <w:sz w:val="20"/>
          <w:szCs w:val="20"/>
          <w:color w:val="auto"/>
        </w:rPr>
      </w:pPr>
    </w:p>
    <w:p>
      <w:pPr>
        <w:ind w:left="980" w:right="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lending and investment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to the extent that we use leverage as part of our investment strategy;</w:t>
      </w:r>
    </w:p>
    <w:p>
      <w:pPr>
        <w:spacing w:after="0" w:line="23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currency fluctuations could adversely affect the results of our investments in foreign companies, particularly to the extent that we receive payments denominated in foreign currency rather than U.S. dollars;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with other entities and our affiliates for investment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speculative and illiquid nature of our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use of borrowed money to finance a portion of our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adequacy of our financing sources and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loss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ability of our external investment adviser, RGC, to locate suitable investments for us and to monitor and administer our investments;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RGC to attract and retain highly talented professionals;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qualify and maintain our qualification as a RIC under Subchapter M of the Code, and as a BDC;</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occurrence of a disaster, such as a cyber-attack against us or against a third party that has access to our data or networks, a natural catastrophe, an industrial accident, failure of our disaster-recovery systems, or consequential employee error;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legal, tax and regulatory changes;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other risks, uncertainties and other factors we identify under “Risk Factors” in Part I, Item 1A of our annual report on Form 10-K for the fiscal year ended December 31, 2018 and in our other filings with the Securities and Exchange Commission (the “SEC”).</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in Part I, Item 1A of our annual report on Form 10-K for the fiscal year ended December 31, 2018 filed with the SEC on March 29, 2019.</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based the forward-looking statements included in this Form 10-Q on information available to us on the date of this Form 10-Q,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10-K, quarterly reports on Form 10-Q and current reports on Form 8-K.</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an externally managed, non-diversified closed-end investment management company that was formed on August 31, 2015 as a corporation under the laws of the State of Maryland. We have elected to be regulated as a BDC under the 1940 Act. In addition, we have elected to be treated, and intend to qualify annually, as a RIC under Subchapter M of the Code. If we fail to qualify as a RIC for any taxable year, we will be subject to corporate-level U.S. federal income tax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an “emerging growth company,” as defined in the JOBS Act. We could remain an emerging growth company until the last day of our fiscal year following the fifth anniversary of an IPO, if any, or until the earliest of (i) the last day of the first fiscal year in which we have total annual gross revenue of $1,070,000,000 or more, (ii) December 31 of the fiscal year in which we become a “large accelerated filer” as defined in Rule 12b-2 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externally managed by RGC, an investment adviser that has registered with the SEC under the Investment Advisers Act of 1940, as amended.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Administrator, a wholly-owned subsidiary of RGC, provides all the administrative services necessary for us to operate.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43" w:name="page44"/>
    <w:bookmarkEnd w:id="43"/>
    <w:p>
      <w:pPr>
        <w:jc w:val="both"/>
        <w:ind w:firstLine="648"/>
        <w:spacing w:after="0" w:line="271" w:lineRule="auto"/>
        <w:rPr>
          <w:sz w:val="20"/>
          <w:szCs w:val="20"/>
          <w:color w:val="auto"/>
        </w:rPr>
      </w:pPr>
      <w:r>
        <w:rPr>
          <w:rFonts w:ascii="Arial" w:cs="Arial" w:eastAsia="Arial" w:hAnsi="Arial"/>
          <w:sz w:val="17"/>
          <w:szCs w:val="17"/>
          <w:color w:val="auto"/>
        </w:rPr>
        <w:t>We commenced investment activities in portfolio securities during the quarter ended June 30, 2017, and we commenced investment activities in U.S. Treasury Bills during the quarter ended December 31, 2016. In October 2015, in connection with our formation, we issued and sold 1,667 shares of our common stock to R. David Spreng, our President, Chief Executive Officer and Chairman of our Board of Directors, for an aggregate purchase price of $25,000. In December 2016, we completed the initial closing of capital commitments in the Initial Private Offering, in connection with which we called capital and issued 333,333 shares of our common stock to investors for an aggregate purchase price of $5,000,000. The final closing of the Initial Private Offering occurred on December 1, 2017. As of June 30, 2019, in connection with the Initial Private Offering, the Company had total capital commitments of $275,000,000 and had issued 18,241,157 shares of our common stock to stockholders for a total purchase price of $275,000,000. The Company has issued an additional 1,557,228 shares as part of the dividend reinvestment plan.</w:t>
      </w:r>
    </w:p>
    <w:p>
      <w:pPr>
        <w:spacing w:after="0" w:line="1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of June 30, 2019, the Company had completed an initial closing under the Second Private Offering and had accepted capital commitments of $146,023,500. Subsequent to June 30, 2019, the Company has completed additional closings under the Second Private Offering totaling $22,200,000. No shares have been issued under these capital commitments and the full amount of capital remains available for the Company to drawdown.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Composition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June 30, 2019, we had investments in twenty-two portfolio companies and held one U.S. Treasury Bill. At December 31, 2018, we had investments in twenty portfolio companies and held one U.S. Treasury Bill. The following table shows the fair value of our investments, by asset class, as of June 30, 2019 and December 31, 2018:</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7"/>
          </w:tcPr>
          <w:p>
            <w:pPr>
              <w:jc w:val="right"/>
              <w:ind w:right="850"/>
              <w:spacing w:after="0"/>
              <w:rPr>
                <w:sz w:val="20"/>
                <w:szCs w:val="20"/>
                <w:color w:val="auto"/>
              </w:rPr>
            </w:pPr>
            <w:r>
              <w:rPr>
                <w:rFonts w:ascii="Arial" w:cs="Arial" w:eastAsia="Arial" w:hAnsi="Arial"/>
                <w:sz w:val="18"/>
                <w:szCs w:val="18"/>
                <w:b w:val="1"/>
                <w:bCs w:val="1"/>
                <w:color w:val="auto"/>
              </w:rPr>
              <w:t>June 30, 2019 (Unaudited)</w:t>
            </w:r>
          </w:p>
        </w:tc>
        <w:tc>
          <w:tcPr>
            <w:tcW w:w="60" w:type="dxa"/>
            <w:vAlign w:val="bottom"/>
          </w:tcPr>
          <w:p>
            <w:pPr>
              <w:spacing w:after="0"/>
              <w:rPr>
                <w:sz w:val="20"/>
                <w:szCs w:val="20"/>
                <w:color w:val="auto"/>
              </w:rPr>
            </w:pPr>
          </w:p>
        </w:tc>
        <w:tc>
          <w:tcPr>
            <w:tcW w:w="2500" w:type="dxa"/>
            <w:vAlign w:val="bottom"/>
            <w:gridSpan w:val="6"/>
          </w:tcPr>
          <w:p>
            <w:pPr>
              <w:jc w:val="center"/>
              <w:ind w:left="890"/>
              <w:spacing w:after="0"/>
              <w:rPr>
                <w:sz w:val="20"/>
                <w:szCs w:val="20"/>
                <w:color w:val="auto"/>
              </w:rPr>
            </w:pPr>
            <w:r>
              <w:rPr>
                <w:rFonts w:ascii="Arial" w:cs="Arial" w:eastAsia="Arial" w:hAnsi="Arial"/>
                <w:sz w:val="18"/>
                <w:szCs w:val="18"/>
                <w:b w:val="1"/>
                <w:bCs w:val="1"/>
                <w:color w:val="auto"/>
                <w:w w:val="88"/>
              </w:rPr>
              <w:t>December 31, 2018</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2"/>
              </w:rPr>
              <w:t>Percentage</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Percentage</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of Total</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of Total</w:t>
            </w: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Investments</w:t>
            </w:r>
          </w:p>
        </w:tc>
        <w:tc>
          <w:tcPr>
            <w:tcW w:w="120" w:type="dxa"/>
            <w:vAlign w:val="bottom"/>
          </w:tcPr>
          <w:p>
            <w:pPr>
              <w:spacing w:after="0"/>
              <w:rPr>
                <w:sz w:val="20"/>
                <w:szCs w:val="20"/>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Fair Value</w:t>
            </w:r>
          </w:p>
        </w:tc>
        <w:tc>
          <w:tcPr>
            <w:tcW w:w="12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Portfolio</w:t>
            </w:r>
          </w:p>
        </w:tc>
        <w:tc>
          <w:tcPr>
            <w:tcW w:w="6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Portfolio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Senior Secured Term Loans</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$ 267,981,293</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$ 264,357,266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72.2%</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$ 208,588,381</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$ 208,539,353</w:t>
            </w:r>
          </w:p>
        </w:tc>
        <w:tc>
          <w:tcPr>
            <w:tcW w:w="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461,826</w:t>
            </w: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461,826</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Warrants</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16,885,735</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15,206,802</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4.2</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15,013,511</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15,247,210</w:t>
            </w:r>
          </w:p>
        </w:tc>
        <w:tc>
          <w:tcPr>
            <w:tcW w:w="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285,117,028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280,025,894</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223,851,892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224,381,389</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Treasury Bill</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85,980,815</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85,980,815</w:t>
            </w: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23.5</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79,959,928</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79,959,928</w:t>
            </w:r>
          </w:p>
        </w:tc>
        <w:tc>
          <w:tcPr>
            <w:tcW w:w="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$ 371,097,843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366,006,709</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$ 303,811,820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304,208,317</w:t>
            </w:r>
          </w:p>
        </w:tc>
        <w:tc>
          <w:tcPr>
            <w:tcW w:w="2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Activity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Our primary investment activity for the six months ended June 30, 2019 was as follows:</w:t>
      </w:r>
    </w:p>
    <w:p>
      <w:pPr>
        <w:spacing w:after="0" w:line="18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January 17, 2019, the Company funded a $750,000 senior secured term loan (Tranche II) to ShareThis Inc. for a purchase price of $750,000.</w:t>
      </w:r>
    </w:p>
    <w:p>
      <w:pPr>
        <w:spacing w:after="0" w:line="46"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January 28, 2019, the Company funded a $1,000,000 senior secured term loan (Tranche V) to Mojix, Inc. for a cost of $990,000. An amount of $80,699 was allocated to Tranche V’s cost, which was previously held as an other liability regarding the Company’s receipt of 7,182,145 Series 1 Preferred Warrants on December 20, 2018.</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February 11, 2019, the Company funded a $5,000,000 senior secured term loan (Tranche II) to zSpace, Inc. and purchased a warrant to purchase 2,806,830 shares of Series E Preferred Stock for a total cost of $4,950,000.</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February 25, 2019, the Company received 205,234 Series A-1 Preferred Warrants with a cost of $244,228, which was allocated to Aginity, Inc.’s original tranche.</w:t>
      </w:r>
    </w:p>
    <w:p>
      <w:pPr>
        <w:ind w:left="66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March 13, 2019, the AllClear ID, Inc. senior secured loans were prepaid and we were compensated for our shares of the billings present value for total proceeds of $17,232,886.</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44" w:name="page45"/>
    <w:bookmarkEnd w:id="44"/>
    <w:p>
      <w:pPr>
        <w:ind w:left="6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March 28, 2019, the Company funded a $10,000,000 senior secured term loan to Ouster, Inc. and purchased a warrant to purchase 35,349 shares of Series A Preferred Stock for a total cost of $9,900,000.</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March 29, 2019, the Company funded a $15,000,000 senior secured term loan to Scale Computing, Inc. and purchased a warrant to purchase 2,147,926 shares of Series F-1 Preferred Stock for a total cost of $14,850,000.</w:t>
      </w: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March 29, 2019, the Company funded a $2,500,000 senior secured revolving promissory note to RealWear, Inc. for a total cost of $2,495,500.</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April 9, 2019, the RedSeal, Inc. senior secured loan was prepaid for total proceeds of $16,521,572. The associated warrants were terminated.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April 9, 2019, the Company funded a $500,000 senior secured revolving promissory note to RealWear, Inc. for a total cost of $500,000.</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April 17, 2019, pursuant to the Company’s Amended and Restated Warrant to Purchase Preferred Stock, warrants of 1,557,956 Series C Preferred Stock of CareCloud Corporation, with a warrant price of $1.2035 per share were converted to warrants of 2,262,579 Series A-1 Preferred Stock with a warrant price of $0.08287.</w:t>
      </w:r>
    </w:p>
    <w:p>
      <w:pPr>
        <w:spacing w:after="0" w:line="1"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May 3, 2019, the Company funded a $15,500,000 senior secured term loan to Echo 360 Holdings, Inc. and purchased a warrant to purchase 1,066,767 shares of Series E Preferred Stock for a total cost of $15,330,000.</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May 7, 2019, the zSpace, Inc. senior secured loans were prepaid for total proceeds of $17,964,520.</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May 13, 2019, the Company funded a $20,000,000 senior secured term loan to Pivot3, Inc. and purchased a warrant to purchase 2,033,898 shares of Series D Preferred Stock for a total cost of $19,800,000.</w:t>
      </w: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May 30, 2019, the Company funded a $1,000,000 bridge loan to Mojix, Inc. and purchased a warrant to purchase 358,849 shares of Series 1 Preferred Stock for a total cost of $1,000,000.</w:t>
      </w: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May 31, 2019, the Company funded a $11,000,000 senior secured term loan to Dejero Labs Inc. and purchased a warrant to purchase 333,621 shares of Common Stock for a total cost of $10,850,000.</w:t>
      </w: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12, 2019, the Company funded a $500,000 senior secured term loan (Tranche II) to 3DNA Corp. (dba NationBuilder) for a purchase price of $495,000.</w:t>
      </w:r>
    </w:p>
    <w:p>
      <w:pPr>
        <w:ind w:left="660" w:right="20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13, 2019, the Company funded a $7,500,000 senior secured term loan to CloudPassage, Inc. and purchased a warrant to purchase 210,938 shares of Series D-1 Stock for a total cost of $7,425,000.</w:t>
      </w:r>
    </w:p>
    <w:p>
      <w:pPr>
        <w:jc w:val="both"/>
        <w:ind w:left="660" w:right="2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14, 2019, in conjunction with its sale to Microsoft Corporation's LinkedIn, Drawbridge, Inc., prepaid its outstanding principal balance of $15.0 million on the senior secured loan. In addition, the Company received cash proceeds of $1,158,359 in connection with the termination of its warrants in Drawbridge, Inc. for total proceeds of $17,502,423.</w:t>
      </w:r>
    </w:p>
    <w:p>
      <w:pPr>
        <w:spacing w:after="0" w:line="1"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17, 2019, in conjunction with its sale to iCIMS Inc., Jibe, Inc., prepaid its outstanding principal of $7.0 million on the senior secured loan. In addition, the Company received cash proceeds of $146,075 in connection with the termination of its warrants in Jibe, Inc. for total proceeds of $7,716,445.</w:t>
      </w:r>
    </w:p>
    <w:p>
      <w:pPr>
        <w:spacing w:after="0" w:line="1"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21, 2019, the Company funded a $10,000,000 senior secured term loan (Tranche III) to eSilicon Corporation and purchased a warrant to purchase 990,099 shares of Series H Preferred Stock for a total cost of $9,900,000.</w:t>
      </w: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June 21, 2019, the Company funded a $5,500,000 revolving line (Tranche IV) to eSilicon Corporation for a purchase price of $5,500,000.</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27, 2019, the Company funded an additional $5,500,000 on the revolving line (Tranche IV) to eSilicon Corporation for a purchase price of $5,500,000.</w:t>
      </w:r>
    </w:p>
    <w:p>
      <w:pPr>
        <w:ind w:left="660" w:right="16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28, 2019, pursuant to the Company’s Amended and Restated Loan and Security Agreement, RealWear, Inc. paid down the $3,000,000 revolving note and the Company funded an additional $16,000,000 senior secured term loan to RealWear, Inc. and purchased a warrant to purchase 123,894 shares of Series A Preferred Stock for a total cost of $24,840,000.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Reconciliation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reconciliation of our investment portfolio, including U.S. Treasury Bills, for the six months ended June 30, 2019 and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Six Months Ended</w:t>
            </w:r>
          </w:p>
        </w:tc>
        <w:tc>
          <w:tcPr>
            <w:tcW w:w="1520" w:type="dxa"/>
            <w:vAlign w:val="bottom"/>
            <w:gridSpan w:val="5"/>
          </w:tcPr>
          <w:p>
            <w:pPr>
              <w:spacing w:after="0"/>
              <w:rPr>
                <w:sz w:val="20"/>
                <w:szCs w:val="20"/>
                <w:color w:val="auto"/>
              </w:rPr>
            </w:pPr>
            <w:r>
              <w:rPr>
                <w:rFonts w:ascii="Arial" w:cs="Arial" w:eastAsia="Arial" w:hAnsi="Arial"/>
                <w:sz w:val="18"/>
                <w:szCs w:val="18"/>
                <w:b w:val="1"/>
                <w:bCs w:val="1"/>
                <w:color w:val="auto"/>
                <w:w w:val="96"/>
              </w:rPr>
              <w:t>Six Months Ended</w:t>
            </w:r>
          </w:p>
        </w:tc>
      </w:tr>
      <w:tr>
        <w:trPr>
          <w:trHeight w:val="216"/>
        </w:trPr>
        <w:tc>
          <w:tcPr>
            <w:tcW w:w="8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June 30, 2019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June 30, 2018</w:t>
            </w:r>
          </w:p>
        </w:tc>
      </w:tr>
      <w:tr>
        <w:trPr>
          <w:trHeight w:val="234"/>
        </w:trPr>
        <w:tc>
          <w:tcPr>
            <w:tcW w:w="8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(unaudited)</w:t>
            </w:r>
          </w:p>
        </w:tc>
      </w:tr>
      <w:tr>
        <w:trPr>
          <w:trHeight w:val="210"/>
        </w:trPr>
        <w:tc>
          <w:tcPr>
            <w:tcW w:w="8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Investment Portfolio</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304,208,317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140,721,508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141,472,138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76,121,498</w:t>
            </w:r>
          </w:p>
        </w:tc>
        <w:tc>
          <w:tcPr>
            <w:tcW w:w="80" w:type="dxa"/>
            <w:vAlign w:val="bottom"/>
          </w:tcPr>
          <w:p>
            <w:pPr>
              <w:spacing w:after="0"/>
              <w:rPr>
                <w:sz w:val="18"/>
                <w:szCs w:val="18"/>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Purchase of U.S. Treasury Bills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155,900,303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138,972,584</w:t>
            </w:r>
          </w:p>
        </w:tc>
        <w:tc>
          <w:tcPr>
            <w:tcW w:w="8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Amortization of Fixed Income Premiums and Discounts</w:t>
            </w: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6,076,426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2,006,632</w:t>
            </w:r>
          </w:p>
        </w:tc>
        <w:tc>
          <w:tcPr>
            <w:tcW w:w="80" w:type="dxa"/>
            <w:vAlign w:val="bottom"/>
          </w:tcPr>
          <w:p>
            <w:pPr>
              <w:spacing w:after="0"/>
              <w:rPr>
                <w:sz w:val="18"/>
                <w:szCs w:val="18"/>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Portfolio Investments Repaid</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(83,136,368)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(9,593,353)</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Sales and Maturities of Investments</w:t>
            </w: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(3,542,667)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U.S. Treasury Bills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(149,977,117)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(141,513,028)</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Realized gain on Investments</w:t>
            </w: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493,308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59,792</w:t>
            </w:r>
          </w:p>
        </w:tc>
        <w:tc>
          <w:tcPr>
            <w:tcW w:w="80" w:type="dxa"/>
            <w:vAlign w:val="bottom"/>
          </w:tcPr>
          <w:p>
            <w:pPr>
              <w:spacing w:after="0"/>
              <w:rPr>
                <w:sz w:val="18"/>
                <w:szCs w:val="18"/>
                <w:color w:val="auto"/>
              </w:rPr>
            </w:pPr>
          </w:p>
        </w:tc>
      </w:tr>
      <w:tr>
        <w:trPr>
          <w:trHeight w:val="23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(5,487,631)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(795,226)</w:t>
            </w:r>
          </w:p>
        </w:tc>
      </w:tr>
      <w:tr>
        <w:trPr>
          <w:trHeight w:val="223"/>
        </w:trPr>
        <w:tc>
          <w:tcPr>
            <w:tcW w:w="8260" w:type="dxa"/>
            <w:vAlign w:val="bottom"/>
          </w:tcPr>
          <w:p>
            <w:pPr>
              <w:spacing w:after="0"/>
              <w:rPr>
                <w:sz w:val="20"/>
                <w:szCs w:val="20"/>
                <w:color w:val="auto"/>
              </w:rPr>
            </w:pPr>
            <w:r>
              <w:rPr>
                <w:rFonts w:ascii="Arial" w:cs="Arial" w:eastAsia="Arial" w:hAnsi="Arial"/>
                <w:sz w:val="18"/>
                <w:szCs w:val="18"/>
                <w:color w:val="auto"/>
              </w:rPr>
              <w:t>Ending Investment Portfolio</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366,006,709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205,980,407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left="60"/>
        <w:spacing w:after="0"/>
        <w:rPr>
          <w:sz w:val="20"/>
          <w:szCs w:val="20"/>
          <w:color w:val="auto"/>
        </w:rPr>
      </w:pPr>
      <w:r>
        <w:rPr>
          <w:rFonts w:ascii="Arial" w:cs="Arial" w:eastAsia="Arial" w:hAnsi="Arial"/>
          <w:sz w:val="16"/>
          <w:szCs w:val="16"/>
          <w:b w:val="1"/>
          <w:bCs w:val="1"/>
          <w:color w:val="auto"/>
        </w:rPr>
        <w:t>Investment</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918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4460"/>
        <w:spacing w:after="0"/>
        <w:rPr>
          <w:sz w:val="20"/>
          <w:szCs w:val="20"/>
          <w:color w:val="auto"/>
        </w:rPr>
      </w:pPr>
      <w:r>
        <w:rPr>
          <w:rFonts w:ascii="Arial" w:cs="Arial" w:eastAsia="Arial" w:hAnsi="Arial"/>
          <w:sz w:val="16"/>
          <w:szCs w:val="16"/>
          <w:b w:val="1"/>
          <w:bCs w:val="1"/>
          <w:color w:val="auto"/>
        </w:rPr>
        <w:t>Rating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31750</wp:posOffset>
            </wp:positionV>
            <wp:extent cx="65176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41" w:lineRule="exact"/>
        <w:rPr>
          <w:sz w:val="20"/>
          <w:szCs w:val="20"/>
          <w:color w:val="auto"/>
        </w:rPr>
      </w:pPr>
    </w:p>
    <w:p>
      <w:pPr>
        <w:sectPr>
          <w:pgSz w:w="11900" w:h="16838" w:orient="portrait"/>
          <w:cols w:equalWidth="0" w:num="2">
            <w:col w:w="4900" w:space="720"/>
            <w:col w:w="5800"/>
          </w:cols>
          <w:pgMar w:left="240" w:top="904" w:right="239" w:bottom="1440" w:gutter="0" w:footer="0" w:header="0"/>
        </w:sectPr>
      </w:pPr>
    </w:p>
    <w:p>
      <w:pPr>
        <w:spacing w:after="0" w:line="24" w:lineRule="exact"/>
        <w:rPr>
          <w:sz w:val="20"/>
          <w:szCs w:val="20"/>
          <w:color w:val="auto"/>
        </w:rPr>
      </w:pPr>
    </w:p>
    <w:p>
      <w:pPr>
        <w:ind w:left="1160" w:right="20" w:hanging="731"/>
        <w:spacing w:after="0" w:line="258"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Performing above plan and/or strong enterprise profile, value, financial performance/coverage. Maintaining full covenant and payment compliance as agreed.</w:t>
      </w:r>
    </w:p>
    <w:p>
      <w:pPr>
        <w:spacing w:after="0" w:line="1" w:lineRule="exact"/>
        <w:rPr>
          <w:sz w:val="20"/>
          <w:szCs w:val="20"/>
          <w:color w:val="auto"/>
        </w:rPr>
      </w:pPr>
    </w:p>
    <w:p>
      <w:pPr>
        <w:ind w:left="1160" w:hanging="731"/>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Performing at or reasonably close to plan. Acceptable business prospects, enterprise value, financial coverage. Maintaining key covenant and</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payment compliance as agreed. All new loans are initially graded Category 2.</w:t>
      </w:r>
    </w:p>
    <w:p>
      <w:pPr>
        <w:spacing w:after="0" w:line="9" w:lineRule="exact"/>
        <w:rPr>
          <w:sz w:val="20"/>
          <w:szCs w:val="20"/>
          <w:color w:val="auto"/>
        </w:rPr>
      </w:pPr>
    </w:p>
    <w:p>
      <w:pPr>
        <w:ind w:left="1160" w:right="20" w:hanging="731"/>
        <w:spacing w:after="0" w:line="250"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Performing below plan of record. Potential elements of concern over performance, trends and business outlook. Loan-to-value remains adequate. Potential key covenant non-compliance. Full payment compliance.</w:t>
      </w:r>
    </w:p>
    <w:p>
      <w:pPr>
        <w:spacing w:after="0" w:line="1" w:lineRule="exact"/>
        <w:rPr>
          <w:sz w:val="20"/>
          <w:szCs w:val="20"/>
          <w:color w:val="auto"/>
        </w:rPr>
      </w:pPr>
    </w:p>
    <w:p>
      <w:pPr>
        <w:jc w:val="both"/>
        <w:ind w:left="1160" w:hanging="731"/>
        <w:spacing w:after="0" w:line="250"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p>
      <w:pPr>
        <w:spacing w:after="0" w:line="1" w:lineRule="exact"/>
        <w:rPr>
          <w:sz w:val="20"/>
          <w:szCs w:val="20"/>
          <w:color w:val="auto"/>
        </w:rPr>
      </w:pPr>
    </w:p>
    <w:p>
      <w:pPr>
        <w:ind w:left="1160" w:right="20" w:hanging="731"/>
        <w:spacing w:after="0" w:line="261"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Going concern nature in question. Substantial decline in enterprise value and all coverages. Covenant and payment default imminent if not currently present. Investments are nearly always in workout. May experience partial and/or full loss.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investment rankings of our debt investments at fair value as of June 30, 2019 and December 31,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As of June 30, 2019 (Unaudited)</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ind w:left="1000"/>
              <w:spacing w:after="0"/>
              <w:rPr>
                <w:sz w:val="20"/>
                <w:szCs w:val="20"/>
                <w:color w:val="auto"/>
              </w:rPr>
            </w:pPr>
            <w:r>
              <w:rPr>
                <w:rFonts w:ascii="Arial" w:cs="Arial" w:eastAsia="Arial" w:hAnsi="Arial"/>
                <w:sz w:val="18"/>
                <w:szCs w:val="18"/>
                <w:b w:val="1"/>
                <w:bCs w:val="1"/>
                <w:color w:val="auto"/>
                <w:w w:val="90"/>
              </w:rPr>
              <w:t>As of December 31, 2018</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center"/>
              <w:ind w:left="290"/>
              <w:spacing w:after="0" w:line="191" w:lineRule="exact"/>
              <w:rPr>
                <w:sz w:val="20"/>
                <w:szCs w:val="20"/>
                <w:color w:val="auto"/>
              </w:rPr>
            </w:pPr>
            <w:r>
              <w:rPr>
                <w:rFonts w:ascii="Arial" w:cs="Arial" w:eastAsia="Arial" w:hAnsi="Arial"/>
                <w:sz w:val="18"/>
                <w:szCs w:val="18"/>
                <w:b w:val="1"/>
                <w:bCs w:val="1"/>
                <w:color w:val="auto"/>
                <w:w w:val="99"/>
              </w:rPr>
              <w:t>% of</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center"/>
              <w:ind w:left="90"/>
              <w:spacing w:after="0" w:line="191"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3"/>
          </w:tcPr>
          <w:p>
            <w:pPr>
              <w:jc w:val="center"/>
              <w:ind w:right="400"/>
              <w:spacing w:after="0" w:line="191" w:lineRule="exact"/>
              <w:rPr>
                <w:sz w:val="20"/>
                <w:szCs w:val="20"/>
                <w:color w:val="auto"/>
              </w:rPr>
            </w:pPr>
            <w:r>
              <w:rPr>
                <w:rFonts w:ascii="Arial" w:cs="Arial" w:eastAsia="Arial" w:hAnsi="Arial"/>
                <w:sz w:val="18"/>
                <w:szCs w:val="18"/>
                <w:b w:val="1"/>
                <w:bCs w:val="1"/>
                <w:color w:val="auto"/>
                <w:w w:val="94"/>
              </w:rPr>
              <w:t>% of</w:t>
            </w:r>
          </w:p>
        </w:tc>
        <w:tc>
          <w:tcPr>
            <w:tcW w:w="112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1"/>
              </w:rPr>
              <w:t>Number of</w:t>
            </w:r>
          </w:p>
        </w:tc>
        <w:tc>
          <w:tcPr>
            <w:tcW w:w="100" w:type="dxa"/>
            <w:vAlign w:val="bottom"/>
            <w:gridSpan w:val="2"/>
          </w:tcPr>
          <w:p>
            <w:pPr>
              <w:spacing w:after="0"/>
              <w:rPr>
                <w:sz w:val="16"/>
                <w:szCs w:val="16"/>
                <w:color w:val="auto"/>
              </w:rPr>
            </w:pPr>
          </w:p>
        </w:tc>
      </w:tr>
      <w:tr>
        <w:trPr>
          <w:trHeight w:val="216"/>
        </w:trPr>
        <w:tc>
          <w:tcPr>
            <w:tcW w:w="2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Total</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Portfolio</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2"/>
              </w:rPr>
              <w:t>Total</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Portfolio</w:t>
            </w:r>
          </w:p>
        </w:tc>
      </w:tr>
      <w:tr>
        <w:trPr>
          <w:trHeight w:val="234"/>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Rating</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2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8"/>
              </w:rPr>
              <w:t>Companies</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Companies</w:t>
            </w:r>
          </w:p>
        </w:tc>
        <w:tc>
          <w:tcPr>
            <w:tcW w:w="100" w:type="dxa"/>
            <w:vAlign w:val="bottom"/>
            <w:tcBorders>
              <w:bottom w:val="single" w:sz="8" w:color="CCEEFF"/>
            </w:tcBorders>
            <w:gridSpan w:val="2"/>
          </w:tcPr>
          <w:p>
            <w:pPr>
              <w:spacing w:after="0"/>
              <w:rPr>
                <w:sz w:val="20"/>
                <w:szCs w:val="20"/>
                <w:color w:val="auto"/>
              </w:rPr>
            </w:pPr>
          </w:p>
        </w:tc>
      </w:tr>
      <w:tr>
        <w:trPr>
          <w:trHeight w:val="210"/>
        </w:trPr>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14,762,697</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5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177,546,751</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w w:val="97"/>
              </w:rPr>
              <w:t>48.5%</w:t>
            </w:r>
          </w:p>
        </w:tc>
        <w:tc>
          <w:tcPr>
            <w:tcW w:w="10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107,685,007</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r>
      <w:tr>
        <w:trPr>
          <w:trHeight w:val="216"/>
        </w:trPr>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71,478,594</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7"/>
              </w:rPr>
              <w:t>19.5%</w:t>
            </w:r>
          </w:p>
        </w:tc>
        <w:tc>
          <w:tcPr>
            <w:tcW w:w="1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78,292,451</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r>
      <w:tr>
        <w:trPr>
          <w:trHeight w:val="216"/>
        </w:trPr>
        <w:tc>
          <w:tcPr>
            <w:tcW w:w="25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5,832,000</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1.6%</w:t>
            </w:r>
          </w:p>
        </w:tc>
        <w:tc>
          <w:tcPr>
            <w:tcW w:w="10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7,799,198</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r>
      <w:tr>
        <w:trPr>
          <w:trHeight w:val="230"/>
        </w:trPr>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9,499,921</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264,357,266</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72.2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0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208,539,353</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and Debt Securities on Non-Accrual Status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Generally, when interest and/or principal payments on a loan become past due, or if we otherwise do not expect the borrower to be able to service its debt and other obligations, we will place the loan on non-accrual status and will generally cease recognizing interest income on that loan for financial reporting purposes until all principal and interest have been brought current through payment or due to a restructuring such that the interest income is deemed to be collectible. As of June 30, 2019 and December 31, 2018, we did not have any loans on non-accrual status.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important measure of our financial performance is net increase/(decrease) in net assets resulting from operations, which includes net investment income, net realized gain/(loss) and net unrealized appreciation/(depreciation). Net investment income is the difference between our income from interest, dividends, fees and other investment income and our operating expenses, including interest on borrowed funds. Net realized gain/(loss) on investments is the difference between the proceeds received from dispositions of portfolio investments and their amortized cost. Net unrealized appreciation/(depreciation) on investments is the net change in the fair value of our investment portfolio.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2019 and 2018.</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June 30, 2019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10"/>
              <w:spacing w:after="0" w:line="195" w:lineRule="exact"/>
              <w:rPr>
                <w:sz w:val="20"/>
                <w:szCs w:val="20"/>
                <w:color w:val="auto"/>
              </w:rPr>
            </w:pPr>
            <w:r>
              <w:rPr>
                <w:rFonts w:ascii="Arial" w:cs="Arial" w:eastAsia="Arial" w:hAnsi="Arial"/>
                <w:sz w:val="18"/>
                <w:szCs w:val="18"/>
                <w:b w:val="1"/>
                <w:bCs w:val="1"/>
                <w:color w:val="auto"/>
              </w:rPr>
              <w:t>Per</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10"/>
              <w:spacing w:after="0" w:line="195" w:lineRule="exact"/>
              <w:rPr>
                <w:sz w:val="20"/>
                <w:szCs w:val="20"/>
                <w:color w:val="auto"/>
              </w:rPr>
            </w:pPr>
            <w:r>
              <w:rPr>
                <w:rFonts w:ascii="Arial" w:cs="Arial" w:eastAsia="Arial" w:hAnsi="Arial"/>
                <w:sz w:val="18"/>
                <w:szCs w:val="18"/>
                <w:b w:val="1"/>
                <w:bCs w:val="1"/>
                <w:color w:val="auto"/>
              </w:rPr>
              <w:t>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jc w:val="right"/>
              <w:ind w:right="440"/>
              <w:spacing w:after="0" w:line="271" w:lineRule="exact"/>
              <w:rPr>
                <w:sz w:val="20"/>
                <w:szCs w:val="20"/>
                <w:color w:val="auto"/>
              </w:rPr>
            </w:pPr>
            <w:r>
              <w:rPr>
                <w:rFonts w:ascii="Arial" w:cs="Arial" w:eastAsia="Arial" w:hAnsi="Arial"/>
                <w:sz w:val="18"/>
                <w:szCs w:val="18"/>
                <w:b w:val="1"/>
                <w:bCs w:val="1"/>
                <w:color w:val="auto"/>
                <w:w w:val="95"/>
              </w:rPr>
              <w:t xml:space="preserve">Share </w:t>
            </w:r>
            <w:r>
              <w:rPr>
                <w:rFonts w:ascii="Arial" w:cs="Arial" w:eastAsia="Arial" w:hAnsi="Arial"/>
                <w:sz w:val="30"/>
                <w:szCs w:val="30"/>
                <w:b w:val="1"/>
                <w:bCs w:val="1"/>
                <w:color w:val="auto"/>
                <w:w w:val="95"/>
                <w:vertAlign w:val="superscript"/>
              </w:rPr>
              <w:t>(1)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400"/>
              <w:spacing w:after="0" w:line="271" w:lineRule="exact"/>
              <w:rPr>
                <w:sz w:val="20"/>
                <w:szCs w:val="20"/>
                <w:color w:val="auto"/>
              </w:rPr>
            </w:pPr>
            <w:r>
              <w:rPr>
                <w:rFonts w:ascii="Arial" w:cs="Arial" w:eastAsia="Arial" w:hAnsi="Arial"/>
                <w:sz w:val="18"/>
                <w:szCs w:val="18"/>
                <w:b w:val="1"/>
                <w:bCs w:val="1"/>
                <w:color w:val="auto"/>
                <w:w w:val="93"/>
              </w:rPr>
              <w:t xml:space="preserve">Share </w:t>
            </w:r>
            <w:r>
              <w:rPr>
                <w:rFonts w:ascii="Arial" w:cs="Arial" w:eastAsia="Arial" w:hAnsi="Arial"/>
                <w:sz w:val="30"/>
                <w:szCs w:val="30"/>
                <w:b w:val="1"/>
                <w:bCs w:val="1"/>
                <w:color w:val="auto"/>
                <w:w w:val="93"/>
                <w:vertAlign w:val="superscript"/>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16,156,908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4,203,632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239,082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205,410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b w:val="1"/>
                <w:bCs w:val="1"/>
                <w:color w:val="auto"/>
              </w:rPr>
              <w:t>Total investment income</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16,395,990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4,409,042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 fees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1,203,125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1,203,125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Incentive fees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2,734,626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44,486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92,905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215,529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Overhead allocation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91,953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Directors’ fees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51,000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49,500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Administration fees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41,158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22,831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 expense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23,970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Consulting fees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19,775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294,287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56,262</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5,025,981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1,760,814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11,370,009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2,648,228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gain on investments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w w:val="95"/>
              </w:rPr>
              <w:t>Net change in unrealized appreciation (depreciation) on investments</w:t>
            </w:r>
          </w:p>
        </w:tc>
        <w:tc>
          <w:tcPr>
            <w:tcW w:w="2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(3,247,119)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(459,019)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8,616,198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2,189,209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basic per share figures noted above are based on weighted averages of 15,727,990 and 8,692,372 shares outstanding for the three months ended June 30, 2019 and 2018,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investment objective is to maximize our total return to our stockholders primarily through current income on our loan portfolio, and secondarily through capital appreciation on our warrants and other equity positions. We intend to achieve our investment objective by investing in high growth-potential, private companies. We typically invest in senior secured and second lien secured loans that generally fall into two strategies: Sponsored Growth Lending and Non-Sponsored Growth Lending. Our Sponsored Growth Lending also typically includes the receipt of warrants and/or other equity from venture-backed companies. We expect our investments in loans will generally range from between $5.0 million to $30.0 million, and the upper end of this range may increase as we raise additional capital.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47" w:name="page48"/>
    <w:bookmarkEnd w:id="47"/>
    <w:p>
      <w:pPr>
        <w:jc w:val="both"/>
        <w:ind w:firstLine="648"/>
        <w:spacing w:after="0" w:line="272" w:lineRule="auto"/>
        <w:rPr>
          <w:sz w:val="20"/>
          <w:szCs w:val="20"/>
          <w:color w:val="auto"/>
        </w:rPr>
      </w:pPr>
      <w:r>
        <w:rPr>
          <w:rFonts w:ascii="Arial" w:cs="Arial" w:eastAsia="Arial" w:hAnsi="Arial"/>
          <w:sz w:val="17"/>
          <w:szCs w:val="17"/>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monthly. In some cases, some of our investments may provide for deferred interest payments or PIK interest. The principal amount of the debt securities and any accrued but unpaid interest generally will become due at the maturity date. In addition, we may generate revenue in the form of commitment and other fees in connection with transactions. Original issue discounts and market discounts or premiums will be capitalized, and we will accrete or amortize such amounts as interest income. We will record prepayment premiums on loans and debt securities as interest income. Dividend income, if any, will be recognized on an accrual basis to the extent that we expect to collect such amounts.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Investment income for the three months ended June 30, 2019 was $16,395,990 due primarily to interest income earned on our portfolio investments. Investment income for the three months ended June 30, 2018 was $4,409,042 due primarily to interest income earned on our portfolio investments. The increase in interest income for the three months ended June 30, 2019 compared to the three months ended June 30, 2018 was a result of our deployment of capital and increased investment portfolio. Investment income further increased due to prepayment fees and end of term payments received during the three months ended June 30,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primary operating expenses include the payment of fees to RGC under the Amended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181" w:lineRule="exact"/>
        <w:rPr>
          <w:sz w:val="20"/>
          <w:szCs w:val="20"/>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organization and offering (the amount of organizational and offering expenses in connection with the Initial Private Offering in excess of $1,000,000 were previously paid by RGC);</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pro-rata portion of fees and expenses related to any future spin-off transaction;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payable on debt incurred to finance our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and purchases of our common stock and other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administration fees payable under the Administration Agreement;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costs of registration and listing our securities on any securities exchange;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costs of preparing and filing reports or other documents required by the SEC, the Financial Industry Regulatory Authority or other regulators;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48" w:name="page49"/>
    <w:bookmarkEnd w:id="48"/>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costs;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allocable portion of any fidelity bond, directors’ and officers’ errors and omissions liability insurance, and any other insurance premiums;</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Operating expenses for the three months ended June 30, 2019 and 2018 were $5,025,981 and $1,760,814, respectively. Operating expenses increased for the three months ended June 30, 2019 from the three months ended June 30, 2018 primarily due to increased portfolio activity which resulted in increased overhead allocation expense, professional fees, and payment of incentive fees. The increase in overhead allocation expense was driven by allocation of RGC personnel, time, and resources utilized on fund activity. Operating expenses per share for the three months ended June 30, 2019 and 2018 were $0.32 per share and $0.21 per share,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Incentive fees for the three months ended June 30, 2019 were $2,734,626, due primarily to the increase in investment income. $2,442,435 of the incentive fees for the three months ended June 30, 2019 were earned, payable in cash, and included in accrued incentive fees in the statement of assets and liabilities as of June 30, 2019. $292,191 of the incentive fees for the three months ended June 30, 2019 were deferred and accrued, and included in accrued incentive fees in the statement of assets and liabilities as of June 30, 2019. Incentive fees per share for the three months ended June 30, 2019 were $0.17 per share. There were no incentive fees for the three months ended June 30,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investment income for the three months ended June 30, 2019 and 2018 were $11,370,009 and $2,648,228 respectively. The net investment income increased for the three months ended June 30, 2019 from the three months ended June 30, 2018 primarily due to interest income earned on our portfolio investments, prepayment fees, and end of term payments, partially offset by increased management and incentive fees and the other operating expenses discussed above. Net investment income per share for the three months ended June 30, 2019 and 2018 were $0.72 per share and $0.30 per share,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on Investment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were $493,308 in net realized gains on investments for the three months ended June 30, 2019, primarily due to the gains on our warrants for preferred stock on Drawbridge, Inc. and Jibe, Inc. There were no net realized gains or losses on investments for the three months ended June 30,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(Depreciation) on Investments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net change in unrealized depreciation on investments of $3,247,119 for the three months ended June 30, 2019 was primarily due to a decrease in the fair value of our senior secured loan to Aginity, Inc. The net change in unrealized depreciation on investments of $459,019 for the three months ended June 30, 2018 was primarily due to a decrease in the fair value of our senior secured loan to Mojix, Inc. and our warrants for preferred stock of Mojix, Inc.</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(Decrease) in Net Assets Resulting from Operations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had an increase in net assets resulting from operations for the three months ended June 30, 2019 and 2018 of $8,616,198 and $2,189,209, respectively. The increase in net assets resulting from operations for the three months ended June 30, 2019 was primarily due to interest and other income earned from portfolio investments, prepayment fees, and end of term payments, partially offset by increased management and incentive fees, professional fees incurred and the net change in unrealized depreciation related to a senior secured loan in our portfolio, Aginity, Inc. The net increase in net assets resulting from operations for the three months ended June 30, 2018 was primarily due to interest and other income earned from our portfolio investments, partially offset by management fees and professional fees incurred.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2018.</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June 30, 2019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10"/>
              <w:spacing w:after="0" w:line="195" w:lineRule="exact"/>
              <w:rPr>
                <w:sz w:val="20"/>
                <w:szCs w:val="20"/>
                <w:color w:val="auto"/>
              </w:rPr>
            </w:pPr>
            <w:r>
              <w:rPr>
                <w:rFonts w:ascii="Arial" w:cs="Arial" w:eastAsia="Arial" w:hAnsi="Arial"/>
                <w:sz w:val="18"/>
                <w:szCs w:val="18"/>
                <w:b w:val="1"/>
                <w:bCs w:val="1"/>
                <w:color w:val="auto"/>
              </w:rPr>
              <w:t>Per</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10"/>
              <w:spacing w:after="0" w:line="195" w:lineRule="exact"/>
              <w:rPr>
                <w:sz w:val="20"/>
                <w:szCs w:val="20"/>
                <w:color w:val="auto"/>
              </w:rPr>
            </w:pPr>
            <w:r>
              <w:rPr>
                <w:rFonts w:ascii="Arial" w:cs="Arial" w:eastAsia="Arial" w:hAnsi="Arial"/>
                <w:sz w:val="18"/>
                <w:szCs w:val="18"/>
                <w:b w:val="1"/>
                <w:bCs w:val="1"/>
                <w:color w:val="auto"/>
              </w:rPr>
              <w:t>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jc w:val="right"/>
              <w:ind w:right="440"/>
              <w:spacing w:after="0" w:line="271" w:lineRule="exact"/>
              <w:rPr>
                <w:sz w:val="20"/>
                <w:szCs w:val="20"/>
                <w:color w:val="auto"/>
              </w:rPr>
            </w:pPr>
            <w:r>
              <w:rPr>
                <w:rFonts w:ascii="Arial" w:cs="Arial" w:eastAsia="Arial" w:hAnsi="Arial"/>
                <w:sz w:val="18"/>
                <w:szCs w:val="18"/>
                <w:b w:val="1"/>
                <w:bCs w:val="1"/>
                <w:color w:val="auto"/>
                <w:w w:val="95"/>
              </w:rPr>
              <w:t xml:space="preserve">Share </w:t>
            </w:r>
            <w:r>
              <w:rPr>
                <w:rFonts w:ascii="Arial" w:cs="Arial" w:eastAsia="Arial" w:hAnsi="Arial"/>
                <w:sz w:val="30"/>
                <w:szCs w:val="30"/>
                <w:b w:val="1"/>
                <w:bCs w:val="1"/>
                <w:color w:val="auto"/>
                <w:w w:val="95"/>
                <w:vertAlign w:val="superscript"/>
              </w:rPr>
              <w:t>(1)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400"/>
              <w:spacing w:after="0" w:line="271" w:lineRule="exact"/>
              <w:rPr>
                <w:sz w:val="20"/>
                <w:szCs w:val="20"/>
                <w:color w:val="auto"/>
              </w:rPr>
            </w:pPr>
            <w:r>
              <w:rPr>
                <w:rFonts w:ascii="Arial" w:cs="Arial" w:eastAsia="Arial" w:hAnsi="Arial"/>
                <w:sz w:val="18"/>
                <w:szCs w:val="18"/>
                <w:b w:val="1"/>
                <w:bCs w:val="1"/>
                <w:color w:val="auto"/>
                <w:w w:val="93"/>
              </w:rPr>
              <w:t xml:space="preserve">Share </w:t>
            </w:r>
            <w:r>
              <w:rPr>
                <w:rFonts w:ascii="Arial" w:cs="Arial" w:eastAsia="Arial" w:hAnsi="Arial"/>
                <w:sz w:val="30"/>
                <w:szCs w:val="30"/>
                <w:b w:val="1"/>
                <w:bCs w:val="1"/>
                <w:color w:val="auto"/>
                <w:w w:val="93"/>
                <w:vertAlign w:val="superscript"/>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28,245,242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7,471,354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301,077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308,259</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b w:val="1"/>
                <w:bCs w:val="1"/>
                <w:color w:val="auto"/>
              </w:rPr>
              <w:t>Total investment income</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28,546,319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7,779,613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 fees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2,406,250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2,406,250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Incentive fees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4,615,995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66,120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484,503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344,086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Overhead allocation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210,067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Directors’ fees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99,000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Administration fees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98,303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62,161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 expense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47,940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Consulting fees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47,195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432,457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92,734</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9,102,284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3,451,661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19,444,035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4,327,952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gain on investments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59,792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w w:val="95"/>
              </w:rPr>
              <w:t>Net change in unrealized appreciation (depreciation) on investments</w:t>
            </w:r>
          </w:p>
        </w:tc>
        <w:tc>
          <w:tcPr>
            <w:tcW w:w="2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(5,487,631)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(795,226)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14,449,712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3,592,518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basic per share figures noted above are based on weighted averages of 16,280,773 and 8,680,419 shares outstanding for the six months ended June 30, 2019 and 2018,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Investment income for the six months ended June 30, 2019 was $28,546,319 due primarily to interest income earned on our portfolio investments. Investment income for the six months ended June 30, 2018 was $7,779,613 due primarily to interest income earned on our portfolio investments. The increase in interest income for the six months ended June 30, 2019 compared to the six months ended June 30, 2018 was a result of our deployment of capital and increased investment portfolio. Investment income further increased due to prepayment fees and end of term payments received during the six-month period ended June 30,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Operating expenses for the six months ended June 30, 2019 and 2018 were $9,102,284 and $3,451,661, respectively. Operating expenses increased for the six months ended June 30, 2019 from the six months ended June 30, 2018 primarily due to increased portfolio activity which resulted in increased overhead allocation expense, professional fees, the payment of incentive fees and interest expense. The increase in interest expense was a result of the use of our subscription line of credit to support our deployment of capital and increasing invested balance. The increase in overhead allocation expense was driven by allocation of RGC personnel, time, and resources utilized on fund activity. Operating expenses per share for the six months ended June 30, 2019 and 2018 were $0.56 per share and $0.40 per share, respectively.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Incentive fees for the six months ended June 30, 2019 were $4,615,995 due primarily to the increase in investment income. $4,005,256 of the incentive fees for the six months ended June 30, 2019 were earned, payable in cash, and included in accrued incentive fees in the statement of assets and liabilities as of June 30, 2019. $610,739 of the incentive fees for the six months ended June 30, 2019 were deferred and accrued, and included in accrued incentive fees in the statement of assets and liabilities as of June 30, 2019. Incentive fees per share for the six months ended June 30, 2019 were $0.28 per share. There were no incentive fees for the six months ended June 30,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Net investment income for the six months ended June 30, 2019 and 2018 was $19,444,035 and $4,327,952, respectively. The net investment income increased for the six months ended June 30, 2019 from the six months ended June 30, 2018 primarily due to interest income earned on our portfolio investments, prepayment fees, and end of term payments, partially offset by increased incentive fees and the other operating expenses discussed above. Net investment income per share for the six months ended June 30, 2019 and 2018 were $1.19 per share and $0.50 per share,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on Investment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$493,308 in net realized gains on investments for the six months ended June 30, 2019, primarily due to the gains on our warrants for preferred stock on Drawbridge, Inc. and Jibe, Inc. Our net realized gain on investments of $59,792 for the six months ended June 30, 2018 was primarily due to the net realized gain on our warrants for preferred stock of Placecast,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(Depreciation) on Investments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net change in unrealized depreciation on investments of $5,487,613 for the six months ended June 30, 2019 primarily due to a decrease in the fair value of a senior secured loan in our portfolio, Aginity, Inc. The net change in unrealized depreciation on investments of $795,226 for the six months ended June 30, 2018 was primarily due to a decrease in the fair value of our senior secured loan to Mojix, Inc. and our warrants for preferred stock of Mojix,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(Decrease) in Net Assets Resulting from Operations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had an increase in net assets resulting from operations for the six months ended June 30, 2019 and 2018 of $14,449,712 and $3,592,518, respectively. The increase in net assets resulting from operations for the six months ended June 30, 2019 was primarily due to interest and other income earned from portfolio investments, prepayment fees, and end of term payments, partially offset by increased management and incentive fees, professional fees incurred and the net change in unrealized depreciation related to a senior secured loan in our portfolio, Aginity, Inc. The net increase in net assets resulting from operations for the six months ended June 30, 2018 was primarily due to interest and other income earned from our portfolio investments, partially offset by management fees and professional fees incurred .</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generate cash primarily from the net proceeds of the offering of our securities and cash flows from our operations, including investment sales and repayments as well as income earned on investments and cash equivalents. We may also fund a portion of our investments through borrowings under the Credit Facilities (discussed below). We expect that we may also generate cash from any financing arrangements we may enter into in the future and any future offerings of our equity or debt securities. We may fund a portion of our investments through borrowings from banks and issuances of senior securities. Our primary use of funds is to make investments in eligible portfolio companies, pay our operating expenses and make distributions to holders of our common stock.</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six months ended June 30, 2019, cash and cash equivalents increased to $14,326,032 from $2,527,474 as of December 31, 2018. This increase was primarily the result of the drawing on the remaining capital commitments under the Initial Private Offering net of the purchase of investments in portfolio companies and U.S. Treasury Bills, and was partially offset by the maturity of the U.S. Treasury Bills for $159,560,000.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the authority to issue 100,000,000 shares of common stock, $0.01 par value per share.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51" w:name="page52"/>
    <w:bookmarkEnd w:id="51"/>
    <w:p>
      <w:pPr>
        <w:jc w:val="both"/>
        <w:ind w:firstLine="648"/>
        <w:spacing w:after="0" w:line="264" w:lineRule="auto"/>
        <w:rPr>
          <w:sz w:val="20"/>
          <w:szCs w:val="20"/>
          <w:color w:val="auto"/>
        </w:rPr>
      </w:pPr>
      <w:r>
        <w:rPr>
          <w:rFonts w:ascii="Arial" w:cs="Arial" w:eastAsia="Arial" w:hAnsi="Arial"/>
          <w:sz w:val="18"/>
          <w:szCs w:val="18"/>
          <w:color w:val="auto"/>
        </w:rPr>
        <w:t>On October 8, 2015, we issued 1,667 shares of our common stock to R. David Spreng, our President, Chief Executive Officer and Chairman of our Board of Directors, for an aggregate purchase price of $25,000. The remaining shares were issued in connection with the Initial Private Offering or pursuant to our dividend reinvestment plan, as follows:</w:t>
      </w:r>
    </w:p>
    <w:p>
      <w:pPr>
        <w:spacing w:after="0" w:line="191"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80" w:type="dxa"/>
            <w:vAlign w:val="bottom"/>
          </w:tcPr>
          <w:p>
            <w:pPr>
              <w:ind w:left="2300"/>
              <w:spacing w:after="0"/>
              <w:rPr>
                <w:sz w:val="20"/>
                <w:szCs w:val="20"/>
                <w:color w:val="auto"/>
              </w:rPr>
            </w:pPr>
            <w:r>
              <w:rPr>
                <w:rFonts w:ascii="Arial" w:cs="Arial" w:eastAsia="Arial" w:hAnsi="Arial"/>
                <w:sz w:val="18"/>
                <w:szCs w:val="18"/>
                <w:b w:val="1"/>
                <w:bCs w:val="1"/>
                <w:color w:val="auto"/>
              </w:rPr>
              <w:t>Issuance Date</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Shares Issued</w:t>
            </w: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Price Per Share</w:t>
            </w:r>
          </w:p>
        </w:tc>
        <w:tc>
          <w:tcPr>
            <w:tcW w:w="1460" w:type="dxa"/>
            <w:vAlign w:val="bottom"/>
            <w:gridSpan w:val="4"/>
          </w:tcPr>
          <w:p>
            <w:pPr>
              <w:ind w:left="180"/>
              <w:spacing w:after="0"/>
              <w:rPr>
                <w:sz w:val="20"/>
                <w:szCs w:val="20"/>
                <w:color w:val="auto"/>
              </w:rPr>
            </w:pPr>
            <w:r>
              <w:rPr>
                <w:rFonts w:ascii="Arial" w:cs="Arial" w:eastAsia="Arial" w:hAnsi="Arial"/>
                <w:sz w:val="18"/>
                <w:szCs w:val="18"/>
                <w:b w:val="1"/>
                <w:bCs w:val="1"/>
                <w:color w:val="auto"/>
                <w:w w:val="91"/>
              </w:rPr>
              <w:t>Gross Proceeds</w:t>
            </w:r>
          </w:p>
        </w:tc>
      </w:tr>
      <w:tr>
        <w:trPr>
          <w:trHeight w:val="210"/>
        </w:trPr>
        <w:tc>
          <w:tcPr>
            <w:tcW w:w="20" w:type="dxa"/>
            <w:vAlign w:val="bottom"/>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22, 2016</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April 19, 2017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June 26, 2017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September 12, 2017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2,666,667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December 22, 2017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w:t>
            </w:r>
          </w:p>
        </w:tc>
        <w:tc>
          <w:tcPr>
            <w:tcW w:w="8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680" w:type="dxa"/>
            <w:vAlign w:val="bottom"/>
          </w:tcPr>
          <w:p>
            <w:pPr>
              <w:spacing w:after="0" w:line="256" w:lineRule="exact"/>
              <w:rPr>
                <w:sz w:val="20"/>
                <w:szCs w:val="20"/>
                <w:color w:val="auto"/>
              </w:rPr>
            </w:pPr>
            <w:r>
              <w:rPr>
                <w:rFonts w:ascii="Arial" w:cs="Arial" w:eastAsia="Arial" w:hAnsi="Arial"/>
                <w:sz w:val="18"/>
                <w:szCs w:val="18"/>
                <w:color w:val="auto"/>
              </w:rPr>
              <w:t xml:space="preserve">May 31, 2018 </w:t>
            </w:r>
            <w:r>
              <w:rPr>
                <w:rFonts w:ascii="Arial" w:cs="Arial" w:eastAsia="Arial" w:hAnsi="Arial"/>
                <w:sz w:val="29"/>
                <w:szCs w:val="29"/>
                <w:color w:val="auto"/>
                <w:vertAlign w:val="superscript"/>
              </w:rPr>
              <w:t>(1)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70,563</w:t>
            </w: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14.82</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1,045,570</w:t>
            </w:r>
          </w:p>
        </w:tc>
        <w:tc>
          <w:tcPr>
            <w:tcW w:w="8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August 31, 2018 </w:t>
            </w:r>
            <w:r>
              <w:rPr>
                <w:rFonts w:ascii="Arial" w:cs="Arial" w:eastAsia="Arial" w:hAnsi="Arial"/>
                <w:sz w:val="29"/>
                <w:szCs w:val="29"/>
                <w:color w:val="auto"/>
                <w:vertAlign w:val="superscript"/>
              </w:rPr>
              <w:t>(1)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117,582</w:t>
            </w:r>
          </w:p>
        </w:tc>
        <w:tc>
          <w:tcPr>
            <w:tcW w:w="2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1,754,244</w:t>
            </w:r>
          </w:p>
        </w:tc>
        <w:tc>
          <w:tcPr>
            <w:tcW w:w="8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September 27, 2018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1,997,337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30,000,000</w:t>
            </w:r>
          </w:p>
        </w:tc>
        <w:tc>
          <w:tcPr>
            <w:tcW w:w="8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November 15, 2018 </w:t>
            </w:r>
            <w:r>
              <w:rPr>
                <w:rFonts w:ascii="Arial" w:cs="Arial" w:eastAsia="Arial" w:hAnsi="Arial"/>
                <w:sz w:val="29"/>
                <w:szCs w:val="29"/>
                <w:color w:val="auto"/>
                <w:vertAlign w:val="superscript"/>
              </w:rPr>
              <w:t>(1)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202,779</w:t>
            </w:r>
          </w:p>
        </w:tc>
        <w:tc>
          <w:tcPr>
            <w:tcW w:w="2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3,055,498</w:t>
            </w:r>
          </w:p>
        </w:tc>
        <w:tc>
          <w:tcPr>
            <w:tcW w:w="8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January 14, 2019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4,344,964</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66,000,000</w:t>
            </w:r>
          </w:p>
        </w:tc>
        <w:tc>
          <w:tcPr>
            <w:tcW w:w="8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March 26, 2019 </w:t>
            </w:r>
            <w:r>
              <w:rPr>
                <w:rFonts w:ascii="Arial" w:cs="Arial" w:eastAsia="Arial" w:hAnsi="Arial"/>
                <w:sz w:val="29"/>
                <w:szCs w:val="29"/>
                <w:color w:val="auto"/>
                <w:vertAlign w:val="superscript"/>
              </w:rPr>
              <w:t>(1)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326,431</w:t>
            </w:r>
          </w:p>
        </w:tc>
        <w:tc>
          <w:tcPr>
            <w:tcW w:w="2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4,942,168</w:t>
            </w:r>
          </w:p>
        </w:tc>
        <w:tc>
          <w:tcPr>
            <w:tcW w:w="8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680" w:type="dxa"/>
            <w:vAlign w:val="bottom"/>
          </w:tcPr>
          <w:p>
            <w:pPr>
              <w:spacing w:after="0" w:line="256" w:lineRule="exact"/>
              <w:rPr>
                <w:sz w:val="20"/>
                <w:szCs w:val="20"/>
                <w:color w:val="auto"/>
              </w:rPr>
            </w:pPr>
            <w:r>
              <w:rPr>
                <w:rFonts w:ascii="Arial" w:cs="Arial" w:eastAsia="Arial" w:hAnsi="Arial"/>
                <w:sz w:val="18"/>
                <w:szCs w:val="18"/>
                <w:color w:val="auto"/>
              </w:rPr>
              <w:t xml:space="preserve">May 21, 2019 </w:t>
            </w:r>
            <w:r>
              <w:rPr>
                <w:rFonts w:ascii="Arial" w:cs="Arial" w:eastAsia="Arial" w:hAnsi="Arial"/>
                <w:sz w:val="29"/>
                <w:szCs w:val="29"/>
                <w:color w:val="auto"/>
                <w:vertAlign w:val="superscript"/>
              </w:rPr>
              <w:t>(1)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374,783</w:t>
            </w: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15.13</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5,670,467</w:t>
            </w:r>
          </w:p>
        </w:tc>
        <w:tc>
          <w:tcPr>
            <w:tcW w:w="8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May 24, 2019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3,232,189</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49,000,000</w:t>
            </w:r>
          </w:p>
        </w:tc>
        <w:tc>
          <w:tcPr>
            <w:tcW w:w="8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680" w:type="dxa"/>
            <w:vAlign w:val="bottom"/>
          </w:tcPr>
          <w:p>
            <w:pPr>
              <w:spacing w:after="0" w:line="269" w:lineRule="exact"/>
              <w:rPr>
                <w:sz w:val="20"/>
                <w:szCs w:val="20"/>
                <w:color w:val="auto"/>
              </w:rPr>
            </w:pPr>
            <w:r>
              <w:rPr>
                <w:rFonts w:ascii="Arial" w:cs="Arial" w:eastAsia="Arial" w:hAnsi="Arial"/>
                <w:sz w:val="18"/>
                <w:szCs w:val="18"/>
                <w:color w:val="auto"/>
              </w:rPr>
              <w:t xml:space="preserve">July 16, 2019 </w:t>
            </w:r>
            <w:r>
              <w:rPr>
                <w:rFonts w:ascii="Arial" w:cs="Arial" w:eastAsia="Arial" w:hAnsi="Arial"/>
                <w:sz w:val="30"/>
                <w:szCs w:val="30"/>
                <w:color w:val="auto"/>
                <w:vertAlign w:val="superscript"/>
              </w:rPr>
              <w:t>(1)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465,090</w:t>
            </w: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15.13</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7,036,800</w:t>
            </w:r>
          </w:p>
        </w:tc>
        <w:tc>
          <w:tcPr>
            <w:tcW w:w="80" w:type="dxa"/>
            <w:vAlign w:val="bottom"/>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19,798,385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243,834,280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7"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30"/>
          <w:szCs w:val="30"/>
          <w:color w:val="auto"/>
          <w:vertAlign w:val="superscript"/>
        </w:rPr>
      </w:pPr>
      <w:r>
        <w:rPr>
          <w:rFonts w:ascii="Arial" w:cs="Arial" w:eastAsia="Arial" w:hAnsi="Arial"/>
          <w:sz w:val="18"/>
          <w:szCs w:val="18"/>
          <w:color w:val="auto"/>
        </w:rPr>
        <w:t>Shares were issued as part of the dividend reinvestment plan.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2019, the Company had $26,000,000 in unfunded loan commitments to provide debt financing to eight portfolio companies.</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jc w:val="right"/>
              <w:ind w:right="797"/>
              <w:spacing w:after="0"/>
              <w:rPr>
                <w:sz w:val="20"/>
                <w:szCs w:val="20"/>
                <w:color w:val="auto"/>
              </w:rPr>
            </w:pPr>
            <w:r>
              <w:rPr>
                <w:rFonts w:ascii="Arial" w:cs="Arial" w:eastAsia="Arial" w:hAnsi="Arial"/>
                <w:sz w:val="18"/>
                <w:szCs w:val="18"/>
                <w:b w:val="1"/>
                <w:bCs w:val="1"/>
                <w:color w:val="auto"/>
              </w:rPr>
              <w:t>Payments Due By Period</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3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86"/>
              </w:rPr>
              <w:t>Less than 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20" w:type="dxa"/>
            <w:vAlign w:val="bottom"/>
          </w:tcPr>
          <w:p>
            <w:pPr>
              <w:spacing w:after="0"/>
              <w:rPr>
                <w:sz w:val="16"/>
                <w:szCs w:val="16"/>
                <w:color w:val="auto"/>
              </w:rPr>
            </w:pPr>
          </w:p>
        </w:tc>
      </w:tr>
      <w:tr>
        <w:trPr>
          <w:trHeight w:val="234"/>
        </w:trPr>
        <w:tc>
          <w:tcPr>
            <w:tcW w:w="31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year</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1-3 years</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 years</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years</w:t>
            </w:r>
          </w:p>
        </w:tc>
        <w:tc>
          <w:tcPr>
            <w:tcW w:w="120" w:type="dxa"/>
            <w:vAlign w:val="bottom"/>
            <w:tcBorders>
              <w:bottom w:val="single" w:sz="8" w:color="CCEEFF"/>
            </w:tcBorders>
          </w:tcPr>
          <w:p>
            <w:pPr>
              <w:spacing w:after="0"/>
              <w:rPr>
                <w:sz w:val="20"/>
                <w:szCs w:val="20"/>
                <w:color w:val="auto"/>
              </w:rPr>
            </w:pPr>
          </w:p>
        </w:tc>
      </w:tr>
      <w:tr>
        <w:trPr>
          <w:trHeight w:val="237"/>
        </w:trPr>
        <w:tc>
          <w:tcPr>
            <w:tcW w:w="31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Reverse repurchase agreement </w:t>
            </w:r>
            <w:r>
              <w:rPr>
                <w:rFonts w:ascii="Arial" w:cs="Arial" w:eastAsia="Arial" w:hAnsi="Arial"/>
                <w:sz w:val="27"/>
                <w:szCs w:val="27"/>
                <w:color w:val="auto"/>
                <w:vertAlign w:val="superscript"/>
              </w:rPr>
              <w:t>(1)</w:t>
            </w:r>
          </w:p>
        </w:tc>
        <w:tc>
          <w:tcPr>
            <w:tcW w:w="9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85,526,546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85,526,546</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5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r>
      <w:tr>
        <w:trPr>
          <w:trHeight w:val="270"/>
        </w:trPr>
        <w:tc>
          <w:tcPr>
            <w:tcW w:w="3160" w:type="dxa"/>
            <w:vAlign w:val="bottom"/>
            <w:tcBorders>
              <w:bottom w:val="single" w:sz="8" w:color="CCEEFF"/>
            </w:tcBorders>
          </w:tcPr>
          <w:p>
            <w:pPr>
              <w:spacing w:after="0" w:line="269" w:lineRule="exact"/>
              <w:rPr>
                <w:sz w:val="20"/>
                <w:szCs w:val="20"/>
                <w:color w:val="auto"/>
              </w:rPr>
            </w:pPr>
            <w:r>
              <w:rPr>
                <w:rFonts w:ascii="Arial" w:cs="Arial" w:eastAsia="Arial" w:hAnsi="Arial"/>
                <w:sz w:val="18"/>
                <w:szCs w:val="18"/>
                <w:color w:val="auto"/>
              </w:rPr>
              <w:t xml:space="preserve">Credit facilities </w:t>
            </w:r>
            <w:r>
              <w:rPr>
                <w:rFonts w:ascii="Arial" w:cs="Arial" w:eastAsia="Arial" w:hAnsi="Arial"/>
                <w:sz w:val="30"/>
                <w:szCs w:val="30"/>
                <w:color w:val="auto"/>
                <w:vertAlign w:val="superscript"/>
              </w:rPr>
              <w:t>(2)</w:t>
            </w:r>
          </w:p>
        </w:tc>
        <w:tc>
          <w:tcPr>
            <w:tcW w:w="7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r>
      <w:tr>
        <w:trPr>
          <w:trHeight w:val="223"/>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85,526,546</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85,526,546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18"/>
        <w:spacing w:after="0" w:line="258"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Reverse repurchase agreement relates to the purchase of the U.S. Treasury Bill on margin. The reverse repurchase agreement purchased was subsequently repaid in July 2019.</w:t>
      </w:r>
    </w:p>
    <w:p>
      <w:pPr>
        <w:spacing w:after="0" w:line="1" w:lineRule="exact"/>
        <w:rPr>
          <w:rFonts w:ascii="Arial" w:cs="Arial" w:eastAsia="Arial" w:hAnsi="Arial"/>
          <w:sz w:val="18"/>
          <w:szCs w:val="18"/>
          <w:color w:val="auto"/>
        </w:rPr>
      </w:pPr>
    </w:p>
    <w:p>
      <w:pPr>
        <w:ind w:left="400" w:hanging="324"/>
        <w:spacing w:after="0"/>
        <w:tabs>
          <w:tab w:leader="none" w:pos="4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See “Note 10 – Credit Facilities.” to our financial statements in Part I of this Form 10-Q for more information.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On May 31, 2019, we entered into the Credit Agreement with KeyBank National Association, as administrative agent, syndication agent, and a lender, CIBC Bank USA, as documentation agent and a lender, and U.S. Bank National Association, as paying agent. 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 The availability period under the Credit Agreement expires on May 31, 2022 and is followed by a two-year amortization period. The stated maturity date under the Credit Agreement is May 31, 2024. The Credit Agreement is secured by a perfected first priority security interest in substantially all of the Company’s assets and portfolio investments.</w:t>
      </w:r>
    </w:p>
    <w:p>
      <w:pPr>
        <w:spacing w:after="0" w:line="19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June 22, 2018, as amended on September 24, 2018, we entered into the Uncommitted Facility and the Committed Facility with CIBC. The maximum principal amount of available borrowings under each of the Uncommitted Facility and the Committed Facility was $30 million (for a combined maximum principal amount under the Credit Facilities of $60 million), subject in each case to availability under the borrowing base, which is based on unused capital commitments. Borrowings under the Credit Facilities bear interest, at our election at the time of drawdown, at a rate per annum equal to (i) in the case of LIBOR rate loans, the LIBOR rate for the applicable interest period plus 2.50% or (ii) in the case of prime rate loans, CIBC’s prime commercial rate at the time of the borrowing minus 0.50%. The Credit Facilities mature on September 19, 2019 and are secured by a perfected first priority security interest in our right, title, and interest in and to the capital commitments of our private investors, including our right to make capital calls, receive and apply capital contributions, enforce remedies and claims related thereto together with capital call proceeds and related rights, and a pledge of the collateral account into which capital call proceeds are deposited. On May 31, 2019, in conjunction with securing and entering into the new Credit Agreement, we terminated the Credit Facilities.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six months ended June 30, 2019, the Company drew down $17,750,000 and repaid $77,250,000, of which $0 remains outstanding at June 30, 2019. During the year ended December 31, 2018, the Company drew down $74,500,000 and repaid $15,000,000, of which $59,500,000 remained outstanding at December 31, 2018. Interest is accrued at CIBC’s prime commercial rate less 0.5%. At December 31, 2018 interest was accruing at a rate of 5.0% per annum. See “Note 10 – Credit Facilities” to our financial statements in Part I, Item 1 of this Form 10-Q for more information on the Credit Facilities.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have no off-balance sheet arrangements, including any risk management of commodity pricing or other hedging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 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 During the six months ended June 30, 2019, we declared dividends in the amount of $22,132,302, of which $4,482,867, was paid in cash and the remainder distributed in shares to stockholders pursuant to our dividend reinvestment plan. Of these distributions during the six months ended June 30, 2019, we paid dividends in the amount of $13,238,219, of which $2,625,584, was cash and the remainder distributed in shares to stockholders pursuant to our dividend reinvestment plan. During the year ended December 31, 2018 we declared and paid dividends in the amount of $7,283,810, of which $1,428,498 was distributed in cash and the remainder distributed in shares to stockholders pursuant to our dividend reinvestment plan.</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shows the dividends per share declared since our formation through June 30, 2019.</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Amount per</w:t>
            </w:r>
          </w:p>
        </w:tc>
      </w:tr>
      <w:tr>
        <w:trPr>
          <w:trHeight w:val="234"/>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1320" w:type="dxa"/>
            <w:vAlign w:val="bottom"/>
            <w:gridSpan w:val="3"/>
          </w:tcPr>
          <w:p>
            <w:pPr>
              <w:ind w:left="140"/>
              <w:spacing w:after="0"/>
              <w:rPr>
                <w:sz w:val="20"/>
                <w:szCs w:val="20"/>
                <w:color w:val="auto"/>
              </w:rPr>
            </w:pPr>
            <w:r>
              <w:rPr>
                <w:rFonts w:ascii="Arial" w:cs="Arial" w:eastAsia="Arial" w:hAnsi="Arial"/>
                <w:sz w:val="18"/>
                <w:szCs w:val="18"/>
                <w:b w:val="1"/>
                <w:bCs w:val="1"/>
                <w:color w:val="auto"/>
              </w:rPr>
              <w:t>Record Date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Payment Date</w:t>
            </w:r>
          </w:p>
        </w:tc>
        <w:tc>
          <w:tcPr>
            <w:tcW w:w="14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w:t>
            </w:r>
          </w:p>
        </w:tc>
      </w:tr>
      <w:tr>
        <w:trPr>
          <w:trHeight w:val="210"/>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3, 2018</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15,</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2018</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31, 2018</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July 26, 2018</w:t>
            </w:r>
          </w:p>
        </w:tc>
        <w:tc>
          <w:tcPr>
            <w:tcW w:w="860" w:type="dxa"/>
            <w:vAlign w:val="bottom"/>
          </w:tcPr>
          <w:p>
            <w:pPr>
              <w:jc w:val="right"/>
              <w:spacing w:after="0"/>
              <w:rPr>
                <w:sz w:val="20"/>
                <w:szCs w:val="20"/>
                <w:color w:val="auto"/>
              </w:rPr>
            </w:pPr>
            <w:r>
              <w:rPr>
                <w:rFonts w:ascii="Arial" w:cs="Arial" w:eastAsia="Arial" w:hAnsi="Arial"/>
                <w:sz w:val="18"/>
                <w:szCs w:val="18"/>
                <w:color w:val="auto"/>
                <w:w w:val="95"/>
              </w:rPr>
              <w:t>August 15,</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2018</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August 31, 2018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October 31,</w:t>
            </w:r>
          </w:p>
        </w:tc>
        <w:tc>
          <w:tcPr>
            <w:tcW w:w="1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2"/>
              </w:rPr>
              <w:t>2018 November 15,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0.35</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March 22, 2019</w:t>
            </w:r>
          </w:p>
        </w:tc>
        <w:tc>
          <w:tcPr>
            <w:tcW w:w="860" w:type="dxa"/>
            <w:vAlign w:val="bottom"/>
          </w:tcPr>
          <w:p>
            <w:pPr>
              <w:jc w:val="right"/>
              <w:spacing w:after="0"/>
              <w:rPr>
                <w:sz w:val="20"/>
                <w:szCs w:val="20"/>
                <w:color w:val="auto"/>
              </w:rPr>
            </w:pPr>
            <w:r>
              <w:rPr>
                <w:rFonts w:ascii="Arial" w:cs="Arial" w:eastAsia="Arial" w:hAnsi="Arial"/>
                <w:sz w:val="18"/>
                <w:szCs w:val="18"/>
                <w:color w:val="auto"/>
              </w:rPr>
              <w:t>March 22,</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2019</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March 26,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0.40</w:t>
            </w: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7,</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May 21,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0.45</w:t>
            </w:r>
          </w:p>
        </w:tc>
      </w:tr>
      <w:tr>
        <w:trPr>
          <w:trHeight w:val="390"/>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May 2, 2019 </w:t>
            </w:r>
            <w:r>
              <w:rPr>
                <w:rFonts w:ascii="Arial" w:cs="Arial" w:eastAsia="Arial" w:hAnsi="Arial"/>
                <w:sz w:val="30"/>
                <w:szCs w:val="30"/>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8"/>
                <w:szCs w:val="18"/>
                <w:color w:val="auto"/>
              </w:rPr>
              <w:t>May 31,</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2019</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July 16,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0.46</w:t>
            </w:r>
          </w:p>
        </w:tc>
      </w:tr>
    </w:tbl>
    <w:p>
      <w:pPr>
        <w:ind w:left="1140" w:hanging="484"/>
        <w:spacing w:after="0" w:line="235" w:lineRule="auto"/>
        <w:tabs>
          <w:tab w:leader="none" w:pos="1140"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Distribution recorded as dividend payable as of June 30, 2019.</w:t>
      </w:r>
    </w:p>
    <w:p>
      <w:pPr>
        <w:sectPr>
          <w:pgSz w:w="11900" w:h="16838" w:orient="portrait"/>
          <w:cols w:equalWidth="0" w:num="1">
            <w:col w:w="11420"/>
          </w:cols>
          <w:pgMar w:left="240" w:top="1125" w:right="239" w:bottom="131" w:gutter="0" w:footer="0" w:header="0"/>
        </w:sectPr>
      </w:pPr>
    </w:p>
    <w:bookmarkStart w:id="53" w:name="page54"/>
    <w:bookmarkEnd w:id="53"/>
    <w:p>
      <w:pPr>
        <w:jc w:val="center"/>
        <w:ind w:right="-4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preparation of the financial statements and related disclosures in conformity with U.S. GAAP requires our management to make estimates and assumptions that affect the reported amounts of assets and liabilities, disclosure of contingent assets and liabilities at the date of the financial statements, and revenues and expenses during the period reports. Actual results could materially differ from those estimates. We believe that our most critical accounting policies, which are those that are most important to the portrayal of our financial condition and results of operations and require management’s most difficult, subjective and complex judgments, include the valuation of investments and our election to be treated, and intent to qualify annually, as a RIC. See “Note 2 — Summary of Significant Accounting Policies” to our financial statements in Part I, Item 1 of this Form 10-Q, which describes our critical accounting policies and recently adopted accounting pronouncements not yet required to be adopted by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measure the value of our investments at fair value in accordance with ASC Topic 820, issued by the FASB. Fair value is the price that would be received to sell an asset or paid to transfer a liability in an orderly transaction between market participants at the measurement date.</w:t>
      </w:r>
    </w:p>
    <w:p>
      <w:pPr>
        <w:spacing w:after="0" w:line="1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Audit Committee is responsible for assisting our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our Board of Directors, with the assistance of the Audit Committee, RGC and its senior investment team and independent valuation agents, is responsible for determining, in good faith, the fair value in accordance with the valuation policy approved by our Board of Directors. If more than one valuation method is used to measure fair value, the results are evaluated and weighted, as appropriate, considering the reasonableness of the range indicated by those results. We consider a range of fair values based upon the valuation techniques utilized and select the value within that range that was most representative of fair value based on current market conditions as well as other factors RGC’s senior investment team considers relevant.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Level 1—Valuations are based on quoted prices in active markets for identical assets or liabilities that are accessible at the measurement date.</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55" w:name="page56"/>
    <w:bookmarkEnd w:id="55"/>
    <w:p>
      <w:pPr>
        <w:jc w:val="both"/>
        <w:ind w:firstLine="648"/>
        <w:spacing w:after="0" w:line="255" w:lineRule="auto"/>
        <w:rPr>
          <w:sz w:val="20"/>
          <w:szCs w:val="20"/>
          <w:color w:val="auto"/>
        </w:rPr>
      </w:pPr>
      <w:r>
        <w:rPr>
          <w:rFonts w:ascii="Arial" w:cs="Arial" w:eastAsia="Arial" w:hAnsi="Arial"/>
          <w:sz w:val="18"/>
          <w:szCs w:val="18"/>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170" w:lineRule="exact"/>
        <w:rPr>
          <w:sz w:val="20"/>
          <w:szCs w:val="20"/>
          <w:color w:val="auto"/>
        </w:rPr>
      </w:pPr>
    </w:p>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investment being initially valued by RGC’s investment professionals that are responsible for the portfolio investment;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an independent valuation firm. Certain investments, however, may not be evaluated by an independent valuation firm if the net asset value and other aspects of such investments in the aggregate do not exceed certain thresholds;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independent valuation firm, if any, and makes a recommendation to our Board of Directors regarding such valuations;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Board of Directors reviews the recommended preliminary valuations and determines the fair value of each investment in our portfolio, in good faith, based on the input of RGC, the independent valuation firm and the Audit Committee.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investments are primarily loans made to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Debt Investments. </w:t>
      </w:r>
      <w:r>
        <w:rPr>
          <w:rFonts w:ascii="Arial" w:cs="Arial" w:eastAsia="Arial" w:hAnsi="Arial"/>
          <w:sz w:val="17"/>
          <w:szCs w:val="17"/>
          <w:color w:val="auto"/>
        </w:rPr>
        <w:t>To determine the fair value of our debt investments, we compare the cost basis of the debt investment, which includes original</w:t>
      </w:r>
      <w:r>
        <w:rPr>
          <w:rFonts w:ascii="Arial" w:cs="Arial" w:eastAsia="Arial" w:hAnsi="Arial"/>
          <w:sz w:val="17"/>
          <w:szCs w:val="17"/>
          <w:i w:val="1"/>
          <w:iCs w:val="1"/>
          <w:color w:val="auto"/>
        </w:rPr>
        <w:t xml:space="preserve"> </w:t>
      </w:r>
      <w:r>
        <w:rPr>
          <w:rFonts w:ascii="Arial" w:cs="Arial" w:eastAsia="Arial" w:hAnsi="Arial"/>
          <w:sz w:val="17"/>
          <w:szCs w:val="17"/>
          <w:color w:val="auto"/>
        </w:rPr>
        <w:t>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which are similar in nature to our investments, in order to determine a comparable range of effective market interest rates for our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significant increase or decrease in these unobservable inputs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certain circumstances, we may use an alternative technique to value the debt investments to be acquired by us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Fair value of warrants is primarily determined using a Black Scholes option-pricing model. Privately held warrants and equity-related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valued based on an analysis of various factors including, but not limited to, the following: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56" w:name="page57"/>
    <w:bookmarkEnd w:id="56"/>
    <w:p>
      <w:pPr>
        <w:jc w:val="both"/>
        <w:ind w:left="980" w:hanging="324"/>
        <w:spacing w:after="0" w:line="25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92" w:lineRule="exact"/>
        <w:rPr>
          <w:rFonts w:ascii="Arial" w:cs="Arial" w:eastAsia="Arial" w:hAnsi="Arial"/>
          <w:sz w:val="18"/>
          <w:szCs w:val="18"/>
          <w:color w:val="auto"/>
        </w:rPr>
      </w:pPr>
    </w:p>
    <w:p>
      <w:pPr>
        <w:jc w:val="both"/>
        <w:ind w:left="980" w:hanging="324"/>
        <w:spacing w:after="0" w:line="302"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54" w:lineRule="exact"/>
        <w:rPr>
          <w:rFonts w:ascii="Arial" w:cs="Arial" w:eastAsia="Arial" w:hAnsi="Arial"/>
          <w:sz w:val="16"/>
          <w:szCs w:val="16"/>
          <w:color w:val="auto"/>
        </w:rPr>
      </w:pPr>
    </w:p>
    <w:p>
      <w:pPr>
        <w:jc w:val="both"/>
        <w:ind w:left="980" w:hanging="324"/>
        <w:spacing w:after="0" w:line="302"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54"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our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86" w:lineRule="exact"/>
        <w:rPr>
          <w:rFonts w:ascii="Arial" w:cs="Arial" w:eastAsia="Arial" w:hAnsi="Arial"/>
          <w:sz w:val="18"/>
          <w:szCs w:val="18"/>
          <w:color w:val="auto"/>
        </w:rPr>
      </w:pPr>
    </w:p>
    <w:p>
      <w:pPr>
        <w:jc w:val="both"/>
        <w:ind w:left="980" w:hanging="324"/>
        <w:spacing w:after="0" w:line="273" w:lineRule="auto"/>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Historical portfolio experience on cancellations and exercises of warrants are utilized as the basis for determining the estimated life of the warrants in each financial reporting period. Warrants may be exercised in the event of acquisitions, mergers or IPOs,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certain circumstances we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Equity Investments. </w:t>
      </w:r>
      <w:r>
        <w:rPr>
          <w:rFonts w:ascii="Arial" w:cs="Arial" w:eastAsia="Arial" w:hAnsi="Arial"/>
          <w:sz w:val="17"/>
          <w:szCs w:val="17"/>
          <w:color w:val="auto"/>
        </w:rPr>
        <w:t>The fair value of an equity investment in a privately held company is initially the face value of the amount invested. We adjust</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equity investments in private companies upon the completion of a new third-party round of equity financing subsequent to our investment. We may make adjustments to fair value, absent a new equity financing event, based upon positive or negative changes in a portfolio company’s financial or operational performance. We may also reference comparable transactions and/or secondary market transactions in connection with our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assets measured at fair value on a recurring basis subject to the requirements of ASC Topic 820 at June 30, 2019 and December 31, 2018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9"/>
              </w:rPr>
              <w:t>As of June 30, 2019 (Unaudited)</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40"/>
              <w:spacing w:after="0"/>
              <w:rPr>
                <w:sz w:val="20"/>
                <w:szCs w:val="20"/>
                <w:color w:val="auto"/>
              </w:rPr>
            </w:pPr>
            <w:r>
              <w:rPr>
                <w:rFonts w:ascii="Arial" w:cs="Arial" w:eastAsia="Arial" w:hAnsi="Arial"/>
                <w:sz w:val="18"/>
                <w:szCs w:val="18"/>
                <w:color w:val="auto"/>
              </w:rPr>
              <w:t>Senior Secured Term Loans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264,357,266</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264,357,266</w:t>
            </w:r>
          </w:p>
        </w:tc>
      </w:tr>
      <w:tr>
        <w:trPr>
          <w:trHeight w:val="216"/>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461,826</w:t>
            </w: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15,206,802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15,206,802</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280,025,894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280,025,894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b w:val="1"/>
                <w:bCs w:val="1"/>
                <w:color w:val="auto"/>
              </w:rPr>
              <w:t>U.S. Treasury Bill</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85,980,815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85,980,815</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85,980,815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280,025,894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366,006,709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ind w:left="180"/>
              <w:spacing w:after="0"/>
              <w:rPr>
                <w:sz w:val="20"/>
                <w:szCs w:val="20"/>
                <w:color w:val="auto"/>
              </w:rPr>
            </w:pPr>
            <w:r>
              <w:rPr>
                <w:rFonts w:ascii="Arial" w:cs="Arial" w:eastAsia="Arial" w:hAnsi="Arial"/>
                <w:sz w:val="18"/>
                <w:szCs w:val="18"/>
                <w:b w:val="1"/>
                <w:bCs w:val="1"/>
                <w:color w:val="auto"/>
              </w:rPr>
              <w:t>As of December 31, 2018</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40"/>
              <w:spacing w:after="0"/>
              <w:rPr>
                <w:sz w:val="20"/>
                <w:szCs w:val="20"/>
                <w:color w:val="auto"/>
              </w:rPr>
            </w:pPr>
            <w:r>
              <w:rPr>
                <w:rFonts w:ascii="Arial" w:cs="Arial" w:eastAsia="Arial" w:hAnsi="Arial"/>
                <w:sz w:val="18"/>
                <w:szCs w:val="18"/>
                <w:color w:val="auto"/>
              </w:rPr>
              <w:t>Senior Secured Term Loans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208,539,353</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208,539,353</w:t>
            </w:r>
          </w:p>
        </w:tc>
      </w:tr>
      <w:tr>
        <w:trPr>
          <w:trHeight w:val="216"/>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461,826</w:t>
            </w: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15,380,210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15,380,210</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224,381,389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224,381,389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b w:val="1"/>
                <w:bCs w:val="1"/>
                <w:color w:val="auto"/>
              </w:rPr>
              <w:t>U.S. Treasury Bill</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79,959,928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79,959,928</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79,959,928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224,381,389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304,341,317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recognized transfers into and out of the levels indicated above at the end of the reporting period. There were no transfers into or out of the levels during the six months ended June 30, 2019 and the year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Security transactions, if any, are recorded on a trade-date basis. We measure realized gains or losses from the repayment or sale of investments using the specific identification method. The amortized cost basis of investments represents the original cost adjusted for the accretion/amortization of discounts and premiums and upfront loan origination fees. We report changes in fair value of investments that are measured at fair value as a component of net change in unrealized appreciation (depreciation) on investments in the statement of operations.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Dividends are recorded on the ex-dividend date. Interest income, if any, adjusted for amortization of market premium and accretion of market discount, is recorded on an accrual basis to the extent that we expect to collect such amounts. Original issue discount, principally representing the estimated fair value of detachable equity or warrants obtained in conjunction with our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over the contractual life of the loan based on the effective interest method. Upon prepayment of a loan or debt security, any prepayment penalties, unamortized loan origination fees, end of term payments and unamortized market discounts are recorded as interest income.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accrue for base management fees and incentive fees. The accrual for incentive fees includes the recognition of incentive fees on unrealized capital gains, even though such incentive fees are neither earned nor payable to RGC until the gains are both realized and in excess of unrealized depreciation on investments. See “Note 7 – Related Party Agreements and Transactions” to our financial statements in Part I, Item 1 of this Form 10-Q for more information on the Amended Advisory Agreement and the fee structure thereunder.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elected to be treated, and intend to qualify annually, as a RIC under Subchapter M of the Code. Generally, a RIC is not subject to U.S. federal income taxes on distributed income and gains if it distributes at least 90% of its net ordinary income and net short-term capital gains in excess of its net long-term capital losses, if any, to its stockholders. So long as we qualify, and maintain our status, as a RIC, we generally will not pay corporate-level U.S. federal income taxes on any ordinary income or capital gains that we distribute at least annually to our stockholders as dividends. Rather, any tax liability related to income earned by us represents obligations of our investors and will not be reflected in the financial statements of the Company. We intend to make sufficient distributions to maintain our RIC tax treatment each year and we do not anticipate paying any material U.S. federal income taxes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16, 2019, pursuant to our dividend reinvestment plan, we issued 465,090 shares of our common stock, at a price of $15.13 per share for total proceeds of $7,036,800, to stockholders of record as of May 31, 2019 which did not opt out of the dividend reinvestment plan in order to satisfy the reinvestment portion of our dividends.</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On July 22, 2019, the Company funded an investment in Massdrop Inc. a San Francisco-based e-commerce company, funding $17,500,000 of a $22,500,000 senior secured loan commitment.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July 24, 2019, the Company funded, pursuant to the first amendment to the loan and security agreement, an additional investment of $1,000,000 to Sharethis, Inc.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25, 2019, the Company funded, pursuant to an amendment to the loan and security agreement, $625,000 to Aginity, Inc.</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On July 26, 2019, the Company funded an investment in INRIX, Inc. a Washington-based global provider of traffic and parking data company, funding $25,000,000 of a $33,000,000 senior secured loan commitment.</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July 30, 2019, The Company’s Board of Directors declared a dividend of $0.45 per share payable on August 26, 2019 to shareholders of record as of August 5, 2019.</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On July 31, 2019, the Mojix, Inc. bridge loan matured and was repaid pursuant to the amended loan and security agreement for total proceeds of $1,020,830.</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Between July 1, 2019 and August 7, 2019, the Company accepted additional capital commitments under its Second Private Offering of $22,200,000 bringing total available capital commitments under the Second Private Offering to $168,223,500.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commenced investment activities in portfolio securities during the quarter ended June 30, 2017 and commenced investment activities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Bills during the quarter ended December 31, 2016.</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24, 2019, the Company funded, pursuant to the first amendment to the loan and security agreement, an additional investment of $1,000,000 to Sharethis, Inc.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25, 2019, the Company funded, pursuant to an amendment to the loan and security agreement, $625,000 to Aginity, Inc.</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 Our net investment income is affected by fluctuations in various interest rates, including LIBOR and prime rates.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typically expect that interest rates on the investments held in our portfolio will be based on LIBOR, with many of these investments also having a LIBOR floor. As of June 30, 2019, 100.0%, or $267,981,293 (at cost), of our debt portfolio investments bore interest at variable rates, which are Floating Prime or LIBOR-based and subject to certain floors, and none of our debt portfolio investments bore interest at fixed rates. As of June 30, 2019, 3.0% of our debt portfolio investments, or $8,029,906 (at cost), are subject to a 11.5% cap on cash interest. Any interest above the cap will accrue to principal and be treated as PIK interest. A hypothetical 200 basis point increase or decrease in the interest rates on our variable-rate debt investments could increase our investment income by a maximum of approximately $5,559,744 and decrease our investment income by a maximum of approximately $854,786 on an annual basis.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Borrowings under the Credit Facilities bear interest, at our election at the time of drawdown, at a rate per annum equal to (i) in the case of LIBOR rate loans, the LIBOR rate for the applicable interest period plus 2.50% or (ii) in the case of prime rate loans, CIBC’s prime commercial rate at the time of the borrowing minus 0.50%.</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we currently borrow, and plan to borrow in the future, money to make investments, our net investment income would be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these legal proceedings cannot be predicted with certainty, we do not expect that these proceedings will have a material effect upon our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carefully consider the risks described below and all other information contained in this quarterly report on Form 10-Q, including our interim financial statements and the related notes thereto, before making a decision to purchase our securities. The risks and uncertainties described below are not the only ones facing us. Additional risks and uncertainties note currently known to us or that we currently deem to be immaterial also may materially adversely affect our business, financial condition and/or operating results.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of the following risks actually occur, our business, financial condition or results of operations could be materially adversely affected. If that happens, you may lose all or part of your investment. Other than as set forth below, there have been no material changes during the period ended June 30, 2019 to the risk factors discussed in “Risk Factors” in Part I, Item 1A of our annual report on Form 10-K for the fiscal year ended December 31, 2018, filed with the SEC on March 29, 2019.</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Technology-related sectors, including those involving data processing and outsourced services and technology hardware, in which we invest are subject to many risks, including volatility, intense competition, decreasing life cycles, product obsolescence, changing consumer preferences and periodic downturns.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Given the experience of RGC’s senior investment professionals within the technology space, a number of the companies in which we intend to invest operate in technology-related sectors. The revenue, income (or losses) and valuations of technology-related companies can and often do fluctuate suddenly and dramatically. Economic downturn may cause a decline in spending on information technology and technology hardware products. In addition, because of rapid technological change, the average selling prices of products and some services provided by technology-related sectors have historically decreased over their productive lives. As a result, the average selling prices of products and services offered by our portfolio companies that operate in technology-related sectors may decrease over time, which could adversely affect their operating results and, correspondingly, the value of any securities that we may hold. This could, in turn, materially adversely affect our business, financial condition and results of operations.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semiconductor industry is subject to many risks, including intense competition, volatility, and increasing costs and complexity of research and development.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number of the companies in which invest operate in the semiconductor industry. The semiconductor industry is highly cyclical and is characterized by constant and rapid technological change, price erosion, evolving standards, short product life cycles and wide fluctuations in product supply and demand. Any future downturns may result in diminished product demand, production overcapacity, high inventory levels and accelerated erosion of average selling prices for our portfolio companies. Furthermore, any upturn in the semiconductor industry could result in increased competition for access to third-party foundry and assembly capacity for our portfolio companies. Our portfolio companies are dependent on the availability of this capacity to manufacture and assemble all of their products. These risks that our portfolio companies face could, in turn, materially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May 21, 2019, pursuant to our dividend reinvestment plan, we issued 374,783 shares of our common stock, at a price of $15.13 per share, to stockholders of record as of May 7, 2019 that did not opt out of the dividend reinvestment plan in order to satisfy the reinvestment portion of our dividends.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24, 2019, pursuant to a capital drawdown notice dated May 10, 2019, we issued 3,232,189 shares of our common stock at a price of $15.16 per share for an aggregate offering price of $49,000,000.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than pursuant to our dividend reinvestment plan, and except as previously reported by us on our current reports on Form 8-K, we did not sell any securities during the period covered by this Form 10-Q that were not registered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112"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188" w:lineRule="exact"/>
        <w:rPr>
          <w:sz w:val="20"/>
          <w:szCs w:val="20"/>
          <w:color w:val="auto"/>
        </w:rPr>
      </w:pPr>
    </w:p>
    <w:tbl>
      <w:tblPr>
        <w:tblLayout w:type="fixed"/>
        <w:tblInd w:w="240" w:type="dxa"/>
        <w:tblCellMar>
          <w:top w:w="0" w:type="dxa"/>
          <w:left w:w="0" w:type="dxa"/>
          <w:bottom w:w="0" w:type="dxa"/>
          <w:right w:w="0" w:type="dxa"/>
        </w:tblCellMar>
      </w:tblPr>
      <w:tr>
        <w:trPr>
          <w:trHeight w:val="200"/>
        </w:trPr>
        <w:tc>
          <w:tcPr>
            <w:tcW w:w="220" w:type="dxa"/>
            <w:vAlign w:val="bottom"/>
            <w:vMerge w:val="restart"/>
          </w:tcPr>
          <w:p>
            <w:pPr>
              <w:spacing w:after="0"/>
              <w:rPr>
                <w:rFonts w:ascii="Arial" w:cs="Arial" w:eastAsia="Arial" w:hAnsi="Arial"/>
                <w:sz w:val="18"/>
                <w:szCs w:val="18"/>
                <w:color w:val="0000EE"/>
                <w:w w:val="79"/>
              </w:rPr>
            </w:pPr>
            <w:hyperlink r:id="rId110">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980" w:type="dxa"/>
            <w:vAlign w:val="bottom"/>
            <w:gridSpan w:val="7"/>
            <w:vMerge w:val="restart"/>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Articles of Amendment and Restatement</w:t>
              </w:r>
            </w:hyperlink>
          </w:p>
        </w:tc>
        <w:tc>
          <w:tcPr>
            <w:tcW w:w="180" w:type="dxa"/>
            <w:vAlign w:val="bottom"/>
            <w:tcBorders>
              <w:bottom w:val="single" w:sz="8" w:color="0000EE"/>
            </w:tcBorders>
          </w:tcPr>
          <w:p>
            <w:pPr>
              <w:jc w:val="right"/>
              <w:spacing w:after="0"/>
              <w:rPr>
                <w:rFonts w:ascii="Arial" w:cs="Arial" w:eastAsia="Arial" w:hAnsi="Arial"/>
                <w:sz w:val="15"/>
                <w:szCs w:val="15"/>
                <w:color w:val="0000EE"/>
                <w:w w:val="87"/>
              </w:rPr>
            </w:pPr>
            <w:hyperlink r:id="rId110">
              <w:r>
                <w:rPr>
                  <w:rFonts w:ascii="Arial" w:cs="Arial" w:eastAsia="Arial" w:hAnsi="Arial"/>
                  <w:sz w:val="15"/>
                  <w:szCs w:val="15"/>
                  <w:color w:val="0000EE"/>
                  <w:w w:val="87"/>
                </w:rPr>
                <w:t>(1)</w:t>
              </w:r>
            </w:hyperlink>
          </w:p>
        </w:tc>
        <w:tc>
          <w:tcPr>
            <w:tcW w:w="1700" w:type="dxa"/>
            <w:vAlign w:val="bottom"/>
            <w:vMerge w:val="restart"/>
          </w:tcPr>
          <w:p>
            <w:pPr>
              <w:spacing w:after="0"/>
              <w:rPr>
                <w:sz w:val="17"/>
                <w:szCs w:val="17"/>
                <w:color w:val="auto"/>
              </w:rPr>
            </w:pPr>
          </w:p>
        </w:tc>
        <w:tc>
          <w:tcPr>
            <w:tcW w:w="180" w:type="dxa"/>
            <w:vAlign w:val="bottom"/>
            <w:vMerge w:val="restart"/>
          </w:tcPr>
          <w:p>
            <w:pPr>
              <w:spacing w:after="0"/>
              <w:rPr>
                <w:sz w:val="17"/>
                <w:szCs w:val="17"/>
                <w:color w:val="auto"/>
              </w:rPr>
            </w:pPr>
          </w:p>
        </w:tc>
        <w:tc>
          <w:tcPr>
            <w:tcW w:w="2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60" w:type="dxa"/>
            <w:vAlign w:val="bottom"/>
            <w:vMerge w:val="restart"/>
          </w:tcPr>
          <w:p>
            <w:pPr>
              <w:spacing w:after="0"/>
              <w:rPr>
                <w:sz w:val="17"/>
                <w:szCs w:val="17"/>
                <w:color w:val="auto"/>
              </w:rPr>
            </w:pPr>
          </w:p>
        </w:tc>
        <w:tc>
          <w:tcPr>
            <w:tcW w:w="172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122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17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20" w:type="dxa"/>
            <w:vAlign w:val="bottom"/>
            <w:tcBorders>
              <w:bottom w:val="single" w:sz="8" w:color="0000EE"/>
            </w:tcBorders>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80" w:type="dxa"/>
            <w:vAlign w:val="bottom"/>
            <w:gridSpan w:val="7"/>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20" w:type="dxa"/>
            <w:vAlign w:val="bottom"/>
            <w:vMerge w:val="restart"/>
          </w:tcPr>
          <w:p>
            <w:pPr>
              <w:spacing w:after="0"/>
              <w:rPr>
                <w:rFonts w:ascii="Arial" w:cs="Arial" w:eastAsia="Arial" w:hAnsi="Arial"/>
                <w:sz w:val="18"/>
                <w:szCs w:val="18"/>
                <w:color w:val="0000EE"/>
                <w:w w:val="79"/>
              </w:rPr>
            </w:pPr>
            <w:hyperlink r:id="rId111">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w:t>
              </w:r>
            </w:hyperlink>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80" w:type="dxa"/>
            <w:vAlign w:val="bottom"/>
            <w:tcBorders>
              <w:bottom w:val="single" w:sz="8" w:color="0000EE"/>
            </w:tcBorders>
            <w:gridSpan w:val="7"/>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vMerge w:val="restart"/>
          </w:tcPr>
          <w:p>
            <w:pPr>
              <w:spacing w:after="0"/>
              <w:rPr>
                <w:rFonts w:ascii="Arial" w:cs="Arial" w:eastAsia="Arial" w:hAnsi="Arial"/>
                <w:sz w:val="18"/>
                <w:szCs w:val="18"/>
                <w:color w:val="0000EE"/>
                <w:w w:val="94"/>
              </w:rPr>
            </w:pPr>
            <w:hyperlink r:id="rId111">
              <w:r>
                <w:rPr>
                  <w:rFonts w:ascii="Arial" w:cs="Arial" w:eastAsia="Arial" w:hAnsi="Arial"/>
                  <w:sz w:val="18"/>
                  <w:szCs w:val="18"/>
                  <w:color w:val="0000EE"/>
                  <w:w w:val="94"/>
                </w:rPr>
                <w:t>Articles of Amendment</w:t>
              </w:r>
            </w:hyperlink>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7"/>
              </w:rPr>
              <w:t>(2)</w:t>
            </w:r>
          </w:p>
        </w:tc>
        <w:tc>
          <w:tcPr>
            <w:tcW w:w="38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260" w:type="dxa"/>
            <w:vAlign w:val="bottom"/>
            <w:gridSpan w:val="3"/>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7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22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7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20" w:type="dxa"/>
            <w:vAlign w:val="bottom"/>
            <w:tcBorders>
              <w:bottom w:val="single" w:sz="8" w:color="0000EE"/>
            </w:tcBorders>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26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20" w:type="dxa"/>
            <w:vAlign w:val="bottom"/>
            <w:vMerge w:val="restart"/>
          </w:tcPr>
          <w:p>
            <w:pPr>
              <w:spacing w:after="0"/>
              <w:rPr>
                <w:rFonts w:ascii="Arial" w:cs="Arial" w:eastAsia="Arial" w:hAnsi="Arial"/>
                <w:sz w:val="18"/>
                <w:szCs w:val="18"/>
                <w:color w:val="0000EE"/>
                <w:w w:val="79"/>
              </w:rPr>
            </w:pPr>
            <w:hyperlink r:id="rId112">
              <w:r>
                <w:rPr>
                  <w:rFonts w:ascii="Arial" w:cs="Arial" w:eastAsia="Arial" w:hAnsi="Arial"/>
                  <w:sz w:val="18"/>
                  <w:szCs w:val="18"/>
                  <w:color w:val="0000EE"/>
                  <w:w w:val="79"/>
                </w:rPr>
                <w:t>3.</w:t>
              </w:r>
              <w:r>
                <w:rPr>
                  <w:rFonts w:ascii="Arial" w:cs="Arial" w:eastAsia="Arial" w:hAnsi="Arial"/>
                  <w:sz w:val="18"/>
                  <w:szCs w:val="18"/>
                  <w:u w:val="single" w:color="auto"/>
                  <w:color w:val="0000EE"/>
                  <w:w w:val="79"/>
                </w:rPr>
                <w:t>3</w:t>
              </w:r>
            </w:hyperlink>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Borders>
              <w:bottom w:val="single" w:sz="8" w:color="0000EE"/>
            </w:tcBorders>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5"/>
                <w:szCs w:val="15"/>
                <w:color w:val="0000EE"/>
                <w:w w:val="87"/>
              </w:rPr>
              <w:t>(2)</w:t>
            </w:r>
          </w:p>
        </w:tc>
        <w:tc>
          <w:tcPr>
            <w:tcW w:w="120" w:type="dxa"/>
            <w:vAlign w:val="bottom"/>
            <w:vMerge w:val="continue"/>
          </w:tcPr>
          <w:p>
            <w:pPr>
              <w:spacing w:after="0" w:line="20" w:lineRule="exact"/>
              <w:rPr>
                <w:sz w:val="1"/>
                <w:szCs w:val="1"/>
                <w:color w:val="auto"/>
              </w:rPr>
            </w:pPr>
          </w:p>
        </w:tc>
        <w:tc>
          <w:tcPr>
            <w:tcW w:w="226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00" w:type="dxa"/>
            <w:vAlign w:val="bottom"/>
            <w:gridSpan w:val="3"/>
            <w:vMerge w:val="restart"/>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Amended and Restated Bylaws</w:t>
              </w:r>
            </w:hyperlink>
          </w:p>
        </w:tc>
        <w:tc>
          <w:tcPr>
            <w:tcW w:w="180" w:type="dxa"/>
            <w:vAlign w:val="bottom"/>
            <w:tcBorders>
              <w:bottom w:val="single" w:sz="8" w:color="0000EE"/>
            </w:tcBorders>
            <w:gridSpan w:val="2"/>
            <w:vMerge w:val="continue"/>
          </w:tcPr>
          <w:p>
            <w:pPr>
              <w:spacing w:after="0"/>
              <w:rPr>
                <w:sz w:val="24"/>
                <w:szCs w:val="24"/>
                <w:color w:val="auto"/>
              </w:rPr>
            </w:pPr>
          </w:p>
        </w:tc>
        <w:tc>
          <w:tcPr>
            <w:tcW w:w="120" w:type="dxa"/>
            <w:vAlign w:val="bottom"/>
            <w:vMerge w:val="restart"/>
          </w:tcPr>
          <w:p>
            <w:pPr>
              <w:spacing w:after="0"/>
              <w:rPr>
                <w:sz w:val="24"/>
                <w:szCs w:val="24"/>
                <w:color w:val="auto"/>
              </w:rPr>
            </w:pPr>
          </w:p>
        </w:tc>
        <w:tc>
          <w:tcPr>
            <w:tcW w:w="2260" w:type="dxa"/>
            <w:vAlign w:val="bottom"/>
            <w:gridSpan w:val="3"/>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7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22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7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20" w:type="dxa"/>
            <w:vAlign w:val="bottom"/>
            <w:tcBorders>
              <w:bottom w:val="single" w:sz="8" w:color="0000EE"/>
            </w:tcBorders>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00" w:type="dxa"/>
            <w:vAlign w:val="bottom"/>
            <w:gridSpan w:val="3"/>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26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20" w:type="dxa"/>
            <w:vAlign w:val="bottom"/>
            <w:vMerge w:val="restart"/>
          </w:tcPr>
          <w:p>
            <w:pPr>
              <w:spacing w:after="0"/>
              <w:rPr>
                <w:rFonts w:ascii="Arial" w:cs="Arial" w:eastAsia="Arial" w:hAnsi="Arial"/>
                <w:sz w:val="18"/>
                <w:szCs w:val="18"/>
                <w:color w:val="0000EE"/>
                <w:w w:val="79"/>
              </w:rPr>
            </w:pPr>
            <w:hyperlink r:id="rId113">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w:t>
              </w:r>
            </w:hyperlink>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00" w:type="dxa"/>
            <w:vAlign w:val="bottom"/>
            <w:tcBorders>
              <w:bottom w:val="single" w:sz="8" w:color="0000EE"/>
            </w:tcBorders>
            <w:gridSpan w:val="3"/>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5"/>
                <w:szCs w:val="15"/>
                <w:color w:val="0000EE"/>
                <w:w w:val="87"/>
              </w:rPr>
              <w:t>(3)</w:t>
            </w:r>
          </w:p>
        </w:tc>
        <w:tc>
          <w:tcPr>
            <w:tcW w:w="226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20" w:type="dxa"/>
            <w:vAlign w:val="bottom"/>
            <w:gridSpan w:val="4"/>
            <w:vMerge w:val="restart"/>
          </w:tcPr>
          <w:p>
            <w:pPr>
              <w:spacing w:after="0"/>
              <w:rPr>
                <w:rFonts w:ascii="Arial" w:cs="Arial" w:eastAsia="Arial" w:hAnsi="Arial"/>
                <w:sz w:val="18"/>
                <w:szCs w:val="18"/>
                <w:color w:val="0000EE"/>
                <w:w w:val="92"/>
              </w:rPr>
            </w:pPr>
            <w:hyperlink r:id="rId113">
              <w:r>
                <w:rPr>
                  <w:rFonts w:ascii="Arial" w:cs="Arial" w:eastAsia="Arial" w:hAnsi="Arial"/>
                  <w:sz w:val="18"/>
                  <w:szCs w:val="18"/>
                  <w:color w:val="0000EE"/>
                  <w:w w:val="92"/>
                </w:rPr>
                <w:t>Form of Subscription Agreement</w:t>
              </w:r>
            </w:hyperlink>
          </w:p>
        </w:tc>
        <w:tc>
          <w:tcPr>
            <w:tcW w:w="180" w:type="dxa"/>
            <w:vAlign w:val="bottom"/>
            <w:tcBorders>
              <w:bottom w:val="single" w:sz="8" w:color="0000EE"/>
            </w:tcBorders>
            <w:gridSpan w:val="2"/>
            <w:vMerge w:val="continue"/>
          </w:tcPr>
          <w:p>
            <w:pPr>
              <w:spacing w:after="0"/>
              <w:rPr>
                <w:sz w:val="24"/>
                <w:szCs w:val="24"/>
                <w:color w:val="auto"/>
              </w:rPr>
            </w:pPr>
          </w:p>
        </w:tc>
        <w:tc>
          <w:tcPr>
            <w:tcW w:w="2260" w:type="dxa"/>
            <w:vAlign w:val="bottom"/>
            <w:gridSpan w:val="3"/>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7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22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7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20" w:type="dxa"/>
            <w:vAlign w:val="bottom"/>
            <w:tcBorders>
              <w:bottom w:val="single" w:sz="8" w:color="0000EE"/>
            </w:tcBorders>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gridSpan w:val="4"/>
            <w:vMerge w:val="continue"/>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226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tcBorders>
              <w:bottom w:val="single" w:sz="8" w:color="0000EE"/>
            </w:tcBorders>
            <w:gridSpan w:val="4"/>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226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11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600" w:type="dxa"/>
            <w:vAlign w:val="bottom"/>
          </w:tcPr>
          <w:p>
            <w:pPr>
              <w:spacing w:after="0"/>
              <w:rPr>
                <w:sz w:val="24"/>
                <w:szCs w:val="24"/>
                <w:color w:val="auto"/>
              </w:rPr>
            </w:pPr>
          </w:p>
        </w:tc>
        <w:tc>
          <w:tcPr>
            <w:tcW w:w="10260" w:type="dxa"/>
            <w:vAlign w:val="bottom"/>
            <w:tcBorders>
              <w:bottom w:val="single" w:sz="8" w:color="0000EE"/>
            </w:tcBorders>
            <w:gridSpan w:val="18"/>
          </w:tcPr>
          <w:p>
            <w:pPr>
              <w:spacing w:after="0"/>
              <w:rPr>
                <w:rFonts w:ascii="Arial" w:cs="Arial" w:eastAsia="Arial" w:hAnsi="Arial"/>
                <w:sz w:val="18"/>
                <w:szCs w:val="18"/>
                <w:color w:val="0000EE"/>
                <w:w w:val="93"/>
              </w:rPr>
            </w:pPr>
            <w:hyperlink r:id="rId114">
              <w:r>
                <w:rPr>
                  <w:rFonts w:ascii="Arial" w:cs="Arial" w:eastAsia="Arial" w:hAnsi="Arial"/>
                  <w:sz w:val="18"/>
                  <w:szCs w:val="18"/>
                  <w:color w:val="0000EE"/>
                  <w:w w:val="93"/>
                </w:rPr>
                <w:t>Credit Agreement, dated as of May 31, 2019, by and among the Company, as borrower, KeyBank National Association, as administrative</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agent and syndication agent, CIBC Bank USA, as documentation agent, U.S. Bank National Association, as paying agent, the guarantors from</w:t>
              </w:r>
            </w:hyperlink>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320" w:type="dxa"/>
            <w:vAlign w:val="bottom"/>
            <w:gridSpan w:val="11"/>
            <w:vMerge w:val="restart"/>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time to time party thereto, and the lenders from time to time party thereto.</w:t>
              </w:r>
            </w:hyperlink>
          </w:p>
        </w:tc>
        <w:tc>
          <w:tcPr>
            <w:tcW w:w="180" w:type="dxa"/>
            <w:vAlign w:val="bottom"/>
            <w:tcBorders>
              <w:bottom w:val="single" w:sz="8" w:color="0000EE"/>
            </w:tcBorders>
            <w:gridSpan w:val="2"/>
          </w:tcPr>
          <w:p>
            <w:pPr>
              <w:jc w:val="right"/>
              <w:spacing w:after="0" w:line="156" w:lineRule="exact"/>
              <w:rPr>
                <w:rFonts w:ascii="Arial" w:cs="Arial" w:eastAsia="Arial" w:hAnsi="Arial"/>
                <w:sz w:val="15"/>
                <w:szCs w:val="15"/>
                <w:color w:val="0000EE"/>
                <w:w w:val="87"/>
              </w:rPr>
            </w:pPr>
            <w:hyperlink r:id="rId114">
              <w:r>
                <w:rPr>
                  <w:rFonts w:ascii="Arial" w:cs="Arial" w:eastAsia="Arial" w:hAnsi="Arial"/>
                  <w:sz w:val="15"/>
                  <w:szCs w:val="15"/>
                  <w:color w:val="0000EE"/>
                  <w:w w:val="87"/>
                </w:rPr>
                <w:t>(4)</w:t>
              </w:r>
            </w:hyperlink>
          </w:p>
        </w:tc>
        <w:tc>
          <w:tcPr>
            <w:tcW w:w="172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7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320" w:type="dxa"/>
            <w:vAlign w:val="bottom"/>
            <w:tcBorders>
              <w:bottom w:val="single" w:sz="8" w:color="0000EE"/>
            </w:tcBorders>
            <w:gridSpan w:val="11"/>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11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600" w:type="dxa"/>
            <w:vAlign w:val="bottom"/>
          </w:tcPr>
          <w:p>
            <w:pPr>
              <w:spacing w:after="0"/>
              <w:rPr>
                <w:sz w:val="24"/>
                <w:szCs w:val="24"/>
                <w:color w:val="auto"/>
              </w:rPr>
            </w:pPr>
          </w:p>
        </w:tc>
        <w:tc>
          <w:tcPr>
            <w:tcW w:w="10260" w:type="dxa"/>
            <w:vAlign w:val="bottom"/>
            <w:tcBorders>
              <w:bottom w:val="single" w:sz="8" w:color="0000EE"/>
            </w:tcBorders>
            <w:gridSpan w:val="18"/>
          </w:tcPr>
          <w:p>
            <w:pPr>
              <w:spacing w:after="0"/>
              <w:rPr>
                <w:rFonts w:ascii="Arial" w:cs="Arial" w:eastAsia="Arial" w:hAnsi="Arial"/>
                <w:sz w:val="18"/>
                <w:szCs w:val="18"/>
                <w:color w:val="0000EE"/>
                <w:w w:val="93"/>
              </w:rPr>
            </w:pPr>
            <w:hyperlink r:id="rId115">
              <w:r>
                <w:rPr>
                  <w:rFonts w:ascii="Arial" w:cs="Arial" w:eastAsia="Arial" w:hAnsi="Arial"/>
                  <w:sz w:val="18"/>
                  <w:szCs w:val="18"/>
                  <w:color w:val="0000EE"/>
                  <w:w w:val="93"/>
                </w:rPr>
                <w:t>Document Custody Agreement, dated as of May 31, 2019, by and among the Company, KeyBank National Association, as administrative</w:t>
              </w:r>
            </w:hyperlink>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60" w:type="dxa"/>
            <w:vAlign w:val="bottom"/>
            <w:gridSpan w:val="9"/>
            <w:vMerge w:val="restart"/>
          </w:tcPr>
          <w:p>
            <w:pPr>
              <w:spacing w:after="0"/>
              <w:rPr>
                <w:rFonts w:ascii="Arial" w:cs="Arial" w:eastAsia="Arial" w:hAnsi="Arial"/>
                <w:sz w:val="18"/>
                <w:szCs w:val="18"/>
                <w:color w:val="0000EE"/>
                <w:w w:val="89"/>
              </w:rPr>
            </w:pPr>
            <w:hyperlink r:id="rId115">
              <w:r>
                <w:rPr>
                  <w:rFonts w:ascii="Arial" w:cs="Arial" w:eastAsia="Arial" w:hAnsi="Arial"/>
                  <w:sz w:val="18"/>
                  <w:szCs w:val="18"/>
                  <w:color w:val="0000EE"/>
                  <w:w w:val="89"/>
                </w:rPr>
                <w:t>agent, and U.S. Bank National Association, as document custodian.</w:t>
              </w:r>
            </w:hyperlink>
          </w:p>
        </w:tc>
        <w:tc>
          <w:tcPr>
            <w:tcW w:w="180" w:type="dxa"/>
            <w:vAlign w:val="bottom"/>
            <w:tcBorders>
              <w:bottom w:val="single" w:sz="8" w:color="0000EE"/>
            </w:tcBorders>
          </w:tcPr>
          <w:p>
            <w:pPr>
              <w:jc w:val="right"/>
              <w:spacing w:after="0" w:line="156" w:lineRule="exact"/>
              <w:rPr>
                <w:rFonts w:ascii="Arial" w:cs="Arial" w:eastAsia="Arial" w:hAnsi="Arial"/>
                <w:sz w:val="15"/>
                <w:szCs w:val="15"/>
                <w:color w:val="0000EE"/>
                <w:w w:val="87"/>
              </w:rPr>
            </w:pPr>
            <w:hyperlink r:id="rId115">
              <w:r>
                <w:rPr>
                  <w:rFonts w:ascii="Arial" w:cs="Arial" w:eastAsia="Arial" w:hAnsi="Arial"/>
                  <w:sz w:val="15"/>
                  <w:szCs w:val="15"/>
                  <w:color w:val="0000EE"/>
                  <w:w w:val="87"/>
                </w:rPr>
                <w:t>(4)</w:t>
              </w:r>
            </w:hyperlink>
          </w:p>
        </w:tc>
        <w:tc>
          <w:tcPr>
            <w:tcW w:w="2180" w:type="dxa"/>
            <w:vAlign w:val="bottom"/>
            <w:gridSpan w:val="4"/>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7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60" w:type="dxa"/>
            <w:vAlign w:val="bottom"/>
            <w:tcBorders>
              <w:bottom w:val="single" w:sz="8" w:color="0000EE"/>
            </w:tcBorders>
            <w:gridSpan w:val="9"/>
            <w:vMerge w:val="continue"/>
          </w:tcPr>
          <w:p>
            <w:pPr>
              <w:spacing w:after="0"/>
              <w:rPr>
                <w:sz w:val="4"/>
                <w:szCs w:val="4"/>
                <w:color w:val="auto"/>
              </w:rPr>
            </w:pPr>
          </w:p>
        </w:tc>
        <w:tc>
          <w:tcPr>
            <w:tcW w:w="180" w:type="dxa"/>
            <w:vAlign w:val="bottom"/>
          </w:tcPr>
          <w:p>
            <w:pPr>
              <w:spacing w:after="0"/>
              <w:rPr>
                <w:sz w:val="4"/>
                <w:szCs w:val="4"/>
                <w:color w:val="auto"/>
              </w:rPr>
            </w:pPr>
          </w:p>
        </w:tc>
        <w:tc>
          <w:tcPr>
            <w:tcW w:w="2180" w:type="dxa"/>
            <w:vAlign w:val="bottom"/>
            <w:gridSpan w:val="4"/>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p>
        </w:tc>
        <w:tc>
          <w:tcPr>
            <w:tcW w:w="600" w:type="dxa"/>
            <w:vAlign w:val="bottom"/>
          </w:tcPr>
          <w:p>
            <w:pPr>
              <w:spacing w:after="0"/>
              <w:rPr>
                <w:sz w:val="24"/>
                <w:szCs w:val="24"/>
                <w:color w:val="auto"/>
              </w:rPr>
            </w:pPr>
          </w:p>
        </w:tc>
        <w:tc>
          <w:tcPr>
            <w:tcW w:w="10260" w:type="dxa"/>
            <w:vAlign w:val="bottom"/>
            <w:gridSpan w:val="18"/>
          </w:tcPr>
          <w:p>
            <w:pPr>
              <w:spacing w:after="0"/>
              <w:rPr>
                <w:sz w:val="20"/>
                <w:szCs w:val="20"/>
                <w:color w:val="auto"/>
              </w:rPr>
            </w:pPr>
            <w:r>
              <w:rPr>
                <w:rFonts w:ascii="Arial" w:cs="Arial" w:eastAsia="Arial" w:hAnsi="Arial"/>
                <w:sz w:val="18"/>
                <w:szCs w:val="18"/>
                <w:color w:val="0000EE"/>
              </w:rPr>
              <w:t>Certification of Chief Executive Officer pursuant to Rule 13a-14 of the Securities Exchange Act of 1934, as amended*</w:t>
            </w:r>
          </w:p>
        </w:tc>
        <w:tc>
          <w:tcPr>
            <w:tcW w:w="0" w:type="dxa"/>
            <w:vAlign w:val="bottom"/>
          </w:tcPr>
          <w:p>
            <w:pPr>
              <w:spacing w:after="0"/>
              <w:rPr>
                <w:sz w:val="1"/>
                <w:szCs w:val="1"/>
                <w:color w:val="auto"/>
              </w:rPr>
            </w:pPr>
          </w:p>
        </w:tc>
      </w:tr>
      <w:tr>
        <w:trPr>
          <w:trHeight w:val="412"/>
        </w:trPr>
        <w:tc>
          <w:tcPr>
            <w:tcW w:w="3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p>
        </w:tc>
        <w:tc>
          <w:tcPr>
            <w:tcW w:w="600" w:type="dxa"/>
            <w:vAlign w:val="bottom"/>
          </w:tcPr>
          <w:p>
            <w:pPr>
              <w:spacing w:after="0"/>
              <w:rPr>
                <w:sz w:val="24"/>
                <w:szCs w:val="24"/>
                <w:color w:val="auto"/>
              </w:rPr>
            </w:pPr>
          </w:p>
        </w:tc>
        <w:tc>
          <w:tcPr>
            <w:tcW w:w="850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0000EE"/>
                <w:w w:val="91"/>
              </w:rPr>
              <w:t>Certification of Chief Financial Officer pursuant to Rule 13a-14 of the Securities Exchange Act of 1934, as amended*</w:t>
            </w:r>
          </w:p>
        </w:tc>
        <w:tc>
          <w:tcPr>
            <w:tcW w:w="4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p>
        </w:tc>
        <w:tc>
          <w:tcPr>
            <w:tcW w:w="600" w:type="dxa"/>
            <w:vAlign w:val="bottom"/>
          </w:tcPr>
          <w:p>
            <w:pPr>
              <w:spacing w:after="0"/>
              <w:rPr>
                <w:sz w:val="24"/>
                <w:szCs w:val="24"/>
                <w:color w:val="auto"/>
              </w:rPr>
            </w:pPr>
          </w:p>
        </w:tc>
        <w:tc>
          <w:tcPr>
            <w:tcW w:w="72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2"/>
              </w:rPr>
              <w:t>Certification of Chief Executive Officer pursuant to Section 906 of the Sarbanes-Oxley Act of 2002*</w:t>
            </w:r>
          </w:p>
        </w:tc>
        <w:tc>
          <w:tcPr>
            <w:tcW w:w="29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p>
        </w:tc>
        <w:tc>
          <w:tcPr>
            <w:tcW w:w="600" w:type="dxa"/>
            <w:vAlign w:val="bottom"/>
          </w:tcPr>
          <w:p>
            <w:pPr>
              <w:spacing w:after="0"/>
              <w:rPr>
                <w:sz w:val="24"/>
                <w:szCs w:val="24"/>
                <w:color w:val="auto"/>
              </w:rPr>
            </w:pPr>
          </w:p>
        </w:tc>
        <w:tc>
          <w:tcPr>
            <w:tcW w:w="10260" w:type="dxa"/>
            <w:vAlign w:val="bottom"/>
            <w:gridSpan w:val="18"/>
          </w:tcPr>
          <w:p>
            <w:pPr>
              <w:spacing w:after="0"/>
              <w:rPr>
                <w:sz w:val="20"/>
                <w:szCs w:val="20"/>
                <w:color w:val="auto"/>
              </w:rPr>
            </w:pPr>
            <w:r>
              <w:rPr>
                <w:rFonts w:ascii="Arial" w:cs="Arial" w:eastAsia="Arial" w:hAnsi="Arial"/>
                <w:sz w:val="18"/>
                <w:szCs w:val="18"/>
                <w:color w:val="0000EE"/>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December 19,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June 14,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Quarterly Report on Form 10-Q filed with the SEC on August 10,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June 6, 2019.</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vMerge w:val="restart"/>
          </w:tcPr>
          <w:p>
            <w:pPr>
              <w:spacing w:after="0"/>
              <w:rPr>
                <w:sz w:val="20"/>
                <w:szCs w:val="20"/>
                <w:color w:val="auto"/>
              </w:rPr>
            </w:pPr>
            <w:r>
              <w:rPr>
                <w:rFonts w:ascii="Arial" w:cs="Arial" w:eastAsia="Arial" w:hAnsi="Arial"/>
                <w:sz w:val="18"/>
                <w:szCs w:val="18"/>
                <w:color w:val="auto"/>
              </w:rPr>
              <w:t>Date: August 8, 2019</w:t>
            </w:r>
          </w:p>
        </w:tc>
        <w:tc>
          <w:tcPr>
            <w:tcW w:w="7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RUNWAY GROWTH CREDIT FUND INC.</w:t>
            </w:r>
          </w:p>
        </w:tc>
        <w:tc>
          <w:tcPr>
            <w:tcW w:w="0" w:type="dxa"/>
            <w:vAlign w:val="bottom"/>
          </w:tcPr>
          <w:p>
            <w:pPr>
              <w:spacing w:after="0"/>
              <w:rPr>
                <w:sz w:val="1"/>
                <w:szCs w:val="1"/>
                <w:color w:val="auto"/>
              </w:rPr>
            </w:pPr>
          </w:p>
        </w:tc>
      </w:tr>
      <w:tr>
        <w:trPr>
          <w:trHeight w:val="216"/>
        </w:trPr>
        <w:tc>
          <w:tcPr>
            <w:tcW w:w="3640" w:type="dxa"/>
            <w:vAlign w:val="bottom"/>
            <w:vMerge w:val="continue"/>
          </w:tcPr>
          <w:p>
            <w:pPr>
              <w:spacing w:after="0"/>
              <w:rPr>
                <w:sz w:val="18"/>
                <w:szCs w:val="18"/>
                <w:color w:val="auto"/>
              </w:rPr>
            </w:pPr>
          </w:p>
        </w:tc>
        <w:tc>
          <w:tcPr>
            <w:tcW w:w="2640" w:type="dxa"/>
            <w:vAlign w:val="bottom"/>
            <w:vMerge w:val="restart"/>
          </w:tcPr>
          <w:p>
            <w:pPr>
              <w:ind w:left="2080"/>
              <w:spacing w:after="0"/>
              <w:rPr>
                <w:sz w:val="20"/>
                <w:szCs w:val="20"/>
                <w:color w:val="auto"/>
              </w:rPr>
            </w:pPr>
            <w:r>
              <w:rPr>
                <w:rFonts w:ascii="Arial" w:cs="Arial" w:eastAsia="Arial" w:hAnsi="Arial"/>
                <w:sz w:val="18"/>
                <w:szCs w:val="18"/>
                <w:color w:val="auto"/>
              </w:rPr>
              <w:t>By:</w:t>
            </w:r>
          </w:p>
        </w:tc>
        <w:tc>
          <w:tcPr>
            <w:tcW w:w="5140" w:type="dxa"/>
            <w:vAlign w:val="bottom"/>
            <w:vMerge w:val="restart"/>
          </w:tcPr>
          <w:p>
            <w:pPr>
              <w:spacing w:after="0"/>
              <w:rPr>
                <w:sz w:val="20"/>
                <w:szCs w:val="20"/>
                <w:color w:val="auto"/>
              </w:rPr>
            </w:pPr>
            <w:r>
              <w:rPr>
                <w:rFonts w:ascii="Arial" w:cs="Arial" w:eastAsia="Arial" w:hAnsi="Arial"/>
                <w:sz w:val="18"/>
                <w:szCs w:val="18"/>
                <w:color w:val="auto"/>
              </w:rPr>
              <w:t>/s/ R. David Spreng</w:t>
            </w:r>
          </w:p>
        </w:tc>
        <w:tc>
          <w:tcPr>
            <w:tcW w:w="0" w:type="dxa"/>
            <w:vAlign w:val="bottom"/>
          </w:tcPr>
          <w:p>
            <w:pPr>
              <w:spacing w:after="0"/>
              <w:rPr>
                <w:sz w:val="1"/>
                <w:szCs w:val="1"/>
                <w:color w:val="auto"/>
              </w:rPr>
            </w:pPr>
          </w:p>
        </w:tc>
      </w:tr>
      <w:tr>
        <w:trPr>
          <w:trHeight w:val="221"/>
        </w:trPr>
        <w:tc>
          <w:tcPr>
            <w:tcW w:w="3640" w:type="dxa"/>
            <w:vAlign w:val="bottom"/>
          </w:tcPr>
          <w:p>
            <w:pPr>
              <w:spacing w:after="0"/>
              <w:rPr>
                <w:sz w:val="18"/>
                <w:szCs w:val="18"/>
                <w:color w:val="auto"/>
              </w:rPr>
            </w:pPr>
          </w:p>
        </w:tc>
        <w:tc>
          <w:tcPr>
            <w:tcW w:w="2640" w:type="dxa"/>
            <w:vAlign w:val="bottom"/>
            <w:vMerge w:val="continue"/>
          </w:tcPr>
          <w:p>
            <w:pPr>
              <w:spacing w:after="0"/>
              <w:rPr>
                <w:sz w:val="18"/>
                <w:szCs w:val="18"/>
                <w:color w:val="auto"/>
              </w:rPr>
            </w:pPr>
          </w:p>
        </w:tc>
        <w:tc>
          <w:tcPr>
            <w:tcW w:w="5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R. David Spreng</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Chief Executive Officer and Chairman of the Board of</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Directors</w:t>
            </w:r>
          </w:p>
        </w:tc>
        <w:tc>
          <w:tcPr>
            <w:tcW w:w="0" w:type="dxa"/>
            <w:vAlign w:val="bottom"/>
          </w:tcPr>
          <w:p>
            <w:pPr>
              <w:spacing w:after="0"/>
              <w:rPr>
                <w:sz w:val="1"/>
                <w:szCs w:val="1"/>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8, 2019</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 Raterman</w:t>
            </w:r>
          </w:p>
        </w:tc>
        <w:tc>
          <w:tcPr>
            <w:tcW w:w="0" w:type="dxa"/>
            <w:vAlign w:val="bottom"/>
          </w:tcPr>
          <w:p>
            <w:pPr>
              <w:spacing w:after="0"/>
              <w:rPr>
                <w:sz w:val="1"/>
                <w:szCs w:val="1"/>
                <w:color w:val="auto"/>
              </w:rPr>
            </w:pPr>
          </w:p>
        </w:tc>
      </w:tr>
      <w:tr>
        <w:trPr>
          <w:trHeight w:val="211"/>
        </w:trPr>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Thomas B. Raterman</w:t>
            </w:r>
          </w:p>
        </w:tc>
        <w:tc>
          <w:tcPr>
            <w:tcW w:w="0" w:type="dxa"/>
            <w:vAlign w:val="bottom"/>
          </w:tcPr>
          <w:p>
            <w:pPr>
              <w:spacing w:after="0"/>
              <w:rPr>
                <w:sz w:val="1"/>
                <w:szCs w:val="1"/>
                <w:color w:val="auto"/>
              </w:rPr>
            </w:pPr>
          </w:p>
        </w:tc>
      </w:tr>
    </w:tbl>
    <w:p>
      <w:pPr>
        <w:ind w:left="6280"/>
        <w:spacing w:after="0"/>
        <w:rPr>
          <w:sz w:val="20"/>
          <w:szCs w:val="20"/>
          <w:color w:val="auto"/>
        </w:rPr>
      </w:pPr>
      <w:r>
        <w:rPr>
          <w:rFonts w:ascii="Arial" w:cs="Arial" w:eastAsia="Arial" w:hAnsi="Arial"/>
          <w:sz w:val="18"/>
          <w:szCs w:val="18"/>
          <w:color w:val="auto"/>
        </w:rPr>
        <w:t>Chief Financial Officer, Treasurer and Secretary</w:t>
      </w:r>
    </w:p>
    <w:p>
      <w:pPr>
        <w:spacing w:after="0" w:line="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Chief Executive Officer of Runway Growth Credit Fund Inc. pursuant to Rule 13a-14(a) under the Exchange Act,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R. David Spreng, as Chief Executive Officer, certify that:</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Runway Growth Credit Fund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 David Spreng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of Runway Growth Credit Fund Inc. pursuant to Rule 13a-14(a) under the Exchange Act,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Thomas B. Raterman, as Financial Officer, certify that:</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Runway Growth Credit Fund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Thomas B. Raterman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9192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 (18 U.S.C. 1350)</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for the three months ended June 30, 2019 (the “Report”) of Runway Growth Credit Fund Inc. (the “Registrant”), as filed with the Securities and Exchange Commission on the date hereof, I, R. David Spreng, the Chief Executive Officer of the Registrant, hereby certify, to the best of my knowledge, that:</w:t>
      </w:r>
    </w:p>
    <w:p>
      <w:pPr>
        <w:spacing w:after="0" w:line="181"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David Spreng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 (18 U.S.C. 1350)</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for the three months ended June 30, 2019 (the “Report”) of Runway Growth Credit Fund Inc. (the “Registrant”), as filed with the Securities and Exchange Commission on the date hereof, I, Thomas B. Raterman, the Chief Financial Officer of the Registrant, hereby certify, to the best of my knowledge, that:</w:t>
      </w:r>
    </w:p>
    <w:p>
      <w:pPr>
        <w:spacing w:after="0" w:line="181"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B. Raterman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0"/>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8"/>
    </w:lvl>
    <w:lvl w:ilvl="1">
      <w:lvlJc w:val="left"/>
      <w:lvlText w:val="(%2)"/>
      <w:numFmt w:val="lowerLetter"/>
      <w:start w:val="2"/>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lowerRoman"/>
      <w:start w:val="10"/>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bullet"/>
      <w:start w:val="1"/>
    </w:lvl>
  </w:abstractNum>
  <w:abstractNum w:abstractNumId="21">
    <w:nsid w:val="737B8DDC"/>
    <w:multiLevelType w:val="hybridMultilevel"/>
    <w:lvl w:ilvl="0">
      <w:lvlJc w:val="left"/>
      <w:lvlText w:val="2"/>
      <w:numFmt w:val="bullet"/>
      <w:start w:val="1"/>
    </w:lvl>
  </w:abstractNum>
  <w:abstractNum w:abstractNumId="22">
    <w:nsid w:val="6CEAF087"/>
    <w:multiLevelType w:val="hybridMultilevel"/>
    <w:lvl w:ilvl="0">
      <w:lvlJc w:val="left"/>
      <w:lvlText w:val="3"/>
      <w:numFmt w:val="bullet"/>
      <w:start w:val="1"/>
    </w:lvl>
  </w:abstractNum>
  <w:abstractNum w:abstractNumId="23">
    <w:nsid w:val="22221A70"/>
    <w:multiLevelType w:val="hybridMultilevel"/>
    <w:lvl w:ilvl="0">
      <w:lvlJc w:val="left"/>
      <w:lvlText w:val="4"/>
      <w:numFmt w:val="bullet"/>
      <w:start w:val="1"/>
    </w:lvl>
  </w:abstractNum>
  <w:abstractNum w:abstractNumId="24">
    <w:nsid w:val="4516DDE9"/>
    <w:multiLevelType w:val="hybridMultilevel"/>
    <w:lvl w:ilvl="0">
      <w:lvlJc w:val="left"/>
      <w:lvlText w:val="5"/>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lvl w:ilvl="1">
      <w:lvlJc w:val="left"/>
      <w:lvlText w:val="(%2)"/>
      <w:numFmt w:val="decimal"/>
      <w:start w:val="2"/>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10" Type="http://schemas.openxmlformats.org/officeDocument/2006/relationships/hyperlink" Target="http://www.sec.gov/Archives/edgar/data/1653384/000114420416140270/v454968_ex3-1.htm" TargetMode="External"/><Relationship Id="rId111" Type="http://schemas.openxmlformats.org/officeDocument/2006/relationships/hyperlink" Target="http://www.sec.gov/Archives/edgar/data/1653384/000114420417032477/v468943_ex3-1.htm" TargetMode="External"/><Relationship Id="rId112" Type="http://schemas.openxmlformats.org/officeDocument/2006/relationships/hyperlink" Target="http://www.sec.gov/Archives/edgar/data/1653384/000114420417032477/v468943_ex3-2.htm" TargetMode="External"/><Relationship Id="rId113" Type="http://schemas.openxmlformats.org/officeDocument/2006/relationships/hyperlink" Target="http://www.sec.gov/Archives/edgar/data/1653384/000114420417042059/v472784_ex4-1.htm" TargetMode="External"/><Relationship Id="rId114" Type="http://schemas.openxmlformats.org/officeDocument/2006/relationships/hyperlink" Target="http://www.sec.gov/Archives/edgar/data/1653384/000114420419030106/tv523088_ex10-1.htm" TargetMode="External"/><Relationship Id="rId115" Type="http://schemas.openxmlformats.org/officeDocument/2006/relationships/hyperlink" Target="http://www.sec.gov/Archives/edgar/data/1653384/000114420419030106/tv523088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2019-11-30T05:58:50Z</dcterms:created>
  <dcterms:modified xsi:type="dcterms:W3CDTF">2019-11-30T05:58:50Z</dcterms:modified>
</cp:coreProperties>
</file>