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280" w:right="2500" w:hanging="3272"/>
        <w:spacing w:after="0" w:line="336" w:lineRule="auto"/>
        <w:tabs>
          <w:tab w:leader="none" w:pos="389"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spacing w:after="0" w:line="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814-01180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Runway Growth Finance Corp.</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4"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3180" w:type="dxa"/>
            <w:vAlign w:val="bottom"/>
          </w:tcPr>
          <w:p>
            <w:pPr>
              <w:jc w:val="center"/>
              <w:ind w:left="1049"/>
              <w:spacing w:after="0"/>
              <w:rPr>
                <w:sz w:val="20"/>
                <w:szCs w:val="20"/>
                <w:color w:val="auto"/>
              </w:rPr>
            </w:pPr>
            <w:r>
              <w:rPr>
                <w:rFonts w:ascii="Arial" w:cs="Arial" w:eastAsia="Arial" w:hAnsi="Arial"/>
                <w:sz w:val="14"/>
                <w:szCs w:val="14"/>
                <w:b w:val="1"/>
                <w:bCs w:val="1"/>
                <w:color w:val="auto"/>
              </w:rPr>
              <w:t>Maryland</w:t>
            </w:r>
          </w:p>
        </w:tc>
        <w:tc>
          <w:tcPr>
            <w:tcW w:w="2780" w:type="dxa"/>
            <w:vAlign w:val="bottom"/>
          </w:tcPr>
          <w:p>
            <w:pPr>
              <w:spacing w:after="0"/>
              <w:rPr>
                <w:sz w:val="14"/>
                <w:szCs w:val="14"/>
                <w:color w:val="auto"/>
              </w:rPr>
            </w:pPr>
          </w:p>
        </w:tc>
        <w:tc>
          <w:tcPr>
            <w:tcW w:w="3040" w:type="dxa"/>
            <w:vAlign w:val="bottom"/>
          </w:tcPr>
          <w:p>
            <w:pPr>
              <w:jc w:val="right"/>
              <w:ind w:right="1490"/>
              <w:spacing w:after="0"/>
              <w:rPr>
                <w:sz w:val="20"/>
                <w:szCs w:val="20"/>
                <w:color w:val="auto"/>
              </w:rPr>
            </w:pPr>
            <w:r>
              <w:rPr>
                <w:rFonts w:ascii="Arial" w:cs="Arial" w:eastAsia="Arial" w:hAnsi="Arial"/>
                <w:sz w:val="14"/>
                <w:szCs w:val="14"/>
                <w:b w:val="1"/>
                <w:bCs w:val="1"/>
                <w:color w:val="auto"/>
              </w:rPr>
              <w:t>47-5049745</w:t>
            </w:r>
          </w:p>
        </w:tc>
        <w:tc>
          <w:tcPr>
            <w:tcW w:w="0" w:type="dxa"/>
            <w:vAlign w:val="bottom"/>
          </w:tcPr>
          <w:p>
            <w:pPr>
              <w:spacing w:after="0"/>
              <w:rPr>
                <w:sz w:val="1"/>
                <w:szCs w:val="1"/>
                <w:color w:val="auto"/>
              </w:rPr>
            </w:pPr>
          </w:p>
        </w:tc>
      </w:tr>
      <w:tr>
        <w:trPr>
          <w:trHeight w:val="182"/>
        </w:trPr>
        <w:tc>
          <w:tcPr>
            <w:tcW w:w="3180" w:type="dxa"/>
            <w:vAlign w:val="bottom"/>
          </w:tcPr>
          <w:p>
            <w:pPr>
              <w:jc w:val="center"/>
              <w:ind w:left="1069"/>
              <w:spacing w:after="0"/>
              <w:rPr>
                <w:sz w:val="20"/>
                <w:szCs w:val="20"/>
                <w:color w:val="auto"/>
              </w:rPr>
            </w:pPr>
            <w:r>
              <w:rPr>
                <w:rFonts w:ascii="Arial" w:cs="Arial" w:eastAsia="Arial" w:hAnsi="Arial"/>
                <w:sz w:val="14"/>
                <w:szCs w:val="14"/>
                <w:color w:val="auto"/>
                <w:w w:val="95"/>
              </w:rPr>
              <w:t>(State of incorporation)</w:t>
            </w:r>
          </w:p>
        </w:tc>
        <w:tc>
          <w:tcPr>
            <w:tcW w:w="2780" w:type="dxa"/>
            <w:vAlign w:val="bottom"/>
          </w:tcPr>
          <w:p>
            <w:pPr>
              <w:spacing w:after="0"/>
              <w:rPr>
                <w:sz w:val="15"/>
                <w:szCs w:val="15"/>
                <w:color w:val="auto"/>
              </w:rPr>
            </w:pPr>
          </w:p>
        </w:tc>
        <w:tc>
          <w:tcPr>
            <w:tcW w:w="3040" w:type="dxa"/>
            <w:vAlign w:val="bottom"/>
          </w:tcPr>
          <w:p>
            <w:pPr>
              <w:jc w:val="center"/>
              <w:ind w:right="650"/>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2"/>
        </w:trPr>
        <w:tc>
          <w:tcPr>
            <w:tcW w:w="3180" w:type="dxa"/>
            <w:vAlign w:val="bottom"/>
          </w:tcPr>
          <w:p>
            <w:pPr>
              <w:jc w:val="center"/>
              <w:ind w:left="1089"/>
              <w:spacing w:after="0"/>
              <w:rPr>
                <w:sz w:val="20"/>
                <w:szCs w:val="20"/>
                <w:color w:val="auto"/>
              </w:rPr>
            </w:pPr>
            <w:r>
              <w:rPr>
                <w:rFonts w:ascii="Arial" w:cs="Arial" w:eastAsia="Arial" w:hAnsi="Arial"/>
                <w:sz w:val="14"/>
                <w:szCs w:val="14"/>
                <w:b w:val="1"/>
                <w:bCs w:val="1"/>
                <w:color w:val="auto"/>
                <w:w w:val="93"/>
              </w:rPr>
              <w:t>205 N. Michigan Ave., Suite 4200</w:t>
            </w:r>
          </w:p>
        </w:tc>
        <w:tc>
          <w:tcPr>
            <w:tcW w:w="2780" w:type="dxa"/>
            <w:vAlign w:val="bottom"/>
          </w:tcPr>
          <w:p>
            <w:pPr>
              <w:spacing w:after="0"/>
              <w:rPr>
                <w:sz w:val="16"/>
                <w:szCs w:val="16"/>
                <w:color w:val="auto"/>
              </w:rPr>
            </w:pPr>
          </w:p>
        </w:tc>
        <w:tc>
          <w:tcPr>
            <w:tcW w:w="3040" w:type="dxa"/>
            <w:vAlign w:val="bottom"/>
            <w:vMerge w:val="restart"/>
          </w:tcPr>
          <w:p>
            <w:pPr>
              <w:jc w:val="right"/>
              <w:ind w:right="1650"/>
              <w:spacing w:after="0"/>
              <w:rPr>
                <w:sz w:val="20"/>
                <w:szCs w:val="20"/>
                <w:color w:val="auto"/>
              </w:rPr>
            </w:pPr>
            <w:r>
              <w:rPr>
                <w:rFonts w:ascii="Arial" w:cs="Arial" w:eastAsia="Arial" w:hAnsi="Arial"/>
                <w:sz w:val="14"/>
                <w:szCs w:val="14"/>
                <w:b w:val="1"/>
                <w:bCs w:val="1"/>
                <w:color w:val="auto"/>
              </w:rPr>
              <w:t>60601</w:t>
            </w:r>
          </w:p>
        </w:tc>
        <w:tc>
          <w:tcPr>
            <w:tcW w:w="0" w:type="dxa"/>
            <w:vAlign w:val="bottom"/>
          </w:tcPr>
          <w:p>
            <w:pPr>
              <w:spacing w:after="0"/>
              <w:rPr>
                <w:sz w:val="1"/>
                <w:szCs w:val="1"/>
                <w:color w:val="auto"/>
              </w:rPr>
            </w:pPr>
          </w:p>
        </w:tc>
      </w:tr>
      <w:tr>
        <w:trPr>
          <w:trHeight w:val="153"/>
        </w:trPr>
        <w:tc>
          <w:tcPr>
            <w:tcW w:w="3180" w:type="dxa"/>
            <w:vAlign w:val="bottom"/>
          </w:tcPr>
          <w:p>
            <w:pPr>
              <w:jc w:val="center"/>
              <w:ind w:left="1069"/>
              <w:spacing w:after="0" w:line="153" w:lineRule="exact"/>
              <w:rPr>
                <w:sz w:val="20"/>
                <w:szCs w:val="20"/>
                <w:color w:val="auto"/>
              </w:rPr>
            </w:pPr>
            <w:r>
              <w:rPr>
                <w:rFonts w:ascii="Arial" w:cs="Arial" w:eastAsia="Arial" w:hAnsi="Arial"/>
                <w:sz w:val="14"/>
                <w:szCs w:val="14"/>
                <w:b w:val="1"/>
                <w:bCs w:val="1"/>
                <w:color w:val="auto"/>
                <w:w w:val="95"/>
              </w:rPr>
              <w:t>Chicago, IL</w:t>
            </w:r>
          </w:p>
        </w:tc>
        <w:tc>
          <w:tcPr>
            <w:tcW w:w="278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960" w:type="dxa"/>
            <w:vAlign w:val="bottom"/>
            <w:gridSpan w:val="2"/>
          </w:tcPr>
          <w:p>
            <w:pPr>
              <w:jc w:val="center"/>
              <w:ind w:right="1573"/>
              <w:spacing w:after="0"/>
              <w:rPr>
                <w:sz w:val="20"/>
                <w:szCs w:val="20"/>
                <w:color w:val="auto"/>
              </w:rPr>
            </w:pPr>
            <w:r>
              <w:rPr>
                <w:rFonts w:ascii="Arial" w:cs="Arial" w:eastAsia="Arial" w:hAnsi="Arial"/>
                <w:sz w:val="14"/>
                <w:szCs w:val="14"/>
                <w:color w:val="auto"/>
                <w:w w:val="95"/>
              </w:rPr>
              <w:t>(Address of principal executive offices)</w:t>
            </w:r>
          </w:p>
        </w:tc>
        <w:tc>
          <w:tcPr>
            <w:tcW w:w="3040" w:type="dxa"/>
            <w:vAlign w:val="bottom"/>
          </w:tcPr>
          <w:p>
            <w:pPr>
              <w:jc w:val="center"/>
              <w:ind w:right="650"/>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64"/>
        </w:trPr>
        <w:tc>
          <w:tcPr>
            <w:tcW w:w="3180" w:type="dxa"/>
            <w:vAlign w:val="bottom"/>
          </w:tcPr>
          <w:p>
            <w:pPr>
              <w:spacing w:after="0"/>
              <w:rPr>
                <w:sz w:val="24"/>
                <w:szCs w:val="24"/>
                <w:color w:val="auto"/>
              </w:rPr>
            </w:pPr>
          </w:p>
        </w:tc>
        <w:tc>
          <w:tcPr>
            <w:tcW w:w="278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(312) 698-6902</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180" w:type="dxa"/>
            <w:vAlign w:val="bottom"/>
          </w:tcPr>
          <w:p>
            <w:pPr>
              <w:spacing w:after="0"/>
              <w:rPr>
                <w:sz w:val="17"/>
                <w:szCs w:val="17"/>
                <w:color w:val="auto"/>
              </w:rPr>
            </w:pPr>
          </w:p>
        </w:tc>
        <w:tc>
          <w:tcPr>
            <w:tcW w:w="2780" w:type="dxa"/>
            <w:vAlign w:val="bottom"/>
          </w:tcPr>
          <w:p>
            <w:pPr>
              <w:jc w:val="center"/>
              <w:ind w:right="13"/>
              <w:spacing w:after="0"/>
              <w:rPr>
                <w:sz w:val="20"/>
                <w:szCs w:val="20"/>
                <w:color w:val="auto"/>
              </w:rPr>
            </w:pPr>
            <w:r>
              <w:rPr>
                <w:rFonts w:ascii="Arial" w:cs="Arial" w:eastAsia="Arial" w:hAnsi="Arial"/>
                <w:sz w:val="13"/>
                <w:szCs w:val="13"/>
                <w:color w:val="auto"/>
                <w:w w:val="87"/>
              </w:rPr>
              <w:t>(Registrant’s telephone number, including area code)</w:t>
            </w: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96"/>
        </w:trPr>
        <w:tc>
          <w:tcPr>
            <w:tcW w:w="3180" w:type="dxa"/>
            <w:vAlign w:val="bottom"/>
          </w:tcPr>
          <w:p>
            <w:pPr>
              <w:jc w:val="center"/>
              <w:ind w:right="689"/>
              <w:spacing w:after="0"/>
              <w:rPr>
                <w:sz w:val="20"/>
                <w:szCs w:val="20"/>
                <w:color w:val="auto"/>
              </w:rPr>
            </w:pPr>
            <w:r>
              <w:rPr>
                <w:rFonts w:ascii="Arial" w:cs="Arial" w:eastAsia="Arial" w:hAnsi="Arial"/>
                <w:sz w:val="13"/>
                <w:szCs w:val="13"/>
                <w:b w:val="1"/>
                <w:bCs w:val="1"/>
                <w:color w:val="auto"/>
                <w:w w:val="83"/>
              </w:rPr>
              <w:t>Title of each class</w:t>
            </w:r>
          </w:p>
        </w:tc>
        <w:tc>
          <w:tcPr>
            <w:tcW w:w="2780" w:type="dxa"/>
            <w:vAlign w:val="bottom"/>
          </w:tcPr>
          <w:p>
            <w:pPr>
              <w:jc w:val="center"/>
              <w:ind w:right="73"/>
              <w:spacing w:after="0"/>
              <w:rPr>
                <w:sz w:val="20"/>
                <w:szCs w:val="20"/>
                <w:color w:val="auto"/>
              </w:rPr>
            </w:pPr>
            <w:r>
              <w:rPr>
                <w:rFonts w:ascii="Arial" w:cs="Arial" w:eastAsia="Arial" w:hAnsi="Arial"/>
                <w:sz w:val="13"/>
                <w:szCs w:val="13"/>
                <w:b w:val="1"/>
                <w:bCs w:val="1"/>
                <w:color w:val="auto"/>
                <w:w w:val="87"/>
              </w:rPr>
              <w:t>Trading Symbol(s)</w:t>
            </w:r>
          </w:p>
        </w:tc>
        <w:tc>
          <w:tcPr>
            <w:tcW w:w="3040" w:type="dxa"/>
            <w:vAlign w:val="bottom"/>
          </w:tcPr>
          <w:p>
            <w:pPr>
              <w:jc w:val="center"/>
              <w:ind w:left="630"/>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82"/>
        </w:trPr>
        <w:tc>
          <w:tcPr>
            <w:tcW w:w="3180" w:type="dxa"/>
            <w:vAlign w:val="bottom"/>
          </w:tcPr>
          <w:p>
            <w:pPr>
              <w:jc w:val="center"/>
              <w:ind w:right="689"/>
              <w:spacing w:after="0"/>
              <w:rPr>
                <w:sz w:val="20"/>
                <w:szCs w:val="20"/>
                <w:color w:val="auto"/>
              </w:rPr>
            </w:pPr>
            <w:r>
              <w:rPr>
                <w:rFonts w:ascii="Arial" w:cs="Arial" w:eastAsia="Arial" w:hAnsi="Arial"/>
                <w:sz w:val="14"/>
                <w:szCs w:val="14"/>
                <w:color w:val="auto"/>
                <w:w w:val="91"/>
              </w:rPr>
              <w:t>Common Stock, par value $0.01 per share</w:t>
            </w:r>
          </w:p>
        </w:tc>
        <w:tc>
          <w:tcPr>
            <w:tcW w:w="2780" w:type="dxa"/>
            <w:vAlign w:val="bottom"/>
          </w:tcPr>
          <w:p>
            <w:pPr>
              <w:jc w:val="center"/>
              <w:ind w:right="33"/>
              <w:spacing w:after="0"/>
              <w:rPr>
                <w:sz w:val="20"/>
                <w:szCs w:val="20"/>
                <w:color w:val="auto"/>
              </w:rPr>
            </w:pPr>
            <w:r>
              <w:rPr>
                <w:rFonts w:ascii="Arial" w:cs="Arial" w:eastAsia="Arial" w:hAnsi="Arial"/>
                <w:sz w:val="14"/>
                <w:szCs w:val="14"/>
                <w:color w:val="auto"/>
                <w:w w:val="95"/>
              </w:rPr>
              <w:t>RWAY</w:t>
            </w:r>
          </w:p>
        </w:tc>
        <w:tc>
          <w:tcPr>
            <w:tcW w:w="3040" w:type="dxa"/>
            <w:vAlign w:val="bottom"/>
          </w:tcPr>
          <w:p>
            <w:pPr>
              <w:jc w:val="center"/>
              <w:ind w:left="630"/>
              <w:spacing w:after="0"/>
              <w:rPr>
                <w:sz w:val="20"/>
                <w:szCs w:val="20"/>
                <w:color w:val="auto"/>
              </w:rPr>
            </w:pPr>
            <w:r>
              <w:rPr>
                <w:rFonts w:ascii="Arial" w:cs="Arial" w:eastAsia="Arial" w:hAnsi="Arial"/>
                <w:sz w:val="14"/>
                <w:szCs w:val="14"/>
                <w:color w:val="auto"/>
                <w:w w:val="97"/>
              </w:rPr>
              <w:t>NASDAQ Global Select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187325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56515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31" w:lineRule="exact"/>
        <w:rPr>
          <w:sz w:val="24"/>
          <w:szCs w:val="24"/>
          <w:color w:val="auto"/>
        </w:rPr>
      </w:pPr>
    </w:p>
    <w:p>
      <w:pPr>
        <w:ind w:left="360" w:right="176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firstLine="3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600" w:val="left"/>
        </w:tabs>
        <w:rPr>
          <w:sz w:val="20"/>
          <w:szCs w:val="20"/>
          <w:color w:val="auto"/>
        </w:rPr>
      </w:pPr>
      <w:r>
        <w:rPr>
          <w:rFonts w:ascii="Arial" w:cs="Arial" w:eastAsia="Arial" w:hAnsi="Arial"/>
          <w:sz w:val="14"/>
          <w:szCs w:val="14"/>
          <w:color w:val="auto"/>
        </w:rPr>
        <w:t>90 days.</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jc w:val="both"/>
        <w:ind w:firstLine="3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firstLine="363"/>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3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8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322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jc w:val="both"/>
        <w:ind w:firstLine="36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60"/>
        <w:spacing w:after="0" w:line="17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left="380"/>
        <w:spacing w:after="0" w:line="161" w:lineRule="exact"/>
        <w:tabs>
          <w:tab w:leader="none" w:pos="7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3" w:lineRule="exact"/>
        <w:rPr>
          <w:sz w:val="24"/>
          <w:szCs w:val="24"/>
          <w:color w:val="auto"/>
        </w:rPr>
      </w:pPr>
    </w:p>
    <w:p>
      <w:pPr>
        <w:jc w:val="both"/>
        <w:ind w:right="20" w:firstLine="363"/>
        <w:spacing w:after="0" w:line="253" w:lineRule="auto"/>
        <w:rPr>
          <w:sz w:val="20"/>
          <w:szCs w:val="20"/>
          <w:color w:val="auto"/>
        </w:rPr>
      </w:pPr>
      <w:r>
        <w:rPr>
          <w:rFonts w:ascii="Arial" w:cs="Arial" w:eastAsia="Arial" w:hAnsi="Arial"/>
          <w:sz w:val="14"/>
          <w:szCs w:val="14"/>
          <w:color w:val="auto"/>
        </w:rPr>
        <w:t>The aggregate market value of the common stock held by non-affiliates of the Registrant as of June 30, 2021 has not been provided because trading of the Registrant’s common stock on the Nasdaq Global Select Market did not commence until October 21, 2021.</w:t>
      </w:r>
    </w:p>
    <w:p>
      <w:pPr>
        <w:spacing w:after="0" w:line="25" w:lineRule="exact"/>
        <w:rPr>
          <w:sz w:val="24"/>
          <w:szCs w:val="24"/>
          <w:color w:val="auto"/>
        </w:rPr>
      </w:pPr>
    </w:p>
    <w:p>
      <w:pPr>
        <w:ind w:left="380"/>
        <w:spacing w:after="0"/>
        <w:rPr>
          <w:sz w:val="20"/>
          <w:szCs w:val="20"/>
          <w:color w:val="auto"/>
        </w:rPr>
      </w:pPr>
      <w:r>
        <w:rPr>
          <w:rFonts w:ascii="Arial" w:cs="Arial" w:eastAsia="Arial" w:hAnsi="Arial"/>
          <w:sz w:val="14"/>
          <w:szCs w:val="14"/>
          <w:color w:val="auto"/>
        </w:rPr>
        <w:t>There were 41,380,614 shares of the Registrant’s common stock outstanding as of March 3, 2022.</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95" w:lineRule="exact"/>
        <w:rPr>
          <w:sz w:val="24"/>
          <w:szCs w:val="24"/>
          <w:color w:val="auto"/>
        </w:rPr>
      </w:pPr>
    </w:p>
    <w:p>
      <w:pPr>
        <w:jc w:val="both"/>
        <w:ind w:firstLine="360"/>
        <w:spacing w:after="0" w:line="238" w:lineRule="auto"/>
        <w:rPr>
          <w:sz w:val="20"/>
          <w:szCs w:val="20"/>
          <w:color w:val="auto"/>
        </w:rPr>
      </w:pPr>
      <w:r>
        <w:rPr>
          <w:rFonts w:ascii="Arial" w:cs="Arial" w:eastAsia="Arial" w:hAnsi="Arial"/>
          <w:sz w:val="14"/>
          <w:szCs w:val="14"/>
          <w:color w:val="auto"/>
        </w:rPr>
        <w:t>Portions of the registrant’s definitive proxy statement relating to the registrant’s 2022 annual meeting of stockholders (the “2022 Proxy Statement”), to be filed with the Securities and Exchange Commission within 120 days after the end of the fiscal year covered by this Annual Report on Form 10-K are incorporated by reference into Part III of this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93345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20" w:type="dxa"/>
            <w:vAlign w:val="bottom"/>
            <w:gridSpan w:val="12"/>
          </w:tcPr>
          <w:p>
            <w:pPr>
              <w:jc w:val="center"/>
              <w:ind w:right="1980"/>
              <w:spacing w:after="0"/>
              <w:rPr>
                <w:sz w:val="20"/>
                <w:szCs w:val="20"/>
                <w:color w:val="auto"/>
              </w:rPr>
            </w:pPr>
            <w:r>
              <w:rPr>
                <w:rFonts w:ascii="Arial" w:cs="Arial" w:eastAsia="Arial" w:hAnsi="Arial"/>
                <w:sz w:val="18"/>
                <w:szCs w:val="18"/>
                <w:b w:val="1"/>
                <w:bCs w:val="1"/>
                <w:color w:val="auto"/>
                <w:w w:val="99"/>
              </w:rPr>
              <w:t>RUNWAY GROWTH FINANCE CORP.</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gridSpan w:val="11"/>
          </w:tcPr>
          <w:p>
            <w:pPr>
              <w:jc w:val="center"/>
              <w:ind w:right="282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4"/>
            <w:shd w:val="clear" w:color="auto" w:fill="CCEEFF"/>
          </w:tcPr>
          <w:p>
            <w:pPr>
              <w:spacing w:after="0" w:line="17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1A.</w:t>
              </w:r>
            </w:hyperlink>
          </w:p>
        </w:tc>
        <w:tc>
          <w:tcPr>
            <w:tcW w:w="200" w:type="dxa"/>
            <w:vAlign w:val="bottom"/>
            <w:gridSpan w:val="2"/>
            <w:shd w:val="clear" w:color="auto" w:fill="CCEEFF"/>
          </w:tcPr>
          <w:p>
            <w:pPr>
              <w:spacing w:after="0"/>
              <w:rPr>
                <w:sz w:val="15"/>
                <w:szCs w:val="15"/>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gridSpan w:val="4"/>
          </w:tcPr>
          <w:p>
            <w:pPr>
              <w:spacing w:after="0" w:line="17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Item 1B.</w:t>
              </w:r>
            </w:hyperlink>
          </w:p>
        </w:tc>
        <w:tc>
          <w:tcPr>
            <w:tcW w:w="200" w:type="dxa"/>
            <w:vAlign w:val="bottom"/>
            <w:gridSpan w:val="2"/>
          </w:tcPr>
          <w:p>
            <w:pPr>
              <w:spacing w:after="0"/>
              <w:rPr>
                <w:sz w:val="15"/>
                <w:szCs w:val="15"/>
                <w:color w:val="auto"/>
              </w:rPr>
            </w:pPr>
          </w:p>
        </w:tc>
        <w:tc>
          <w:tcPr>
            <w:tcW w:w="8160" w:type="dxa"/>
            <w:vAlign w:val="bottom"/>
            <w:gridSpan w:val="22"/>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Unresolved Staff Comments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Item 2.</w:t>
              </w:r>
            </w:hyperlink>
          </w:p>
        </w:tc>
        <w:tc>
          <w:tcPr>
            <w:tcW w:w="340" w:type="dxa"/>
            <w:vAlign w:val="bottom"/>
            <w:gridSpan w:val="5"/>
            <w:shd w:val="clear" w:color="auto" w:fill="CCEEFF"/>
          </w:tcPr>
          <w:p>
            <w:pPr>
              <w:spacing w:after="0"/>
              <w:rPr>
                <w:sz w:val="15"/>
                <w:szCs w:val="15"/>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Properties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Item 3.</w:t>
              </w:r>
            </w:hyperlink>
          </w:p>
        </w:tc>
        <w:tc>
          <w:tcPr>
            <w:tcW w:w="340" w:type="dxa"/>
            <w:vAlign w:val="bottom"/>
            <w:gridSpan w:val="5"/>
          </w:tcPr>
          <w:p>
            <w:pPr>
              <w:spacing w:after="0"/>
              <w:rPr>
                <w:sz w:val="15"/>
                <w:szCs w:val="15"/>
                <w:color w:val="auto"/>
              </w:rPr>
            </w:pPr>
          </w:p>
        </w:tc>
        <w:tc>
          <w:tcPr>
            <w:tcW w:w="8160" w:type="dxa"/>
            <w:vAlign w:val="bottom"/>
            <w:gridSpan w:val="22"/>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Item 4.</w:t>
              </w:r>
            </w:hyperlink>
          </w:p>
        </w:tc>
        <w:tc>
          <w:tcPr>
            <w:tcW w:w="340" w:type="dxa"/>
            <w:vAlign w:val="bottom"/>
            <w:gridSpan w:val="5"/>
            <w:shd w:val="clear" w:color="auto" w:fill="CCEEFF"/>
          </w:tcPr>
          <w:p>
            <w:pPr>
              <w:spacing w:after="0"/>
              <w:rPr>
                <w:sz w:val="15"/>
                <w:szCs w:val="15"/>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6"/>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3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Market for Registrant’s Common Equity, Related Stockholder Matters and Issuer Purchases of Equity</w:t>
              </w:r>
            </w:hyperlink>
          </w:p>
        </w:tc>
        <w:tc>
          <w:tcPr>
            <w:tcW w:w="8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5.</w:t>
              </w:r>
            </w:hyperlink>
          </w:p>
        </w:tc>
        <w:tc>
          <w:tcPr>
            <w:tcW w:w="340" w:type="dxa"/>
            <w:vAlign w:val="bottom"/>
            <w:gridSpan w:val="5"/>
            <w:shd w:val="clear" w:color="auto" w:fill="CCEEFF"/>
          </w:tcPr>
          <w:p>
            <w:pPr>
              <w:spacing w:after="0"/>
              <w:rPr>
                <w:sz w:val="18"/>
                <w:szCs w:val="18"/>
                <w:color w:val="auto"/>
              </w:rPr>
            </w:pPr>
          </w:p>
        </w:tc>
        <w:tc>
          <w:tcPr>
            <w:tcW w:w="8160" w:type="dxa"/>
            <w:vAlign w:val="bottom"/>
            <w:gridSpan w:val="22"/>
            <w:shd w:val="clear" w:color="auto" w:fill="CCEEFF"/>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Securities</w:t>
              </w:r>
            </w:hyperlink>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Item 6.</w:t>
              </w:r>
            </w:hyperlink>
          </w:p>
        </w:tc>
        <w:tc>
          <w:tcPr>
            <w:tcW w:w="340" w:type="dxa"/>
            <w:vAlign w:val="bottom"/>
            <w:tcBorders>
              <w:top w:val="single" w:sz="8" w:color="CCEEFF"/>
            </w:tcBorders>
            <w:gridSpan w:val="5"/>
          </w:tcPr>
          <w:p>
            <w:pPr>
              <w:spacing w:after="0"/>
              <w:rPr>
                <w:sz w:val="15"/>
                <w:szCs w:val="15"/>
                <w:color w:val="auto"/>
              </w:rPr>
            </w:pPr>
          </w:p>
        </w:tc>
        <w:tc>
          <w:tcPr>
            <w:tcW w:w="700" w:type="dxa"/>
            <w:vAlign w:val="bottom"/>
            <w:tcBorders>
              <w:top w:val="single" w:sz="8" w:color="0000EE"/>
            </w:tcBorders>
            <w:gridSpan w:val="3"/>
          </w:tcPr>
          <w:p>
            <w:pPr>
              <w:spacing w:after="0" w:line="17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Reserved</w:t>
              </w:r>
            </w:hyperlink>
          </w:p>
        </w:tc>
        <w:tc>
          <w:tcPr>
            <w:tcW w:w="7460" w:type="dxa"/>
            <w:vAlign w:val="bottom"/>
            <w:tcBorders>
              <w:top w:val="single" w:sz="8" w:color="CCEEFF"/>
            </w:tcBorders>
            <w:gridSpan w:val="19"/>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Item 7.</w:t>
              </w:r>
            </w:hyperlink>
          </w:p>
        </w:tc>
        <w:tc>
          <w:tcPr>
            <w:tcW w:w="340" w:type="dxa"/>
            <w:vAlign w:val="bottom"/>
            <w:tcBorders>
              <w:bottom w:val="single" w:sz="8" w:color="CCEEFF"/>
            </w:tcBorders>
            <w:gridSpan w:val="5"/>
            <w:shd w:val="clear" w:color="auto" w:fill="CCEEFF"/>
          </w:tcPr>
          <w:p>
            <w:pPr>
              <w:spacing w:after="0"/>
              <w:rPr>
                <w:sz w:val="17"/>
                <w:szCs w:val="17"/>
                <w:color w:val="auto"/>
              </w:rPr>
            </w:pPr>
          </w:p>
        </w:tc>
        <w:tc>
          <w:tcPr>
            <w:tcW w:w="64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Management’s Discussion and Analysis of Financial Condition and Results of Operations</w:t>
              </w:r>
            </w:hyperlink>
          </w:p>
        </w:tc>
        <w:tc>
          <w:tcPr>
            <w:tcW w:w="170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7A.</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Quantitative and Qualitative Disclosures About Market Risk</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Item 8.</w:t>
              </w:r>
            </w:hyperlink>
          </w:p>
        </w:tc>
        <w:tc>
          <w:tcPr>
            <w:tcW w:w="340" w:type="dxa"/>
            <w:vAlign w:val="bottom"/>
            <w:gridSpan w:val="5"/>
            <w:shd w:val="clear" w:color="auto" w:fill="CCEEFF"/>
          </w:tcPr>
          <w:p>
            <w:pPr>
              <w:spacing w:after="0"/>
              <w:rPr>
                <w:sz w:val="15"/>
                <w:szCs w:val="15"/>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Financial Statements and Supplementary Data</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139">
              <w:r>
                <w:rPr>
                  <w:rFonts w:ascii="Arial" w:cs="Arial" w:eastAsia="Arial" w:hAnsi="Arial"/>
                  <w:sz w:val="18"/>
                  <w:szCs w:val="18"/>
                  <w:color w:val="0000EE"/>
                  <w:w w:val="87"/>
                </w:rPr>
                <w:t>Item 9.</w:t>
              </w:r>
            </w:hyperlink>
          </w:p>
        </w:tc>
        <w:tc>
          <w:tcPr>
            <w:tcW w:w="340" w:type="dxa"/>
            <w:vAlign w:val="bottom"/>
            <w:gridSpan w:val="5"/>
          </w:tcPr>
          <w:p>
            <w:pPr>
              <w:spacing w:after="0"/>
              <w:rPr>
                <w:sz w:val="15"/>
                <w:szCs w:val="15"/>
                <w:color w:val="auto"/>
              </w:rPr>
            </w:pPr>
          </w:p>
        </w:tc>
        <w:tc>
          <w:tcPr>
            <w:tcW w:w="8160" w:type="dxa"/>
            <w:vAlign w:val="bottom"/>
            <w:gridSpan w:val="22"/>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4"/>
            <w:shd w:val="clear" w:color="auto" w:fill="CCEEFF"/>
          </w:tcPr>
          <w:p>
            <w:pPr>
              <w:spacing w:after="0" w:line="176" w:lineRule="exact"/>
              <w:rPr>
                <w:rFonts w:ascii="Arial" w:cs="Arial" w:eastAsia="Arial" w:hAnsi="Arial"/>
                <w:sz w:val="18"/>
                <w:szCs w:val="18"/>
                <w:color w:val="0000EE"/>
                <w:w w:val="92"/>
              </w:rPr>
            </w:pPr>
            <w:hyperlink w:anchor="page139">
              <w:r>
                <w:rPr>
                  <w:rFonts w:ascii="Arial" w:cs="Arial" w:eastAsia="Arial" w:hAnsi="Arial"/>
                  <w:sz w:val="18"/>
                  <w:szCs w:val="18"/>
                  <w:color w:val="0000EE"/>
                  <w:w w:val="92"/>
                </w:rPr>
                <w:t>Item 9A.</w:t>
              </w:r>
            </w:hyperlink>
          </w:p>
        </w:tc>
        <w:tc>
          <w:tcPr>
            <w:tcW w:w="200" w:type="dxa"/>
            <w:vAlign w:val="bottom"/>
            <w:gridSpan w:val="2"/>
            <w:shd w:val="clear" w:color="auto" w:fill="CCEEFF"/>
          </w:tcPr>
          <w:p>
            <w:pPr>
              <w:spacing w:after="0"/>
              <w:rPr>
                <w:sz w:val="17"/>
                <w:szCs w:val="17"/>
                <w:color w:val="auto"/>
              </w:rPr>
            </w:pPr>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62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Item 9B.</w:t>
              </w:r>
            </w:hyperlink>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gridSpan w:val="2"/>
          </w:tcPr>
          <w:p>
            <w:pPr>
              <w:spacing w:after="0"/>
              <w:rPr>
                <w:sz w:val="15"/>
                <w:szCs w:val="15"/>
                <w:color w:val="auto"/>
              </w:rPr>
            </w:pPr>
          </w:p>
        </w:tc>
        <w:tc>
          <w:tcPr>
            <w:tcW w:w="1320" w:type="dxa"/>
            <w:vAlign w:val="bottom"/>
            <w:tcBorders>
              <w:top w:val="single" w:sz="8" w:color="0000EE"/>
              <w:bottom w:val="single" w:sz="8" w:color="0000EE"/>
            </w:tcBorders>
            <w:gridSpan w:val="6"/>
          </w:tcPr>
          <w:p>
            <w:pPr>
              <w:spacing w:after="0" w:line="176" w:lineRule="exact"/>
              <w:rPr>
                <w:rFonts w:ascii="Arial" w:cs="Arial" w:eastAsia="Arial" w:hAnsi="Arial"/>
                <w:sz w:val="18"/>
                <w:szCs w:val="18"/>
                <w:color w:val="0000EE"/>
                <w:w w:val="92"/>
              </w:rPr>
            </w:pPr>
            <w:hyperlink w:anchor="page140">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5"/>
                <w:szCs w:val="15"/>
                <w:color w:val="auto"/>
              </w:rPr>
            </w:pPr>
          </w:p>
        </w:tc>
        <w:tc>
          <w:tcPr>
            <w:tcW w:w="6400" w:type="dxa"/>
            <w:vAlign w:val="bottom"/>
            <w:tcBorders>
              <w:top w:val="single" w:sz="8" w:color="CCEEFF"/>
            </w:tcBorders>
            <w:gridSpan w:val="14"/>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gridSpan w:val="7"/>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Item 9C</w:t>
              </w:r>
            </w:hyperlink>
          </w:p>
        </w:tc>
        <w:tc>
          <w:tcPr>
            <w:tcW w:w="8160" w:type="dxa"/>
            <w:vAlign w:val="bottom"/>
            <w:gridSpan w:val="22"/>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Disclosure Regarding Foreign Jurisdictions that Prevent Inspection</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Item 10.</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Directors, Executive Officers and Corporate Governance</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Item 11.</w:t>
              </w:r>
            </w:hyperlink>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Executive Compensation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Item 12.</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Item 13.</w:t>
              </w:r>
            </w:hyperlink>
          </w:p>
        </w:tc>
        <w:tc>
          <w:tcPr>
            <w:tcW w:w="8160" w:type="dxa"/>
            <w:vAlign w:val="bottom"/>
            <w:gridSpan w:val="22"/>
            <w:shd w:val="clear" w:color="auto" w:fill="CCEEFF"/>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Certain Relationships and Related Transactions, and Director Independence</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Item 14.</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Principal Accounting Fees and Services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Item 15.</w:t>
              </w:r>
            </w:hyperlink>
          </w:p>
        </w:tc>
        <w:tc>
          <w:tcPr>
            <w:tcW w:w="8160" w:type="dxa"/>
            <w:vAlign w:val="bottom"/>
            <w:gridSpan w:val="22"/>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Exhibits and Financial Statement Schedules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w w:val="95"/>
              </w:rPr>
            </w:pPr>
            <w:hyperlink w:anchor="page146">
              <w:r>
                <w:rPr>
                  <w:rFonts w:ascii="Arial" w:cs="Arial" w:eastAsia="Arial" w:hAnsi="Arial"/>
                  <w:sz w:val="18"/>
                  <w:szCs w:val="18"/>
                  <w:color w:val="0000EE"/>
                  <w:w w:val="95"/>
                </w:rPr>
                <w:t>Signatures</w:t>
              </w:r>
            </w:hyperlink>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3"/>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Finance Corp.</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Runway Growth Finance Corp., a Maryland corporation formed on August 31, 2015 (“we,” “us,” “our,” or the “Company”),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life sciences, healthcare information and services, business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appreciation on our warrants and other equity positions. Our offices are in Chicago, Illinois; Woodside, California; Del Mar, California; and New York, New York.</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currently qualify, and intend to continue to qualify for treatment as a RIC. While we intend to qualify to be treated as a RIC annually, no assurance can be provided that we will be able to maintain our tax treatment as a RIC. If we fail to qualify for tax treatment as a RIC for any taxable year, we will be subject to U.S. federal income tax at corporate rates on any net taxable income for such year. See “— Certain U.S. Federal Income Tax Considerations” and “Note 2 — Summary of Significant Accounting Policies” to our financial statements in Part II, Item 8 of this Form 10 K for more information.</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On December 1, 2017, we completed our initial private offering (“Initial Private Offering”), in which we issued 18,241,157 shares of our common stock to stockholders for a total purchase price of $275,000,000 in reliance on exemptions from the registration requirements of the Securities Act of 1933, as amended (together with the rules and regulations promulgated thereunder, the “Securities Act”), and other applicable securities laws.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we have completed multiple closings under our second private offering (the “Second Private Offering”) and had accepted aggregate capital commitments of $181,673,500. As of December 31, 2021, in connection with the Second Private Offering we have issued an aggregate of 9,617,379 shares for a total purchase price of $144,260,683. Concurrent with the IPO (as defined below), all undrawn commitments under the Second Private Offering were cancelled.</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25, 2021, we closed our initial public offering (“IPO”), issuing 6,850,000 shares of our common stock at a public offering price of $14.60 per share. Net of underwriting fees and offering costs, we received net cash proceeds of approximately $93 million. Our common stock began trading on the Nasdaq Global Select Market under the symbol “RWAY” on October 21, 2021.</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December 31, 2021, we had issued 22,564 shares as an additional direct investment by Runway Growth Holdings LLC, an affiliate of Runway Growth Capital LLC, our investment adviser (“RGC”), for a total purchase price of $338,453 in a private offering pursuant to an exemption from registration under Regulation D of the Securities Act and Runway Growth Holdings LLC purchased an additional 23,346 shares in the public markets for a total purchase price of $315,251. As of December 31, 2021, we have issued 6,647,847 shares for a total purchase price of $97,752,352 in connection with our dividend reinvestment plan.</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From the commencement of investment operations on December 16, 2016, through December 31, 2021, we funded 49 portfolio companies and invested $1.2 billion in debt investments. As of December 31, 2021, our debt investment portfolio consisted of 39 debt investments in 25 portfolio companies with an aggregate fair value of $635.9 million while our equity portfolio consisted of 40 warrant positions, four preferred stock positions and four common stock positions in 36 portfolio companies with an aggregate fair value of $48.6 million. As of December 31, 2021, 98.0%, or $623.1 million, of our debt investment portfolio at fair value consisted of senior term loans. As of December 31, 2021, our net assets were $606.2 million, and all of our debt investments were secured by all or a portion</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spacing w:after="0" w:line="171" w:lineRule="exact"/>
        <w:rPr>
          <w:sz w:val="20"/>
          <w:szCs w:val="20"/>
          <w:color w:val="auto"/>
        </w:rPr>
      </w:pPr>
    </w:p>
    <w:p>
      <w:pPr>
        <w:jc w:val="both"/>
        <w:ind w:right="40" w:firstLine="648"/>
        <w:spacing w:after="0" w:line="313" w:lineRule="auto"/>
        <w:rPr>
          <w:sz w:val="20"/>
          <w:szCs w:val="20"/>
          <w:color w:val="auto"/>
        </w:rPr>
      </w:pPr>
      <w:r>
        <w:rPr>
          <w:rFonts w:ascii="Arial" w:cs="Arial" w:eastAsia="Arial" w:hAnsi="Arial"/>
          <w:sz w:val="15"/>
          <w:szCs w:val="15"/>
          <w:color w:val="231F20"/>
        </w:rPr>
        <w:t>For the year ended December 31, 2021, our debt investment portfolio had a dollar-weighted annualized yield of 13.77%. For the year ended December 31, 2020, our debt investment portfolio had a dollar-weighted annualized yield of 14.91%. We calculate the yield on dollar-weighted debt investments for any period measured as (1) total related investment income during the period divided by (2) the daily average of the fair value of debt investments outstanding during the period. As of December 31, 2021, our debt investments had a dollar-weighted average outstanding term of 48 months at origination and a dollar-weighted average remaining term of 37 months, or approximately 3.1 years. As of December 31, 2021, substantially all of our debt investments had an original committed principal amount of between $6 million and $75 million, repayment terms of between 34 months and 60 months and pay cash interest at annual interest rates of between 5.50% and 12.00%.</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The following table shows our dollar-weighted annualized yield by investment type for the years ended December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10"/>
                <w:szCs w:val="10"/>
                <w:b w:val="1"/>
                <w:bCs w:val="1"/>
                <w:color w:val="auto"/>
                <w:w w:val="98"/>
              </w:rPr>
              <w:t>(1)</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0"/>
                <w:szCs w:val="10"/>
                <w:b w:val="1"/>
                <w:bCs w:val="1"/>
                <w:color w:val="auto"/>
              </w:rPr>
              <w:t>(2)</w:t>
            </w:r>
          </w:p>
        </w:tc>
        <w:tc>
          <w:tcPr>
            <w:tcW w:w="860" w:type="dxa"/>
            <w:vAlign w:val="bottom"/>
            <w:tcBorders>
              <w:bottom w:val="single" w:sz="8" w:color="auto"/>
            </w:tcBorders>
          </w:tcPr>
          <w:p>
            <w:pPr>
              <w:spacing w:after="0"/>
              <w:rPr>
                <w:sz w:val="14"/>
                <w:szCs w:val="14"/>
                <w:color w:val="auto"/>
              </w:rPr>
            </w:pPr>
          </w:p>
        </w:tc>
      </w:tr>
      <w:tr>
        <w:trPr>
          <w:trHeight w:val="142"/>
        </w:trPr>
        <w:tc>
          <w:tcPr>
            <w:tcW w:w="2460" w:type="dxa"/>
            <w:vAlign w:val="bottom"/>
          </w:tcPr>
          <w:p>
            <w:pPr>
              <w:spacing w:after="0"/>
              <w:rPr>
                <w:sz w:val="12"/>
                <w:szCs w:val="12"/>
                <w:color w:val="auto"/>
              </w:rPr>
            </w:pPr>
          </w:p>
        </w:tc>
        <w:tc>
          <w:tcPr>
            <w:tcW w:w="2720" w:type="dxa"/>
            <w:vAlign w:val="bottom"/>
            <w:tcBorders>
              <w:bottom w:val="single" w:sz="8" w:color="auto"/>
            </w:tcBorders>
            <w:gridSpan w:val="5"/>
          </w:tcPr>
          <w:p>
            <w:pPr>
              <w:jc w:val="center"/>
              <w:ind w:left="717"/>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2"/>
                <w:szCs w:val="12"/>
                <w:color w:val="auto"/>
              </w:rPr>
            </w:pPr>
          </w:p>
        </w:tc>
      </w:tr>
      <w:tr>
        <w:trPr>
          <w:trHeight w:val="142"/>
        </w:trPr>
        <w:tc>
          <w:tcPr>
            <w:tcW w:w="2460" w:type="dxa"/>
            <w:vAlign w:val="bottom"/>
          </w:tcPr>
          <w:p>
            <w:pPr>
              <w:spacing w:after="0"/>
              <w:rPr>
                <w:sz w:val="12"/>
                <w:szCs w:val="12"/>
                <w:color w:val="auto"/>
              </w:rPr>
            </w:pPr>
          </w:p>
        </w:tc>
        <w:tc>
          <w:tcPr>
            <w:tcW w:w="104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4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380" w:type="dxa"/>
            <w:vAlign w:val="bottom"/>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Investment type:</w:t>
            </w: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Debt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13.77 %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20.47 %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14.60 %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20.24 %</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All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12.74 %</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13.88 %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19.31 %</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12.76 %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13.57 %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hanging="4"/>
        <w:spacing w:after="0" w:line="237" w:lineRule="auto"/>
        <w:tabs>
          <w:tab w:leader="none" w:pos="870"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75" w:lineRule="exact"/>
        <w:rPr>
          <w:rFonts w:ascii="Arial" w:cs="Arial" w:eastAsia="Arial" w:hAnsi="Arial"/>
          <w:sz w:val="14"/>
          <w:szCs w:val="14"/>
          <w:color w:val="auto"/>
        </w:rPr>
      </w:pPr>
    </w:p>
    <w:p>
      <w:pPr>
        <w:ind w:left="660" w:hanging="328"/>
        <w:spacing w:after="0"/>
        <w:tabs>
          <w:tab w:leader="none" w:pos="660" w:val="left"/>
        </w:tabs>
        <w:numPr>
          <w:ilvl w:val="0"/>
          <w:numId w:val="3"/>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right="20" w:hanging="4"/>
        <w:spacing w:after="0" w:line="237" w:lineRule="auto"/>
        <w:tabs>
          <w:tab w:leader="none" w:pos="866"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2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(the “JOBS Act”). We could remain an emerging growth company until the last day of our fiscal year following the fifth anniversary of the closing of our IPO, which occurred on October 25, 2021,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RGC</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(together with the rules and regulations promulgated thereunder, the “Advisers Act”). Runway Administrator Services LLC (the “Administrator”), a wholly-owned subsidiary of RGC, provides all administrative services necessary for us to operate. Subject to the overall supervision of our Board of Directors, RGC manages our day-to-day operations and provides us with investment advisory services pursuant to an investment advisory agreement, as amended and restated (the “Advisory Agreement”). Under the terms of the Advisory Agreement, RGC:</w:t>
      </w:r>
    </w:p>
    <w:p>
      <w:pPr>
        <w:spacing w:after="0" w:line="192"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executes, closes and monitors the investments we make;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determines the securities and other assets that we will purchase, retain or sell;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us with other such investment advisory, research and related services as we may, from time to time, reasonably require for the investment of our funds.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Pursuant to the Advisory Agreement, we pay RGC a fee for its investment advisory and management services consisting of two components: a base management fee and an incentive fee. The cost of both the base management fee and incentive fee are ultimately borne by our stockholders. See “Note 7 — Related Party Agreements and Transactions” to our financial statements in Part II, Item 8 of this Form 10-K for more information on the Advisory Agreement and the fee structure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All professionals of RGC, when and to the extent engaged in providing investment advisory and management services to us, and the compensation and routine overhead expenses of personnel allocable to these services to us, are provided and paid for by RGC and not by us. We bear all other out-of-pocket costs and expenses of our operations and transactions, including, without limitation, those relating to:</w:t>
      </w:r>
    </w:p>
    <w:p>
      <w:pPr>
        <w:spacing w:after="0" w:line="14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 initial public offering in connection with a spin-off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and expenses related to public and private offerings, sales and repurchases of the Company’s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with the Administrator (the “Administration Agreement”);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Committee</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RGC’s investment committee (the “Investment Committee”) consists of R. David Spreng, who is its chairman and Chief Investment Officer, as well as our President, Chief Executive Officer and Chairman of our Board of Directors, Thomas B. Raterman, RGC’s Chief Financial Officer, and our Chief Operating Officer, Chief Financial Officer, Treasurer and Secretary, Greg Greifeld, Managing Director, Deputy Chief Investment Officer and Head of Credit at RGC, and Brian Laibow, OCM Growth Holdings, LLC’s appointee. The Investment Committee meets regularly to consider our investments, review our strategic initiatives and supervise the actions taken by RGC on our behalf. In addition, the Investment Committee reviews and monitors the performance of our investment portfolio. Each investment must be approved by a majority of the Investment Committee. In addition, Mr. Spreng, as chairman of the Investment Committee, has the right to veto the approval of any investment, and any investment by us that is outside of certain agreed upon investment criteria requires the affirmative vote of OCM Growth Holdings, LLC’s appointee to the Investment Committee. See “— Oaktree Strategic Relationship” below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Board of Directors, including a majority of the directors who were not “interested persons,” as defined in Section 2(a)(19) of the 1940 Act, of us or RGC, approved the Advisory Agreement at a virtual meeting on April 7, 2021 and recommended that our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In its consideration of the approval of the Advisory Agreement, our Board of Directors focused on information it had received relating to, among other things:</w:t>
      </w:r>
    </w:p>
    <w:p>
      <w:pPr>
        <w:spacing w:after="0" w:line="165"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provided to us by RGC under the terms of the Advisory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investment performance and the investment performance of RGC;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comparative data with respect to advisory fees or similar expenses paid by other BDCs with similar investment objectives;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about the services being performed and the personnel performing such services under the Advisory Agreement;</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 including expenses related to investment due diligence, travel and investigating and monitoring investments;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RGC from its relationship with us and RGC’s profitability; and</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fee levels reflect these economies of scale for the benefit of our stockholders.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Board of Directors did not quantify, rank or otherwise assign relative weights to the specific factors it considered in reaching its decision. Our Board of Directors did not undertake to make any specific determination as to whether any particular factor, or any aspect of any particular factor, was favorable or unfavorable to its ultimate determination. Rather, our Board of Directors based its approval on the totality of information presented to, and the investigation conducted by, it. In considering the factors discussed above, individual directors may have given different weights to different factors. Based on its review of the above-mentioned factors and discussion of the Advisory Agreement, our Board of Directors approved the Advisory Agreement as being in our and our stockholders’ best interests and recommended that our stockholders approve the Advisory Agreement as well.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Unless terminated earlier as described below, the Advisory Agreement will continue automatically for successive annual periods provided that such continuance is specifically approved at least annually by (i) (A) the affirmative vote of a majority of our Board of Directors or (B) the affirmative vote of a majority of our outstanding voting securities, and (ii) the affirmative vote of a majority of our directors who are not “interested persons,” as defined in Section 2(a)(19) of the 1940 Act, of us, RGC or our respective affiliates. The Advisory Agreement automatically terminates in the event of its assignment, as defined in the 1940 Act, and may be terminated, without penalty, upon not more than 60 days’ written notice, by (i) the affirmative vote of a majority of our outstanding voting securities, (ii) the affirmative vote of a majority of our Board of Directors, including a majority of our directors who are not “interested persons,” as defined in Section 2(a)(19) of the 1940 Act, of us, RGC or our respective affiliates, or (iii) RGC. See “Risk Factors — Risks Related to our Business and Structure — 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 in Part I, Item 1A of this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Administrator</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entered into the Administration Agreement with our Administrator, a wholly-owned subsidiary of RGC,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Directors) of our Administrator’s overhead resulting from its obligations under the Administration Agreement, including rent and the allocable portion of the cost of our Chief Compliance Officer and Chief Financial Officer and their respective staffs associated with performing compliance functions.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Oaktree Strategic Relationship</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2016, we and RGC entered into a strategic relationship with Oaktree Capital Management, L.P. (“Oaktree”). Oaktree is a leading global alternative investment management firm with expertise in credit strategies. The firm was formed in 1995 by a group of individuals who had been investing together since the mid-1980s in high yield bonds, convertible securities, distressed debt, real estate, control investments and listed equities. Oaktree is a leader among global investment managers specializing in alternative investments, with $166 billion in assets under management as of December 31, 2021. The firm emphasizes an opportunistic, value-oriented and risk-controlled approach to investments in credit, private equity, real assets and listed equities. The firm has over 1,000 employees and offices in 19 cities worldwide.</w:t>
      </w:r>
    </w:p>
    <w:p>
      <w:pPr>
        <w:spacing w:after="0" w:line="1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the strategic relationship, OCM Growth Holdings, LLC, a Delaware limited liability company (“OCM”) managed by Oaktree, purchased an aggregate of 14,571,334 shares of our common stock for an aggregate purchase price of $219.3 million in our Initial Private Offering and our Second Private Offering (the “OCM Commitment”). As of December 31, 2021, OCM owns 19,979,688 shares of our common stock or 48% of our total issued and outstanding shares. OCM has granted a proxy to us pursuant to which the shares held by OCM will be voted in the same proportion as our other stockholders vote their shares.</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the OCM Commitment, we entered into a stockholder agreement, dated December 15, 2016, with OCM, pursuant to which OCM has a right to nominate a member of our Board of Directors for election for so long as OCM holds shares of our common stock in an amount equal to, in the aggregate, at least one-third (33%) of OCM’s initial $125 million capital commitment. Brian Laibow, Co-Head of North America &amp; Managing Director Opportunities Funds, serves on our Board of Directors as OCM’s director nominee and is considered an interested director. OCM also holds a minority interest in RGC and has the right to appoint a member of RGC’s board of managers and a member of the Investment Committee. Brian Laibow is OCM’s appointee to RGC’s board of managers and Investment Committee. In connection with the Subsequent OCM Commitment, OCM also purchased additional equity in RGC.</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our strategic relationship with Oaktree provides us with access to additional resources and investment opportunities by expanding our network of relationships with venture backed companies. RGC expects to continue to draw upon Oaktree’s over 20-year history in the investment management business and to continue to benefit from Oaktree’s investment professionals’ significant credit expertise developed through investments in different industries and over numerous companies in the United States. In addition, we expect to utilize Oaktree’s relationships to gain better access to leverage facilities with better terms and provisions than we would otherwise be able to obtain.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 and Approach</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investment objective is to maximize our total return to our stockholders primarily through current income on our loan portfolio, and secondarily through capital appreciation on our warrants and other equity positions. 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focus on lending to late and growth stage companies in technology, life sciences, healthcare information and services, business services, select consumer services and products and other high-growth industries.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typically the sole lender to our portfolio companies and do not actively syndicate the loans we originate to other lenders nor do we participate in syndications built by other lenders.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strategy</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COVID-19 pandemic, we shifted our origination efforts to focus primarily on lending transactions with private companies with substantial equity backing from recognized venture sponsors.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Sponsored Growth Lending. </w:t>
      </w:r>
      <w:r>
        <w:rPr>
          <w:rFonts w:ascii="Arial" w:cs="Arial" w:eastAsia="Arial" w:hAnsi="Arial"/>
          <w:sz w:val="18"/>
          <w:szCs w:val="18"/>
          <w:color w:val="auto"/>
        </w:rPr>
        <w:t>Our Sponsored Growth Lending generally includes loans to late and growth stage companies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already backed by established venture capital and private equity firms. Our Sponsored Growth Lending strategy typically includes the receipt of warrants and/or other equity from the venture-backed companies. We typically target such companies with annual revenues of at least $15 million.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provides us access to many high-quality companies backed by top-tier venture capital and private equity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delivers consistent returns through double-digit loan yields;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often offers us the ability to participate in equity upside of portfolio companies through the acquisition of warrants.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Non-Sponsored Growth Lending</w:t>
      </w:r>
      <w:r>
        <w:rPr>
          <w:rFonts w:ascii="Arial" w:cs="Arial" w:eastAsia="Arial" w:hAnsi="Arial"/>
          <w:sz w:val="17"/>
          <w:szCs w:val="17"/>
          <w:color w:val="auto"/>
        </w:rPr>
        <w:t>. Our Non-Sponsored Growth Lending strategy generally includes loans to late and growth stage,</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companies that are funded directly by entrepreneurs and founders, or companies that no longer require institutional equity investment (which may selectively include publicly traded companies). We refer to these target borrowers as “non-sponsored growth companies” and we generally target such companies with annual revenue of at least $20 million per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Generally, financing available to these non-sponsored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Exemptive Relief</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were granted an exemptive order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the market environment is favorable for us to continue to pursue an investment strategy primarily focused on late stage and high-growth companies in technology, life sciences, healthcare information and services, business services, select consumer services and products and other high-growth industries.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 on Innovative Companies Across a Variety of High-Growth Industries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Diversified high growth-potential industries: </w:t>
      </w:r>
      <w:r>
        <w:rPr>
          <w:rFonts w:ascii="Arial" w:cs="Arial" w:eastAsia="Arial" w:hAnsi="Arial"/>
          <w:sz w:val="16"/>
          <w:szCs w:val="16"/>
          <w:color w:val="auto"/>
        </w:rPr>
        <w:t>We target companies active in industries that support high growth-potential. Our</w:t>
      </w:r>
      <w:r>
        <w:rPr>
          <w:rFonts w:ascii="Arial" w:cs="Arial" w:eastAsia="Arial" w:hAnsi="Arial"/>
          <w:sz w:val="16"/>
          <w:szCs w:val="16"/>
          <w:i w:val="1"/>
          <w:iCs w:val="1"/>
          <w:color w:val="auto"/>
        </w:rPr>
        <w:t xml:space="preserve"> </w:t>
      </w:r>
      <w:r>
        <w:rPr>
          <w:rFonts w:ascii="Arial" w:cs="Arial" w:eastAsia="Arial" w:hAnsi="Arial"/>
          <w:sz w:val="16"/>
          <w:szCs w:val="16"/>
          <w:color w:val="auto"/>
        </w:rPr>
        <w:t>Sponsored Growth Lending strategy is focused on the largest industry sectors where venture capital investors are active, primarily technology, life sciences, healthcare information and services, business services, select consumer services and products and other high-growth industries. These industries’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and Non-Sponsored Growth Lending Represents an Attractive Source of Funding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Sponsored Growth Lending: </w:t>
      </w:r>
      <w:r>
        <w:rPr>
          <w:rFonts w:ascii="Arial" w:cs="Arial" w:eastAsia="Arial" w:hAnsi="Arial"/>
          <w:sz w:val="18"/>
          <w:szCs w:val="18"/>
          <w:color w:val="auto"/>
        </w:rPr>
        <w:t>An attractive market opportunity exists for a lender that invests in secured loans to late and growth</w:t>
      </w:r>
      <w:r>
        <w:rPr>
          <w:rFonts w:ascii="Arial" w:cs="Arial" w:eastAsia="Arial" w:hAnsi="Arial"/>
          <w:sz w:val="18"/>
          <w:szCs w:val="18"/>
          <w:i w:val="1"/>
          <w:iCs w:val="1"/>
          <w:color w:val="auto"/>
        </w:rPr>
        <w:t xml:space="preserve"> </w:t>
      </w:r>
      <w:r>
        <w:rPr>
          <w:rFonts w:ascii="Arial" w:cs="Arial" w:eastAsia="Arial" w:hAnsi="Arial"/>
          <w:sz w:val="18"/>
          <w:szCs w:val="18"/>
          <w:color w:val="auto"/>
        </w:rPr>
        <w:t>stage companies that have not yet achieved profitability. Sponsored growth lending provides an attractive source of funds for venture-backed companies, their management teams, and their equity capital investors, as it:</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typically less dilutive and complements equity financing from venture capital and private equity funds;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often extends the time period during which a company can operate before seeking additional equity capital or pursuing a sale transaction or other liquidity event;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generally allows companies to better match cash sources with uses.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Non-Sponsored Growth Lending: </w:t>
      </w:r>
      <w:r>
        <w:rPr>
          <w:rFonts w:ascii="Arial" w:cs="Arial" w:eastAsia="Arial" w:hAnsi="Arial"/>
          <w:sz w:val="16"/>
          <w:szCs w:val="16"/>
          <w:color w:val="auto"/>
        </w:rPr>
        <w:t>An attractive market opportunity exists for a lender that invests in secured loans to late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stage companies that have reached profitability and need long-term growth capital but do not want the challenges that come with</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equity to venture capital or private equity firms. Non-Sponsored Growth Lending often provides all or some of the following benefits to our borrowers:</w:t>
      </w:r>
    </w:p>
    <w:p>
      <w:pPr>
        <w:spacing w:after="0" w:line="17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growth capital without the requirement to take on institutional-size investments that may exceed the company’s capital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deductible interest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significant operational involvement;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personal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very modest dilution,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loss of managerial control or forced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 and Growing Market for Debt Financing to Venture Capital-Backed Companies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Healthy, stable venture environment: </w:t>
      </w:r>
      <w:r>
        <w:rPr>
          <w:rFonts w:ascii="Arial" w:cs="Arial" w:eastAsia="Arial" w:hAnsi="Arial"/>
          <w:sz w:val="17"/>
          <w:szCs w:val="17"/>
          <w:color w:val="auto"/>
        </w:rPr>
        <w:t>Approximately 17,000 companies received venture capital financing in 2021, according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Pitchbook-NVCA Venture Monitor, a quarterly report published jointly by NVCA and Pitchbook on venture capital activity (“Pitchbook-NVCA”), and approximately 34% of these transactions were first-round financings. The number of venture capital financings has averaged over 10,000 for the past ten years and, during this period, approximately one-third of these transactions were first time financings. Since 2006, the annual level of venture deal volume has increased to a record of about $330 billion of total volume in 2021. The significant increase in investment amounts beginning in 2014 through 2021 is largely the result of growth investments in later-stage companies that are staying private longer. The venture debt lending market, as defined in the Q4 2021 Pitchbook-NVCA Venture Monitor, is estimated at $29.9 billion or roughly 9.1% of total U.S. venture capital deal value.</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Growing pool of target companies: </w:t>
      </w:r>
      <w:r>
        <w:rPr>
          <w:rFonts w:ascii="Arial" w:cs="Arial" w:eastAsia="Arial" w:hAnsi="Arial"/>
          <w:sz w:val="17"/>
          <w:szCs w:val="17"/>
          <w:color w:val="auto"/>
        </w:rPr>
        <w:t>The average time from initial venture capital investment to transaction exit of such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either by an initial public offering or merger and acquisition transaction, has lengthened considerably. According to the Pitchbook-NVCA 2016 Yearbook, in 1998 the average number of years from initial venture investment to initial public offering of a U.S. venture capital-backed company was 3.1 years and the average number of years from initial venture investment to merger and acquisition transaction was 4.5 years. These numbers have steadily increased and have ranged between 6.0 years and 6.3 years from 2017 through 2020. According to the Q4 2021 Pitchbook-NVCA Venture Monitor, the current average time from initial venture investment to exit transaction is now 6.1 years. Exit transactions are a small proportion of companies financed by venture capital each year. As a result, the pool of target companies has grown larger with increased demand.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Fragmented, Underserved Market with High Barriers to Entry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Competitive Advantages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believe we are well positioned to address the market for growth lending in a manner that will result in a competitive advantage over other established sponsored growth lenders. We believe our competitive strengths and key differentiators include:</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Experienced, Proven Management Team Supported by a Deep Bench of Dedicated Investment Professionals. </w:t>
      </w:r>
      <w:r>
        <w:rPr>
          <w:rFonts w:ascii="Arial" w:cs="Arial" w:eastAsia="Arial" w:hAnsi="Arial"/>
          <w:sz w:val="18"/>
          <w:szCs w:val="18"/>
          <w:color w:val="auto"/>
        </w:rPr>
        <w:t>The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professionals of RGC have on average over 23 years of experience as venture capitalists and lenders who have developed a disciplined, repeatable approach to investing and managing investments in high potential growth businesses. We believe that the experience, relationships and disciplined investment and risk management processes of RGC’s investment professionals are a competitive advantage for us.</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President and Chief Executive Officer, David Spreng, who is also the founder, Chief Executive Officer and Chief Investment Officer of RGC, has a unique combination of experience as a senior executive of a $20 billion asset management firm and over 25 years as a venture capital equity and debt investor. For the past 20 years, Mr. Spreng has been a leader in applying risk management processes to investing in equity and debt of small, fast-growing, private companies. Our Chief Financial Officer and Chief Operating Officers, Treasurer and Secretary, Thomas Raterman, who is also Chief Financial Officer of RGC, has more than 30 years of corporate finance, investment banking, private equity and financial executive management experience with rapidly growing entrepreneurial companies. Greg Greifeld, Managing Director, Deputy Chief Investment Officer and Head of Credit at RGC, has over 12 years of lending, venture capital, and investment management experience. Our Managing Director and Head of Origination, Mark Donnelly, also has over 15 years of experience in venture capital and private equity and experience in origination of new investment opportunities. Finally, Rob Lake, Managing Directors and Head of Life Sciences, has over 28 years of life science and venture capital debt experience and in the past decade has deployed over $1.5 billion of debt to life science and health care companies.</w:t>
      </w:r>
    </w:p>
    <w:p>
      <w:pPr>
        <w:spacing w:after="0" w:line="1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RGC has a broad team of professionals focused on every aspect of the investment lifecycle.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Provide Capital to Robust, High-Growth Venture-backed Companies. </w:t>
      </w:r>
      <w:r>
        <w:rPr>
          <w:rFonts w:ascii="Arial" w:cs="Arial" w:eastAsia="Arial" w:hAnsi="Arial"/>
          <w:sz w:val="17"/>
          <w:szCs w:val="17"/>
          <w:color w:val="auto"/>
        </w:rPr>
        <w:t>We believe we are favorably positioned within the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2021 Pitchbook-NVCA Venture Monitor and Pitchbook-NVCA industry classifications, venture capital deal volume for technology totaled approximately $285.2.0 billion in 2021, representing an 25.3% CAGR from 2010 to 2021. Venture capital deal volume for life sciences totaled approximately $47.0 billion in 2021, representing a 17.5% CAGR from 2010 to 2021. We believe companies within these industries can often be characterized as having asset-light business models, attractive recurring revenue streams and strong growth trajectories.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invest across industries to diversify risk and deliver more stable returns. The investment professionals at RGC have extensive experience investing in the industries on which we focus, including technology, life sciences, healthcare information and services, business services, select consumer services and products and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Robust Disciplined Investment Process and Credit Analysis. </w:t>
      </w:r>
      <w:r>
        <w:rPr>
          <w:rFonts w:ascii="Arial" w:cs="Arial" w:eastAsia="Arial" w:hAnsi="Arial"/>
          <w:sz w:val="16"/>
          <w:szCs w:val="16"/>
          <w:color w:val="auto"/>
        </w:rPr>
        <w:t>RGC’s senior investment professionals draw upon their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including operating, lending, venture capital and growth investing, to manage the underwriting investment process. Credit analysis, which is a fundamental part of our investment process, is driven by our credit-first philosophy and utilizes the core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the focused and disciplined approach that RGC applies to our lending strategy enables us to deliver strong, consistent returns to our investors. Our debt portfolio is 98.0% first lien senior secured. Of our $1.5 billion total commitments since inception, our cumulative gross loss rate, as a percentage of total commitments since inception, has been 0.98% and our net losses, as a percentage of total commitments since inception, has been 0.04%. At the point of origination, our portfolio companies have raised on average $90 million of equity proceeds relative to our average loan size of $25 million. To achieve this, we do not follow an “index” strategy or a narrowly focused approach, and we do not lend only to those companies that are backed by a specific set of sponsors. We believe that careful selection among many opportunities, within both sponsored and non-sponsored lending opportunities, will yield the optimal portfolio results.</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Proprietary Risk Analytics and Return Optimization. </w:t>
      </w:r>
      <w:r>
        <w:rPr>
          <w:rFonts w:ascii="Arial" w:cs="Arial" w:eastAsia="Arial" w:hAnsi="Arial"/>
          <w:sz w:val="18"/>
          <w:szCs w:val="18"/>
          <w:color w:val="auto"/>
        </w:rPr>
        <w:t>Over the past 20 years, RGC’s senior investment professionals have iterated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30 quantitative and qualitative variables in four main risk areas (market, technology, management and financing) to generate a composite risk ranking for each portfolio company.</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Flexible, Opportunity-Specific Pricing and Structure. </w:t>
      </w:r>
      <w:r>
        <w:rPr>
          <w:rFonts w:ascii="Arial" w:cs="Arial" w:eastAsia="Arial" w:hAnsi="Arial"/>
          <w:sz w:val="17"/>
          <w:szCs w:val="17"/>
          <w:color w:val="auto"/>
        </w:rPr>
        <w:t>RGC’s comprehensive analysis assesses all factors and does not rely on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most companies will have positive EBITDA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Strong Reputation and Deep Relationships. </w:t>
      </w:r>
      <w:r>
        <w:rPr>
          <w:rFonts w:ascii="Arial" w:cs="Arial" w:eastAsia="Arial" w:hAnsi="Arial"/>
          <w:sz w:val="18"/>
          <w:szCs w:val="18"/>
          <w:color w:val="auto"/>
        </w:rPr>
        <w:t>RGC’s senior investment professionals enjoy reputations as innovative thought leaders,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ingrained in the fabric of the venture community. RGC’s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RGC’s senior investment professionals also have established a network of relationships over two decades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spacing w:after="0" w:line="188" w:lineRule="exact"/>
        <w:rPr>
          <w:sz w:val="20"/>
          <w:szCs w:val="20"/>
          <w:color w:val="auto"/>
        </w:rPr>
      </w:pPr>
    </w:p>
    <w:p>
      <w:pPr>
        <w:jc w:val="both"/>
        <w:ind w:firstLine="259"/>
        <w:spacing w:after="0" w:line="277" w:lineRule="auto"/>
        <w:rPr>
          <w:sz w:val="20"/>
          <w:szCs w:val="20"/>
          <w:color w:val="auto"/>
        </w:rPr>
      </w:pPr>
      <w:r>
        <w:rPr>
          <w:rFonts w:ascii="Arial" w:cs="Arial" w:eastAsia="Arial" w:hAnsi="Arial"/>
          <w:sz w:val="18"/>
          <w:szCs w:val="18"/>
          <w:color w:val="auto"/>
        </w:rPr>
        <w:t>In addition, our strategic relationship with Oaktree provides us with access to additional resources and relationships that are incremental to our already broad network of venture backed companies and venture capital sponsors.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primary competitors for investments include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qualify and maintain our qualification as a RIC. We do not compete primarily on the financing terms we offer and believe that some competitors make loans with rates that are comparable to or lower than our rates. For additional information concerning the competitive risks we face, see “Risk Factors — Risks Related to Our Business and Structure — We operate in a highly competitive market for investment opportunities and we may not be able to compete effectively.” in Part I, Item 1A of this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do not currently have any employees. R. David Spreng, our President, Chief Executive Officer and Chairman of our Board of Directors, is also the founder, President, Chief Executive Officer and Chief Investment Officer of RGC. Thomas B. Raterman is our Chief Operating Officer, Chief Financial Officer, Treasurer, and Secretary, and serves as the Chief Financial Officer and Chief Operating Officer of RGC. Our Chief Financial Officer performs his functions for us under the terms of our Administration Agreement. We have also retained Joseph McDermott of Alaric Compliance Services LLC to serve as our Chief Compliance Officer pursuant to an agreement with Alaric Compliance Services LLC. Mr. McDermott also serves as the Chief Compliance Officer for RGC.</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day-to-day investment and administrative operations are managed by RGC and our Administrator. The Investment Committee is supported by a team of additional experienced investment professionals. RGC and our Administrator may hire additional investment and administrative professionals in the future to provide services to us, based upon our needs.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we reimburse the Administrator for its costs and expenses and our allocable portion of overhead incurred by it in performing its obligations under the Administration Agreement, including compensation paid to or compensatory distributions received by our officers (including our Chief Compliance Officer and Chief Financial Officer) and any of their respective staff who provide services to us, operations staff who provide services to us, and any internal audit staff, to the extent internal audit performs a role in our internal control assessment under Sarbanes-Oxley Act of 2002, as amended (the “Sarbanes-Oxley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currently are, and expect to remain, an “emerging growth company,” as that term is used in the JOBS Act until the earliest of:</w:t>
      </w:r>
    </w:p>
    <w:p>
      <w:pPr>
        <w:spacing w:after="0" w:line="24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last day of our fiscal year following the fifth anniversary of the closing of our IPO, which occurred on October 25, 2021;</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are equal to or greater than $1,070,000,000;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date on which we have, during the preceding three-year period, issued more than $1.0 billion in non-convertible debt; and</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that we become a “large accelerated filer” as defined in Rule 12b-2 under the Exchange Act, which would occur if the market value of our common stock that is held by non-affiliates exceeds $700 million as of any June 30.</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JOBS Act, we are exempt from the provisions of Section 404(b) of the Sarbanes-Oxley Act, which would require that our independent registered public accounting firm provide an attestation report on the effectiveness of our internal control over financial reporting. This may increase the risk that material weaknesses or other deficiencies in our internal control over financial reporting go undetected. See Part I, Item 1A of this Form 10-K “Risk Factors — Risks Related to Our Business and Structure — 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discussion is a general summary of certain U.S. federal income tax considerations applicable to us and to an investment in shares of our common stock. This discussion is based on the provisions of the Code and the regulations of the U.S. Department of Treasury promulgated thereunder, or “Treasury regulations,” each as in effect as of the date of this Form 10-K.</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These provisions are subject to differing interpretations and change by legislative or administrative action, and any change may be retroactive.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Internal Revenue Service (the “IRS”) regarding any matter discussed herein.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“U.S. stockholder” is a beneficial owner of shares of our common stock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another entity taxable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jurisdiction over the administration of the trust and one or more U.S. persons have authority to control all substantial decisions of the trust.</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“non-U.S. stockholder” means a beneficial owner of shares of our common stock that is for U.S. federal income tax purposes neither a U.S. stockholder nor partnership.</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our shares, the U.S. tax treatment of the partnership and each partner generally will depend on the status of the partner, the activities of the partnership and certain determinations made at the partner level. A partnership considering an investment in our common stock should consult its own tax advisers regarding the U.S. federal income tax consequences of the acquisition, ownership and disposition of shares by the partnership.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elected to be treated as a RIC under Subchapter M of the Code, currently qualify and intend to continue to qualify for treatment as a RIC. As a RIC, we generally will not be subject to U.S. federal income taxes on any ordinary income or capital gains that we timely distribute to our stockholders as dividends.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qualify as a RIC, we must,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 the Annual Distribution Requirement (defined below);</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each taxable year:</w:t>
      </w:r>
    </w:p>
    <w:p>
      <w:pPr>
        <w:spacing w:after="0" w:line="225"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spacing w:after="0" w:line="14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25% of the value of our total assets is invested in the securities of any issuer (other than U.S. Government securities and the securities of other RICs), the securities of any two or more issuers that we control and that are determined to be engaged in the same business or similar or related trades or businesses (other than the securities of other RICs), or the securities of one or more QPTPs, or the “Diversification Tests.”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(“SEC Certification”). We have not sought SEC Certification, but it is possible that we may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 RIC, we (but not our stockholders) are generally not subject to U.S. federal income tax on investment company taxable income and net capital gains that we timely distribute to our stockholders in any taxable year with respect to which we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w:t>
      </w:r>
    </w:p>
    <w:p>
      <w:pPr>
        <w:spacing w:after="0" w:line="1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subject to a nondeductible 4% U.S. federal excise tax on certain of our undistributed income, unless we timely distribute (or are deemed to have timely distributed) an amount equal to the sum of:</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least 98.2% of our capital gain net income for a one-year period generally ending on October 31 of the calendar year (unless an election is made by us to use our taxable year);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net ordinary income and capital gain net income that we recognized for preceding years, but were not distributed during such years, and on which we paid no U.S. federal income tax.</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Requirement or to avoid the 4% U.S. federal excise tax, we may make such dispositions at times that, from an investment standpoint, are not advantageous.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While we have elected to be treated as a RIC and intend to qualify to be treated as a RIC annually, no assurance can be provided that we will qualify for tax treatment as a RIC for any taxable year. If we fail to satisfy the 90% Gross Income Test or the Diversification Tests for any taxable year, we may nevertheless continue to qualify as a RIC for such year if certain relief provisions are applicable (which may, among other things, require us to pay certain U.S. federal income tax at corporate rates or to dispose of certain assets). 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w:t>
      </w:r>
    </w:p>
    <w:p>
      <w:pPr>
        <w:spacing w:after="0" w:line="18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remainder of this discussion assumes that we qualify as a RIC for each taxable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Investments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Certain of our investment practices are subject to special and complex U.S. federal income tax provisions that may, among other things, (i) disallow, suspend or otherwise limit the allowance of certain losses or deductions, including the dividends received deduction,</w:t>
      </w:r>
    </w:p>
    <w:p>
      <w:pPr>
        <w:jc w:val="both"/>
        <w:ind w:firstLine="8"/>
        <w:spacing w:after="0" w:line="269" w:lineRule="auto"/>
        <w:tabs>
          <w:tab w:leader="none" w:pos="288"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spacing w:after="0" w:line="18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Debt Instruments. </w:t>
      </w:r>
      <w:r>
        <w:rPr>
          <w:rFonts w:ascii="Arial" w:cs="Arial" w:eastAsia="Arial" w:hAnsi="Arial"/>
          <w:sz w:val="16"/>
          <w:szCs w:val="16"/>
          <w:color w:val="auto"/>
        </w:rPr>
        <w:t>In certain circumstances, we may be required to recognize taxable income prior to the time at which we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cash. For example, if we hold debt instruments that are treated under applicable tax rules as having original issue discount (such as debt</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instruments with an end-of-term payment and/or PIK interest payment or, in certain cases, increasing interest rates or issued with warrants), we must include in taxable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Gain or loss realized by us from the sale or exchange of warrants acquired by us as well as any loss attributable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lapse of such warrants generally are treated as capital gain or loss. The treatment of such gain or loss as long-term or short-term generally depends on how long we held a particular warrant and on the nature of the disposition transaction.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Investments. </w:t>
      </w:r>
      <w:r>
        <w:rPr>
          <w:rFonts w:ascii="Arial" w:cs="Arial" w:eastAsia="Arial" w:hAnsi="Arial"/>
          <w:sz w:val="18"/>
          <w:szCs w:val="18"/>
          <w:color w:val="auto"/>
        </w:rPr>
        <w:t>In the event we invest in foreign securities, we may be subject to withholding and other foreign taxes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those securities. We do not expect to satisfy the requirement to pass through to our stockholders their share of the foreign taxes paid by us.</w:t>
      </w:r>
    </w:p>
    <w:p>
      <w:pPr>
        <w:spacing w:after="0" w:line="18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Passive Foreign Investment Companies. </w:t>
      </w:r>
      <w:r>
        <w:rPr>
          <w:rFonts w:ascii="Arial" w:cs="Arial" w:eastAsia="Arial" w:hAnsi="Arial"/>
          <w:sz w:val="16"/>
          <w:szCs w:val="16"/>
          <w:color w:val="auto"/>
        </w:rPr>
        <w:t>We may invest in the stock of a foreign corporation which is classified as a “passive</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investment company” (within the meaning of Section 1297 of the Code), or “PFIC.” As a result, we may be subject to U.S. federal income tax on a portion of any "excess distribution" or gain from the disposition of such shares. Additional charges in the nature of interest may be imposed on us in respect of deferred taxes arising from such distributions or gains.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(a “QEF”), in lieu of the foregoing requirements, we will be required to include in income each year a portion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income. Under either election, we may be required to recognize in a year income in excess of our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 Income inclusions from a QEF will be “good income” for purposes of the 90% Gross Income Test provided that they are derived in connection with our business of investing in stocks and securities or the QEF distributes such income to us in the same taxable year to which the income is included in our income.</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Foreign Currency Transactions. </w:t>
      </w:r>
      <w:r>
        <w:rPr>
          <w:rFonts w:ascii="Arial" w:cs="Arial" w:eastAsia="Arial" w:hAnsi="Arial"/>
          <w:sz w:val="17"/>
          <w:szCs w:val="17"/>
          <w:color w:val="auto"/>
        </w:rPr>
        <w:t>Under the Code, gains or losses attributable to fluctuations in exchange rates which occur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elected to be regulated as a BDC under the 1940 Act. A BDC must be organized in the United States for the purpose of investing in or lending to primarily private companies and making significant managerial assistance available to them. A BDC may use capital provided by stockholders and from other sources to make long-term, private investments in businesses. A BDC provides stockholders the ability to retain the liquidity of a publicly traded stock while sharing in the possible benefits, if any, of investing in primarily privately-owned companies.</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50% of the outstanding voting securities of such company are present or represented by proxy, or (b) more than 50% of the outstanding voting securities of such company. We do not anticipate any substantial change in the nature of our business.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The Board of Directors approved a proposal that permits us to reduce our asset coverage ratio to 150% on October 28, 2021 and we intend to seek corresponding approval from our stockholders. Therefore, our asset coverage ratio will be reduced to 150% on October 28, 2022 or effective immediately upon receiving stockholder approval, if earlier. We will also be required to make certain disclosures on our website and in SEC filings regarding, among other things, the receipt of approval to increase our leverage, our leverage capacity and usage and risks related to leverage.</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directors who are not “interested persons,” as defined in Section 2(a)(19) of the 1940 Act, of us, RGC or our respective affiliates and, in some cases, prior approval by the SEC.</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and the rules and regulations thereunder. Prior to January 19, 2021, except for registered money market funds, we generally were prohibited from acquiring more than 3% of the voting stock of any registered investment company, investing more than 5% of the value of our total assets in the securities of one investment company, or investing more than 10% of the value of our total assets in the securities of more than one investment company without obtaining exemptive relief from the SEC. However, the SEC adopted new rules, which became effective on January 19, 2021, that allow us to acquire the securities of other investment companies in excess of the 3%, 5%, and 10% limitations without obtaining exemptive relief if we comply with certain conditions. If we invest in securities issued by investment companies, if any, it should be noted that such investments might subject our stockholders to additional expenses as they will be indirectly responsible for the costs and expenses of such companies.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 — Risks Related to Our Business and Structure” in Part I, Item 1A of this Form 10 K for more information.</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 — Risks Related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were granted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Related to Our Business and Structure” in Part I, Item 1A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gross assets. The principal categories of qualifying assets relevant to our business are any of the following:</w:t>
      </w:r>
    </w:p>
    <w:p>
      <w:pPr>
        <w:spacing w:after="0" w:line="165" w:lineRule="exact"/>
        <w:rPr>
          <w:sz w:val="20"/>
          <w:szCs w:val="20"/>
          <w:color w:val="auto"/>
        </w:rPr>
      </w:pP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71" w:lineRule="exact"/>
        <w:rPr>
          <w:rFonts w:ascii="Arial" w:cs="Arial" w:eastAsia="Arial" w:hAnsi="Arial"/>
          <w:sz w:val="17"/>
          <w:szCs w:val="17"/>
          <w:color w:val="auto"/>
        </w:rPr>
      </w:pPr>
    </w:p>
    <w:p>
      <w:pPr>
        <w:ind w:left="1000" w:hanging="344"/>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225" w:lineRule="exact"/>
        <w:rPr>
          <w:rFonts w:ascii="Arial" w:cs="Arial" w:eastAsia="Arial" w:hAnsi="Arial"/>
          <w:sz w:val="18"/>
          <w:szCs w:val="18"/>
          <w:color w:val="auto"/>
        </w:rPr>
      </w:pPr>
    </w:p>
    <w:p>
      <w:pPr>
        <w:ind w:left="660" w:hanging="4"/>
        <w:spacing w:after="0" w:line="277" w:lineRule="auto"/>
        <w:tabs>
          <w:tab w:leader="none" w:pos="1021"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225" w:lineRule="exact"/>
        <w:rPr>
          <w:rFonts w:ascii="Arial" w:cs="Arial" w:eastAsia="Arial" w:hAnsi="Arial"/>
          <w:sz w:val="18"/>
          <w:szCs w:val="18"/>
          <w:color w:val="auto"/>
        </w:rPr>
      </w:pPr>
    </w:p>
    <w:p>
      <w:pPr>
        <w:ind w:left="1220" w:hanging="305"/>
        <w:spacing w:after="0"/>
        <w:tabs>
          <w:tab w:leader="none" w:pos="12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225" w:lineRule="exact"/>
        <w:rPr>
          <w:rFonts w:ascii="Arial" w:cs="Arial" w:eastAsia="Arial" w:hAnsi="Arial"/>
          <w:sz w:val="18"/>
          <w:szCs w:val="18"/>
          <w:color w:val="auto"/>
        </w:rPr>
      </w:pPr>
    </w:p>
    <w:p>
      <w:pPr>
        <w:ind w:left="780" w:firstLine="135"/>
        <w:spacing w:after="0" w:line="277" w:lineRule="auto"/>
        <w:tabs>
          <w:tab w:leader="none" w:pos="1334" w:val="left"/>
        </w:tabs>
        <w:numPr>
          <w:ilvl w:val="2"/>
          <w:numId w:val="18"/>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 million;</w:t>
      </w:r>
    </w:p>
    <w:p>
      <w:pPr>
        <w:spacing w:after="0" w:line="170" w:lineRule="exact"/>
        <w:rPr>
          <w:rFonts w:ascii="Arial" w:cs="Arial" w:eastAsia="Arial" w:hAnsi="Arial"/>
          <w:sz w:val="18"/>
          <w:szCs w:val="18"/>
          <w:color w:val="auto"/>
        </w:rPr>
      </w:pPr>
    </w:p>
    <w:p>
      <w:pPr>
        <w:ind w:left="780" w:right="20" w:firstLine="135"/>
        <w:spacing w:after="0" w:line="277" w:lineRule="auto"/>
        <w:tabs>
          <w:tab w:leader="none" w:pos="1377" w:val="left"/>
        </w:tabs>
        <w:numPr>
          <w:ilvl w:val="2"/>
          <w:numId w:val="18"/>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 or</w:t>
      </w:r>
    </w:p>
    <w:p>
      <w:pPr>
        <w:spacing w:after="0" w:line="170" w:lineRule="exact"/>
        <w:rPr>
          <w:rFonts w:ascii="Arial" w:cs="Arial" w:eastAsia="Arial" w:hAnsi="Arial"/>
          <w:sz w:val="18"/>
          <w:szCs w:val="18"/>
          <w:color w:val="auto"/>
        </w:rPr>
      </w:pPr>
    </w:p>
    <w:p>
      <w:pPr>
        <w:ind w:left="780" w:firstLine="135"/>
        <w:spacing w:after="0" w:line="277" w:lineRule="auto"/>
        <w:tabs>
          <w:tab w:leader="none" w:pos="1346" w:val="left"/>
        </w:tabs>
        <w:numPr>
          <w:ilvl w:val="2"/>
          <w:numId w:val="18"/>
        </w:numPr>
        <w:rPr>
          <w:rFonts w:ascii="Arial" w:cs="Arial" w:eastAsia="Arial" w:hAnsi="Arial"/>
          <w:sz w:val="18"/>
          <w:szCs w:val="18"/>
          <w:color w:val="auto"/>
        </w:rPr>
      </w:pPr>
      <w:r>
        <w:rPr>
          <w:rFonts w:ascii="Arial" w:cs="Arial" w:eastAsia="Arial" w:hAnsi="Arial"/>
          <w:sz w:val="18"/>
          <w:szCs w:val="18"/>
          <w:color w:val="auto"/>
        </w:rPr>
        <w:t>is a small and solvent company having total assets of not more than $4.0 million and capital and surplus of not less than $2.0 million.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Securities of an eligible portfolio company purchased from any person in a private transaction if there is no ready market for such securities and the Company already owns 60% of the outstanding equity of the eligible portfolio company.</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 BDC must be operated for the purpose of making investments in the types of securities described in (1), (2) or (3) above. Control, as defined by the 1940 Act, is presumed to exist where a BDC beneficially owns more than 25% of the outstanding voting securities of the portfolio company but may exist in other circumstances based on the facts and circumstances. The regulations defining qualifying assets may change over time. The Company may adjust its investment focus as needed to comply with and/or take advantage of any regulatory, legislative, administrative, or judicial 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a BDC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BDC must either control the issuer of the securities or must offer to make available to the issuer of the securities (other than small and solvent companies described above in Qualifying Assets category (1)(c)(iv))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We may also receive fees for these services. RGC may provide, or arrange for the provision of, such managerial assistance on our behalf to portfolio companies that request this assistance, subject to reimbursement of any fees or expenses incurred on our behalf by RGC in accordance with our Advisory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RGC monitors the creditworthiness of the counterparties with which we enter into repurchase agreement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1940 Act, a BDC is subject to restrictions on the issuance, terms and number of warrants, options or rights to purchase shares of capital stock that it may have outstanding at any time. Under the 1940 Act, we may generally only offer warrants provided that</w:t>
      </w:r>
    </w:p>
    <w:p>
      <w:pPr>
        <w:jc w:val="both"/>
        <w:ind w:firstLine="8"/>
        <w:spacing w:after="0" w:line="290" w:lineRule="auto"/>
        <w:tabs>
          <w:tab w:leader="none" w:pos="21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warrants expire by their terms within ten years, (ii) the exercise or conversion price is not less than the current market value at the date of issuance, (iii) stockholders authorize the proposal to issue such warrants, and the Board of Directors approves such issuance on the basis that the issuance is in our best interests and the stockholders best interests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particular, the amount of capital stock that would result from the conversion or exercise of all outstanding warrants, options, or rights to purchase capital stock cannot exceed 25% of the BDC’s total outstanding shares of capital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Securities; Coverage Ratio</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generally permitted, under specified conditions, to issue multiple classes of indebtedness and one class of stock senior to our common stock if our asset coverage, as defined in the 1940 Act, is at least equal to 200% immediately after each such issuance.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The Board of Directors approved a proposal that permits us to reduce our asset coverage ratio to 150% on October 28, 2021 and we intend to seek corresponding approval from our stockholders. Therefore, our asset coverage ratio will be reduced to 150% on October 28, 2022 or effective immediately upon receiving stockholder approval, if earlier. We will also be required to make certain disclosures on our website and in SEC filings regarding, among other things, the receipt of approval to increase our leverage, our leverage capacity and usage and risks related to leverage.</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purposes without regard to asset coverage. For a discussion of the risks associated with leverage, see “Risk Factors — Risks Related to Our Business and Structure — We may borrow money, which would magnify the potential for gain or loss on amounts invested and may increase the risk of investing in us.” in Part I, Item 1A of this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Policies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and RGC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Joseph McDermott currently serves as our Chief Compliance Officer.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publicly held companies and their insiders. Many of these requirements affect us. For example:</w:t>
      </w:r>
    </w:p>
    <w:p>
      <w:pPr>
        <w:spacing w:after="0" w:line="170"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 report regarding its assessment of our internal control over financial reporting and, starting from the date on which we cease to be an emerging growth company under the JOBS Act, must obtain an audit of the effectiveness of internal control over financial reporting performed by our independent registered public accounting firm should we become an accelerated filer; and</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delegated our proxy voting responsibility to RGC. The Proxy Voting Policies and Procedures of RGC are set forth below. The guidelines will be reviewed periodically by RGC and our non-interested directors, and, accordingly, are subject to change. For purposes of the Proxy Voting Policies and Procedures described below, “we,” “our” and “us” refers to RGC.</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Policies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proxy-voting decisions will be made by the senior officers who are responsible for monitoring each of our clients’ investments. To ensure that our vote is not the product of a conflict of interest, we will require that: (1) anyone involved in the decision-making process disclose to our management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in order to reduce any attempted influence from interested 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Runway Growth Capital LLC, 205 N. Michigan Ave., Suite 4200, Chicago, IL 60601.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our privacy policy,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may collect non-public information about investors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information that we collect from our stockholders or former stockholders, as described above, only to our affiliates and service providers and only as allowed by applicable law or regulation. Any party that receives this information uses it only for the services required by us and as allowed by applicable law or regulation and is not permitted to share or use this information for any other purpose. To protect the non-public personal information of individuals, we restrict access to non-public personal information about our stockholders to employees of RGC and its affiliates with a legitimate business need for the information. In order to guard our stockholders’ non-public personal information, we maintain physical, electronic and procedural safeguards that are designed to comply</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applicable law. Non-public personal information that we collect about our stockholders is generally stored on secured servers located in the United States. An individual stockholder’s right to privacy extends to all forms of contact with us, including telephone, written correspondence, and electronic media, such as the Internet.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annual reports on Form 10-K, quarterly reports on Form 10-Q, current reports on Form 8-K, as well as reports on Forms 3, 4 and 5 regarding directors, officers or 10% beneficial owners of us, filed or furnished pursuant to section 13(a), 15(d) or 16(a) of the Exchange Act, are available on our website free of charge (https://runwaygrowth.com/document-center/).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Stockholders and the public may also view any materials we file with the SEC on the SEC’s website (http://www.sec.gov).</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Economy</w:t>
      </w:r>
    </w:p>
    <w:p>
      <w:pPr>
        <w:spacing w:after="0" w:line="225"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social and economic uncertainty, including uncertainty related to the COVID-19 pandemic, creates and exacerbates risks.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COVID-19 pandemic has caused severe disruptions in the U.S. economy and has disrupted financial activity in the areas in which we or our portfolio companies operate.</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capital markets are currently in a period of disruption and economic uncertainty. Such market conditions have materially and adversely affected debt and equity capital markets, which have had, and may continue to have, a negative impact on our business and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recessions or downturns, including as a result of the COVID-19 pandemic, could impair our portfolio companies and harm our operating results.</w:t>
      </w:r>
    </w:p>
    <w:p>
      <w:pPr>
        <w:ind w:left="660" w:right="2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level of inflation and rising interest rate could impact our portfolio company’s operations and cash flows and harm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and Structure</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operate in a highly competitive market for investment opportunities and we may not be able to compete effectively.</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depends on the ability of RGC to attract and retain qualified personnel in a competitive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management fee may induce RGC to purchase assets with borrowed funds and to use leverage despite any enhanced risk.</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failure on our part to maintain our status as a BDC or fail to qualify as a RIC would reduce our operating flexibility.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borrow money, which would magnify the potential for gain or loss on amounts invested and may increase the risk of investing in us.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defaults under the Credit Agreement could adversely affect our business.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interest rates may affect our cost of capital, the ability of our portfolio companies to service their debt obligations and our net investment income.</w:t>
      </w: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rates of our loans to our portfolio companies that extend beyond 2021 might be subject to change based on recent regulatory changes.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Investments</w:t>
      </w:r>
    </w:p>
    <w:p>
      <w:pPr>
        <w:spacing w:after="0" w:line="225" w:lineRule="exact"/>
        <w:rPr>
          <w:sz w:val="20"/>
          <w:szCs w:val="20"/>
          <w:color w:val="auto"/>
        </w:rPr>
      </w:pPr>
    </w:p>
    <w:p>
      <w:pPr>
        <w:ind w:left="660" w:right="20" w:hanging="328"/>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Investing in high growth-potential, private companies involves a high degree of risk, and our financial results may be affected adversely if one or more of our significant portfolio investments defaults on its loans or fails to perform as we expect.</w:t>
      </w:r>
    </w:p>
    <w:p>
      <w:pPr>
        <w:ind w:left="660" w:right="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investment strategy focused primarily on privately held companies presents certain challenges, including the lack of available information about these companies and a greater vulnerability to economic downturns.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portfolio companies may incur debt that ranks equally with, or senior to, our investments in such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risks associated with our investments in covenant-lite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portfolio may lack diversification among portfolio companies, which subjects us to a risk of significant loss if one or more of these companies default on their obligations under any of their debt instruments.</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portfolio may be concentrated in a limited number of industries, which will subject us to a risk of significant loss if there is a downturn in a particular industry in which a number of our investments are concentrated.</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invest in sectors including technology, life sciences, healthcare information and services and other high-growth industries, which are subject to specific risks related to each.</w:t>
      </w: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Defaults by our portfolio companies will harm our operating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our portfolio companies are unable to commercialize their technologies, products, business concepts or services, the returns on our investments could be adversely affected.</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unrealized losses we experience on our loan portfolio may be an indication of future realized losses, which could reduce our income available for distribution.</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Prepayments of our debt investments by our portfolio companies could adversely impact our results of operations and reduce our return on equity.</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investments in leveraged portfolio companies may be risky, and you could lose all or part of your 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realize gains from our equity investments.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Conflicts of Interest</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are significant potential conflicts of interest which could impact our investment returns.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strategic relationship with Oaktree may create conflicts of interest.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valuation process for certain of our investments may create a conflict of interest.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Common Stock</w:t>
      </w:r>
    </w:p>
    <w:p>
      <w:pPr>
        <w:spacing w:after="0" w:line="225" w:lineRule="exact"/>
        <w:rPr>
          <w:sz w:val="20"/>
          <w:szCs w:val="20"/>
          <w:color w:val="auto"/>
        </w:rPr>
      </w:pPr>
    </w:p>
    <w:p>
      <w:pPr>
        <w:ind w:left="660" w:right="2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cannot assure you that a market for our common stock will develop or, if one develops, that the market will continue, which would adversely affect the liquidity and price of our common stock.</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substantial amounts of our common stock in the public market may have an adverse effect on the market price of our common stock.</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value of our common stock may fluctuate significantly.</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may experience dilution in the net asset value of their shares if they do not participate in our dividend reinvestment plan and if our shares are trading at a discount to net asset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RIC Tax Treatment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 subject to U.S. federal income tax at corporate rates if we are unable to qualify as a RIC.</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the COVID-19 pandemic or other disruptions in the economy, we may not be able to increase our distributions and may reduce or defer our distributions and choose to incur U.S. federal excise tax in order preserve cash and maintain flexibility, and a portion of our distributions may be a return of capital.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fluctuations in our quarterly and annual results.</w:t>
      </w:r>
    </w:p>
    <w:p>
      <w:pPr>
        <w:spacing w:after="0" w:line="23"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subject to risks related to corporate social responsibility.</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Economy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Political, social and economic uncertainty, including uncertainty related to the COVID-19 pandemic, creates and exacerbates risks.</w:t>
      </w:r>
    </w:p>
    <w:p>
      <w:pPr>
        <w:spacing w:after="0" w:line="2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example, in December 2019, COVID-19 emerged in China and proceeded to spread rapidly to other countries, including the United States. See </w:t>
      </w:r>
      <w:r>
        <w:rPr>
          <w:rFonts w:ascii="Arial" w:cs="Arial" w:eastAsia="Arial" w:hAnsi="Arial"/>
          <w:sz w:val="18"/>
          <w:szCs w:val="18"/>
          <w:i w:val="1"/>
          <w:iCs w:val="1"/>
          <w:color w:val="auto"/>
        </w:rPr>
        <w:t>“—The COVID-19 pandemic has caused severe disruptions in the U.S. economy and has disrupted financial activity</w:t>
      </w:r>
      <w:r>
        <w:rPr>
          <w:rFonts w:ascii="Arial" w:cs="Arial" w:eastAsia="Arial" w:hAnsi="Arial"/>
          <w:sz w:val="18"/>
          <w:szCs w:val="18"/>
          <w:color w:val="auto"/>
        </w:rPr>
        <w:t xml:space="preserve"> </w:t>
      </w:r>
      <w:r>
        <w:rPr>
          <w:rFonts w:ascii="Arial" w:cs="Arial" w:eastAsia="Arial" w:hAnsi="Arial"/>
          <w:sz w:val="18"/>
          <w:szCs w:val="18"/>
          <w:i w:val="1"/>
          <w:iCs w:val="1"/>
          <w:color w:val="auto"/>
        </w:rPr>
        <w:t>in the areas in which we or our portfolio companies operate.”</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General uncertainty surrounding the dangers and impact of COVID-19 (including the preventative measures taken in response thereto) and additional uncertainty regarding new variants of COVID-19, most notably the Delta and Omicron variants, has to date created significant disruption in supply chains and economic activity, contributed to labor difficulties and is having a particularly adverse impact on transportation, hospitality, tourism, entertainment and other industries, including industries in which certain of our portfolio companies operate which has in turn created significant business disruption issues for certain of our portfolio companies, and materially and adversely impacted the value and performance of certain of our portfolio companies.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disruptions in the capital markets caused by the COVID-19 pandemic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could limit our investment originations, limit our ability to grow and have a material negative impact on our and our prospective portfolio companies’ operating results and the fair values of our debt and equity investments.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caused severe disruptions in the U.S. economy and has disrupted financial activity in the areas in which we or our portfolio companies operate.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filing date of this Annual Report, the COVID-19 pandemic is continuing. This outbreak has led and for an unknown period of time will continue to lead to disruptions in local, regional, national and global markets and economies affected thereby. The COVID-19 pandemic and restrictive measures taken to contain or mitigate its spread have caused, and are continuing to cause, business shutdowns, or the re-introduction of business shutdowns, cancellations of events and restrictions on travel, significant reductions in demand for certain goods and services, reductions in business activity and financial transactions, supply chain interruptions and overall economic and financial market instability both globally and in the United States. Such effects will likely continue for the duration of the pandemic, which is uncertain, and for some period thereafter.</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While several countries, as well as certain states, counties and cities in the United States, have relaxed public health restrictions with a view to reopening their economies, many cities world-wide have since experienced a surge in the reported number of cases, hospitalizations and deaths related to the COVID-19 pandemic. This recent increase in cases has led, and any future increase in cases could lead, to the re-introduction of restrictions and business shutdowns in certain states, counties and cities in the United States and globally and could continue to lead to the re-introduction of such restrictions and business shutdowns elsewhere. Even after the COVID-19 pandemic subsides, the U.S. economy and most other major global economies may continue to experience a recession, and our business and operations, as well as the business and operations of our portfolio companies, could be materially adversely affected by a prolonged recession in the U.S. and other major markets.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impact of COVID-19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 Some economists and major investment banks have expressed concern that the continued spread of the virus globally could lead to a world-wide economic downturn, the impacts of which could last for some period after the pandemic is controlled and/or abated.</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uncertainty surrounding the dangers and impact of COVID-19 (including the preventative measures taken in response thereto and additional uncertainty regarding new variants of COVID-19 that have emerged) has to date created significant disruption in supply chains and economic activity and are having a particularly adverse impact on transportation, hospitality, tourism, entertainment and other industries, including industries in which certain of our portfolio companies operate which has in turn created significant business disruption issues for certain of our portfolio companies, and materially and adversely impacted the value and performance of certain of our portfolio companies.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COVID-19 pandemic is continuing as of the filing date of this Annual Report, and its extended duration may have further adverse impacts on our portfolio companies after December 31, 2021, including for the reasons described herein.</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extent of the impact of any public health emergency, including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or our portfolio companies’ personnel. This could create widespread business continuity issues for us and our portfolio companies.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due to the outbreak in the United States, certain RGC personnel are currently working remotely, which may introduce additional operational risk to us. Staff members of certain of our other service providers may also be working remotely during the COVID-19 pandemic. An extended period of remote working could lead to service limitations or failures that could impact us or our performance.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capital markets are currently in a period of disruption and economic uncertainty. Such market conditions have materially and adversely affected debt and equity capital markets, which have had, and may continue to have, a negative impact on our business and operations.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U.S. capital markets have experienced extreme volatility and disruption since the emergence of the COVID-19 pandemic, as evidenced by the volatility in global stock markets as a result of, among other things, uncertainty surrounding the pandemic and the fluctuating price of commodities such as oil. Despite actions of the U.S. federal government and foreign governments, these events have contributed to unpredictable general economic conditions that are materially and adversely impacting the broader financial and credit markets and reducing the availability of debt and equity capital for the market as a whole. These conditions could continue for a prolonged period of time or worsen in the future.</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Given the ongoing and dynamic nature of the circumstances, it is difficult to predict the full impact of the COVID-19 pandemic on our business. The extent of such impact will depend on future developments, which are highly uncertain, including the duration or reoccurrence of any potential business or supply chain disruption, the duration and severity of the COVID-19 pandemic and the actions taken by governments and their citizens to contain the COVID-19 pandemic or treat its impact. As the result of the COVID-19 pandemic and the related adverse local and national economic consequences, we could be subject to any of the following risks, any of which could have a material, adverse effect on our business, financial condition, liquidity, and results of operations:</w:t>
      </w:r>
    </w:p>
    <w:p>
      <w:pPr>
        <w:spacing w:after="0" w:line="178" w:lineRule="exact"/>
        <w:rPr>
          <w:sz w:val="20"/>
          <w:szCs w:val="20"/>
          <w:color w:val="auto"/>
        </w:rPr>
      </w:pPr>
    </w:p>
    <w:p>
      <w:pPr>
        <w:jc w:val="both"/>
        <w:ind w:left="660" w:hanging="328"/>
        <w:spacing w:after="0" w:line="30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Current market conditions may make it difficult to raise equity capital because, subject to some limited exceptions, as a BDC, we are generally not able to issue additional shares of our common stock at a price less than the NAV per share without first obtaining approval for such issuance from our stockholders and our independent directors. In addition, these market conditions may make it difficult to access or obtain new indebtedness with similar terms to our existing indebtedness.</w:t>
      </w:r>
    </w:p>
    <w:p>
      <w:pPr>
        <w:spacing w:after="0" w:line="157" w:lineRule="exact"/>
        <w:rPr>
          <w:rFonts w:ascii="Arial" w:cs="Arial" w:eastAsia="Arial" w:hAnsi="Arial"/>
          <w:sz w:val="16"/>
          <w:szCs w:val="16"/>
          <w:color w:val="auto"/>
        </w:rPr>
      </w:pPr>
    </w:p>
    <w:p>
      <w:pPr>
        <w:ind w:left="660" w:right="2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Significant changes or volatility in the capital markets may also have a negative effect on the valuations of our investments. While most of our investments are not publicly traded, applicable accounting standards require us to assume as part of our</w:t>
      </w:r>
    </w:p>
    <w:p>
      <w:pPr>
        <w:sectPr>
          <w:pgSz w:w="11900" w:h="16838" w:orient="portrait"/>
          <w:cols w:equalWidth="0" w:num="1">
            <w:col w:w="9920"/>
          </w:cols>
          <w:pgMar w:left="980" w:top="517"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valuation process that our investments are sold in a principal market to market participants (even if we plan on holding an investment through its maturity).</w:t>
      </w:r>
    </w:p>
    <w:p>
      <w:pPr>
        <w:spacing w:after="0" w:line="170"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changes in the capital markets may adversely affect the pace of our investment activity and economic activity generally.</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period of capital markets disruption and economic uncertainty may make it difficult to extend the maturity of, or refinance, our existing indebtedness or obtain new indebtedness and any failure to do so could have a material adverse effect on our business, financial condition or results of operations.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Current market conditions may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Economic recessions or downturns, including as a result of the COVID-19 pandemic, as well as inflation and rising interest rates could impair our portfolio companies and harm our operating results.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Many of the portfolio companies in which we make investments may be susceptible to economic slowdowns or recessions and may be unable to repay the loans we made to them during these periods, including as a result of the COVID-19 pandemic.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In similar fashion, increasing or excessive levels of inflation and rising interest rates could also impair our portfolio companies cash flow and operations. These events could prevent us from increasing investments and harm our operating results.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financial condition and results of operations, including our revenue growth and profitability.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Downgrades by rating agencies to the U.S. government’s credit rating or concerns about its credit and deficit levels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Deterioration in the economic conditions in the Eurozone and other regions or countries globally and the resulting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levels of non-performing loans on the balance sheets of European banks, the effect of the United Kingdom (the “U.K.”) leaving the European Union (the “EU”), instability in the Chinese capital markets and the COVID pandemic.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 Moreover, there is a risk of both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Various social and political circumstances in the U.S.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U.S. and worldwide. Specifically, the rising conflict between Russia and Ukraine, and resulting market volatility, could adversely affect our business, financial condition or results of operations.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These market and economic disruptions could also negatively impact the operating results of our portfolio companies.</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the Federal Reserve may raise, or may announce its intention to raise, the Federal Funds Rate in 2022. These developments, along with the United States government’s credit and deficit concerns, global economic uncertainties and market volatility and the impacts of COVID-19, could cause interest rates to be volatile, which may negatively impact our ability to access the debt markets and capital markets on favorable terms.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1940 Act, we are required to carry our portfolio investments at market value or, if there is no readily available market value, at fair value as determined by us with our Board of Directors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the audit committee of our Board of Directors (the “Audit Committee”) and with the oversight, review and approval of our Board of Directors. The fair value of such securities may meaningfully change between the date of the fair value determination by our Board, as assisted by third-party independent valuation firms and the Audit Committee, and the release of the financial results for the corresponding period or the next date at which fair value is determined.</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 on one or more of our investments. As a result, investors purchasing our common stock based on an overstated net asset value would pay a higher price than the value of our investments might warrant. Conversely, investors selling shares of our common stock during a period in which the net asset value understates the value of our investments will receive a lower price for their shares of our common stock than the value of our investments might warrant.</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the COVID-19 pandemic, or any other outbreak of epidemic disease, could have a significant adverse impact on the fair value of our investments, which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depend on our ability to effectively manage and deploy capital.</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RGC’s ability to identify, originate, evaluate and monitor, and our ability to finance and invest in, companies that meet our investment criteria.</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Accomplishing our investment objective on a cost-effective basis is largely a function of RGC’s handling of the investment process, its ability to provide competent, attentive and efficient services and our access to investments offering acceptable terms. In addition to monitoring the performance of our existing investments and other responsibilities under the Advisory Agreement, RGC’s investment team may also be called upon, from time to time, to provide managerial assistance to some of our portfolio companies. These demands may distract our investment team or slow the rate at which we may make investments.</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Even if we are able to grow and build upon our investment portfolio, any failure to manage our growth effectively could have a material adverse effect on our business, financial condition, results of operations and prospects. Our results of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highly competitive market for investment opportunities and we may not be able to compete effectively.</w:t>
      </w:r>
    </w:p>
    <w:p>
      <w:pPr>
        <w:spacing w:after="0" w:line="23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primary competitors for investments include both existing and newly formed debt, and to a lesser extent equity, focused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 lower cost of capital and access to funding sources that are not available to us. In addition, some of our competitors may have higher risk tolerances or different risk assessments than we have, which could allow them to consider a wider variety of investments and establish more relationships than we can. Furthermore, many of our competitors are not subject to the regulatory restrictions that the 1940 Act imposes on us as a BDC or to the distribution and other requirements we must satisfy to maintain our ability to be subject to taxation as a RIC. These characteristics could allow our competitors to consider a wider variety of investments, establish more relationships and offer better pricing and more flexible structuring than we are able to offer. In recent years, substantial investor capital has been allocated to the private credit and direct lending asset classes, creating and increasing competition among lenders. Increased competition across all segments of the private credit and direct lending markets, has reduced credit spreads, and along with historically low interest rates, has reduced investment yields and resulted in more borrower friendly terms and conditions. For instance, typically when interest rates are low and a credit cycle extended, new entrants will enter traditionally higher yielding markets creating additional competition and pressures and temporarily compressing yields. We believe the credit markets, and in particular the market for our lending strategies, are presently experiencing such pressures.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do not compete primarily on the financing terms we offer and believe that some competitors make loans with rates that are comparable or lower than our rates. We may lose some investment opportunities if we do not match our competitors’ pricing, terms and structure. However, if we match our competitors’ pricing, terms and structure, we may experience decreased net interest income, lower</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yields and increased risk of credit loss. As a result of this competition, we may not be able to take advantage of attractive investment opportunities from time to time, and we may not be able to identify and make investments that are consistent with our investment objective. The competitive pressures we face may have a material adverse effect on our financial condition, results of operations and cash flows.</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1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depend upon RGC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RGC fails to maintain such existing relationships, or to develop new relationships with other sources of investment opportunities, we may not be able to grow our investment portfolio. In addition, individuals with whom RGC has relationships are not obligated to provide us with investment opportunities, and we can offer no assurance that these relationships will generate investment opportunities for us in the future. The failure of RGC to maintain existing relationships, grow new relationships, or for any of those relationships to generate investment opportunities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RGC’s key personnel for our future success.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depend on the diligence, skill and investment acumen of R. David Spreng, our President, Chief Executive Officer and the Chairman of our Board of Directors, along with the other investment professionals at RGC, including Thomas Raterman, our Chief Operating Officer, Chief Financial Officer, Treasurer and Secretary. Mr. Spreng also serves as the President, Chief Executive Officer and Chief Investment Officer of RGC, and the Chairman of its Investment Committee. Mr. Spreng, Mr. Raterman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in particular, Mr. Raterman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or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existing and future funds and accounts.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ability of RGC to attract and retain qualified personnel in a competitive environment.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growth requires that RGC retains and attracts new investment and administrative personnel in a competitive market. RGC’s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venture capital funds, private equity funds and mezzanine funds) and traditional financial services companies, with which RGC competes for experienced personnel have greater resources than it possesses, which could have a negative impact on RGC’s ability to attract and retain qualified personnel and, as a result, have a material adverse effect on our business and results of operations.</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compensation we pay to RGC and our Administrator was not determined on an arm’s-length basis. Thus, the terms of such compensation may be less advantageous to us than if such terms had been the subject of arm’s-length negotiations.</w:t>
      </w:r>
    </w:p>
    <w:p>
      <w:pPr>
        <w:spacing w:after="0" w:line="14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compensation we pay to RGC and our Administrator was not determined on an arm’s-length basis with an unaffiliated third party. As a result, the form and amount of such compensation may be less favorable to us than they might have been had the respective agreements been entered into through arm’s-length transactions with an unaffiliated third party. In addition, we may choose not to</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enforce, or to enforce less vigorously, our respective rights and remedies under the Advisory Agreement and the Administration Agreement because of our desire to maintain our ongoing relationship with RGC, our Administrator and their respective affiliates. Any such decision, however, could cause us to breach our fiduciary obligations to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fee may induce RGC to purchase assets with borrowed funds and to use leverage despite any enhanced risk.</w:t>
      </w:r>
    </w:p>
    <w:p>
      <w:pPr>
        <w:spacing w:after="0" w:line="2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management fee payable by us to RGC may create an incentive for RGC to purchase assets with borrowed funds when it is unwise to do so or to pursue investments on our behalf that are riskier or more speculative than would be the case in the absence of such compensation arrangement. The management fee payable to RGC is calculated based on the amount of our gross assets, which includes assets purchased with borrowed funds or other forms of leverage. Under certain circumstances, the use of leverage may increase the likelihood of default, which would impair the value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capital gains portion of our incentive fee may induce RGC to make speculative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RGC receives the incentive fee based, in part, upon net capital gains realized on our investments. Under the incentive fee structure, RGC may benefit when we recognize capital gains and, because RGC, in certain circumstances, will determine when to sell a holding, RGC will control the timing of the recognition of such capital gains. As a result, in certain situations RGC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RGC to receive incentive fees, without necessarily resulting in an increase in our net earnings.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Given the structure of the Advisory Agreement, any general increase in interest rates can be expected to lead to higher interest rates applicable to our debt investments and will likely have the effect of making it easier for RGC to meet the quarterly hurdle rate for payment of income incentive fees under the Advisory Agreement without any additional increase in relative performance on the part of RGC. This may occur without a corresponding increase in distributions to our stockholders. In addition, in view of the catch-up provision applicable to income incentive fees under the Advisory Agreement, RGC could potentially receive a significant portion of the increase in our investment income attributable to such a general increase in interest rates. If that were to occur, our increase in net earnings, if any, would likely be significantly smaller than the relative increase in RGC’s income incentive fee resulting from such a general increase in interest rates.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RGC has the right, under the Advisory Agreement, to resign at any time upon not more than 60 days’ written notice, regardless of whether we have found a replacement. Similarly, our Administrator has the right under the Administration Agreement to resign at any time upon not more than 60 days’ written notice, regardless of whether we have found a replacement. If RGC or our Administrator were to resign, we may not be able to find a new investment adviser or administrator or hire internal management with similar expertise and ability to provide the same or equivalent services on acceptable terms prior to the resignation of RGC or our Administrator, or at all. If we are unable to do so quickly, our operations are likely to experience a disruption, our financial condition, business and results of operations, as well as our ability to pay distributions, are likely to be materially and adversely affected. In addition, the coordination of our internal management and investment or administrative activities, as applicable, are likely to suffer if we are unable to identify and reach an agreement with a single institution or group of executives having the expertise possessed by RGC, our Administrator and their respective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grow because we must distribute most of our income.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may need additional capital to fund growth in our investments. A reduction in the availability of new capital could limit our ability to grow. We must distribute at least 90% of our investment company taxable income to our stockholders to maintain our tax</w:t>
      </w:r>
    </w:p>
    <w:p>
      <w:pPr>
        <w:sectPr>
          <w:pgSz w:w="11900" w:h="16838" w:orient="portrait"/>
          <w:cols w:equalWidth="0" w:num="1">
            <w:col w:w="9920"/>
          </w:cols>
          <w:pgMar w:left="980" w:top="517"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treatment as a RIC. As a result, any such cash earnings may not be available to fund investment originations. We may, in the future, borrow under debt facilities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 if our total assets are less than 200% of our total borrowings and preferred stock (or 150% if we satisfy certain conditions, see “— 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shares of BDCs have recently traded at discounts to their net asset values. If our common stock trades below its net asset value, we will not be able to issue additional shares of our common stock at its market price without first obtaining the approval for such issuance from our stockholders and our independent directors. If additional funds are not available to us, we could be forced to curtail or cease new lending and investment activities and our net asset value could decline.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reduction in the availability of new capital or an inability on our part to access the capital markets successfully could limit our ability to grow our business and execute our business strategy fully and decrease our earnings, if any, which could have a material adverse effect on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on our part to maintain our status as a BDC or fail to qualify as a RIC would reduce our operating flexibility.</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1940 Act imposes numerous constraints on the operations of BDCs. For example, BDCs are required to invest at least 70% of their gross assets in specified types of “qualifying assets,” primarily in private U.S. companies or thinly-traded U.S. public companies, cash, cash equivalents, U.S. government securities and other high-quality debt investments that mature in one year or less. In addition, subject to certain limited exceptions, an investment in an issuer that has outstanding securities listed on a national exchange may be treated as a qualifying asset only if such issuer has a market capitalization that is less than $250 million at the time of such investment. In addition, as a RIC, the treatment for which we intend to qualify annually, we are required to satisfy certain source-of-income, diversification and distribution requirements. Therefore, we may be precluded from investing in what we believe are attractive investments if such investments are not qualifying assets. Conversely, if we fail to invest a sufficient portion of our assets in qualifying assets, we could lose our status as a BDC, which would have a material adverse effect on our business, financial condition and results of operations. Similarly, these constraints could prevent us from making additional investments in existing portfolio companies, which could result in the dilution of our position, or could require us to dispose of investments at an inopportune time to comply with the 1940 Act. If we were forced to sell non-qualifying investments in the portfolio for compliance purposes, the proceeds from such sale could be significantly less than the current value of such investments. These constraints, among others, may hinder our ability to take advantage of attractive investment opportunities and to achieve our investment objective.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will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6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generally permitted, as a BDC, to issue senior securities in amounts such that our asset coverage ratio, as defined in the 1940 Act, equals at least 200% of gross assets less all liabilities and indebtedness not represented by senior securities, after each issuance of senior securities, or 150% if certain requirements are met, as described below.</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permitted to increase our asset coverage ratio to at least 150%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The Board of Directors</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approved a proposal that permits us to reduce our asset coverage ratio to 150% on October 28, 2021 and we intend to seek corresponding approval from our stockholders. Therefore, our asset coverage ratio will be reduced to 150% on October 28, 2022 or effective immediately upon receiving stockholder approval, if earlier. We will also be required to make certain disclosures on our website and in SEC filings regarding, among other things, the receipt of approval to increase our leverage, our leverage capacity and usage and risks related to leverage.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value of our assets decline, we may be unable to satisfy the asset coverage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borrow money, which would magnify the potential for gain or loss on amounts invested and may increase the risk of investing in us.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use of leverage magnifies the potential for gain or loss on amounts invested and, therefore, increases the risks associated with investing in our securities.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investment income to increase more than it would without the leverage, while any decrease in our income would cause net income to decline more sharply than it would have had we not borrowed. Such a decline could also negatively affect our ability to make dividend payments on our common stock, scheduled debt payments or other payments related to our securities. 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including our interest expense, as a result of leverage.</w:t>
      </w:r>
    </w:p>
    <w:p>
      <w:pPr>
        <w:spacing w:after="0" w:line="17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are permitted, however, to increase our asset coverage ratio to at least 150% if we satisfy certain conditions, including stockholder and/or board approval. The Board approved a proposal to increase the maximum amount of leverage we may incur to an asset coverage ratio of 150% effective October 28, 2022 and we intend to seek corresponding approval from our stockholders, which would be effective immediately. We cannot assure you that our stockholders will approve the increase of our leverage. If this ratio declines below 200%,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 In addition, any debt facility into which we may enter would likely impose financial and operating</w:t>
      </w:r>
    </w:p>
    <w:p>
      <w:pPr>
        <w:sectPr>
          <w:pgSz w:w="11900" w:h="16838" w:orient="portrait"/>
          <w:cols w:equalWidth="0" w:num="1">
            <w:col w:w="9920"/>
          </w:cols>
          <w:pgMar w:left="980" w:top="517"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covenants that restrict our business activities, including limitations that could hinder our ability to finance additional loans and investments or to make the distributions required to qualify as a RIC.</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illustrates the effect of leverage on returns from an investment in our common stock assuming various annual returns on our portfolio,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p>
    <w:p>
      <w:pPr>
        <w:spacing w:after="0" w:line="192" w:lineRule="exact"/>
        <w:rPr>
          <w:sz w:val="20"/>
          <w:szCs w:val="20"/>
          <w:color w:val="auto"/>
        </w:rPr>
      </w:pPr>
    </w:p>
    <w:p>
      <w:pPr>
        <w:jc w:val="center"/>
        <w:ind w:left="4140"/>
        <w:spacing w:after="0"/>
        <w:rPr>
          <w:sz w:val="20"/>
          <w:szCs w:val="20"/>
          <w:color w:val="auto"/>
        </w:rPr>
      </w:pPr>
      <w:r>
        <w:rPr>
          <w:rFonts w:ascii="Arial" w:cs="Arial" w:eastAsia="Arial" w:hAnsi="Arial"/>
          <w:sz w:val="14"/>
          <w:szCs w:val="14"/>
          <w:b w:val="1"/>
          <w:bCs w:val="1"/>
          <w:color w:val="auto"/>
        </w:rPr>
        <w:t>Assumed Return on Our Portfolio</w:t>
      </w:r>
    </w:p>
    <w:p>
      <w:pPr>
        <w:jc w:val="center"/>
        <w:ind w:left="4140"/>
        <w:spacing w:after="0" w:line="236" w:lineRule="auto"/>
        <w:rPr>
          <w:sz w:val="20"/>
          <w:szCs w:val="20"/>
          <w:color w:val="auto"/>
        </w:rPr>
      </w:pPr>
      <w:r>
        <w:rPr>
          <w:rFonts w:ascii="Arial" w:cs="Arial" w:eastAsia="Arial" w:hAnsi="Arial"/>
          <w:sz w:val="14"/>
          <w:szCs w:val="14"/>
          <w:b w:val="1"/>
          <w:bCs w:val="1"/>
          <w:color w:val="auto"/>
        </w:rPr>
        <w:t>(Net of Expenses)</w:t>
      </w:r>
    </w:p>
    <w:tbl>
      <w:tblPr>
        <w:tblLayout w:type="fixed"/>
        <w:tblInd w:w="0" w:type="dxa"/>
        <w:tblCellMar>
          <w:top w:w="0" w:type="dxa"/>
          <w:left w:w="0" w:type="dxa"/>
          <w:bottom w:w="0" w:type="dxa"/>
          <w:right w:w="0" w:type="dxa"/>
        </w:tblCellMar>
      </w:tblPr>
      <w:tr>
        <w:trPr>
          <w:trHeight w:val="142"/>
        </w:trPr>
        <w:tc>
          <w:tcPr>
            <w:tcW w:w="4160" w:type="dxa"/>
            <w:vAlign w:val="bottom"/>
          </w:tcPr>
          <w:p>
            <w:pPr>
              <w:spacing w:after="0"/>
              <w:rPr>
                <w:sz w:val="12"/>
                <w:szCs w:val="12"/>
                <w:color w:val="auto"/>
              </w:rPr>
            </w:pPr>
          </w:p>
        </w:tc>
        <w:tc>
          <w:tcPr>
            <w:tcW w:w="1100" w:type="dxa"/>
            <w:vAlign w:val="bottom"/>
            <w:tcBorders>
              <w:top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-10%</w:t>
            </w:r>
          </w:p>
        </w:tc>
        <w:tc>
          <w:tcPr>
            <w:tcW w:w="116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-5%</w:t>
            </w:r>
          </w:p>
        </w:tc>
        <w:tc>
          <w:tcPr>
            <w:tcW w:w="1200" w:type="dxa"/>
            <w:vAlign w:val="bottom"/>
            <w:tcBorders>
              <w:top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0%</w:t>
            </w:r>
          </w:p>
        </w:tc>
        <w:tc>
          <w:tcPr>
            <w:tcW w:w="116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5%</w:t>
            </w:r>
          </w:p>
        </w:tc>
        <w:tc>
          <w:tcPr>
            <w:tcW w:w="11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10%</w:t>
            </w:r>
          </w:p>
        </w:tc>
      </w:tr>
      <w:tr>
        <w:trPr>
          <w:trHeight w:val="148"/>
        </w:trPr>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Corresponding return to common stockholder</w:t>
            </w:r>
            <w:r>
              <w:rPr>
                <w:rFonts w:ascii="Arial" w:cs="Arial" w:eastAsia="Arial" w:hAnsi="Arial"/>
                <w:sz w:val="10"/>
                <w:szCs w:val="10"/>
                <w:color w:val="auto"/>
              </w:rPr>
              <w:t>(1)</w:t>
            </w:r>
          </w:p>
        </w:tc>
        <w:tc>
          <w:tcPr>
            <w:tcW w:w="110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-11.0%</w:t>
            </w:r>
          </w:p>
        </w:tc>
        <w:tc>
          <w:tcPr>
            <w:tcW w:w="11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-5.8%</w:t>
            </w:r>
          </w:p>
        </w:tc>
        <w:tc>
          <w:tcPr>
            <w:tcW w:w="120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-0.5%</w:t>
            </w:r>
          </w:p>
        </w:tc>
        <w:tc>
          <w:tcPr>
            <w:tcW w:w="11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4.8%</w:t>
            </w:r>
          </w:p>
        </w:tc>
        <w:tc>
          <w:tcPr>
            <w:tcW w:w="114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10.1%</w:t>
            </w:r>
          </w:p>
        </w:tc>
      </w:tr>
    </w:tbl>
    <w:p>
      <w:pPr>
        <w:spacing w:after="0" w:line="197" w:lineRule="exact"/>
        <w:rPr>
          <w:sz w:val="20"/>
          <w:szCs w:val="20"/>
          <w:color w:val="auto"/>
        </w:rPr>
      </w:pPr>
    </w:p>
    <w:p>
      <w:pPr>
        <w:ind w:left="260" w:right="20" w:firstLine="7"/>
        <w:spacing w:after="0" w:line="253" w:lineRule="auto"/>
        <w:tabs>
          <w:tab w:leader="none" w:pos="431" w:val="left"/>
        </w:tabs>
        <w:numPr>
          <w:ilvl w:val="0"/>
          <w:numId w:val="32"/>
        </w:numPr>
        <w:rPr>
          <w:rFonts w:ascii="Arial" w:cs="Arial" w:eastAsia="Arial" w:hAnsi="Arial"/>
          <w:sz w:val="11"/>
          <w:szCs w:val="11"/>
          <w:color w:val="auto"/>
        </w:rPr>
      </w:pPr>
      <w:r>
        <w:rPr>
          <w:rFonts w:ascii="Arial" w:cs="Arial" w:eastAsia="Arial" w:hAnsi="Arial"/>
          <w:sz w:val="14"/>
          <w:szCs w:val="14"/>
          <w:color w:val="auto"/>
        </w:rPr>
        <w:t>Assumes (i) $639.9 million in total assets, (ii) $81.5 million in outstanding indebtedness, (iii) $606.2 million in net assets and (iv) weighted average interest rate, excluding fees (such as fees on undrawn amounts and amortization of financing costs) of 3.51%.</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defaults under the Credit Agreement or other borrowings, including the 2026 Senior Notes, could adversely affect our business.</w:t>
      </w:r>
    </w:p>
    <w:p>
      <w:pPr>
        <w:spacing w:after="0" w:line="26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May 31, 2019 (as subsequently amended), we entered into the Credit Agreement by and among us, as borrower, the financial institutions party thereto as lenders, KeyBank National Association, as administrative agent, syndication agent, and a lender, CIBC Bank USA, as documentation agent and a lender, MUFG Union Bank, N.A., as co-documentation agent and lender and U.S. Bank National Association, as paying agent. In the event we default under our Credit Agreement, or other borrowings, including the 2026 Senior Notes, our business could be adversely affected as we may be forced to sell a portion of our investments quickly and prematurely at what may be unfavorable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obtain additional debt financing, or if our borrowing capacity is materially reduced, our business could be materially adversely affected.</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may want to obtain additional debt financing or need to do so upon maturity of the Credit Agreement, in order to obtain funds which may be made available for investments. The availability period under the Credit Agreement expires on May 31, 2022 and is followed by a two-year amortization period. The stated maturity date under the Credit Agreement is May 31, 2024. If we are unable to increase, renew or replace the Credit Agreement and enter into new debt financing facilities or other debt financing on commercially reasonable terms, our liquidity may be reduced significantly. In addition, if we are unable to repay amounts outstanding under any such facilities and are declared in default or are unable to renew or refinance these facilities,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us or third parties, and could materially damage our business operations, results of operations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interest rates may affect our cost of capital, the ability of our portfolio companies to service their debt obligations and our net investment income.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our net investment income, and our net asset value. Substantially all of our debt investments will have variable interest rates that reset periodically based on benchmarks such as LIBOR, SOFR and the prime rate. A reduction in the interest rates on new investments relative to interest rates on current investments could also have an adverse impact on our net interest income. However,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6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to the extent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to the extent we use debt to finance our investments. In periods of rising interest rates, our cost of funds would increase, which could reduce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RGC with respect to our pre-incentive fee net investment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financial projections of our portfolio companies could prove inaccurate.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generally evaluate the capital structure of portfolio companies on the basis of financial projections prepared by the management of such portfolio companies. These projected operating results are normally based primarily on judgments of the management of the portfolio companies. In all cases, projections are only estimates of future results that are based upon assumptions made at the time that the projections are developed. General economic conditions, which are not predictable with accuracy, along with other macroeconomic factors and specific factors of the portfolio company, may cause actual performance to fall short of the financial projections that were used to establish a given portfolio company’s capital structure. Because of the leverage that is typically employed by our portfolio companies, this could cause a substantial decrease in the value of our investment in the portfolio company. The inaccuracy of financial projections of portfolio companies could thus cause our performance to fall short of our expectations.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large percentage of our portfolio investments are in the form of debt investments that are not publicly traded. The fair value of these securities is not readily determinable. We value these investments on at least a quarterly basis in accordance with our valuation policy, which is at all times consistent with generally accepted accounting principles in the United States (“U.S. GAAP”).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and the applicable third-party valuation firm. The participation of RGC in our valuation process could result in a conflict of interest, since the management fees are based in part on our gross assets and also because RGC is receiving performance-based incentive fees. The factors that are considered in the fair value pricing of our investments include the nature and realizable value of any collateral, the portfolio company’s ability to make payments on loans and its earnings, the markets in which the portfolio company does business, comparisons to publicly traded companies, discounted cash flow, relevant credit market indices, and other relevant factors. Because such valuations, and particularly valuations of private investments and private companies, are inherently uncertain,</w:t>
      </w:r>
    </w:p>
    <w:p>
      <w:pPr>
        <w:sectPr>
          <w:pgSz w:w="11900" w:h="16838" w:orient="portrait"/>
          <w:cols w:equalWidth="0" w:num="1">
            <w:col w:w="9920"/>
          </w:cols>
          <w:pgMar w:left="980" w:top="517"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 fluctuate over short periods of time and are often based on estimates, our determinations of fair value may differ materially from the values that would have been used if a ready market for these securities existed. In addition, the valuation of these types of securities may result in substantial write-downs and earnings volatility.</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net asset value as of a particular date may be materially greater than or less than the value that would be realized if our assets were to be liquidated as of such date. For example, if we were required to sell a certain asset or all or a substantial portion of its assets on a particular date, the actual price that we would realize upon the disposition of such asset or assets could be materially less than the value of such asset or assets as reflected in our net asset value. Volatile market conditions could also cause reduced liquidity in the market for certain assets, which could result in liquidation values that are materially less than the values of such assets as reflected in our net asset value.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of Directors has the authority to modify or waive our investment objective, current operating policies, investment criteria and strategies without prior notice (except as required by the 1940 Act) and without stockholder approval. However, absent stockholder approval, we may not change the nature of our business so as to cease to be, or withdraw our election as, a BDC. We cannot predict the effect any changes to our current operating policies, investment criteria and strategies would have on our business, net asset value, operating results and value of our stock. However, the effects of changes to our investment objective or criteria by our Board might be adverse, which could negatively impact our ability to pay you dividends and cause you to lose all or part of your investment.</w:t>
      </w:r>
    </w:p>
    <w:p>
      <w:pPr>
        <w:spacing w:after="0" w:line="16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10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of our investments include original-issue-discount instruments and contractual PIK-interest arrangements. To the extent original issue discount or PIK-interest constitutes a portion of our income, we are exposed to typical risks associated with such income being required to be included in taxable and accounting income prior to receipt of cash, including the following:</w:t>
      </w:r>
    </w:p>
    <w:p>
      <w:pPr>
        <w:spacing w:after="0" w:line="165" w:lineRule="exact"/>
        <w:rPr>
          <w:sz w:val="20"/>
          <w:szCs w:val="20"/>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higher interest rates of original issue discount and PIK instruments reflect the payment deferral, which results in a higher principal amount at the maturity of the instrument as compared to the original principal amount of the instrument. Increased credit risk associated with these instruments, and original issue discount and PIK instruments generally, represent a significantly higher credit risk than coupon loans.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Even if the accounting conditions for income accrual are met, the borrower could still default when our actual collection is supposed to occur at the maturity of the obligation.</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Original issue discount and PIK instruments may have unreliable valuations because their continuing accruals require continuing judgments about the collectability of the deferred payments and the value of any associated collateral. Original issue discount and PIK-income may also create uncertainty about the source of our cash distributions.</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186"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accounting purposes, any cash distributions to stockholders representing original issue discount and PIK-income are not treated as coming from paid-in capital, even though the cash to pay them comes from the offering proceeds. As a result, despite the fact that a distribution representing original issue discount and PIK-income could be paid out of amounts invested by our stockholders, the 1940 Act does not require that stockholders be given notice of this fact by reporting it as a return of capital.</w:t>
      </w:r>
    </w:p>
    <w:p>
      <w:pPr>
        <w:spacing w:after="0" w:line="157"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certain cases, we may recognize taxable income before or without receiving corresponding cash payments and, as a result, we may have difficulty meeting the Annual Distribution Requirement necessary to maintain our tax treatment as a RIC.</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interest rates of our loans to our portfolio companies might be subject to change based on recent regulatory changes.</w:t>
      </w:r>
    </w:p>
    <w:p>
      <w:pPr>
        <w:spacing w:after="0" w:line="2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LIBOR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The terms of our debt investments generally include minimum interest rate floors which are calculated based on LIBOR.</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March 5, 2021, the United Kingdom’s Financial Conduct Authority (the “FCA”), which regulates LIBOR, announced that (i) 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and (ii) the overnight and 1, 3, 6 and 12-month US LIBOR settings would cease to exist after June 30, 2023; and (iii) the FCA would consult on whether the remaining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of Directors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On July 29, 2021, the ARCC formally recommended SOFR as its preferred alternative replacement rate for LIBOR. At this time, it is not possible to predict the effect of any such changes, any establishment of alternative reference rates or other reforms to LIBOR that may be enacted in the United States, United Kingdom or elsewhere or, whether the COVID-19 pandemic will have further effect on LIBOR transition plans.</w:t>
      </w:r>
    </w:p>
    <w:p>
      <w:pPr>
        <w:spacing w:after="0" w:line="1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when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when LIBOR ceases to exist, we may need to renegotiate certain terms of the Credit Agreement. If we are unable to do so, amounts drawn under the Credit Agreement may bear interest at a higher rate, which would increase the cost of our borrowings and, in turn, affect our results of operations.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and will continue to expend significant financial and other resources to comply with the requirements of being a public reporting entity.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public reporting entity, we are subject to the reporting requirements of the Exchange Act and certain requirements of the Sarbanes-Oxley Act. The Exchange Act requires that we file annual, quarterly, and current reports with respect to our business and financial condition. The Sarbanes-Oxley Act requires that we maintain effective disclosure controls and procedures and internal control over financial reporting, which are discussed below. See “Business – Regulation as a Business Development Company” in Part I, Item 1 of this Form 10-K. In order to maintain and improve the effectiveness of our disclosure controls and procedures and internal controls, significant resources and management oversight is required. We will continue to implement procedures, processes, policies and practices for the purpose of addressing the standards and requirements applicable to public companies. These activities may divert management’s attention from other initiatives, strategies or business concerns, which could have a material adverse effect on our business, financial condition, results of operations and cash flows. We expect to incur significant annual expenses related to these steps and, among other things, directors’ and officers’ liability insurance, director fees, reporting requirements of the SEC, transfer agent fees, additional administrative expenses payable to our Administrator to compensate them for hiring additional accounting, legal and administrative personnel, increased auditing and legal fees and similar expenses.</w:t>
      </w:r>
    </w:p>
    <w:p>
      <w:pPr>
        <w:spacing w:after="0" w:line="1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systems and resources necessary to comply with public company reporting requirements will increase further once we cease to be an “emerging growth company” under the Jumpstart Our Business Startups Act of 2012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404 of the Sarbanes-Oxley Act. We will remain an emerging growth company for up to five years following our IPO, which we completed on October 21,2021, although if the market value of our common stock that is held by non-affiliates exceeds $700 million as of any June 30 before that time or we issue an aggregate of $1.0 billion in non-convertible debt securities in any three year period, we would cease to be an emerging growth company as of the following December 31. See “Business — Implications of Being an Emerging Growth Company” in Part I, Item 1 of this Form 10 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obligated to maintain proper and effective internal control over financial reporting, including the internal control evaluation and certification requirements of Section 404 of the Sarbanes-Oxley Act (“Section 404”).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we are no longer an emerging growth company under the JOBS Act or until we become an “accelerated filer” under Rule 12b-2 of the Exchange Act. Accordingly, our internal controls over financial reporting does not currently meet all of the standards contemplated by Section 404 that we will eventually be required to meet. We are required to conduct annual management assessments of the effectiveness of our internal controls over financial reporting.</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invest primarily in senior secured term loans and other senior debt obligations and may on occasion invest in second lien loans issued by high growth-potential companies. We also have and continue to expect to acquire warrants and other equity securities from portfolio companies in connection with our investments in loans to these companies. We invest primarily in secured loans made to companies whose debt has generally not been rated by any rating agency, although we would expect such debt, if rated, to fall below investment grade. Securities rated below investment grade are often referred to as “high yield” securities and “junk bonds,” and are considered “high risk” and speculative in nature compared to debt instruments that are rated above investment grade.</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u w:val="single" w:color="auto"/>
          <w:color w:val="auto"/>
        </w:rPr>
        <w:t>Senior Secured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a risk that the collateral securing our loans may decrease in value over time, may be difficult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in a timely manner, may be difficult to appraise and may fluctuate in value based upon the success of the business and market conditions, including as a result of the inability of the portfolio company to raise additional capital. In some circumstances, our liens on the collateral securing our loans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compelled to enforce our remedies.</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u w:val="single" w:color="auto"/>
          <w:color w:val="auto"/>
        </w:rPr>
        <w:t>Second Lien Secured Loans.</w:t>
      </w:r>
      <w:r>
        <w:rPr>
          <w:rFonts w:ascii="Arial" w:cs="Arial" w:eastAsia="Arial" w:hAnsi="Arial"/>
          <w:sz w:val="16"/>
          <w:szCs w:val="16"/>
          <w:i w:val="1"/>
          <w:iCs w:val="1"/>
          <w:color w:val="auto"/>
        </w:rPr>
        <w:t xml:space="preserve"> </w:t>
      </w:r>
      <w:r>
        <w:rPr>
          <w:rFonts w:ascii="Arial" w:cs="Arial" w:eastAsia="Arial" w:hAnsi="Arial"/>
          <w:sz w:val="16"/>
          <w:szCs w:val="16"/>
          <w:color w:val="auto"/>
        </w:rPr>
        <w:t>In structuring our loans, we may subordinate our security interest in certain assets of a borrower 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lender, usually a bank. In these situations, all of the risks identified above in Senior Secured Loans would be true and additional risks inherent in holding a junior security position would also be present, including, but not limited to those outlined below in “Second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u w:val="single" w:color="auto"/>
          <w:color w:val="auto"/>
        </w:rPr>
        <w:t>Equity Investments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When we invest in secured loans, we may acquire equity securities as well, including warrants. In addition, we</w:t>
      </w:r>
      <w:r>
        <w:rPr>
          <w:rFonts w:ascii="Arial" w:cs="Arial" w:eastAsia="Arial" w:hAnsi="Arial"/>
          <w:sz w:val="16"/>
          <w:szCs w:val="16"/>
          <w:i w:val="1"/>
          <w:iCs w:val="1"/>
          <w:color w:val="auto"/>
        </w:rPr>
        <w:t xml:space="preserve"> </w:t>
      </w:r>
      <w:r>
        <w:rPr>
          <w:rFonts w:ascii="Arial" w:cs="Arial" w:eastAsia="Arial" w:hAnsi="Arial"/>
          <w:sz w:val="16"/>
          <w:szCs w:val="16"/>
          <w:color w:val="auto"/>
        </w:rPr>
        <w:t>may also, on a limited basis, invest directly in the equity securities of portfolio companies. The equity interests we receive may not</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appreciate in value and may in fact decline in value. Accordingly, we may not be able to realize gains from our equity interests, and any gains that we do realize on the disposition of any equity interests may not be sufficient to offset any other losses we experience.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investing in small, fast-growing, private companies involves a number of significant risks, including the following:</w:t>
      </w:r>
    </w:p>
    <w:p>
      <w:pPr>
        <w:spacing w:after="0" w:line="237" w:lineRule="exact"/>
        <w:rPr>
          <w:sz w:val="20"/>
          <w:szCs w:val="20"/>
          <w:color w:val="auto"/>
        </w:rPr>
      </w:pPr>
    </w:p>
    <w:p>
      <w:pPr>
        <w:jc w:val="both"/>
        <w:ind w:left="98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they may have limited financial resources and may be unable to meet their obligations under their debt securities that we hold. This failure to meet obligations may be accompanied by a deterioration in the value of any collateral and a reduction in the likelihood of us realizing any guarantees we may have obtained in connection with our investment;</w:t>
      </w:r>
    </w:p>
    <w:p>
      <w:pPr>
        <w:spacing w:after="0" w:line="165"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market conditions, and general economic downturns;</w:t>
      </w:r>
    </w:p>
    <w:p>
      <w:pPr>
        <w:spacing w:after="0" w:line="123" w:lineRule="exact"/>
        <w:rPr>
          <w:rFonts w:ascii="Arial" w:cs="Arial" w:eastAsia="Arial" w:hAnsi="Arial"/>
          <w:sz w:val="16"/>
          <w:szCs w:val="16"/>
          <w:color w:val="auto"/>
        </w:rPr>
      </w:pPr>
    </w:p>
    <w:p>
      <w:pPr>
        <w:jc w:val="both"/>
        <w:ind w:left="980" w:right="20" w:hanging="324"/>
        <w:spacing w:after="0" w:line="26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RGC may, in the ordinary course of business, be named as defendants in litigation arising from our investments in the portfolio companies; and</w:t>
      </w:r>
    </w:p>
    <w:p>
      <w:pPr>
        <w:spacing w:after="0" w:line="18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debt upon maturity.</w:t>
      </w:r>
    </w:p>
    <w:p>
      <w:pPr>
        <w:spacing w:after="0" w:line="170"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6"/>
          <w:szCs w:val="16"/>
          <w:color w:val="auto"/>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use the term “covenant-lite” loans to refer generally to loans that do not 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Investing in high growth-potential, private companies involves a high degree of risk, and our financial results may be affected adversely if one or more of our significant portfolio investments defaults on its loans or fails to perform as we expect.</w:t>
      </w:r>
    </w:p>
    <w:p>
      <w:pPr>
        <w:spacing w:after="0" w:line="1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expect that our portfolio will continue to consist primarily of debt investments in privately-owned companies, and to a lesser extent equity investments in privately-owned companies. Investing in these companies involves a number of significant risks. Typically, the debt in which we intend to invest will not be initially rated by any rating agency; however, we believe that if such investments were rated, they would generally be below investment grade. Securities rated below investment grade are often referred to as “high yield” securities and “junk bonds,” and are considered “high risk” and speculative in nature compared to debt instruments that are rated investment grade. Compared to larger publicly owned companies, these companies may be in a weaker financial position and may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face intense competition from larger companies with greater financial, technical, and marketing resources and their success typically depends on the managerial talents and efforts of an individual or a small group of persons. Therefore, the loss of any of its key employees could affect a portfolio company’s ability to compete effectively and harm its financial condition. Further, some of these companies conduct business in regulated industries that are susceptible to regulatory changes, resulting in increased compliance measures and possibly more susceptibility to regulatory breaches or violations.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w:t>
      </w:r>
    </w:p>
    <w:p>
      <w:pPr>
        <w:sectPr>
          <w:pgSz w:w="11900" w:h="16838" w:orient="portrait"/>
          <w:cols w:equalWidth="0" w:num="1">
            <w:col w:w="9920"/>
          </w:cols>
          <w:pgMar w:left="980" w:top="517"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businesses. Deterioration in a borrower’s financial condition and prospects may be accompanied by deterioration in the value of the loan’s collateral.</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these companies cannot obtain financing from public capital markets or from traditional credit sources, such as commercial banks. Accordingly, the loans we make to these types of companies pose a higher default risk than loans made to companies that have access to traditional credit sources.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presents certain challenges, including the lack of available information about these companies and a greater vulnerability to economic downturns.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invest primarily in high growth-potential, privately held companies and these companies may not have third-party credit ratings or audited financial statements subject to public accounting standards or otherwise. Generally, little public information exists about these companies, and we are required to rely on the ability of RGC’s investment team to obtain adequate financial or other information to evaluate the potential returns from investing in these companies. Furthermore, private companies and their financial information will not generally be subject to the Sarbanes-Oxley Act and other rules that govern public companies. If we are unable to uncover all material information about these companies through our diligence and underwriting process, we may not make a fully informed investment decision. This could adversely affect our investment returns as compared to companies investing primarily in the securities of public companies.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may adversely affect our and our portfolio companies’ business, results of operations and financial condition.</w:t>
      </w:r>
    </w:p>
    <w:p>
      <w:pPr>
        <w:spacing w:after="0" w:line="237"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color w:val="auto"/>
        </w:rPr>
        <w:t>Certain of our portfolio companies may be impacted by inflation. If such portfolio companies are unable to pass any increases in their costs along to their customers, it could adversely affect their results and impact their ability to pay interest and principal on our loans.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have limited operating histories and financial resources.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portfolio consists of investments in companies that may have relatively limited operating histories. Generally, limited public information exists about these companies, and we are required to rely on the ability of RGC’s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These companies may be particularly vulnerable to U.S. economic downturns and may have limited access to capital. These companies also frequently have less diverse product lines and a smaller market presence than larger competitors and may experience substantial variations in operating results. These companies may face intense competition, including from companies with greater financial, technical, operational and marketing resources, and typically depend upon the expertise and experience of a single individual executive or a small management team. Our success depends, in large part, upon the abilities of the key management personnel of our portfolio companies, who are responsible for the day-to-day operations of our portfolio companies. Competition for qualified personnel is intense at any stage of a company’s development, but even more so at the growth stage of the companies we typically invest in. The inability to attract and retain and/or the loss of one or more key managers can hinder or delay a company’s implementation of its business plan and harm its financial condition, which could negatively affect our investment returns.</w:t>
      </w:r>
    </w:p>
    <w:p>
      <w:pPr>
        <w:spacing w:after="0" w:line="186" w:lineRule="exact"/>
        <w:rPr>
          <w:sz w:val="20"/>
          <w:szCs w:val="20"/>
          <w:color w:val="auto"/>
        </w:rPr>
      </w:pPr>
    </w:p>
    <w:p>
      <w:pPr>
        <w:jc w:val="both"/>
        <w:ind w:firstLine="259"/>
        <w:spacing w:after="0" w:line="296" w:lineRule="auto"/>
        <w:rPr>
          <w:sz w:val="20"/>
          <w:szCs w:val="20"/>
          <w:color w:val="auto"/>
        </w:rPr>
      </w:pPr>
      <w:r>
        <w:rPr>
          <w:rFonts w:ascii="Arial" w:cs="Arial" w:eastAsia="Arial" w:hAnsi="Arial"/>
          <w:sz w:val="16"/>
          <w:szCs w:val="16"/>
          <w:color w:val="auto"/>
        </w:rPr>
        <w:t>In addition, our existing and future portfolio companies may compete with each other for investment or business opportunities and the success of one could negatively impact the other. Furthermore, some of our portfolio companies do business in regulated industries and could be affected by changes in government regulation. Accordingly, these factors could impair their cash flow or result in other events, such as bankruptcy, which could limit their ability to repay their obligations to us, and may materially and adversely affect the return on, or the recovery of, our investment. As a result, we may lose our entire investment in any of our portfolio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invest primarily in senior secured loans made to high growth-potential private companies but, on occasion make second lien loans to portfolio companies. Our portfolio companies may have, or may be permitted to incur, other debt that ranks equally with, or in some cases senior to, the debt in which we invest. By their terms, such debt instruments may entitle the holders to receive payment of</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 In the case of second lien loans that we make to portfolio companies, we would not recover any of our principal amount of the loan until the first lien holder is fully repaid, which would likely result in us recovering less or no amounts due on our loan and, in turn, could have a materials adverse effect on our operations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may be circumstances in which our debt investments could be subordinated to claims of other creditors or we could be subject to lender liability claims.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Even though we intend to structure most of our debt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In our case, we may, if requested to do so, provide managerial assistance to our portfolio companies.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Certain loans that we make will be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will be requested to execute will expressly subordinate our debt instruments to those held by the senior lender and further provide that the senior lender will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covenant-lite loans.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have made and may in the future make or obtain significant exposure to covenant-lite loans, which generally are loans that do not require a borrower to comply with financial maintenance covenants, and may not include terms that allow the lender to monitor the financial performance of the borrower, including financial ratios, and declare a default if certain financial criteria are breached.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generally required under a covenant-heavy loan agreement.</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covenant-lite loans permit borrowers more opportunity to negatively impact lenders because their covenants, if any, tend to be incurrence-based, which means they are only tested and can only be breached following certain actions of the borrower, rather than by a deterioration in the borrower’s financial condition. Our investment in or exposure to a covenant-lite loan may potentially hinder our ability to reprice credit risk associated with the issuer and reduce our ability to restructure a problematic loan and mitigate potential loss. As a result, our exposure to losses may be increased, which could result in an adverse impact on our revenues, net income and net asset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typically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and, in particular, with respect to the equity securities we acquire in our portfolio companies. Our investments are typically subject to contractual or legal restrictions on resale or are otherwise illiquid because there is no established trading market for such investments. The illiquidity of our investments may make it difficult for us to dispose of them at a favorable price or at all, and we may suffer losses as a result.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a subsequent financing; or (3) attempt to preserve or enhance the value of our investment. However, we may elect not to make follow-on investments or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lack diversification among portfolio companies, which subjects us to a risk of significant loss if one or more of these companies default on their repayment obligations under any of their debt instruments.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portfolio may hold a limited number of portfolio companies. Beyond the asset diversification requirements associated with our qualification as a RIC, we do not have fixed guidelines for diversification, and our investments may be concentrated in relatively few companies. As our portfolio is less diversified than the portfolios of some larger funds, we are more susceptible to failure if a single loan fails. As a result, if a significant loan fails to perform as expected, our business, financial condition, results of operation and cash flows could be more negatively affected and the magnitude of the loss could be more significant than if we had made smaller investments in more companies. Similarly, the aggregate returns we realize may be significantly adversely affected if a small number of investments perform poorly or if we need to write down the value of any one investment.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be concentrated in a limited number of industries, which will subject us to a risk of significant loss if there is a downturn in a particular industry in which a number of our investments are concentrated.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portfolio is concentrated in a limited number of industries. We invest primarily in companies focused in technology, life sciences, healthcare information and services, business services, select consumer services and products and other high growth industries. A downturn in any particular industry in which we are invested could significantly impact the aggregate returns we realize. As our portfolio may be less diversified than the portfolios of other investment vehicles, we may be more susceptible to losses if a single loan is not repaid. Similarly, the aggregate returns we realize may be significantly adversely affected if a small number of investments perform poorly or if we need to write down the value of any one investment.</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lack diversification among our Sponsored Growth Lending and Non-Sponsored Growth Lending strategies and among sponsors within the Sponsored Growth Lending strategy.</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objective is to build a balanced portfolio with diversification among sponsored and non-sponsored transactions, diversification among sponsors within the Sponsored Growth Lending strategy, and diversification among industry, geography, and stage of development generally, which we believe will contribute to a favorable risk adjusted return for the portfolio viewed as a whole. If we are unable to achieve diversification or retain it, we may not achieve favorable risk adjusted returns for the portfolio viewed as a whole.</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invest in sectors including technology, life sciences, healthcare information and services, business services, select consumer services and products and other high-growth industries, which are subject to specific risks related to each.</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intend to continue to invest the largest portions of our portfolio in technology, life sciences, healthcare information and services, business services, select consumer services and products and other high-growth industries. Our portfolio companies may address needs in technology-related industries and markets. We expect that our technology portfolio will consist of companies that commercialize and integrate products targeted at technology-related markets. There are risks in investing in companies that target technology-related markets, including rapid and sometimes dramatic price erosion of products, the reliance on capital and debt markets to finance large capital outlays, including fabrication facilities, the reliance on partners outside of the United States, particularly in Asia, and inherent cyclicality of the technology market in general. As a result of multiple factors, access to capital may be difficult or impossible for companies in our portfolio that are pursuing these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life sciences-related companies.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life sciences portfolio consists primarily of companies that commercialize and integrate products in life sciences-related industries, including biotechnology, drug discovery, drug delivery, bioinformatics and medical devices. There are risks in investing in companies that target life sciences-related industries, including, but not limited to, the uncertainty of timing and results of clinical trials to demonstrate the safety and efficacy of products; failure to obtain any required regulatory approval of products; failure to develop manufacturing processes that meet regulatory standards; competition, in particular from companies that develop rival products; and the ability to protect proprietary technology. Adverse developments in any of these areas may adversely affect the value of our life sciences portfolio.</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life sciences industry is dominated by large multinational corporations with substantially greater financial and technical resources than generally will be available to our portfolio companies. Such large corporations may be better able to adapt to the challenges presented by continuing rapid and major scientific, regulatory and technological changes as well as related changes in governmental and third-party reimbursement policies.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Within the life sciences industry, the development of products generally is a costly and time-consuming process. Many highly promising products ultimately fail to prove to be safe and effective. There can be no assurance that the research or product development efforts of our portfolio companies or those of their collaborative partners will be successfully completed, that specific products can be manufactured in adequate quantities at an acceptable cost and with appropriate quality, or that such products can be successfully marketed or achieve customer acceptance. There can be no assurance that a product will be relevant and/or be competitive with products from other companies following the costly, time-consuming process of its development.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research, development, manufacturing, and marketing of products developed by some life sciences companies are subject to extensive regulation by numerous government authorities in the United States and other countries. There can be no assurance that products developed by the portfolio companies will ever be approved by such governmental authorities.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life sciences portfolio companies will depend heavily upon intellectual property for their competitive position. There can be no assurance that the portfolio companies will be able to obtain patents for key inventions. Moreover, within the life sciences industry, patent challenges are frequent. Even if patents held by the portfolio companies are upheld, any challenges thereto may be costly and distracting to the portfolio companies’ management.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 life sciences portfolio companies will be at least partially dependent for their success upon governmental and third-party reimbursement policies that are under constant review and are subject to change at any time. Any such change could adversely affect the viability of one or more portfolio companies.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Technology-related sectors, including those involving data processing and outsourced services, in which we invest are subject to many risks, including volatility, intense competition, decreasing life cycles, product obsolescence, changing consumer preferences and periodic downturns.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securities that we may hold. This could, in turn, materially adversely affect our business, financial condition and results of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Certain technology-related industries are subject to extensive government regulation, which exposes us to the risk of significant loss if any of these industry sectors experiences a downturn.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portfolio companies in technology-related industries may be subject to extensive regulation by U.S. and foreign federal, state and/or local agencies. Changes in existing laws, rules or regulations, or judicial or administrative interpretations thereof,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were to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2021, our investments in healthcare technology represented 24.2% of our portfolio at fair value. Our investments in healthcare technology are subject to substantial risks, including, but not limited to, the risk that the laws and regulations governing the business of health care companies, and interpretations thereof, may change frequently. Current or future laws and regulations could force our portfolio companies engaged in health care, to change their policies related to how they operate, restrict revenue, change costs, change reserve levels and change business practices.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of our portfolio companies operating in the healthcare information and services industry are subject to extensive government regulation and certain other risks particular to that industry.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portfolio companies may be subject to extensive regulation by U.S. and foreign federal, stated and/or local agencies. Our healthcare information and services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Changes in existing laws, rules or regulations, or judicial or administrative interpretations, or new laws, rules or regulations could have an adverse impact on the business and industries of our portfolio companies. In addition, changes in government priorities or limitations on government resources could also adversely impact our portfolio companies.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and services industry are also subject to the risk that changes in applicable regulations will render their technology obsolete or less desirable in the marketplace. We are unable to predict whether any such changes in laws, rules or regulations will occur and, if they do occur, the impact of these changes on our portfolio companies and our investment returns.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internet retail industry is subject to many risks and is highly competitive.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number of the companies in which we invest operate in the internet retail industry. The internet retail industry is highly competitive. This competition is increasingly intense as a number of internet-based retailers have started and failed in recent years. Competitors include larger companies than the portfolio companies in which we invest, which, in particular, may have access to greater resources, may be more successful in the recruitment and retention of qualified employees which may give them a competitive advantage. In addition, actual or potential competitors may be strengthened through the acquisition of additional assets and interests. If our portfolio companies are unable to compete effectively or adequately respond to competitive pressures, this inability may materially adversely affect our results of operation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the software industry.</w:t>
      </w:r>
    </w:p>
    <w:p>
      <w:pPr>
        <w:spacing w:after="0" w:line="225" w:lineRule="exact"/>
        <w:rPr>
          <w:sz w:val="20"/>
          <w:szCs w:val="20"/>
          <w:color w:val="auto"/>
        </w:rPr>
      </w:pPr>
    </w:p>
    <w:p>
      <w:pPr>
        <w:jc w:val="both"/>
        <w:ind w:firstLine="259"/>
        <w:spacing w:after="0" w:line="287" w:lineRule="auto"/>
        <w:rPr>
          <w:sz w:val="20"/>
          <w:szCs w:val="20"/>
          <w:color w:val="auto"/>
        </w:rPr>
      </w:pPr>
      <w:r>
        <w:rPr>
          <w:rFonts w:ascii="Arial" w:cs="Arial" w:eastAsia="Arial" w:hAnsi="Arial"/>
          <w:sz w:val="16"/>
          <w:szCs w:val="16"/>
          <w:color w:val="auto"/>
        </w:rPr>
        <w:t>Portfolio companies in the software industry are subject to a number of risks. The revenue, income (or losses) and valuations of software and other technology-related companies can and often do fluctuate suddenly and dramatically. In addition, because of rapid technological change, the average selling prices of software products have historically decreased over their productive lives. As a result, the average selling prices of software offered by our portfolio companies may decrease over time, which could adversely affect their operating results and, correspondingly, the value of any securities that we may hold. Additionally, companies operating in the software industry are subject to vigorous competition, changing technology, changing client and end-consumer needs, evolving industry standards and frequent introductions of new products and services. Our portfolio companies in the software industry compete with several companies that operate in the global, regional and local software industries, and certain of those current or potential competitors may be engaged in a greater range of businesses, have a larger installed base of customers for their existing products and services or have greater financial, technical, sales or other resources than our portfolio companies do. Our portfolio companies may lose market share if their competitors introduce or acquire new products that compete with their software and related services or add new features to their products. Any of this could, in turn, materially adversely affect our business, financial condition and results of operations.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portfolio companies operating in the human resources and employment services industry operate in a complex regulatory environment, and failure to comply with applicable laws and regulations could adversely affect the business of our portfolio companies.</w:t>
      </w:r>
    </w:p>
    <w:p>
      <w:pPr>
        <w:spacing w:after="0" w:line="184"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8"/>
          <w:szCs w:val="18"/>
          <w:color w:val="auto"/>
        </w:rPr>
        <w:t>Certain of our portfolio companies that operate in the human resource industry are subject to a broad range of complex and evolving laws and regulations, including those applicable to payroll practices, benefits administration, employment practices, workers’ compensation coverage, and privacy. Because our portfolio companies have clients with employees in many states throughout the United States, our portfolio companies must perform services in compliance with the legal and regulatory requirements of multiple jurisdictions. Some of these laws and regulations may be difficult to ascertain or interpret and may change from time to time. Violation of such laws and regulations could subject our portfolio companies to fines and penalties, damage their reputation, constitute a breach of client agreements, impair our portfolio companies’ ability to obtain and renew required licenses, and decrease our portfolio companies’ profitability or competitiveness. If any of these effects were to occur, our operating results and financial condition could be adversely affected.</w:t>
      </w:r>
    </w:p>
    <w:p>
      <w:pPr>
        <w:spacing w:after="0" w:line="1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some instances, we may control our portfolio companies or provide our portfolio companies with significant managerial assistance. However, although we may do so in the future, we typically do not hold controlling equity positions in our portfolio companies. Thus, we generally do not, and do not expect to, control the decision making in many of our portfolio companies. As a result, we are subject to the risk that a portfolio company in which we invest will make business decisions with which we disagree and the management of such company, as representatives of the holders of their common equity, will take risks or otherwise act in ways that do not serve our interests as debt investors. Due to the lack of liquidity of the debt and equity investments that we typically hold in our portfolio companies, we may not be able to dispose of our interests as readily as we would like or at an appropriate valuation in the event we disagree with the actions of a portfolio company. As a result, a portfolio company may make decisions that would decrease the value of our investments.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 which may include the waiver of certain financial covenants — with a defaulting portfolio company. These expenses could materially and adversely affect our operating results and cash flow.</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portfolio companies are unable to commercialize their technologies, products, business concepts or services, the returns on our investments could be adversely affected.</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value of our investments in our portfolio companies may decline if they are not able to commercialize their technology, products, business concepts or services. Additionally, although some of our portfolio companies may already have a commercially successful product or product line at the time of our investment, information technology, e-commerce and life science products and services often have a more limited market or life span than products in other industries. Thus, the ultimate success of these companies often depends on their ability to continually innovate in increasingly competitive markets. If they are unable to do so, our investment returns could be adversely affected and their ability to service their debt obligations to us over the term of the loan could be impaired. Our portfolio companies may be unable to successfully acquire or develop any new products, and the intellectual property they currently hold may not remain viable. Even if our portfolio companies are able to develop commercially viable products, the market for new products and services is highly competitive and rapidly changing. Neither our portfolio companies nor we will have any control over the pace of technology development. Commercial success is difficult to predict, and the marketing efforts of our portfolio companies may not be successful.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the risk that the investments we make in our portfolio companies may be repaid prior to maturity. When this occurs, we will generally reinvest these proceeds in temporary investments, pending future investment in new portfolio companies. These temporary investments will typically have substantially lower yields than the yields of the loans being prepaid and we could experience significant delays in reinvesting these amounts. Any future investment in a new portfolio company may also be at lower yields than the debt that was previously prepaid by a portfolio company. As a result, our results of operations could be materially adversely affected if any of our portfolio companies elect to prepay amounts owed to us. Additionally, prepayments of loans made to portfolio companies could negatively impact our return on equity.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leveraged portfolio companies may be risky, and you could lose all or part of your investment.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of our portfolio companies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 Leveraged companies may enter into bankruptcy proceedings at higher rates than companies that are not leveraged.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restraining our ability to transfer or sell such securities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sometimes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utilize instruments such as forward contracts, credit default swaps,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portfolio companies may expose us to environmental risks.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may invest in portfolio companies that are subject to changing and increasingly stringent environmental and health and safety laws, regulations and permit requirements and environmental costs that could place increasing financial burdens on such portfolio</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entities. Required expenditures for environmental compliance may adversely impact investment returns on portfolio companies. The imposition of new environmental and other laws, regulations and initiatives could adversely affect the business operations and financial stability of such portfolio companies.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can be no guarantee that all costs and risks regarding compliance with environmental laws and regulations can be identified. New and more stringent environmental and health and safety laws, regulations and permit requirements or stricter interpretations of current laws or regulations could impose substantial additional costs on our portfolio companies. Compliance with such current or future environmental requirements does not ensure that the operations of the portfolio companies will not cause injury to the environment or to people under all circumstances or that the portfolio companies will not be required to incur additional unforeseen environmental expenditures. Moreover, failure to comply with any such requirements could have a material adverse effect on a portfolio company, and we can offer no assurance that any such portfolio companies will at all times comply with all applicable environmental laws, regulations and permit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Conflicts of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relationship with Oaktree may create conflicts of interest.</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of December 31, 2021, OCM owned approximately 48% of our outstanding common stock. Pursuant to an irrevocable proxy, the shares of our common stock held by OCM must be voted in the same manner that our other stockholders vote their shares. OCM has a right to nominate a member of our Board of Directors for election for so long as OCM holds shares of our common stock in an amount equal to, in the aggregate, at least one-third (33.33%) of OCM’s initial $125 million capital commitment to us, which percentage shall be determined based on the dollar value of the shares of common stock owned by OCM. OCM holds the right to appoint a nominee to the Board of Directors, subject to the conditions previously described, regardless of the Company's size (e.g., assets under management or market capitalization) or the beneficial ownership interests of other stockholders. Further, to the extent OCM’s share ownership falls below one-third of its initial $125 million capital commitment under any circumstances, OCM will no longer have the right to appoint a director nominee and will use reasonable efforts to cause such nominee to resign immediately (subject to his or her existing fiduciary duties). Brian Laibow serves on our Board of Directors as OCM’s director nominee and is considered an interested director.</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OCM owns a minority interest in RGC and has the right to appoint a member of RGC’s board of managers as well as a member of RGC’s Investment Committee. Mr. Laibow serves on RGC’s board of managers and investment committee on behalf of OCM.</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Laibow is Co-Head of North America &amp; Managing Director Opportunities Funds at Oaktree and we expect that he will continue to engage in investment advisory activities for Oaktree, which could result in a conflict of interest and may distract him from his responsibilities to us and RGC. As a result of the relationship with Oaktree and OCM, we are presumed to be an affiliate of Oaktree and OCM under the 1940 Act. As a result, we are not able to invest in the same portfolio companies in which any funds managed by Oaktree or OCM invest without seeking exemptive relief from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Mr. Spreng currently serves as Managing Partner of Crescendo Ventures IV, LLC, which he co-founded in 1998 as a venture capital firm focused on early-stage investments in the technology, digital media and technology-enabled service markets. In addition, our executive officers and directors, as well as the current and future members of RGC,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course of our investing activities, we pay management and incentive fees to RGC and reimburse our Administrator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RGC will have interests that differ from those of our stockholders, giving rise to a conflict.</w:t>
      </w:r>
    </w:p>
    <w:p>
      <w:pPr>
        <w:spacing w:after="0" w:line="1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entered into a license agreement with RGC (the “License Agreement”) pursuant to which RGC has granted us a personal, non-exclusive, royalty-free right and license to use the name “Runway Growth Finance”. Under the License Agreement, we have the right</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use the “Runway Growth Finance” name for so long as RGC or one of its affiliates remains our investment adviser. Other than with respect to this limited license, we have no legal right to the “Runway Growth Finance” name.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pay our Administrator, a wholly-owned subsidiary of RGC, our allocable portion of overhead and other expenses incurred by our Administrator in performing its obligations under the Administration Agreement, including rent, the fees and expenses associated with performing accounting and compliance functions. These arrangements may create conflicts of interest that our Board of Directors must monitor.</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RGC’s liability is limited under the Advisory Agreement and we have agreed to indemnify RGC against certain liabilities, which may lead RGC to act in a riskier manner on our behalf than it would when acting for its own account.</w:t>
      </w:r>
    </w:p>
    <w:p>
      <w:pPr>
        <w:spacing w:after="0" w:line="14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the Advisory Agreement, RGC has not assumed any responsibility to us other than to render the services called for under that agreement. It is not responsible for any action of our Board of Directors in following or declining to follow RGC’s advice or recommendations. Under the Advisory Agreement, RGC and its professionals and any person controlling or controlled by RGC are not liable to us, any subsidiary of ours, our directors, our stockholders or any subsidiary’s stockholders or partners for acts or omissions performed in accordance with and pursuant to the Advisory Agreement, except those resulting from acts constituting gross negligence, willful misfeasance, bad faith or reckless disregard of the duties that RGC owes to us under the Advisory Agreement. In addition, as part of the Advisory Agreement, we will indemnify RGC and its professionals from and against any claims or liabilities, including reasonable legal fees and other expenses reasonably incurred, arising out of or in connection with our business and operations or any action taken or omitted on our behalf pursuant to authority granted by the Advisory Agreement, except where attributable to gross negligence, willful misfeasance, bad faith or reckless disregard of such person’s duties under the Advisory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valuation process for certain of our investments may create a conflict of interest.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the majority of our investments, no market-based price quotation is available. As a result, our Board of Directors determines the fair value of these securities in good faith as described in “— 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 In connection with that determination, RGC’s investment team provides our Board of Directors with valuation recommendations based upon the most recent and available information, which generally includes industry outlook, capitalization, financial statements and projected financial results of each portfolio company.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of the Board of Directors and the applicable third-party valuation firm. The participation of RGC’s investment team in our valuation process, and the pecuniary interest in RGC by certain members of our Board of Directors, could result in a conflict of interest as RGC’s base management fee is based, in part, on the value of our average adjusted gross assets, and RGC’s incentive fee is based, in part, on realized gains and realized and unrealized losses.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pay our Adviser an incentive fee on certain investments that include a deferred interest feature.</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underwrite our loans to generally include an end-of-term payment, a PIK interest payment and/or original issue discount. Our end-of-term payments are contractual and fixed interest payments due at the maturity date of the loan, including upon prepayment, and are generally a fixed percentage of the original principal balance of the loan. The portion of our end-of-term payments, which equal the difference between our yield-to-maturity and the stated interest rate on the loan, are recognized as non-cash income or original issue discount until they are paid. In addition, in connection with our equity-related investments, we may be required to accrue original issue discount, which decreases the balance on our secured loans by an amount equal to the value of the warrant investment we receive in connection with the applicable secured loan over its lifetime. Under these types of investments, we accrue interest during the life of the loan on the end-of-term payment, PIK interest payment and/or original issue discount but do not receive the cash income from the investment until the end of the term. However, our Pre-Incentive Fee Net Investments, which is used to calculate the income portion of our incentive fee, includes accrued interest. Thus, a portion of this incentive fee is based on income that we have not yet received in cash, such as an end-of-term payment, a PIK interest payment and/or original issue discount.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assure you that a market for our common stock will develop or, if one develops, that the market will continue, which would adversely affect the liquidity and price of our common stock.</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common stock began trading on the Nasdaq Global Select Market under the symbol “RWAY” on October 21, 2021. We cannot assure you that an active trading market will develop for our common stock or, if one develops, that the trading market can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stockholder’s interest in us will be diluted if we issue additional shares, which could reduce the overall value of an investment in us.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stockholders do not have preemptive rights to purchase any shares we issue in the future. Our charter authorizes us to issue up to 100 million shares of common stock. Pursuant to our charter, a majority of our entire Board of Directors may amend our charter to increase the number of shares of common stock we may issue without stockholder approval. Our Board of Directors may elect to sell additional shares in the future or issue equity interests in private offerings. To the extent we issue additional equity interests at or below net asset value, your percentage ownership interest in us may be diluted. In addition, depending upon the terms and pricing of any additional offerings and the value of our investments, you may also experience dilution in the book value and fair value of your shares.</w:t>
      </w:r>
    </w:p>
    <w:p>
      <w:pPr>
        <w:spacing w:after="0" w:line="1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1940 Act, we generally are prohibited from issuing or selling our common stock at a price below net asset value per share, which may be a disadvantage as compared with certain public companies. We may, however, sell our common stock, or warrants, options, or rights to acquire our common stock, at a price below the current net asset value of our common stock if our Board of Directors and independent directors determine that such sale is in our best interests and the best interests of our stockholders, and our stockholders, including a majority of those stockholders that are not affiliated with us, approve such sale. In any such case, the price at which our securities are to be issued and sold may not be less than a price that, in the determination of our Board of Directors, closely approximates the fair value of such securities (less any distributing commission or discount). If we raise additional funds by issuing common stock or senior securities convertible into, or exchangeable for, our common stock, then the percentage ownership of our stockholders at that time will decrease and you will experience dilution.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 may have an adverse effect on the market price of our common stock.</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Any shares owned by our affiliates prior to our IPO, as defined in the Securities Act, are subject to the public information, manner of sale and volume limitations of Rule 144 under the Securities Act. The remaining shares of our common stock that were outstanding prior to the completion of the IPO are “restricted securities” under the meaning of Rule 144 promulgated under the Securities Act and may only be sold if such sale is registered under the Securities Act or exempt from registration, including the exemption under Rule 144.</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Each of our directors, executive officers and certain of our stockholders have agreed that they will not transfer their shares in accordance with the transfer restrictions provided for in the lock-up agreement with the underwriters for a period of 180 days after the date of the prospectus related to the offering (the “Prospectus”), which was October 20, 2021, subject to certain exceptions.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each of the directors, executive officers and certain stockholders are subject to additional transfer restrictions following the 180 day lock-up period (as described in more detail below). First, each of our directors and officers and certain stockholders have agreed that they will not transfer their shares in accordance with the transfer restrictions provided for in the lock-up agreement with the underwriters for an additional 185 days beginning immediately after the expiration of the 180 day lock-up period (365 days in total from the date of the Prospectus), subject to certain exceptions.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OCM and certain of its affiliates have also agreed, without the consent of the Company, that they will not transfer their shares in accordance with the transfer restrictions provided for in the lock-up agreement with the underwriters for an additional 270 days beginning immediately after the expiration of the 180 day lock-up period (450 days in total from the date of the Prospectus), provided, however that (i) 4,800,124 or 25% of the shares of our common stock held by OCM and certain of its affiliates prior to our IPO will not be subject to any transfer restrictions on the first day following the expiration of the initial 180 day lock-up period, (ii) an additional 4,800,124 or 25% of the shares of the Company’s common stock held by OCM and certain of its affiliates prior to our IPO will not be subject to any transfer restrictions on the 90th day following the expiration of the initial 180 day lock-up period, (iii) an additional 4,800,124 or 25% of the shares of the Company’s common stock held by OCM and certain of its affiliates prior to our IPO will not be subject to any transfer restrictions on the 180th day following the expiration of the initial 180 day lock-up period, and (iv) the remaining 4,800,124 or 25% of the shares of the Company’s common stock held by OCM and certain of its affiliates prior to our IPO will not be subject to any transfer restrictions on the 270th day following the expiration of the initial 180 day lock-up period.</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Certain other institutional stockholders holding in the aggregate approximately 22.7% of the outstanding shares of our common stock have agreed, without the consent of the Company, that they will not transfer their shares in accordance with the transfer restrictions provided for in the lock-up agreement with the underwriters for an additional 185 days beginning immediately after the expiration of the 180 day lock-up period (365 days in total from the date of the Prospectus), provided, however that (i) 33% of the shares of the Company’s common stock held by certain institutional stockholders prior to our IPO will not be subject to any transfer restrictions on the first day following the expiration of the initial 180 day lock-up period, (ii) an additional 33% of the shares of the Company’s common stock held by certain institutional stockholders prior to our IPO will not be subject to any transfer restrictions on the 90th day following the expiration of the initial 180 day lock-up period, and (iii) the remaining 33% of the shares of the Company’s common stock held by certain institutional stockholders prior to our IPO will not be subject to any transfer restrictions on the 185th day following the expiration of the initial 180 day lock-up period.</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 its sole discretion, may release the securities subject to any of the transfer restrictions described above, in whole or in part at any time during the subsequent restricted periods.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expiration of applicable lock-up periods with the underwriters and subsequent transfer restriction periods with the Company for our directors, officers and certain of our stockholders of the outstanding shares of our common stock, and subject to applicable securities laws, including Rule 144, sales of substantial amounts of our common stock, or the perception that such sales could occur, could adversely affect the prevailing market prices for our common stock. If these sales occur,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common stock involves a high degree of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investments we make in accordance with our investment objective may result in a higher amount of risk than alternative investment options, including volatility or loss of principal. Our investments in portfolio companies may be highly speculative and aggressive and, therefore, an investment in our common stock may not be suitable for someone with lower risk tolerance.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value of our common stock may fluctuate significantly.</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market value and liquidity, if any, of the market for shares of our common stock may be significantly affected by numerous factors, some of which are beyond our control and may not be directly related to our operating performance. These factors include:</w:t>
      </w:r>
    </w:p>
    <w:p>
      <w:pPr>
        <w:spacing w:after="0" w:line="146" w:lineRule="exact"/>
        <w:rPr>
          <w:sz w:val="20"/>
          <w:szCs w:val="20"/>
          <w:color w:val="auto"/>
        </w:rPr>
      </w:pPr>
    </w:p>
    <w:p>
      <w:pPr>
        <w:jc w:val="both"/>
        <w:ind w:left="98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 and derivative instruments as a result of changes in market factors, such as interest rate shifts, and also portfolio specific performance, such as portfolio company defaults, among other reasons;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distributions that exceed our net investment income and net income as reported according to U.S. GAAP;</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departure of our Adviser or certain of its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amount of any distributions we may make is uncertain. We may not be able to pay you distributions, or be able to sustain distributions at any particular level, and our distributions per share, if any, may not grow over time, and our distributions per share may be reduced. We have not established any limit on the extent to which we may use borrowings, if any, to sustain distributions and we may also use offering proceeds to fund distributions (which may reduce the amount of capital we ultimately invest in portfolio companies).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our Board of Director’s discretion and applicable legal restrictions, we intend to authorize and declare cash distributions and pay such distributions on a quarterly basis. We expect to pay distributions out of assets legally available for distribution. However, we cannot assure you that we will achieve investment results that will allow us to make a consistent targeted level of distributions or year-to-year increases in distributions. Our ability to pay distributions might be adversely affected by the impact of the risks described herein. In addition, the inability to satisfy the asset coverage test applicable to us as a BDC under the 1940 Act can limit our ability to pay distributions. Distributions from offering proceeds also could reduce the amount of capital we ultimately invest in debt or equity securities of portfolio companies. We cannot assure you that we will pay distributions to our stockholders in the future. See “Business — Regulation as a Business Development Company” in Part I, Item 1 of this Form 10 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Distributions on our common stock may exceed our taxable earnings and profits. Therefore, portions of the distributions that we pay may represent a return of capital to you.</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return of capital is a return of a portion of your original investment in shares of our common stock. As a result, a return of capital will (i) lower your adjusted tax basis in your shares and thereby increase the amount of capital gain (or decrease the amount of capital loss) realized upon a subsequent sale or redemption of such shares, and (ii) reduce the amount of funds we have for investment in portfolio companies.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pay our distributions from offering proceeds in anticipation of future cash flow, which may constitute a return of your capital and will lower your adjusted tax basis in your shares, thereby increasing the amount of capital gain (or decreasing the amount of capital loss) realized upon a subsequent sale or redemption of such shares, even if such shares have not increased in value or have, in fact, lost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Stockholders may experience dilution in the net asset value of their shares if they do not participate in our dividend reinvestment plan and if our shares are trading at a discount to net asset value.</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distributions declared in cash payable to stockholders that are participants in our dividend reinvestment plan will generally be automatically reinvested in shares of our common stock, unless the investor opts out of the plan. In addition, stockholders who do not elect to participate in our dividend reinvestment plan may experience accretion to the net asset value of their shares if our shares are trading at a premium to net asset value and dilution if our shares are trading at a discount to net asset value. The level of accretion or discount would depend on various factors, including the proportion of our stockholders who participate in the plan, the level of premium or discount at which our shares are trading and the amount of the distribution payable to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preferred stock or convertible debt securities, the net asset value of our common stock may become more volatile.</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may issue preferred stock or convertible debt in the future. We cannot assure you that the issuance of preferred stock and/or convertible debt securities would result in a higher yield or return to the holders of our common stock. The issuance of preferred stock or convertible debt would likely cause the net asset value of our common stock to become more volatile. If the dividend rate on the preferred stock, or the interest rate on the convertible debt securities, were to approach the net rate of return on our investment portfolio, the benefit of such leverage to the holders of our common stock would be reduced. If the dividend rate on the preferred stock, or the interest rate on the convertible debt securities, were to exceed the net rate of return on our portfolio, the use of leverage would result in a lower rate of return to the holders of common stock than if we had not issued the preferred stock or convertible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or debt securities. This decline in net asset value would also tend to cause a greater decline in the market price, if any, for our common stock.</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is also a risk that, in the event of a sharp decline in the value of our net assets, we would be in danger of failing to maintain required asset coverage ratios, which may be required by the preferred stock or convertible debt, or our current investment income might not be sufficient to meet the dividend requirements on the preferred stock or the interest payments on the debt securities. In order to counteract such an event, we might need to liquidate investments in order to fund the redemption of some or all of the preferred stock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or convertible debt may have different interests than holders of common stock and may at times have disproportionate influence over our affairs.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the MGCL and of our charter and bylaws could deter takeover attempts and have an adverse impact on the price of our common stock.</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Maryland General Corporation Law (the “MGCL”) and our charter and bylaws contain provisions that may discourage, delay or make more difficult a change in control of us or the removal of our directors. We are subject to the Maryland Business Combination Act, subject to any applicable requirements of the 1940 Act. Our Board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of Directors determines it would be in our best interests.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also adopted measures that may make it difficult for a third 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bylaws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MGCL and our charter, our Board of Directors is authorized to classify and reclassify any authorized but unissued shares of stock into one or more classes of stock, including preferred stock. Prior to the issuance of shares of each class or series, the Board of Directors is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delaying, deferring or preventing a transaction or a change in control that might involve a premium price for holders of our common stock or otherwise be in their best interest. The cost of any such reclassification would be borne by our existing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but may determine to do so in the future. The issuance of preferred stock convertible into shares of common stock might also reduce the net income per share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are also generally subject to this restriction as well as other limitations under the 1940 Act that would restrict the amount that they are able to invest in our securities.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24" w:lineRule="exact"/>
        <w:rPr>
          <w:sz w:val="20"/>
          <w:szCs w:val="20"/>
          <w:color w:val="auto"/>
        </w:rPr>
      </w:pPr>
    </w:p>
    <w:p>
      <w:pPr>
        <w:jc w:val="both"/>
        <w:ind w:firstLine="259"/>
        <w:spacing w:after="0" w:line="288"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in the BDC space in recent years.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share repurchase program could affect the price of our common stock and increase volatility and may be suspended or terminated at any time, which may result in a decrease in the trading price of our common stock.</w:t>
      </w:r>
    </w:p>
    <w:p>
      <w:pPr>
        <w:spacing w:after="0" w:line="170" w:lineRule="exact"/>
        <w:rPr>
          <w:sz w:val="20"/>
          <w:szCs w:val="20"/>
          <w:color w:val="auto"/>
        </w:rPr>
      </w:pPr>
    </w:p>
    <w:p>
      <w:pPr>
        <w:jc w:val="both"/>
        <w:ind w:firstLine="259"/>
        <w:spacing w:after="0" w:line="268" w:lineRule="auto"/>
        <w:rPr>
          <w:sz w:val="20"/>
          <w:szCs w:val="20"/>
          <w:color w:val="auto"/>
        </w:rPr>
      </w:pPr>
      <w:r>
        <w:rPr>
          <w:rFonts w:ascii="Arial" w:cs="Arial" w:eastAsia="Arial" w:hAnsi="Arial"/>
          <w:sz w:val="17"/>
          <w:szCs w:val="17"/>
          <w:color w:val="auto"/>
        </w:rPr>
        <w:t>On February 24, 2022, our Board of Directors approved a share repurchase program (the “Repurchase Program") under which we may repurchase up to $25 million of our outstanding common stock. The Repurchase Program is discretionary and whether purchases will be made under the Repurchase Program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 Repurchases pursuant to the Repurchase Program could affect the price of our common stock and increase its volatility. The existence of the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the Repurchase Program is intended to enhance long-term stockholder value, short-term stock price fluctuations could reduce the Repurchase Program's effectiveness.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RIC Tax Treatment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U.S. federal income tax at corporate rates if we are unable to qualify as a RIC.</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we have elected to be treated as a RIC under Subchapter M of the Code, no assurance can be given that we will be able to qualify as and maintain our qualification as a RIC. To maintain our tax treatment as a RIC, we must meet the 90% Gross Income Test, Diversification Tests, and the Annual Distribution Requirement described above.</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Failure to meet the Diversification Tests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we may use debt financing, we are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could fail to qualify for tax treatment as a RIC.</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fail to qualify as a RIC for any reason and therefore become subject to U.S. federal income tax at corporate rates, the resulting corporate taxes could substantially reduce our net assets, the amount of income available for distribution and the amount of our distributions.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U.S. federal income tax purposes, we will include in our taxable income certain amounts that we have not yet received in cash, such as original issue discount, which may arise if we receive warrants in connection with the origination of a loan or possibly in other circumstances, or contractual PIK interest, which represents contractual interest added to the loan balance and due at the end of the loan term. Such original issue discount or increases in loan balances as a result of contractual PIK arrangements will be included in our taxable income before we receive any corresponding cash payments. We also may be required to include in our taxable income certain other amounts that we will not receive in cash.</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for tax treatment as a RIC and thus become subject to U.S. federal income tax at corporate rates. For additional discussion regarding the tax implications of our election to be taxed as a RIC, please see “Business — Certain U.S. Federal Income Tax Considerations — Taxation of the Company” in Part I, Item 1 of this Form 10 K.</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a BDC, we are not required to make any distributions to stockholders other than in connection with our election to be taxed as a RIC under subchapter M of the Code. In order to maintain our tax treatment as a RIC, we must meet the Annual Distribution Requirement. If we qualify for taxation as a RIC, we generally will not be subject to U.S. federal income tax at corporate rates on our investment company taxable income and net capital gains (i.e., realized net long-term capital gains in excess of realized net short-term capital losses) that we timely distribute to stockholders.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6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is payable to stockholders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U.S. federal income tax. Under these spillover dividend procedures, we may defer distribution of income earned during the current year until December of the following year. For example, we may defer distributions of income earned during 2021 until as late as December 31, 2022. If we choose to pay a spillover dividend, we will incur the nondeductible 4% U.S. federal excise tax on some or all of the distribution.</w:t>
      </w:r>
    </w:p>
    <w:p>
      <w:pPr>
        <w:spacing w:after="0" w:line="1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Due to the ongoing COVID-19 pandemic or other disruptions in the economy, we may take certain actions with respect to the timing and amounts of our distributions in order to preserve cash and maintain flexibility. For example, we may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below under “—We may choose to pay distributions in our own stock, including in connection with our Dividend Reinvestment Plan, in which case you may be required to pay U.S. federal income tax in excess of the cash you receive.”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pay distributions in our own stock, including in connection with our Dividend Reinvestment Plan, in which case you may be required to pay U.S. federal income tax in excess of the cash you receive.</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may distribute taxable distributions that are payable in cash or shares of our common stock, including in connection with our Dividend Reinvestment Plan, at the election of each stockholder. Under certain applicable provisions of the Code and published IRS guidance, distributions payable from a publicly offered RIC that are payable in cash or in shares of stock at the election of stockholders may be treated as taxable distributions. The IRS has issued a revenue procedure indicating that this rule will apply if the total amount of cash to be distributed is not less than 20% of the total distribution, which has been temporarily reduced to 10% for distributions on or after November 1, 2021, and on or before June 30, 2022. Under this revenue procedure, if too many stockholders elect to receive their distributions in cash, the cash available for distribution must be allocated among the stockholders electing to receive cash (with the balance of the distribution paid in shares of our common stock). If we decide to make any distributions consistent with this revenue procedures that are payable in part in shares of our common stock, taxable stockholders receiving such distributions will be required to include the full amount of the distribution (whether received in cash,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U.S. federal income tax with respect to such distributions in excess of any cash received. If a U.S. stockholder sells the stock it receives as a distribution in order to pay this tax, the sales proceeds may be less than the amount included in income with respect to the distribution, depending on the net asset value of our stock at the time of the sale. Furthermore, with respect to non-U.S. stockholders, we may be required to withhold U.S. federal tax with respect to such distributions, including in respect of all or a portion of such distribution that is payable in stock. In addition, if a significant number of our stockholders sell shares of our common stock in order to pay U.S. federal income taxes owed on distributions, it may put downward pressure on the net asset value of our common stock.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not treated as a “publicly offered regulated investment company,” as defined in the Code, certain U.S. stockholders will be treated as having received a dividend from us in the amount of such U.S. stockholders’ allocable share of the management and incentive fees paid to RGC and certain of our other expenses, and these fees and expenses will be treated as miscellaneous itemized deductions of such U.S. stockholders.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RGC and certain of our other expenses for the calendar year, and will be deductible by such shareholder only to the extent permitted under the limitations described below. For non-corporate U.S. stockholders, including individuals, trusts, and estates, significant limitations generally apply to the deductibility of certain expenses of a nonpublicly offered RIC. In particular, these expenses, referred to as miscellaneous itemized deductions, currently are not deductible by non-corporate U.S. stockholders (and beginning in 2026, will be deductible only to non-corporate U.S. stockholders to the extent they exceed 2% of such non-corporate U.S. stockholders’ adjusted gross income, and will not be deductible for alternative minimum tax purposes).</w:t>
      </w:r>
    </w:p>
    <w:p>
      <w:pPr>
        <w:sectPr>
          <w:pgSz w:w="11900" w:h="16838" w:orient="portrait"/>
          <w:cols w:equalWidth="0" w:num="1">
            <w:col w:w="9920"/>
          </w:cols>
          <w:pgMar w:left="980" w:top="517"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experience fluctuations in our quarterly and annual operating results due to a number of factors, including, but not limited to, our ability or inability to make investments in companies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intervention in the credit markets could adversely affect our business.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central banks and, in particular, the U.S. Federal Reserve, have taken unprecedented steps since the financial crises of 2008-2009 and again related to the COVID-19 global pandemic. It is impossible to predict if, how, and to what extent the United States and other governments would further intervene in the credit markets. Such intervention is often prompted by politically sensitive issues involving family homes, student loans, real estate speculation, credit card receivables, pandemics, etc., and could, as a result, be contrary to what we would predict from an “economically rational” perspective.</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the other hand, recent governmental intervention could mean that the willingness of governmental bodies to take additional extraordinary action is diminished. As a result, in the event of near-term major market disruptions, like those caused by the COVID-19 pandemic, there might be only limited additional government intervention, resulting in correspondingly greater market dislocation and materially greater market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uncertainty could adversely affect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U.S. and non-U.S. markets could experience political uncertainty and/or change that subjects investments to heightened risks, including, for instance, the risks related to the elections in the U.S. or the effect on world leaders and governments of the COVID-19 pandemic. These heightened risks could also include: increased risk of default (by both government and private issuers); greater social, trade, economic and political instability (including the risk of war or terrorist activity); greater governmental involvement in the economy; greater governmental supervision and regulation of the securities markets and market participants resulting in increased expenses related to compliance; greater fluctuations in currency exchange rates; controls or restrictions on foreign investment and/or trade, capital controls and limitations on repatriation of invested capital and on the ability to exchange currencies; inability to purchase and sell investments or otherwise settle security or derivative transactions (i.e., a market freeze); unavailability of currency hedging techniques; and slower clearance. During times of political uncertainty and/or change, global markets often become more volatile. There could also be a lower level of monitoring and regulation of markets while a country is experiencing political uncertainty and/or change, and the activities of investors in such markets and enforcement of existing regulations could become more limited. Markets experiencing political uncertainty and/or change could have substantial, and in some periods extremely high, rates of inflation for many years. Inflation and rapid fluctuations in inflation rates typically have negative effects on such countries’ economies and markets. Tax laws could change materially, and any changes in tax laws could have an unpredictable effect on us, our investments and our investors. There can be no assurance that political changes will not cause us or our investors to suffer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Brexit on our investments is uncertain and could adversely affect our business.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January 31, 2020, the United Kingdom, or the UK, ended its membership in the European Union, or the EU, referred to as Brexit. Following the termination of a transition period, the UK and the EU entered into a trade and cooperation agreement to govern the future relationship between the parties, which was provisionally applied as of January 1, 2021 and entered into force on May 1, 2021 following ratification by the EU. With respect to financial services, the agreement leaves decisions on equivalence and adequacy to be determined by each of the U.K. and E.U. unilaterally in due course. As a result, certain UK licensed entities are unable to provide regulated services in a number of EU jurisdictions from the end of December 2020, absent regulatory relief or other measures implemented by individual countries. Such agreement is untested and may lead to ongoing political and economic uncertainty and periods of exacerbated volatility in both the United Kingdom and in wider European and global markets for some time. The longer term economic, legal, political and social implications of Brexit are unclear at this stage. Brexit has led to ongoing political and economic uncertainty and periods of increased volatility in both the UK and in wider European markets for some time. Brexit could lead to calls</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similar referendums in other European jurisdictions, which could cause increased economic volatility in the European and global markets. This mid- to long-term uncertainty could have adverse effects on the economy generally and on our ability to earn attractive returns. In particular, currency volatility could mean that our returns are adversely affected by market movements and could make it more difficult, or more expensive, for us to execute prudent currency hedging policies. Potential decline in the value of the British Pound and/or the Euro against other currencies, along with the potential further downgrading of the UK’s sovereign credit rating, could also have an impact on the performance of certain investments made in the UK or Europe.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Terrorist attacks, acts of war or widespread health emergencies or natural disasters may affect any market for our common stock, impact the businesses in which we invest and harm our business, operating results and financial condition.</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Terrorist acts, acts of war, widespread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widespread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natural disasters and widespread health emergencies are generally uninsurable.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in using custodians, administrators and other agents.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depend on the services of custodians, administrators and other agents to carry out certain securities transactions and administrative services for us. In the event of the insolvency of a custodian, we may not be able to recover equivalent assets in full as we will rank among the custodian’s unsecured creditors in relation to assets which the custodian borrows, lends or otherwise uses. In addition, our cash held with a custodian may not be segregated from the custodian’s own cash, and we therefore may rank as unsecured creditors in relation thereto. The inability to recover assets from the custodian could have a material impact on our performance.</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and our portfolio companies are subject to laws and regulations at the U.S. federal, state and local levels and, in some cases, foreign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For example, the current U.S. presidential administration could support an enhanced regulatory agenda that imposes greater costs on all sectors and on financial services companies in particular. Any such new or changed laws or regulations could have a material adverse effect on our business, and political uncertainty could increase regulatory uncertainty in the near term.</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recently enacted legislation (including the Dodd-Frank Wall Street Reform and Consumer Protection Act (the “Dodd-Frank Act”) and the regulations that have recently been adopted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RGC’s investment team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and external cyber threats, as well as other disasters, could impair our ability to conduct business effectively.</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incidents that adversely affects our data, resulting in increased costs and other consequences as described above.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and our service providers continue to be impacted by government actions in response to the COVID-19 pandemic, which are obstructing the regular functioning of business workforces (including requiring employees to work from external locations and their homes). In addition, policies of extended periods of remote working, whether by us or our service providers, could strain technology resources, introduce operational risks and otherwise heighten the risks described above. Remote working environments may be less secure and more susceptible to hacking attacks, including phishing and social engineering attempts that seek to exploit the COVID-19 pandemic. Accordingly, the risks described above, are heightened under the current conditions.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providers. We and RGC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predict how new tax legislation will affect us, our investments, or our stockholders, and any such legislation could adversely affect our business.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corporate headquarters are located at 205 N. Michigan Ave., Suite 4200, Chicago, IL 60601 and are provided by the Administrator in accordance with the terms of the Administration Agreement. We and RGC also have offices located in Woodside, California; Del Mar, California; and New York, New York. We do not own any real estate. We believe that our office facilities are suitable and adequate for our business as it is contemplated to be conducted.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common stock began trading on the Nasdaq Global Select Market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2, 2022, there were 189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will not be able to determine whether any specific distribution will be treated as made out of our taxable earnings or as a return of capital until after the end of our taxable year. The amount treated as a tax-free return of capital will reduce a stockholder’s adjusted basis in his or her common stock, thereby increasing his or her potential gain or reducing his or her potential loss on the subsequent sale or other disposition of his or her common stock. For the year ended December 31, 2021, the Company declared and paid dividends in the amount of $44,942,937 of which $17,948,131 was distributed in cash and the remainder distributed in shares to stockholders pursuant to the Company’s dividend reinvestment plan. For the year ended December 31, 2020, the Company declared and paid dividends in the amount of $39,709,233 of which $7,265,785 was distributed in cash and the remainder distributed in shares to stockholders pursuant to the Company’s dividend reinvestment plan. Total distributions for the years ended December 31, 2021 and December 31, 2020 represented distributions from income and not return of capital.</w:t>
      </w:r>
    </w:p>
    <w:p>
      <w:pPr>
        <w:spacing w:after="0" w:line="1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reflects the distributions declared on shares of our common stock during the years ended December 31, 2021 and December 31,2020 and through March 2,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Distributions</w:t>
            </w:r>
          </w:p>
        </w:tc>
      </w:tr>
      <w:tr>
        <w:trPr>
          <w:trHeight w:val="23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w:t>
            </w:r>
          </w:p>
        </w:tc>
        <w:tc>
          <w:tcPr>
            <w:tcW w:w="2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Record Date</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Payment Date</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per Share</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First Quarter (through March 2, 2022)</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March 8, 2022</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March 22, 2022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First Quarter</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March 5, 2021</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March 19, 2021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April 30, 2021</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13, 2021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Third Quarter</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July 20, 2021</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August 12, 2021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November 8, 2021</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November 22, 2021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6, 2020</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March 20, 2020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Second Quarter</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May 8, 2020</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May 21, 2020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 6, 2020</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 20, 2020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Fourth Quarter</w:t>
            </w:r>
          </w:p>
        </w:tc>
        <w:tc>
          <w:tcPr>
            <w:tcW w:w="1820" w:type="dxa"/>
            <w:vAlign w:val="bottom"/>
            <w:gridSpan w:val="2"/>
          </w:tcPr>
          <w:p>
            <w:pPr>
              <w:ind w:left="220"/>
              <w:spacing w:after="0"/>
              <w:rPr>
                <w:sz w:val="20"/>
                <w:szCs w:val="20"/>
                <w:color w:val="auto"/>
              </w:rPr>
            </w:pPr>
            <w:r>
              <w:rPr>
                <w:rFonts w:ascii="Arial" w:cs="Arial" w:eastAsia="Arial" w:hAnsi="Arial"/>
                <w:sz w:val="18"/>
                <w:szCs w:val="18"/>
                <w:color w:val="auto"/>
              </w:rPr>
              <w:t>October 1, 2020</w:t>
            </w: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November 12, 2020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r>
    </w:tbl>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elected to be treated, currently qualify, and intend to continue to qualify, as a RIC under Subchapter M of the Code. While we intend to qualify to be treated as a RIC annually, we anticipate that we may have difficulty satisfying the asset diversification requirements as we deploy capital and build our investment portfolio. If we fail to qualify as a RIC for any taxable year, we will be subject to U.S. federal income tax at corporate rates on any net taxable income for such year. See “Business — Certain U.S. Federal</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Tax Considerations” in Part I, Item 1 of this Form 10 K and “Note 2 — Summary of Significant Accounting Policies” to our financial statements in Part II, Item 8 of this Form 10 K for more information. To maintain RIC tax treatment, we must distribute at least 90% of our net ordinary income and net realized short-term capital gains in excess of our net realized long-term capital losses, if any, to our stockholders. In order to avoid certain excise taxes imposed on RICs, we currently intend to distribute during each calendar year an amount at least equal to the sum of: (a) 98% of our ordinary income (not taking into account any capital gains or losses) for such calendar year; (b) 98.2% of the amount by which our capital gains exceed our capital losses (adjusted for certain ordinary losses) for a one-year period ending on October 31 of the calendar year; and (c) any net ordinary income and capital gain net income that we recognized in previous years but was not distributed during such years and on which we paid no U.S. federal income tax.</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currently intend to distribute net long-term capital gains if any, at least annually out of the assets legally available for such distributions. However, we may in the future decide to retain some or all of our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such stockholder’s tax adjusted basis in such stockholder’s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such individual stockholder’s other U.S. federal income tax obligations or may be refunded to the extent it exceeds such individual stockholder’s liability for U.S. federal income tax. We cannot assure any stockholder that we will achieve results that will permit us to pay any cash distributions, and if we issue senior securities, we may be prohibited from making distributions if doing so would cause us to fail to maintain the asset coverage ratios stipulated by the 1940 Act or if such distributions are limited by the terms of any of our borrowings.</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Unless a stockholder elects to receive distributions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 If a stockholder holds shares of our common stock in the name of a broker or financial intermediary, such stockholder should contact such broker or financial intermediary regarding the election to receive distributions in cash in lieu of shares of our common stock. Any distributions reinvested through the issuance of shares of our common stock through our dividend reinvestment plan will increase our assets on which the incentive fee is determined and paid to RGC. See “— Dividend Reinvestment Plan”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of adopting such a plan, if our Board of Directors authorizes, and we declare, a cash dividend or distribution, our stockholders who have not opted out of our dividend reinvestment plan will have their cash dividends or distributions automatically reinvested in additional shares of our common stock, rather than receiving cash.</w:t>
      </w:r>
    </w:p>
    <w:p>
      <w:pPr>
        <w:spacing w:after="0" w:line="18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If newly issued shares are used to implement the dividend reinvestment plan, the number of shares to be issued to a stockholder will be determined by dividing the total dollar amount of the cash dividend or distribution payable to a stockholder by the market price per share of our common stock at the close of regular trading on the Nasdaq Global Select Market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w:t>
      </w:r>
    </w:p>
    <w:p>
      <w:pPr>
        <w:spacing w:after="0" w:line="2" w:lineRule="exact"/>
        <w:rPr>
          <w:sz w:val="20"/>
          <w:szCs w:val="20"/>
          <w:color w:val="auto"/>
        </w:rPr>
      </w:pPr>
    </w:p>
    <w:p>
      <w:pPr>
        <w:ind w:firstLine="8"/>
        <w:spacing w:after="0" w:line="260" w:lineRule="auto"/>
        <w:tabs>
          <w:tab w:leader="none" w:pos="2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most recently computed net asset value per share and (ii) 95% of the current market price per share (or such lesser discount to the current market price per share that still exceeded the most recently computed net asset value per share).</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shares are purchased in the open market to implement the dividend reinvestment plan, the number of shares to be issued to a stockholder shall be determined by dividing the dollar amount of the cash dividend payable to such stockholder by the weighted average price per share for all shares purchased by the plan administrator in the open market in connection with the dividend.</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 action will be required on the part of a registered stockholder to have his or her cash dividends and distributions reinvested in shares of our common stock. A registered stockholder could instead elect to receive a dividend or distribution in cash by notifying RGC in writing, so that such notice is received by RGC no later than five days prior to the record date for distributions to the stockholders. RGC will set up an account for shares of our common stock acquired through the plan for each stockholder who does not elect to receive dividends and distributions in cash and hold such shares in non-certificated form. Those stockholders whose shares are held by a broker or other financial intermediary could receive dividends and distributions in cash by notifying their broker or other financial intermediary of their election.</w:t>
      </w:r>
    </w:p>
    <w:p>
      <w:pPr>
        <w:spacing w:after="0" w:line="1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Stockholders who receive dividends and distributions in the form of stock are generally subject to the same U.S. federal, state and local tax consequences as are stockholders who elect to receive their dividends and distributions in cash. However, since a participating stockholder’s cash dividends and distributions will be reinvested in our common stock, such stockholder will not receive cash with which to pay applicable taxes on reinvested dividends and distributions. A stockholder’s basis for determining gain or loss upon the sale of stock received in a dividend or distribution from us will generally be equal to the cash that would have been received if the stockholder had received the dividend or distribution in cash, unless we were to issue new shares that are trading at or above net asset value, in which case, the stockholder’s basis in the new shares will generally be equal to their fair market value. Any stock received in a dividend or distribution will have a new holding period for tax purposes commencing on the day following the day on which the shares are credited to the U.S. stockholder’s account.</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plan is terminable by us upon notice in writing mailed to each stockholder of record at least 30 days prior to any record date for the payment of any distribution by us. All correspondence concerning the plan should be directed to RGC by mail at Runway Growth Capital LLC, 205 N. Michigan Ave., Suite 4200, Chicago, IL 60601.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common stock began trading on the Nasdaq Global Select Market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 On March 2, 2022, the last reported closing sales price of our common stock on the Nasdaq Global Select Market was $13.34 per share, which represented a discount of approximately 8.9% to our NAV per share of $14.65 as of December 31, 2021.</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our IPO, the shares of our common stock were offered and sold in transactions exempt from registration under the Securities Act. As such, there was no public market for shares of our common stock during the year ended December 31, 2020 and through the period ended October 20, 2021.</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sets forth the most recent fiscal quarter's NAV per share of our common stock, the high and low closing sales prices of our common stock, such sales prices as a percentage of NAV per share and quarterly distribution per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Premium/</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Premium/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Price Range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High Sales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Low Sales</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42"/>
        </w:trPr>
        <w:tc>
          <w:tcPr>
            <w:tcW w:w="3680" w:type="dxa"/>
            <w:vAlign w:val="bottom"/>
          </w:tcPr>
          <w:p>
            <w:pPr>
              <w:spacing w:after="0" w:line="142" w:lineRule="exact"/>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820" w:type="dxa"/>
            <w:vAlign w:val="bottom"/>
          </w:tcPr>
          <w:p>
            <w:pPr>
              <w:jc w:val="right"/>
              <w:ind w:right="143"/>
              <w:spacing w:after="0" w:line="142" w:lineRule="exact"/>
              <w:rPr>
                <w:sz w:val="20"/>
                <w:szCs w:val="20"/>
                <w:color w:val="auto"/>
              </w:rPr>
            </w:pPr>
            <w:r>
              <w:rPr>
                <w:rFonts w:ascii="Arial" w:cs="Arial" w:eastAsia="Arial" w:hAnsi="Arial"/>
                <w:sz w:val="11"/>
                <w:szCs w:val="11"/>
                <w:b w:val="1"/>
                <w:bCs w:val="1"/>
                <w:color w:val="auto"/>
              </w:rPr>
              <w:t>NAV</w:t>
            </w:r>
            <w:r>
              <w:rPr>
                <w:rFonts w:ascii="Arial" w:cs="Arial" w:eastAsia="Arial" w:hAnsi="Arial"/>
                <w:sz w:val="16"/>
                <w:szCs w:val="16"/>
                <w:b w:val="1"/>
                <w:bCs w:val="1"/>
                <w:color w:val="auto"/>
                <w:vertAlign w:val="superscript"/>
              </w:rPr>
              <w:t>(1)</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2"/>
                <w:szCs w:val="12"/>
                <w:color w:val="auto"/>
              </w:rPr>
            </w:pPr>
          </w:p>
        </w:tc>
        <w:tc>
          <w:tcPr>
            <w:tcW w:w="11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0"/>
                <w:szCs w:val="10"/>
                <w:b w:val="1"/>
                <w:bCs w:val="1"/>
                <w:color w:val="auto"/>
                <w:w w:val="94"/>
              </w:rPr>
              <w:t>(2)</w:t>
            </w: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0"/>
                <w:szCs w:val="10"/>
                <w:b w:val="1"/>
                <w:bCs w:val="1"/>
                <w:color w:val="auto"/>
                <w:w w:val="94"/>
              </w:rPr>
              <w:t>(2)</w:t>
            </w:r>
          </w:p>
        </w:tc>
        <w:tc>
          <w:tcPr>
            <w:tcW w:w="140" w:type="dxa"/>
            <w:vAlign w:val="bottom"/>
          </w:tcPr>
          <w:p>
            <w:pPr>
              <w:spacing w:after="0"/>
              <w:rPr>
                <w:sz w:val="12"/>
                <w:szCs w:val="12"/>
                <w:color w:val="auto"/>
              </w:rPr>
            </w:pPr>
          </w:p>
        </w:tc>
        <w:tc>
          <w:tcPr>
            <w:tcW w:w="96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per Share</w:t>
            </w:r>
            <w:r>
              <w:rPr>
                <w:rFonts w:ascii="Arial" w:cs="Arial" w:eastAsia="Arial" w:hAnsi="Arial"/>
                <w:sz w:val="10"/>
                <w:szCs w:val="10"/>
                <w:b w:val="1"/>
                <w:bCs w:val="1"/>
                <w:color w:val="auto"/>
                <w:w w:val="93"/>
              </w:rPr>
              <w:t>(3)</w:t>
            </w:r>
          </w:p>
        </w:tc>
        <w:tc>
          <w:tcPr>
            <w:tcW w:w="0" w:type="dxa"/>
            <w:vAlign w:val="bottom"/>
          </w:tcPr>
          <w:p>
            <w:pPr>
              <w:spacing w:after="0"/>
              <w:rPr>
                <w:sz w:val="1"/>
                <w:szCs w:val="1"/>
                <w:color w:val="auto"/>
              </w:rPr>
            </w:pPr>
          </w:p>
        </w:tc>
      </w:tr>
      <w:tr>
        <w:trPr>
          <w:trHeight w:val="209"/>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3680" w:type="dxa"/>
            <w:vAlign w:val="bottom"/>
          </w:tcPr>
          <w:p>
            <w:pPr>
              <w:ind w:left="120"/>
              <w:spacing w:after="0"/>
              <w:rPr>
                <w:sz w:val="20"/>
                <w:szCs w:val="20"/>
                <w:color w:val="auto"/>
              </w:rPr>
            </w:pPr>
            <w:r>
              <w:rPr>
                <w:rFonts w:ascii="Arial" w:cs="Arial" w:eastAsia="Arial" w:hAnsi="Arial"/>
                <w:sz w:val="18"/>
                <w:szCs w:val="18"/>
                <w:color w:val="auto"/>
              </w:rPr>
              <w:t>Fourth Quarter</w:t>
            </w:r>
            <w:r>
              <w:rPr>
                <w:rFonts w:ascii="Arial" w:cs="Arial" w:eastAsia="Arial" w:hAnsi="Arial"/>
                <w:sz w:val="26"/>
                <w:szCs w:val="26"/>
                <w:color w:val="auto"/>
                <w:vertAlign w:val="superscript"/>
              </w:rPr>
              <w:t>(4)</w:t>
            </w:r>
          </w:p>
        </w:tc>
        <w:tc>
          <w:tcPr>
            <w:tcW w:w="960" w:type="dxa"/>
            <w:vAlign w:val="bottom"/>
            <w:gridSpan w:val="2"/>
          </w:tcPr>
          <w:p>
            <w:pPr>
              <w:jc w:val="right"/>
              <w:ind w:right="3"/>
              <w:spacing w:after="0"/>
              <w:rPr>
                <w:sz w:val="20"/>
                <w:szCs w:val="20"/>
                <w:color w:val="auto"/>
              </w:rPr>
            </w:pPr>
            <w:r>
              <w:rPr>
                <w:rFonts w:ascii="Arial" w:cs="Arial" w:eastAsia="Arial" w:hAnsi="Arial"/>
                <w:sz w:val="18"/>
                <w:szCs w:val="18"/>
                <w:color w:val="auto"/>
              </w:rPr>
              <w:t>$   14.65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12.04</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7" w:lineRule="exact"/>
        <w:rPr>
          <w:sz w:val="20"/>
          <w:szCs w:val="20"/>
          <w:color w:val="auto"/>
        </w:rPr>
      </w:pPr>
    </w:p>
    <w:p>
      <w:pPr>
        <w:ind w:left="660" w:right="20" w:hanging="328"/>
        <w:spacing w:after="0" w:line="253" w:lineRule="auto"/>
        <w:tabs>
          <w:tab w:leader="none" w:pos="660" w:val="left"/>
        </w:tabs>
        <w:numPr>
          <w:ilvl w:val="0"/>
          <w:numId w:val="38"/>
        </w:numPr>
        <w:rPr>
          <w:rFonts w:ascii="Arial" w:cs="Arial" w:eastAsia="Arial" w:hAnsi="Arial"/>
          <w:sz w:val="11"/>
          <w:szCs w:val="11"/>
          <w:color w:val="auto"/>
        </w:rPr>
      </w:pPr>
      <w:r>
        <w:rPr>
          <w:rFonts w:ascii="Arial" w:cs="Arial" w:eastAsia="Arial" w:hAnsi="Arial"/>
          <w:sz w:val="14"/>
          <w:szCs w:val="14"/>
          <w:color w:val="auto"/>
        </w:rPr>
        <w:t>NAV per share is generally determined as of the last day in the relevant quarter and therefore may not reflect the NAV per share on the date of the high and low sales prices. The NAVs shown are based on outstanding shares at the end of each period.</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38"/>
        </w:numPr>
        <w:rPr>
          <w:rFonts w:ascii="Arial" w:cs="Arial" w:eastAsia="Arial" w:hAnsi="Arial"/>
          <w:sz w:val="11"/>
          <w:szCs w:val="11"/>
          <w:color w:val="auto"/>
        </w:rPr>
      </w:pPr>
      <w:r>
        <w:rPr>
          <w:rFonts w:ascii="Arial" w:cs="Arial" w:eastAsia="Arial" w:hAnsi="Arial"/>
          <w:sz w:val="14"/>
          <w:szCs w:val="14"/>
          <w:color w:val="auto"/>
        </w:rPr>
        <w:t>Calculated as the respective high or low closing price less net asset value, divided by net asset value (in each case, as of the applicable quarter.</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1"/>
          <w:szCs w:val="11"/>
          <w:color w:val="auto"/>
        </w:rPr>
      </w:pPr>
      <w:r>
        <w:rPr>
          <w:rFonts w:ascii="Arial" w:cs="Arial" w:eastAsia="Arial" w:hAnsi="Arial"/>
          <w:sz w:val="14"/>
          <w:szCs w:val="14"/>
          <w:color w:val="auto"/>
        </w:rPr>
        <w:t>Represents the dividend or distribution declared in the relevant quarter.</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39"/>
        </w:numPr>
        <w:rPr>
          <w:rFonts w:ascii="Arial" w:cs="Arial" w:eastAsia="Arial" w:hAnsi="Arial"/>
          <w:sz w:val="11"/>
          <w:szCs w:val="11"/>
          <w:color w:val="auto"/>
        </w:rPr>
      </w:pPr>
      <w:r>
        <w:rPr>
          <w:rFonts w:ascii="Arial" w:cs="Arial" w:eastAsia="Arial" w:hAnsi="Arial"/>
          <w:sz w:val="14"/>
          <w:szCs w:val="14"/>
          <w:color w:val="auto"/>
        </w:rPr>
        <w:t>Shares of our common stock began trading on the Nasdaq Global Select Market on October 21, 2021 under the trading symbol “RWAY.”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stock performance graph compares the cumulative stockholder return on our common stock from October 21, 2021 (the date our common stock commenced trading on the Nasdaq Global Select Market) to December 31, 2021, with that of the Standard &amp; Poor’s 500 Stock Index, the NASDAQ Financial 100 Index, and the Wells Fargo BDC Index. This graph assumes that on October 21, 2021, $100 was invested in our common stock, the Standard &amp; Poor’s BDC Index, the NASDAQ Financial 100 Index, and the Wells Fargo BDC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174" w:lineRule="exact"/>
        <w:rPr>
          <w:sz w:val="20"/>
          <w:szCs w:val="20"/>
          <w:color w:val="auto"/>
        </w:rPr>
      </w:pPr>
    </w:p>
    <w:p>
      <w:pPr>
        <w:jc w:val="center"/>
        <w:ind w:left="1320" w:right="1940"/>
        <w:spacing w:after="0" w:line="266" w:lineRule="auto"/>
        <w:rPr>
          <w:sz w:val="20"/>
          <w:szCs w:val="20"/>
          <w:color w:val="auto"/>
        </w:rPr>
      </w:pPr>
      <w:r>
        <w:rPr>
          <w:rFonts w:ascii="Arial" w:cs="Arial" w:eastAsia="Arial" w:hAnsi="Arial"/>
          <w:sz w:val="18"/>
          <w:szCs w:val="18"/>
          <w:b w:val="1"/>
          <w:bCs w:val="1"/>
          <w:color w:val="auto"/>
        </w:rPr>
        <w:t>COMPARISON OF CUMULATIVE TOTAL RETURN Among Runway Growth Finance Corp., the Standard &amp; Poor’s 500 Index, The NASDAQ Financial 100 Index, and the Wells Fargo BDC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123190</wp:posOffset>
            </wp:positionV>
            <wp:extent cx="5606415" cy="2177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540" w:hanging="337"/>
        <w:spacing w:after="0"/>
        <w:tabs>
          <w:tab w:leader="none" w:pos="2540" w:val="left"/>
        </w:tabs>
        <w:numPr>
          <w:ilvl w:val="0"/>
          <w:numId w:val="40"/>
        </w:numPr>
        <w:rPr>
          <w:rFonts w:ascii="Arial" w:cs="Arial" w:eastAsia="Arial" w:hAnsi="Arial"/>
          <w:sz w:val="11"/>
          <w:szCs w:val="11"/>
          <w:color w:val="auto"/>
        </w:rPr>
      </w:pPr>
      <w:r>
        <w:rPr>
          <w:rFonts w:ascii="Arial" w:cs="Arial" w:eastAsia="Arial" w:hAnsi="Arial"/>
          <w:sz w:val="14"/>
          <w:szCs w:val="14"/>
          <w:color w:val="auto"/>
        </w:rPr>
        <w:t>Cumulative stockholder return is calculated on the closing stock prices for each respective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previously reported by us on our current reports on Form 8-K or quarterly reports on Form 10-Q, we did not sell any securities during the period covered by this Form 10-K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7"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including changes from the impact of the current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disruptions caused by the current COVID-19 pandemic;</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 including as a result of the COVID-19 pandemic;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to the extent that we use leverage as part of our investment strategy;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interest and inflation rates on our business prospects and the prospects of our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business prospects and the prospects of our portfolio companies, including the impact of the COVID-19 pandemic thereon;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external investment adviser, RGC, to locate suitable investments for us and to monitor and administer our investments, and the impacts of the COVID-19 pandemic thereon;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RIC under Subchapter M of the Code, and as a BDC;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328"/>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this Form 10-K and in our other filings with the SEC.</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in in Part I, Item 1A of this Form 10-K.</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based the forward-looking statements included in this Form 10-K on information available to us on the date of this Form 10-K,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currently qualify, and intend to continue to qualify, as a RIC under Subchapter M of the Code. If we fail to qualify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last day of our fiscal year following the fifth anniversary of the closing of our IPO, which occurred on October 25, 2021, or until the earliest of</w:t>
      </w:r>
    </w:p>
    <w:p>
      <w:pPr>
        <w:jc w:val="both"/>
        <w:ind w:firstLine="8"/>
        <w:spacing w:after="0" w:line="270" w:lineRule="auto"/>
        <w:tabs>
          <w:tab w:leader="none" w:pos="22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last day of the first fiscal year in which we have total annual gross revenue of $1,070,000,000 or more, (ii) December 31 of the fiscal year in which we become a “large accelerated filer” as defined in Rule 12b-2 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On December 1, 2017, we completed our Initial Private Offering, in which we issued 18,241,157 shares of our common stock to stockholders for a total purchase price of $275,000,000 in reliance on exemptions from the registration requirements of the Securities Act, and other applicable securities laws.</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we had completed multiple closings under our Second Private Offering and had accepted aggregate capital commitments of $181,673,500. As of December 31, 2021, in connection with the Second Private Offering we have issued an aggregate of 9,617,379 shares for a total purchase price of $144,260,683. Concurrent with the IPO, all undrawn commitments under the Second Private Offering were cancelled.</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25, 2021, the Company closed its IPO, issuing 6,850,000 shares of our common stock at a public offering price of $14.60 per share. Net of underwriting fees and offering costs, we received net cash proceeds of approximately $93 million. Our common stock began trading on the Nasdaq Global Select Market under the symbol “RWAY” on October 21, 2021.</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2021, we had issued 22,564 shares as an additional direct investment by Runway Growth Holdings LLC, an affiliate of RGC, for a total purchase price of $338,453 in a private offering pursuant to an exemption from registration under Regulation D of the Securities Act and purchased an additional 23,346 shares in the public markets for a total purchase price of $315,251. As of December 31, 2021, we have issued 6,647,847 shares for a total purchase price of $97,752,352 in connection with our dividend reinvestment plan.</w:t>
      </w:r>
    </w:p>
    <w:p>
      <w:pPr>
        <w:spacing w:after="0" w:line="18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August 10, 2020, we, RGC, and certain other funds and accounts sponsored or managed by RGC and/or its affiliates were granted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2021, we had investments in 39 portfolio companies, representing 20 companies where we held loan and warrant investments, 12 companies where we held warrant interests only, and we held one U.S. Treasury Bill. The following table shows the fair value of our investments, by asset class, as of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Investments</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4,709,744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11,463,865</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629,009,432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623,053,646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20"/>
              <w:spacing w:after="0"/>
              <w:rPr>
                <w:sz w:val="20"/>
                <w:szCs w:val="20"/>
                <w:color w:val="auto"/>
              </w:rPr>
            </w:pPr>
            <w:r>
              <w:rPr>
                <w:rFonts w:ascii="Arial" w:cs="Arial" w:eastAsia="Arial" w:hAnsi="Arial"/>
                <w:sz w:val="18"/>
                <w:szCs w:val="18"/>
                <w:color w:val="auto"/>
              </w:rPr>
              <w:t>Second Lien Term Loans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12,872,588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12,872,588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17,337,836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17,037,125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2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18,393,141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20,087,550</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682,322,741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684,514,774</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2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45,001,250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45,001,500</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727,323,991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729,516,274</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660" w:type="dxa"/>
            <w:vAlign w:val="bottom"/>
            <w:vMerge w:val="restart"/>
          </w:tcPr>
          <w:p>
            <w:pPr>
              <w:jc w:val="right"/>
              <w:ind w:right="101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2020, we had investments in 31 portfolio companies, representing 22 companies where we held loan and warrant investments, eight companies where we held warrant interests only, and we held one U.S. Treasury Bill. The following table shows the fair value of our investments, by asset class, as of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6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10"/>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1,237,196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521,940</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506,555,279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501,964,657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19,737,450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15,995,868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18,804,531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33,008,672</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546,587,551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551,824,590</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70,001,472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70,002,060</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616,589,023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621,826,650</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40" w:firstLine="324"/>
        <w:spacing w:after="0" w:line="238" w:lineRule="auto"/>
        <w:rPr>
          <w:sz w:val="20"/>
          <w:szCs w:val="20"/>
          <w:color w:val="auto"/>
        </w:rPr>
      </w:pPr>
      <w:r>
        <w:rPr>
          <w:rFonts w:ascii="Arial" w:cs="Arial" w:eastAsia="Arial" w:hAnsi="Arial"/>
          <w:sz w:val="18"/>
          <w:szCs w:val="18"/>
          <w:color w:val="231F20"/>
        </w:rPr>
        <w:t>For the years ended December 31, 2021, December 31, 2020, and December 31, 2019, our debt investment portfolio had a dollar-weighted annualized yield of 13.77%, 14.91%, and 20.47%, respectively. We calculate the yield on dollar-weighted debt investments for any period measured as (1) total related investment income during the period divided by (2) the daily average of the fair value of debt investments outstanding during the period. As of December 31, 2021, our debt investments had a dollar-weighted average outstanding term of 48 months at origination and a dollar-weighted average remaining term of 37 months, or approximately 3.1 years. As of December 31, 2021, substantially all of our debt investments had an original committed principal amount of between $6 million and $75 million, repayment terms of between 34 months and 60 months and pay cash interest at annual interest rates of between 5.50% and 12.00%.</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following table shows our dollar-weighted annualized yield by investment type for the years ended December 31,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2020, and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10"/>
                <w:szCs w:val="10"/>
                <w:b w:val="1"/>
                <w:bCs w:val="1"/>
                <w:color w:val="auto"/>
                <w:w w:val="98"/>
              </w:rPr>
              <w:t>(1)</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0"/>
                <w:szCs w:val="10"/>
                <w:b w:val="1"/>
                <w:bCs w:val="1"/>
                <w:color w:val="auto"/>
              </w:rPr>
              <w:t>(2)</w:t>
            </w:r>
          </w:p>
        </w:tc>
        <w:tc>
          <w:tcPr>
            <w:tcW w:w="860" w:type="dxa"/>
            <w:vAlign w:val="bottom"/>
            <w:tcBorders>
              <w:bottom w:val="single" w:sz="8" w:color="auto"/>
            </w:tcBorders>
          </w:tcPr>
          <w:p>
            <w:pPr>
              <w:spacing w:after="0"/>
              <w:rPr>
                <w:sz w:val="14"/>
                <w:szCs w:val="14"/>
                <w:color w:val="auto"/>
              </w:rPr>
            </w:pPr>
          </w:p>
        </w:tc>
      </w:tr>
      <w:tr>
        <w:trPr>
          <w:trHeight w:val="142"/>
        </w:trPr>
        <w:tc>
          <w:tcPr>
            <w:tcW w:w="2460" w:type="dxa"/>
            <w:vAlign w:val="bottom"/>
          </w:tcPr>
          <w:p>
            <w:pPr>
              <w:spacing w:after="0"/>
              <w:rPr>
                <w:sz w:val="12"/>
                <w:szCs w:val="12"/>
                <w:color w:val="auto"/>
              </w:rPr>
            </w:pPr>
          </w:p>
        </w:tc>
        <w:tc>
          <w:tcPr>
            <w:tcW w:w="2720" w:type="dxa"/>
            <w:vAlign w:val="bottom"/>
            <w:tcBorders>
              <w:bottom w:val="single" w:sz="8" w:color="auto"/>
            </w:tcBorders>
            <w:gridSpan w:val="5"/>
          </w:tcPr>
          <w:p>
            <w:pPr>
              <w:jc w:val="center"/>
              <w:ind w:left="717"/>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2"/>
                <w:szCs w:val="12"/>
                <w:color w:val="auto"/>
              </w:rPr>
            </w:pPr>
          </w:p>
        </w:tc>
      </w:tr>
      <w:tr>
        <w:trPr>
          <w:trHeight w:val="142"/>
        </w:trPr>
        <w:tc>
          <w:tcPr>
            <w:tcW w:w="2460" w:type="dxa"/>
            <w:vAlign w:val="bottom"/>
          </w:tcPr>
          <w:p>
            <w:pPr>
              <w:spacing w:after="0"/>
              <w:rPr>
                <w:sz w:val="12"/>
                <w:szCs w:val="12"/>
                <w:color w:val="auto"/>
              </w:rPr>
            </w:pPr>
          </w:p>
        </w:tc>
        <w:tc>
          <w:tcPr>
            <w:tcW w:w="104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4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380" w:type="dxa"/>
            <w:vAlign w:val="bottom"/>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Investment type:</w:t>
            </w: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Debt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13.77 %</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20.47 %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13.52 %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14.60 %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20.24 %</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All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12.74 %</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13.88 %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19.31 %</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12.76 %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13.57 %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4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hanging="4"/>
        <w:spacing w:after="0" w:line="237" w:lineRule="auto"/>
        <w:tabs>
          <w:tab w:leader="none" w:pos="870"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75" w:lineRule="exact"/>
        <w:rPr>
          <w:rFonts w:ascii="Arial" w:cs="Arial" w:eastAsia="Arial" w:hAnsi="Arial"/>
          <w:sz w:val="14"/>
          <w:szCs w:val="14"/>
          <w:color w:val="auto"/>
        </w:rPr>
      </w:pPr>
    </w:p>
    <w:p>
      <w:pPr>
        <w:ind w:left="660" w:hanging="328"/>
        <w:spacing w:after="0"/>
        <w:tabs>
          <w:tab w:leader="none" w:pos="660" w:val="left"/>
        </w:tabs>
        <w:numPr>
          <w:ilvl w:val="0"/>
          <w:numId w:val="44"/>
        </w:numPr>
        <w:rPr>
          <w:rFonts w:ascii="Arial" w:cs="Arial" w:eastAsia="Arial" w:hAnsi="Arial"/>
          <w:sz w:val="10"/>
          <w:szCs w:val="10"/>
          <w:color w:val="auto"/>
        </w:rPr>
      </w:pPr>
      <w:r>
        <w:rPr>
          <w:rFonts w:ascii="Arial" w:cs="Arial" w:eastAsia="Arial" w:hAnsi="Arial"/>
          <w:sz w:val="13"/>
          <w:szCs w:val="13"/>
          <w:color w:val="auto"/>
        </w:rPr>
        <w:t>We calculate the dollar-weighted annualized yield on average investment type for any period as (a) total related investment income during the period divided by</w:t>
      </w:r>
    </w:p>
    <w:p>
      <w:pPr>
        <w:spacing w:after="0" w:line="11" w:lineRule="exact"/>
        <w:rPr>
          <w:rFonts w:ascii="Arial" w:cs="Arial" w:eastAsia="Arial" w:hAnsi="Arial"/>
          <w:sz w:val="10"/>
          <w:szCs w:val="10"/>
          <w:color w:val="auto"/>
        </w:rPr>
      </w:pPr>
    </w:p>
    <w:p>
      <w:pPr>
        <w:ind w:left="660" w:right="20" w:hanging="4"/>
        <w:spacing w:after="0" w:line="237" w:lineRule="auto"/>
        <w:tabs>
          <w:tab w:leader="none" w:pos="866"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For the year ended December 31, 2021, the Company funded $267.7 million in 12 new portfolio companies and $116.7 million in 10 existing portfolio companies. The Company also received $293.3 million in loan repayments from 17 portfolio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our investment portfolio, including U.S. Treasury Bills, for the years ended December 31, 2021, 2020 and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6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621,826,650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467,981,699</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304,208,317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427,437,188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276,222,542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242,999,215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U.S. Treasury Bills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210,001,787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276,000,012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315,836,640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7,742,317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9,255,732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13,021,775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or Repayments of Investments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(297,825,111)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(107,610,861)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Scheduled Principal Payments of Investments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(5,776,437)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(2,948,902)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(23,875,997)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Sales and Maturities of U.S. Treasury Bills</w:t>
            </w:r>
            <w:r>
              <w:rPr>
                <w:rFonts w:ascii="Arial" w:cs="Arial" w:eastAsia="Arial" w:hAnsi="Arial"/>
                <w:sz w:val="25"/>
                <w:szCs w:val="25"/>
                <w:color w:val="auto"/>
                <w:vertAlign w:val="superscript"/>
              </w:rPr>
              <w:t>(2)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(234,998,939)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(305,983,755)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(295,955,273)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Realized Gain (Loss) on Investments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4,154,163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(5,347,409)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(3,045,344)</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14,257,592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(9,416,462)</w:t>
            </w:r>
          </w:p>
        </w:tc>
        <w:tc>
          <w:tcPr>
            <w:tcW w:w="0" w:type="dxa"/>
            <w:vAlign w:val="bottom"/>
          </w:tcPr>
          <w:p>
            <w:pPr>
              <w:spacing w:after="0"/>
              <w:rPr>
                <w:sz w:val="1"/>
                <w:szCs w:val="1"/>
                <w:color w:val="auto"/>
              </w:rPr>
            </w:pPr>
          </w:p>
        </w:tc>
      </w:tr>
      <w:tr>
        <w:trPr>
          <w:trHeight w:val="210"/>
        </w:trPr>
        <w:tc>
          <w:tcPr>
            <w:tcW w:w="5620" w:type="dxa"/>
            <w:vAlign w:val="bottom"/>
            <w:gridSpan w:val="3"/>
          </w:tcPr>
          <w:p>
            <w:pPr>
              <w:spacing w:after="0"/>
              <w:rPr>
                <w:sz w:val="20"/>
                <w:szCs w:val="20"/>
                <w:color w:val="auto"/>
              </w:rPr>
            </w:pPr>
            <w:r>
              <w:rPr>
                <w:rFonts w:ascii="Arial" w:cs="Arial" w:eastAsia="Arial" w:hAnsi="Arial"/>
                <w:sz w:val="18"/>
                <w:szCs w:val="18"/>
                <w:color w:val="auto"/>
              </w:rPr>
              <w:t>Ending Investment Portfolio</w:t>
            </w:r>
          </w:p>
        </w:tc>
        <w:tc>
          <w:tcPr>
            <w:tcW w:w="5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729,516,274</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621,826,650</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467,981,699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10"/>
        <w:spacing w:after="0"/>
        <w:tabs>
          <w:tab w:leader="none" w:pos="480" w:val="left"/>
        </w:tabs>
        <w:numPr>
          <w:ilvl w:val="0"/>
          <w:numId w:val="45"/>
        </w:numPr>
        <w:rPr>
          <w:rFonts w:ascii="Arial" w:cs="Arial" w:eastAsia="Arial" w:hAnsi="Arial"/>
          <w:sz w:val="11"/>
          <w:szCs w:val="11"/>
          <w:color w:val="auto"/>
        </w:rPr>
      </w:pPr>
      <w:r>
        <w:rPr>
          <w:rFonts w:ascii="Arial" w:cs="Arial" w:eastAsia="Arial" w:hAnsi="Arial"/>
          <w:sz w:val="14"/>
          <w:szCs w:val="14"/>
          <w:color w:val="auto"/>
        </w:rPr>
        <w:t>Includes PIK interest.</w:t>
      </w:r>
    </w:p>
    <w:p>
      <w:pPr>
        <w:spacing w:after="0" w:line="95" w:lineRule="exact"/>
        <w:rPr>
          <w:rFonts w:ascii="Arial" w:cs="Arial" w:eastAsia="Arial" w:hAnsi="Arial"/>
          <w:sz w:val="11"/>
          <w:szCs w:val="11"/>
          <w:color w:val="auto"/>
        </w:rPr>
      </w:pPr>
    </w:p>
    <w:p>
      <w:pPr>
        <w:ind w:left="480" w:hanging="310"/>
        <w:spacing w:after="0"/>
        <w:tabs>
          <w:tab w:leader="none" w:pos="480" w:val="left"/>
        </w:tabs>
        <w:numPr>
          <w:ilvl w:val="0"/>
          <w:numId w:val="45"/>
        </w:numPr>
        <w:rPr>
          <w:rFonts w:ascii="Arial" w:cs="Arial" w:eastAsia="Arial" w:hAnsi="Arial"/>
          <w:sz w:val="11"/>
          <w:szCs w:val="11"/>
          <w:color w:val="auto"/>
        </w:rPr>
      </w:pPr>
      <w:r>
        <w:rPr>
          <w:rFonts w:ascii="Arial" w:cs="Arial" w:eastAsia="Arial" w:hAnsi="Arial"/>
          <w:sz w:val="14"/>
          <w:szCs w:val="14"/>
          <w:color w:val="auto"/>
        </w:rPr>
        <w:t>Excludes $25,999,624 in U.S. Treasury Bills sold short for the year ended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40" w:type="dxa"/>
            <w:vAlign w:val="bottom"/>
          </w:tcPr>
          <w:p>
            <w:pPr>
              <w:spacing w:after="0"/>
              <w:rPr>
                <w:sz w:val="14"/>
                <w:szCs w:val="14"/>
                <w:color w:val="auto"/>
              </w:rPr>
            </w:pPr>
          </w:p>
        </w:tc>
        <w:tc>
          <w:tcPr>
            <w:tcW w:w="8840" w:type="dxa"/>
            <w:vAlign w:val="bottom"/>
            <w:vMerge w:val="restart"/>
          </w:tcPr>
          <w:p>
            <w:pPr>
              <w:ind w:left="3900"/>
              <w:spacing w:after="0"/>
              <w:rPr>
                <w:sz w:val="20"/>
                <w:szCs w:val="20"/>
                <w:color w:val="auto"/>
              </w:rPr>
            </w:pPr>
            <w:r>
              <w:rPr>
                <w:rFonts w:ascii="Arial" w:cs="Arial" w:eastAsia="Arial" w:hAnsi="Arial"/>
                <w:sz w:val="14"/>
                <w:szCs w:val="14"/>
                <w:b w:val="1"/>
                <w:bCs w:val="1"/>
                <w:color w:val="auto"/>
              </w:rPr>
              <w:t>Rating Definition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40" w:type="dxa"/>
            <w:vAlign w:val="bottom"/>
          </w:tcPr>
          <w:p>
            <w:pPr>
              <w:spacing w:after="0"/>
              <w:rPr>
                <w:sz w:val="14"/>
                <w:szCs w:val="14"/>
                <w:color w:val="auto"/>
              </w:rPr>
            </w:pPr>
          </w:p>
        </w:tc>
        <w:tc>
          <w:tcPr>
            <w:tcW w:w="8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w w:val="92"/>
              </w:rPr>
              <w:t>Performing above plan and/or strong enterprise profile, value, financial performance/coverage. Maintaining full covenant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6292215" cy="282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82575"/>
                    </a:xfrm>
                    <a:prstGeom prst="rect">
                      <a:avLst/>
                    </a:prstGeom>
                    <a:noFill/>
                  </pic:spPr>
                </pic:pic>
              </a:graphicData>
            </a:graphic>
          </wp:anchor>
        </w:drawing>
      </w:r>
    </w:p>
    <w:p>
      <w:pPr>
        <w:ind w:left="1080" w:hanging="697"/>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and payment compliance as agreed.</w:t>
      </w:r>
    </w:p>
    <w:p>
      <w:pPr>
        <w:spacing w:after="0" w:line="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7"/>
          <w:szCs w:val="17"/>
          <w:color w:val="auto"/>
        </w:rPr>
        <w:t>Performing at or reasonably close to plan. Acceptable business prospects, enterprise value, financial coverage.</w:t>
      </w:r>
    </w:p>
    <w:p>
      <w:pPr>
        <w:spacing w:after="0" w:line="21" w:lineRule="exact"/>
        <w:rPr>
          <w:sz w:val="20"/>
          <w:szCs w:val="20"/>
          <w:color w:val="auto"/>
        </w:rPr>
      </w:pPr>
    </w:p>
    <w:p>
      <w:pPr>
        <w:ind w:left="1080" w:hanging="697"/>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Maintaining key covenant and payment compliance as agreed.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6"/>
          <w:szCs w:val="16"/>
          <w:color w:val="auto"/>
        </w:rPr>
        <w:t>Performing below plan of record. Potential elements of concern over performance, trends and business outlook. Loan-to-</w:t>
      </w:r>
    </w:p>
    <w:p>
      <w:pPr>
        <w:spacing w:after="0" w:line="32" w:lineRule="exact"/>
        <w:rPr>
          <w:sz w:val="20"/>
          <w:szCs w:val="20"/>
          <w:color w:val="auto"/>
        </w:rPr>
      </w:pPr>
    </w:p>
    <w:p>
      <w:pPr>
        <w:ind w:left="1080" w:hanging="697"/>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value remains adequate. Potential key covenant non-compliance. Full payment compliance.</w:t>
      </w:r>
    </w:p>
    <w:p>
      <w:pPr>
        <w:spacing w:after="0" w:line="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Performing materially below plan. Non-compliant with material financial covenants. Payment default/deferral could result</w:t>
      </w:r>
    </w:p>
    <w:p>
      <w:pPr>
        <w:spacing w:after="0" w:line="32" w:lineRule="exact"/>
        <w:rPr>
          <w:sz w:val="20"/>
          <w:szCs w:val="20"/>
          <w:color w:val="auto"/>
        </w:rPr>
      </w:pPr>
    </w:p>
    <w:p>
      <w:pPr>
        <w:ind w:left="1080" w:right="440"/>
        <w:spacing w:after="0" w:line="281" w:lineRule="auto"/>
        <w:rPr>
          <w:sz w:val="20"/>
          <w:szCs w:val="20"/>
          <w:color w:val="auto"/>
        </w:rPr>
      </w:pPr>
      <w:r>
        <w:rPr>
          <w:rFonts w:ascii="Arial" w:cs="Arial" w:eastAsia="Arial" w:hAnsi="Arial"/>
          <w:sz w:val="16"/>
          <w:szCs w:val="16"/>
          <w:color w:val="auto"/>
        </w:rPr>
        <w:t>without corrective action. Requires close monitoring. Business prospects, enterprise value and collateral coverage declining. These investments may be in workout, and there is a possibility of loss of return but no loss of principal is</w:t>
      </w:r>
    </w:p>
    <w:p>
      <w:pPr>
        <w:spacing w:after="0" w:line="1" w:lineRule="exact"/>
        <w:rPr>
          <w:sz w:val="20"/>
          <w:szCs w:val="20"/>
          <w:color w:val="auto"/>
        </w:rPr>
      </w:pPr>
    </w:p>
    <w:p>
      <w:pPr>
        <w:ind w:left="1080" w:hanging="697"/>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w:t>
      </w:r>
    </w:p>
    <w:p>
      <w:pPr>
        <w:spacing w:after="0" w:line="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Going concern nature in question. Substantial decline in enterprise value and all coverages. Covenant and payment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spacing w:after="0" w:line="12" w:lineRule="exact"/>
        <w:rPr>
          <w:sz w:val="20"/>
          <w:szCs w:val="20"/>
          <w:color w:val="auto"/>
        </w:rPr>
      </w:pPr>
    </w:p>
    <w:p>
      <w:pPr>
        <w:ind w:left="1080" w:hanging="697"/>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imminent if not currently present. Investments are nearly always in workout. May experience partial and/or full loss.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4880"/>
        <w:spacing w:after="0"/>
        <w:rPr>
          <w:rFonts w:ascii="Arial" w:cs="Arial" w:eastAsia="Arial" w:hAnsi="Arial"/>
          <w:sz w:val="17"/>
          <w:szCs w:val="17"/>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show the investment ratings of our debt investments at fair value as of December 31, 2021 and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As of December 31, 2021</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As of December 31, 2020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8"/>
        </w:trPr>
        <w:tc>
          <w:tcPr>
            <w:tcW w:w="1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91,424,112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479,114,147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380,796,998</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47,490,324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90,459,846</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3,247,863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30,707,813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14,649,788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635,926,234</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501,964,657</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During 2020 and 2021, the global COVID-19 pandemic, has had limited impact on the investment ratings of our debt investments, taken as a whole. However, the ongoing impact of the COVID-19 pandemic, along with increasing levels of inflation impacting the U.S. economy, U.S. Federal Reserve Bank monetary policy actions, and global political events and their impact on the U.S. capital markets and economy is uncertain and we can make no assurances that the pandemic and other current events will not have a negative impact on our investment portfolio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December 31, 2021, we had six loans to Mojix, Inc. and one loan to Pivot3 Holdings, Inc., representing an aggregate principal funded of $30,278,707 at a fair market value of $28,259,976, on non-accrual status, which represents 4.66% of our net assets. As of December 31, 2020, we had six loans to Mojix, Inc. representing an aggregate principal funded of $11,000,000 at a fair market value of $8,961,080, on non-accrual status, which represents 1.92% of our net assets. As of December 31, 2019, the Company had two loans to Aginity, Inc. representing an aggregate principal funded of $9,000,000 at a fair market value of $4,311,589, on non-accrual status, which represented 1.15% of the Company’s net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ind w:left="460"/>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52"/>
              <w:spacing w:after="0" w:line="133" w:lineRule="exact"/>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51"/>
              <w:spacing w:after="0" w:line="133" w:lineRule="exact"/>
              <w:rPr>
                <w:sz w:val="20"/>
                <w:szCs w:val="20"/>
                <w:color w:val="auto"/>
              </w:rPr>
            </w:pPr>
            <w:r>
              <w:rPr>
                <w:rFonts w:ascii="Arial" w:cs="Arial" w:eastAsia="Arial" w:hAnsi="Arial"/>
                <w:sz w:val="14"/>
                <w:szCs w:val="14"/>
                <w:b w:val="1"/>
                <w:bCs w:val="1"/>
                <w:color w:val="auto"/>
              </w:rPr>
              <w:t>Per</w:t>
            </w:r>
          </w:p>
        </w:tc>
        <w:tc>
          <w:tcPr>
            <w:tcW w:w="180" w:type="dxa"/>
            <w:vAlign w:val="bottom"/>
          </w:tcPr>
          <w:p>
            <w:pPr>
              <w:spacing w:after="0"/>
              <w:rPr>
                <w:sz w:val="11"/>
                <w:szCs w:val="11"/>
                <w:color w:val="auto"/>
              </w:rPr>
            </w:pPr>
          </w:p>
        </w:tc>
        <w:tc>
          <w:tcPr>
            <w:tcW w:w="104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72"/>
              <w:spacing w:after="0" w:line="133"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Share</w:t>
            </w:r>
            <w:r>
              <w:rPr>
                <w:rFonts w:ascii="Arial" w:cs="Arial" w:eastAsia="Arial" w:hAnsi="Arial"/>
                <w:sz w:val="10"/>
                <w:szCs w:val="10"/>
                <w:b w:val="1"/>
                <w:bCs w:val="1"/>
                <w:color w:val="auto"/>
                <w:w w:val="89"/>
              </w:rPr>
              <w:t>(1)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Share</w:t>
            </w:r>
            <w:r>
              <w:rPr>
                <w:rFonts w:ascii="Arial" w:cs="Arial" w:eastAsia="Arial" w:hAnsi="Arial"/>
                <w:sz w:val="10"/>
                <w:szCs w:val="10"/>
                <w:b w:val="1"/>
                <w:bCs w:val="1"/>
                <w:color w:val="auto"/>
                <w:w w:val="89"/>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Interest and dividend income</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$ 70,681,827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$ 56,653,406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$ 54,450,955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income</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676,628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972,897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688,181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investment income</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71,358,455</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57,626,303</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55,139,136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Management fees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8,988,920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6,831,566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5,105,009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Incentive fees</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9,231,830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7,260,656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8,349,449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2,553,901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1,064,150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1,186,466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Professional fees</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1,281,776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1,156,550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975,688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Overhead allocation expense</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826,605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677,958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855,889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Administration fees</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579,365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515,891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Debt financing fees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1,593,085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735,674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478,731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Directors’ fees</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293,479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Tax expense</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99,549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expenses</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1,516,947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1,064,322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922,348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26,866,767</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19,556,586</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18,685,305</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44,491,688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38,069,717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36,453,831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Realized (loss) on investments</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4,172,366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(5,347,409)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change in unrealized appreciation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(depreciation) on investments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(3,045,344)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14,257,592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(9,416,462)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gridSpan w:val="2"/>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Net increase in net assets resulting from</w:t>
            </w: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gridSpan w:val="2"/>
            <w:vMerge w:val="continue"/>
            <w:shd w:val="clear" w:color="auto" w:fill="CCEEFF"/>
          </w:tcPr>
          <w:p>
            <w:pPr>
              <w:spacing w:after="0"/>
              <w:rPr>
                <w:sz w:val="15"/>
                <w:szCs w:val="15"/>
                <w:color w:val="auto"/>
              </w:rPr>
            </w:pPr>
          </w:p>
        </w:tc>
        <w:tc>
          <w:tcPr>
            <w:tcW w:w="400" w:type="dxa"/>
            <w:vAlign w:val="bottom"/>
            <w:vMerge w:val="restart"/>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$ 45,618,710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$ 46,979,900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$ 27,646,400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40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53"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The basic per share figures noted above are based on weighted averages of 39,593,658, 27,617,425, and 18,701,021 shares outstanding for the years ended December 31, 2021, 2020, and 2019,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investment objective is to maximize our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$10.0 million to $75.0 million, and the upper end of this range may increase as we raise additional capital.</w:t>
      </w:r>
    </w:p>
    <w:p>
      <w:pPr>
        <w:spacing w:after="0" w:line="16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 prepayment premiums on loans and debt securities as interest income. Dividend income, if any, will be recognized on an accrual basis to the extent that we expect to collect such amounts.</w:t>
      </w:r>
    </w:p>
    <w:p>
      <w:pPr>
        <w:spacing w:after="0" w:line="17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Included in investment income are non-recurring fees primarily comprised of early prepayment fees and unamortized original issue discounts recorded as interest income. Other non-recurring income consisting of amendment fees, legal fees, reimbursable income, and any other fee income for services rendered, if any, are recorded as other income when earned.</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Investment income for the years ended December 31, 2021, 2020, and 2019 was $71,358,455, $57,626,303, and $55,139,136, respectively, and includes non-recurring income of $9,515,798, $4,489,029, and $12,239,458, respectively, due primarily to interest income earned on our portfolio investments. The increase in interest income for the year ended December 31, 2021 from the year ended December 31, 2020, and for the year ended December 31, 2020 from the year ended December 31, 2019 was driven by our deployment of capital, increased invested balance, prepayments, and end of term payments, partially offset by falling market interest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4" w:lineRule="exact"/>
        <w:rPr>
          <w:sz w:val="20"/>
          <w:szCs w:val="20"/>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 initial public offering in connection with a Spin-Off transaction (as defined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and expenses related to public and private offerings, sales and repurchases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hanging="328"/>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Operating expenses for the years ended December 31, 2021, 2020 and 2019 were $26,866,767, $19,556,586, and $18,685,305, respectively. Operating expenses increased for the year ended December 31, 2021 from the year ended December 31, 2020 primarily due to increased management and incentive fees paid to RGC, interest expense, and debt financing fees. Operating expenses increased for the year ended December 31, 2020 from the year ended December 31, 2019 primarily due to increased management fees paid to RGC, professional fees, debt financing fees, and other expenses. For the years ended December 31, 2019 and December 31, 2018, operating expenses increased primarily due to the increase in incentive fees paid to RGC. The increases in management fees were driven by our deployment of capital and increasing invested balance. The increase in interest expense was a result of an increase in borrowings under our Credit Agreement to fund investments. The increase in overhead allocation expense was driven by allocation of RGC personnel, time, and resources utilized on fund activity. Operating expenses per share for the years ended December 31, 2021, 2020 and 2019 were $0.68 per share, $0.71 per share and $1.00 per share,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Incentive fees for the years ended December 31, 2021, 2020, and 2019 were $9,231,830, $7,260,656, and $8,349,449, respectively. $2,244,383 of the incentive fees for the year ended December 31, 2021 were earned, payable in cash, and included in accrued incentive fees in the statement of assets and liabilities as of December 31, 2021. $1,847,332 of the incentive fees for the year ended December 31, 2021 were deferred and accrued, and included in accrued incentive fees in the statement of assets and liabilities as of December 31, 2021. $1,748,171 of the incentive fees for the year ended December 31, 2020 were earned, payable in cash, and included in accrued incentive fees in the statement of assets and liabilities as of December 31, 2020. $1,853,351 of the incentive fees for the year ended December 31, 2020 were deferred and accrued, and included in accrued incentive fees in the statement of assets and liabilities as of December 31, 2020. $1,586,533 of the incentive fees for the year ended December 31, 2019 were earned, payable in cash, and included in accrued incentive fees in the statement of assets and liabilities as of December 31, 2019. $1,845,873 of the incentive fees for the year ended December 31, 2019 were deferred and accrued, and included in accrued incentive fees in the statement of assets and liabilities as of December 31, 2019. Incentive fees related to paid-in-kind or deferred interest are accrued and payment is deferred until such interest is collected in cash. Incentive fees per share for the years ended December 31, 2021, 2020, and 2019 were $0.23 per share, $0.26 per share, and $0.45 per share,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Net investment income for the years ended December 31, 2021, 2020 and 2019 was $44,491,688, $38,069,717, and $36,453,831, respectively. Net investment income increased for the year ended December 31, 2021 from the year ended December 31, 2020 primarily due to increased interest income earned on our portfolio investments, partially offset by increased management fees and incentive fees and the other operating expenses discussed above. The decrease in early terminations, and accompanying decrease in prepayment fees and associated income, may have been negatively impacted by the COVID-19 pandemic and the associated disruption in the capital markets and merger and acquisition markets. Net investment income increased for the year ended December 31, 2020 from the year ended December 31, 2019 primarily due to increased interest income earned on our portfolio investments, partially offset by increased management fees and incentive fees and the other operating expenses discussed above. Net investment income per share for the years ended December 31, 2021, 2020 and 2019 were $1.12 per share, $1.38 per share and $1.95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net realized gain on investments of $4,172,366 for the year ended December 31, 2021 was primarily due to the gains on the sale of common stock in Porch Group, Inc. and Ouster, Inc., partially offset due to the realized loss on our preferred stock in CareCloud, Inc. The net realized loss on investments of $5,347,409 for the year ended December 31, 2020 was primarily due to the loss on our senior secured loan to Aginity, Inc. The net realized gain on investments of $609,031 for the year ended December 31, 2019 was primarily due to the gain on the sale of preferred stock warrant in Drawbridge, Inc. and redemption of warrant for membership interest in Mobius Imagine, LLC, partially offset by a loss our warrants for preferred stock on RedSeal, Inc.</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Net change in unrealized depreciation on investments of $3,045,344 for the year ended December 31, 2021 was primarily due to decreases in the fair value of senior secured loans to Pivot3 Holdings, Inc. and Aginity Inc., and our warrants for common stock in CareCloud, Inc. This increase was offset by the increase in the fair value of our senior secured loans to Mojix, Inc. and our units of Brilliant Earth LLC. Net change in unrealized appreciation on investments of $14,257,592 for the year ended December 31, 2020 was primarily due to increases in the fair value of our senior secured loans to Aria Systems, Inc. and our warrants for preferred stock or common stock of Ouster, Inc., MTBC, Inc., and Aspen Group Inc. This increase was offset by the decreases in the fair value of senior secured loans to Circadence Corporation and Pivot3, Inc., and our preferred stock in MTBC, Inc. Net change in unrealized depreciation on investments of $9,416,462 for the year ended December 31, 2019 was primarily due to increases in the fair value of our senior secured loans to eSilicon Corporation and Realwear, Inc., our preferred stock in Aria Systems, Inc. and our warrants for preferred stock of Aria Systems, Inc. and eSilicon Corporation. This increase was offset by the decreased in the fair value of senior secured loans to Aginity, Inc., CareCloud Corporation, and Mojix Inc., and our warrants for common or preferred stock of All Clear ID, Inc., Mojix Inc. and zSpace,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had a net increase in net assets resulting from operations of $45,618,710 for the year ended December 31, 2021, as compared to a net increase in net assets resulting from operations of $46,979,900 and $27,646,400 for the years ended December 31, 2020 and December 31, 2019, respectively. The net decrease in net assets resulting from operations for the year ended December 31, 2021 from the year ended December 31, 2020 is attributable to an increase in operating expenses, particularly increases in interest expense and debt financing fees due to an increase in borrowings used, as well as net change in unrealized position on investments recorded at a loss compared to a gain in the prior year. The decrease is partially offset by an increase in interest and dividend income. The net increase in net assets resulting from operations for the year ended December 31, 2020 from the year ended December 31, 2019 is attributable to increases in the fair value of our senior secured loans to Aria Systems, Inc. and our warrants for preferred stock or common stock of Ouster, Inc., MTBC, Inc., and Aspen Group Inc. The net increase in net assets resulting from operations for the year ended December 31, 2019 from the year ended December 31, 2018 is attributable to increased interest income earned on our portfolio investments and the gain on our warrants for preferred stock or units on Drawbridge, Inc. and Mobius Imagine, LLC.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Agreement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and December 31, 2020, our asset coverage ratio was 582% and 376%, respectively.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December 31, 2021, cash and cash equivalents decreased to $4,696,693, from $14,886,246 as of December 31, 2020. This decrease was primarily the result of the purchase of investments in portfolio companies and U.S. Treasury Bills as well as repayments under our Credit Facilities and was partially offset by repayments of investments in portfolio companies, the maturity of U.S. Treasury Bills, the issuance of common stock, proceeds from our 2026 Senior Notes (as defined below) and borrowings under our Credit Facilities.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year ended December 31, 2020, cash and cash equivalents decreased to $14,886,246, from $45,799,672 as of December 31, 2019. This decrease was primarily the result of the purchase of investments in portfolio companies and U.S. Treasury Bills as well as repayments under our Credit Facilities and was partially offset by sales of investments in portfolio companies, the maturity of U.S. Treasury Bills, the issuance of common stock, and borrowings under our Credit Facilities.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the Second Private Offering, pursuant to the dividend reinvestment plan or the IPO,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5"/>
              </w:rPr>
              <w:t>Gross Proceeds</w:t>
            </w:r>
          </w:p>
        </w:tc>
        <w:tc>
          <w:tcPr>
            <w:tcW w:w="0" w:type="dxa"/>
            <w:vAlign w:val="bottom"/>
          </w:tcPr>
          <w:p>
            <w:pPr>
              <w:spacing w:after="0"/>
              <w:rPr>
                <w:sz w:val="1"/>
                <w:szCs w:val="1"/>
                <w:color w:val="auto"/>
              </w:rPr>
            </w:pPr>
          </w:p>
        </w:tc>
      </w:tr>
      <w:tr>
        <w:trPr>
          <w:trHeight w:val="171"/>
        </w:trPr>
        <w:tc>
          <w:tcPr>
            <w:tcW w:w="6500" w:type="dxa"/>
            <w:vAlign w:val="bottom"/>
            <w:gridSpan w:val="3"/>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April 19, 2017</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26,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September 12, 2017</w:t>
            </w:r>
          </w:p>
        </w:tc>
        <w:tc>
          <w:tcPr>
            <w:tcW w:w="940" w:type="dxa"/>
            <w:vAlign w:val="bottom"/>
          </w:tcPr>
          <w:p>
            <w:pPr>
              <w:jc w:val="right"/>
              <w:spacing w:after="0"/>
              <w:rPr>
                <w:sz w:val="20"/>
                <w:szCs w:val="20"/>
                <w:color w:val="auto"/>
              </w:rPr>
            </w:pPr>
            <w:r>
              <w:rPr>
                <w:rFonts w:ascii="Arial" w:cs="Arial" w:eastAsia="Arial" w:hAnsi="Arial"/>
                <w:sz w:val="18"/>
                <w:szCs w:val="18"/>
                <w:color w:val="auto"/>
              </w:rPr>
              <w:t>2,666,667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70,563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September 27, 2018</w:t>
            </w:r>
          </w:p>
        </w:tc>
        <w:tc>
          <w:tcPr>
            <w:tcW w:w="940" w:type="dxa"/>
            <w:vAlign w:val="bottom"/>
          </w:tcPr>
          <w:p>
            <w:pPr>
              <w:jc w:val="right"/>
              <w:spacing w:after="0"/>
              <w:rPr>
                <w:sz w:val="20"/>
                <w:szCs w:val="20"/>
                <w:color w:val="auto"/>
              </w:rPr>
            </w:pPr>
            <w:r>
              <w:rPr>
                <w:rFonts w:ascii="Arial" w:cs="Arial" w:eastAsia="Arial" w:hAnsi="Arial"/>
                <w:sz w:val="18"/>
                <w:szCs w:val="18"/>
                <w:color w:val="auto"/>
              </w:rPr>
              <w:t>1,997,337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January 14, 2019</w:t>
            </w:r>
          </w:p>
        </w:tc>
        <w:tc>
          <w:tcPr>
            <w:tcW w:w="940" w:type="dxa"/>
            <w:vAlign w:val="bottom"/>
          </w:tcPr>
          <w:p>
            <w:pPr>
              <w:jc w:val="right"/>
              <w:spacing w:after="0"/>
              <w:rPr>
                <w:sz w:val="20"/>
                <w:szCs w:val="20"/>
                <w:color w:val="auto"/>
              </w:rPr>
            </w:pPr>
            <w:r>
              <w:rPr>
                <w:rFonts w:ascii="Arial" w:cs="Arial" w:eastAsia="Arial" w:hAnsi="Arial"/>
                <w:sz w:val="18"/>
                <w:szCs w:val="18"/>
                <w:color w:val="auto"/>
              </w:rPr>
              <w:t>4,344,964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374,783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464,986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October 15, 2019</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December 20, 2019</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575,132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529,020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October 15, 2020</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618,815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24,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637,127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12,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8,401,215</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September 29, 2021</w:t>
            </w:r>
          </w:p>
        </w:tc>
        <w:tc>
          <w:tcPr>
            <w:tcW w:w="940" w:type="dxa"/>
            <w:vAlign w:val="bottom"/>
          </w:tcPr>
          <w:p>
            <w:pPr>
              <w:jc w:val="right"/>
              <w:spacing w:after="0"/>
              <w:rPr>
                <w:sz w:val="20"/>
                <w:szCs w:val="20"/>
                <w:color w:val="auto"/>
              </w:rPr>
            </w:pPr>
            <w:r>
              <w:rPr>
                <w:rFonts w:ascii="Arial" w:cs="Arial" w:eastAsia="Arial" w:hAnsi="Arial"/>
                <w:sz w:val="18"/>
                <w:szCs w:val="18"/>
                <w:color w:val="auto"/>
              </w:rPr>
              <w:t>1,265,128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18,976,917</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25,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100,010,000</w:t>
            </w:r>
          </w:p>
        </w:tc>
        <w:tc>
          <w:tcPr>
            <w:tcW w:w="0" w:type="dxa"/>
            <w:vAlign w:val="bottom"/>
          </w:tcPr>
          <w:p>
            <w:pPr>
              <w:spacing w:after="0"/>
              <w:rPr>
                <w:sz w:val="1"/>
                <w:szCs w:val="1"/>
                <w:color w:val="auto"/>
              </w:rPr>
            </w:pPr>
          </w:p>
        </w:tc>
      </w:tr>
      <w:tr>
        <w:trPr>
          <w:trHeight w:val="210"/>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41,378,947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617,361,489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Shares were issued as part of the dividend reinvestment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2021, the Company had $186,984,615 in unfunded loan commitments to provide debt financing to 13 portfolio companies. The Company’s management believes that its available cash balances, availability under the Credit Agreement provides sufficient funds to cover its unfunded commitments as of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4"/>
              </w:rPr>
              <w:t>Payments Due By Period</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20" w:type="dxa"/>
            <w:vAlign w:val="bottom"/>
          </w:tcPr>
          <w:p>
            <w:pPr>
              <w:jc w:val="right"/>
              <w:ind w:right="158"/>
              <w:spacing w:after="0" w:line="133"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38"/>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w w:val="95"/>
              </w:rPr>
              <w:t>Reverse repurchase agreement</w:t>
            </w:r>
            <w:r>
              <w:rPr>
                <w:rFonts w:ascii="Arial" w:cs="Arial" w:eastAsia="Arial" w:hAnsi="Arial"/>
                <w:sz w:val="24"/>
                <w:szCs w:val="24"/>
                <w:color w:val="auto"/>
                <w:w w:val="95"/>
                <w:vertAlign w:val="superscript"/>
              </w:rPr>
              <w:t>(1)</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44,774,963</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$ 44,774,963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line="216" w:lineRule="exact"/>
              <w:rPr>
                <w:sz w:val="20"/>
                <w:szCs w:val="20"/>
                <w:color w:val="auto"/>
              </w:rPr>
            </w:pPr>
            <w:r>
              <w:rPr>
                <w:rFonts w:ascii="Arial" w:cs="Arial" w:eastAsia="Arial" w:hAnsi="Arial"/>
                <w:sz w:val="17"/>
                <w:szCs w:val="17"/>
                <w:color w:val="auto"/>
              </w:rPr>
              <w:t>Credit facilities</w:t>
            </w:r>
            <w:r>
              <w:rPr>
                <w:rFonts w:ascii="Arial" w:cs="Arial" w:eastAsia="Arial" w:hAnsi="Arial"/>
                <w:sz w:val="25"/>
                <w:szCs w:val="25"/>
                <w:color w:val="auto"/>
                <w:vertAlign w:val="superscript"/>
              </w:rPr>
              <w:t>(2)</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61,000,000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61,000,000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2026 Senior Notes</w:t>
            </w:r>
            <w:r>
              <w:rPr>
                <w:rFonts w:ascii="Arial" w:cs="Arial" w:eastAsia="Arial" w:hAnsi="Arial"/>
                <w:sz w:val="25"/>
                <w:szCs w:val="25"/>
                <w:color w:val="auto"/>
                <w:vertAlign w:val="superscript"/>
              </w:rPr>
              <w:t>(2)</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125,774,963</w:t>
            </w: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$ 44,774,963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61,000,000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20,000,000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0" w:hanging="332"/>
        <w:spacing w:after="0" w:line="253"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Reverse repurchase agreement relates to the purchase of the U.S. Treasury Bill on margin. The reverse repurchase agreement purchased was subsequently repaid in January 2022.</w:t>
      </w:r>
    </w:p>
    <w:p>
      <w:pPr>
        <w:spacing w:after="0" w:line="65"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See “Note 10 — Borrowings” to our financial statements in Part II of this Form 10-K 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December 10, 2021, the Company entered into a Master Note Purchase Agreement (the “Note Purchase Agreement”) governing the issuance of $70,000,000 in aggregate principal amount of 4.25% Series 2021A Senior Notes due 2026 (the “2026 Senior Notes”) to institutional accredited investors (as defined in Regulation D under the Securities Act) in a private placement. The 2026 Senior Notes were issued in two closings. The initial issuance of $20 million Notes closed on December 10, 2021 and the second and final issuance of $50 million closed on February 10, 2022. See “—Recent Developments.”</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2026 Senior Notes bear an interest rate of 4.25% per year and are due on December 10, 2026, unless redeemed, purchased or prepaid prior to such date by the Company or its affiliates in accordance with their terms. Interest on the 2026 Senior Notes will be due semiannually. The interest rate is subject to a 1.00% increase in the event that, subject to certain exceptions, the 2026 Senior Notes cease to have an investment grade rating or receive an investment grade rating below the Investment Grade (as defined in the Note Purchase Agreement). The 2026 Senior Notes are general unsecured obligations of the Company that rank pari passu with all outstanding and future unsecured unsubordinated indebtedness issued by the Company.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Aggregate offering costs in connection with the 2026 Senior Notes issuance, including the placement agent fees, were approximately $380,606 which were capitalized and deferred. As of December 31, 2021, unamortized deferred financing costs related to the 2026 Senior Notes were $376,029. See “Note 10 — Borrowings” to our financial statements in Part II, Item 8 of this Form 10 K for more information on the 2026 Senior Notes.</w:t>
      </w:r>
    </w:p>
    <w:p>
      <w:pPr>
        <w:spacing w:after="0" w:line="18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May 31, 2019, we entered into the Credit Agreement with KeyBank National Association, as administrative agent, syndication agent, and a lender, CIBC Bank USA,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Current capital markets dislocation and economic uncertainty associated with the COVID-19 pandemic may impact our ability to access the accordion features of the Credit Agreement.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w:t>
      </w:r>
    </w:p>
    <w:p>
      <w:pPr>
        <w:spacing w:after="0" w:line="4" w:lineRule="exact"/>
        <w:rPr>
          <w:sz w:val="20"/>
          <w:szCs w:val="20"/>
          <w:color w:val="auto"/>
        </w:rPr>
      </w:pPr>
    </w:p>
    <w:p>
      <w:pPr>
        <w:jc w:val="both"/>
        <w:ind w:firstLine="8"/>
        <w:spacing w:after="0" w:line="292" w:lineRule="auto"/>
        <w:tabs>
          <w:tab w:leader="none" w:pos="271"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w:t>
      </w:r>
    </w:p>
    <w:p>
      <w:pPr>
        <w:sectPr>
          <w:pgSz w:w="11900" w:h="16838" w:orient="portrait"/>
          <w:cols w:equalWidth="0" w:num="1">
            <w:col w:w="9920"/>
          </w:cols>
          <w:pgMar w:left="980" w:top="517"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the Company’s assets and portfolio investments.</w:t>
      </w:r>
    </w:p>
    <w:p>
      <w:pPr>
        <w:spacing w:after="0" w:line="17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fourth quarter of 2020, we amended the Credit Agreement and others to increase its size to $215 million, increase the accordion feature to $300 million, add additional lenders, implement a 0.50% LIBOR floor and benchmark replacement rate floor on borrowings under the Credit Agreement and modify certain pricing elements and other provisions. We also amended the fee letter (the “Fee Letter”) to revise the interest rate margin to be 3.00% for the remaining term of the Credit Agreement regardless of the Credit Agreement average utilization or the number of unaffiliated obligors on loans in the collateral.</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of 2021, we amended the Credit Agreement to: (i) allow the Company to incur permitted indebtedness without the prior written consent of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 See “Note 10 — Borrowings” to our financial statements in Part II, Item 8 of this Form 10 K for more information on the Credit Agreement and Credit Facilities.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third quarter of 2021, we further amended the Fee Letter (the “Second Amended and Restated Fee Letter”) to amend the first payment date of the minimum earnings fee, which will be payable annually starting on May 31, 2022. Under the Second Amended and Restated Fee Letter, we the Company will also pay a supplemental fee on the 15th calendar day of each month beginning August 16, 2021 and ending July 15, 2022 in an aggregate amount equal to $66,367, which is paid pro rata to the lenders listed in Schedule A of the Second Amended and Restated Fee Letter.</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year ended December 31, 2021, the Company drew down $161,000,000 on the Credit Agreement and repaid $199,000,000 of which $61,000,000 remains outstanding. The Company anticipates continued usage of the Credit Agreement as well as other potential debt financing alternatives to fund future portfolio growth. At December 31, 2021, interest was accruing at a rate of 3.50%. During the year ended December 31, 2020, the Company drew down $200,500,000 on the Credit Agreement and repaid $162,500,000, of which $99,000,000 remained outstanding at December 31, 2020. At December 31, 2020 interest was accruing at a rate of 3.22% per annum. See “Note 10 — Borrowings” to our financial statements in Part II, Item 8 of this Form 10-K for more information on the Credit Agreement and Credit Facilities.</w:t>
      </w:r>
    </w:p>
    <w:p>
      <w:pPr>
        <w:spacing w:after="0" w:line="19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Credit Agreement, the Company terminated the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we have funds available, we intend to make quarterly distributions to our stockholders. Our stockholder distributions, if any, will be determined by our Board of Directors and will be declared out of assets legally available for distribution. We anticipate that distributions will be paid from income primarily generated by interest and dividend income earned on investments made by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our IPO, the number of shares to be issued to a stockholder under the dividend reinvestment plan was determined by dividing the total dollar amount of the distribution payable to such stockholder by the net asset value per share of our common stock, as of the valuation date fixed by the Board of Directors for such dividend.</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our IPO, we entered into our amended and restated dividend reinvestment plan, pursuant to which, if newly issued shares are used to implement the dividend reinvestment plan, the number of shares to be issued to a stockholder will be determined by dividing the total dollar amount of the cash dividend or distribution payable to a stockholder by the market price per share of our common stock at the close of regular trading on the Nasdaq Global Select Market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shares are purchased in the open market to implement the dividend reinvestment plan, the number of shares to be issued to a stockholder shall be determined by dividing the dollar amount of the cash dividend payable to such stockholder by the weighted average price per share for all shares purchased by the plan administrator in the open market in connection with the dividend.</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year ended December 31, 2021, we declared and paid dividends in the amount of $44,942,937, of which $17,948,126 was distributed in cash and the remainder distributed in shares to stockholders pursuant to our dividend reinvestment plan. During the year ended December 31, 2020, we declared and paid dividends in the amount of $39,709,233, of which $7,265,784 was distributed in cash and the remainder distributed in shares to stockholders pursuant to our dividend reinvestment plan. During the year ended December 31, 2019, we declared and paid dividends in the amount of $40,651,334, of which $8,192,547 was distributed in cash and the remainder distributed in shares to stockholders pursuant to our dividend reinvestment plan.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17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August 15, 2018</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31, 2018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October 31, 2018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March 22, 2019</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26, 2019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May 7, 2019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May 31, 2019</w:t>
            </w:r>
          </w:p>
        </w:tc>
        <w:tc>
          <w:tcPr>
            <w:tcW w:w="1700" w:type="dxa"/>
            <w:vAlign w:val="bottom"/>
          </w:tcPr>
          <w:p>
            <w:pPr>
              <w:jc w:val="right"/>
              <w:spacing w:after="0"/>
              <w:rPr>
                <w:sz w:val="20"/>
                <w:szCs w:val="20"/>
                <w:color w:val="auto"/>
              </w:rPr>
            </w:pPr>
            <w:r>
              <w:rPr>
                <w:rFonts w:ascii="Arial" w:cs="Arial" w:eastAsia="Arial" w:hAnsi="Arial"/>
                <w:sz w:val="18"/>
                <w:szCs w:val="18"/>
                <w:color w:val="auto"/>
              </w:rPr>
              <w:t>July 16, 2019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August 5, 2019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26, 2019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September 30, 2019</w:t>
            </w:r>
          </w:p>
        </w:tc>
        <w:tc>
          <w:tcPr>
            <w:tcW w:w="1700" w:type="dxa"/>
            <w:vAlign w:val="bottom"/>
          </w:tcPr>
          <w:p>
            <w:pPr>
              <w:jc w:val="right"/>
              <w:spacing w:after="0"/>
              <w:rPr>
                <w:sz w:val="20"/>
                <w:szCs w:val="20"/>
                <w:color w:val="auto"/>
              </w:rPr>
            </w:pPr>
            <w:r>
              <w:rPr>
                <w:rFonts w:ascii="Arial" w:cs="Arial" w:eastAsia="Arial" w:hAnsi="Arial"/>
                <w:sz w:val="18"/>
                <w:szCs w:val="18"/>
                <w:color w:val="auto"/>
              </w:rPr>
              <w:t>November 12, 2019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December 10, 2019</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23, 2019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March 5, 2020</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March 6, 2020</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20, 2020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2020</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May 8, 2020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August 5, 2020</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August 6, 2020</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20, 2020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October 1, 2020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12, 2020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March 4, 2021</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March 5, 2021</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19, 2021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29, 2021</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April 30, 2021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13, 2021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July 19, 2021</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July 20, 2021</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12, 2021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28, 2021</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November 8, 2021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22, 2021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for the year ended December 31, 2021, which describes our critical accounting policies and recently adopted accounting pronouncements not yet required to be adopted by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measure the value of our portfolio investments at fair value in accordance with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183"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980" w:hanging="324"/>
        <w:spacing w:after="0" w:line="263"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investments are primarily loans made to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Rule 2a-5 under the 1940 Act was adopted by the SEC in December 2020 and establishes requirements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To determine the fair value of our debt investments, we compare the cost basis of the debt investment,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but a significantly higher or lower fair value measurement of any of the Company’s portfolio investments may occur regardless of whether there is a significant increase or decrease in these unobservable inputs.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equity-related securities are valued based on an analysis of various factors including, but not limited to, the following:</w:t>
      </w:r>
    </w:p>
    <w:p>
      <w:pPr>
        <w:spacing w:after="0" w:line="146" w:lineRule="exact"/>
        <w:rPr>
          <w:sz w:val="20"/>
          <w:szCs w:val="20"/>
          <w:color w:val="auto"/>
        </w:rPr>
      </w:pPr>
    </w:p>
    <w:p>
      <w:pPr>
        <w:jc w:val="both"/>
        <w:ind w:left="980" w:hanging="324"/>
        <w:spacing w:after="0" w:line="270"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80"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980" w:hanging="324"/>
        <w:spacing w:after="0" w:line="275"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6" w:lineRule="exact"/>
        <w:rPr>
          <w:rFonts w:ascii="Arial" w:cs="Arial" w:eastAsia="Arial" w:hAnsi="Arial"/>
          <w:sz w:val="17"/>
          <w:szCs w:val="17"/>
          <w:color w:val="auto"/>
        </w:rPr>
      </w:pPr>
    </w:p>
    <w:p>
      <w:pPr>
        <w:jc w:val="both"/>
        <w:ind w:left="980" w:hanging="324"/>
        <w:spacing w:after="0" w:line="301"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7" w:lineRule="exact"/>
        <w:rPr>
          <w:rFonts w:ascii="Arial" w:cs="Arial" w:eastAsia="Arial" w:hAnsi="Arial"/>
          <w:sz w:val="16"/>
          <w:szCs w:val="16"/>
          <w:color w:val="auto"/>
        </w:rPr>
      </w:pPr>
    </w:p>
    <w:p>
      <w:pPr>
        <w:jc w:val="both"/>
        <w:ind w:left="980" w:hanging="324"/>
        <w:spacing w:after="0" w:line="272"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measured at fair value on a recurring basis subject to the requirements of ASC Topic 820 at December 31, 2021 and 2020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2,559,932</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8,903,933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11,463,865</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623,053,646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623,053,646</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Second Lien Term Loans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12,872,588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12,872,588</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15,704,705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17,037,125</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18,264,637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684,514,774</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45,001,500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45,001,500</w:t>
            </w:r>
          </w:p>
        </w:tc>
      </w:tr>
      <w:tr>
        <w:trPr>
          <w:trHeight w:val="209"/>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63,266,137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729,516,274</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501,964,657</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551,824,590</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70,002,060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83,232,060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621,826,650</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Dividends are recorded on the applicable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warrants, or contractual success fees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II, Item 8 of this Form 10-K for more information on the Advisory Agreement and the fee structure thereunder.</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elected to be treated, currently qualify and intend to qualify annually, as a RIC under Subchapter M of the Code. Generally, a RIC is not subject to U.S. federal income tax on distributed income and gains if it timely distributes at least 90% of its net ordinary income and net short-term capital gains in excess of its net long-term capital losses, if any, to its stockholders. So long as we qualify, and maintain our status, as a RIC, we generally will not be subject to U.S. federal income tax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evaluated events subsequent to December 31, 2021, through March 3,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9, 2022, in conjunction with its sale to Johnson &amp; Johnson, CrossRoads Extremity Systems, LLC prepaid its outstanding principal balance of $7,562,722 on the senior secured loan. In addition, we received cash proceeds of $805,188 in consideration of its warrants, interest, and fees for total proceeds $8,367,910</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10, 2022, we issued the remaining $50 million 2026 Senior Notes pursuant to the Note Purchase Agreement. The initial issuance of $20 million 2026 Senior Notes closed on December 10, 2021. The 2026 Senior Notes bear an interest rate of 4.25% per year and are due on December 10, 2026, unless redeemed, purchased or prepaid prior to such date by us or our affiliates in accordance with their terms. Interest on the 2026 Senior Notes will be due semiannually. For more information, see “Note 10—Borrowings.”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24, 2022, the Board of Directors declared a distribution of $0.27 per share for stockholders of record on March 8, 2022 payable on or before March 22, 2022.</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24, 2022, the Board of Directors approved the Repurchase Program under which we may repurchase up to $25 million of our outstanding common stock. Under the Repurchase Program, purchases may be made at management’s discretion from time to time in open-market transactions, in accordance with all applicable securities laws and regulations. Unless extended by the Board of Directors, the repurchase program will terminate 12-months from the date it was approved.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28, 2022, we funded an investment of $3,000,000 to Intellisite Holdings, Inc. (dba Epic IO Technologies, Inc.).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ongoing economic effects of the COVID-19 outbreak has introduced significant volatility in the financial markets, and the effects of this volatility could materially impact our market risks. For additional information concerning the COVID-19 pandemic and its potential impact on our business and our operating results, see Part I, Item 1A. Risk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Significant economic uncertainty and market volatility associated with the COVID-19 pandemic has and may continue to exaggerate the inherent difficulty in determining the fair market value of our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Recently the U.S. Federal Reserve has indicated a change in monetary policy and that intends to increase interest rates during 2022. Increasing interest rates could have the effect of increasing our total investment income once interest rates increase above contractual interest rates floors to which our portfolio companies are subject. Conversely, we would expect the cost of our floating rate credit facilities to increase as well, offsetting the positive effect on our net interest income.</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typically expect that interest rates on the investments held in our portfolio will be based on LIBOR, with many of these investments also having a LIBOR floor. With the pending sunset of LIBOR, we expect to base interest rates on the Prime rate or Secured Overnight Financing Rate (“SOFR”). As of December 31, 2021, 94.5%, or $606,581,921 (at cost), of our debt portfolio investments bore interest at variable rates, which are LIBOR-based and subject to certain floors, and none of our debt portfolio investments bore interest at fixed rates.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$9,564,426 and decrease our investment income by a maximum of $0, due to certain floors, on an annual basis.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Borrowings under the Credit Agreement bear interest, at our election at the time of drawdown, at a rate per annum equal to the LIBOR rate (with a LIBOR floor of 0.50%) for the applicable interest period plus 3%.</w:t>
      </w:r>
    </w:p>
    <w:p>
      <w:pPr>
        <w:spacing w:after="0" w:line="1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March 5, 2021, the United Kingdom’s Financial Conduct Authority (the “FCA”), which regulates LIBOR, announced that (i) 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and (ii) the overnight and 1, 3, 6 and 12-month US LIBOR settings would cease to exist after June 30, 2023; and (iii) the FCA would consult on whether the remaining LIBOR settings should continue to be published on a synthetic basis for a certain period using the FCA’s proposed new powers that the UK government is legislating to grant to them. Central banks and regulators in a number of major jurisdictions (for example, United States, United Kingdom, European Union, Switzerland and Japan) have convened working groups to find, and implement the transition to, suitable replacements for interbank offered rates.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 securities, and is based on directly observable U.S. Treasury-backed repurchase transactions. On July 29, 2021, the ARCC formally recommended SOFR as its preferred alternative replacement rate for LIBOR. At this time, it is not possible to predict the effect of any such changes, any establishment of alternative reference rates or other reforms to LIBOR that may be enacted in the United States, United Kingdom. 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when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when LIBOR ceases to exist, we may need to renegotiate certain terms of the Credit Agreement. If we are unable to do so, amounts drawn under the</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Agreement may bear interest at a higher rate, which would increase the cost of our borrowings and, in turn, affect our results of operations.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Because we currently borrow, and plan to borrow in the future, funds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61"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and its impact on foreign financial markets.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Audited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Page</w:t>
            </w:r>
          </w:p>
        </w:tc>
      </w:tr>
      <w:tr>
        <w:trPr>
          <w:trHeight w:val="26"/>
        </w:trPr>
        <w:tc>
          <w:tcPr>
            <w:tcW w:w="2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9220" w:type="dxa"/>
            <w:vAlign w:val="bottom"/>
            <w:gridSpan w:val="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Report of Independent Registered Public Accounting Firm</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90</w:t>
            </w:r>
          </w:p>
        </w:tc>
      </w:tr>
      <w:tr>
        <w:trPr>
          <w:trHeight w:val="20"/>
        </w:trPr>
        <w:tc>
          <w:tcPr>
            <w:tcW w:w="21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9220" w:type="dxa"/>
            <w:vAlign w:val="bottom"/>
            <w:gridSpan w:val="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Statements of Assets and Liabilities as of December 31, 2021 and 2020</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91</w:t>
            </w:r>
          </w:p>
        </w:tc>
      </w:tr>
      <w:tr>
        <w:trPr>
          <w:trHeight w:val="20"/>
        </w:trPr>
        <w:tc>
          <w:tcPr>
            <w:tcW w:w="21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9220" w:type="dxa"/>
            <w:vAlign w:val="bottom"/>
            <w:gridSpan w:val="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Statements of Operations for the years ended December 31, 2021, 2020 and 2019</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92</w:t>
            </w:r>
          </w:p>
        </w:tc>
      </w:tr>
      <w:tr>
        <w:trPr>
          <w:trHeight w:val="20"/>
        </w:trPr>
        <w:tc>
          <w:tcPr>
            <w:tcW w:w="21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67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Statements of Changes in Net Assets for the years ended December 31, 2021, 2020 and 2019</w:t>
              </w:r>
            </w:hyperlink>
          </w:p>
        </w:tc>
        <w:tc>
          <w:tcPr>
            <w:tcW w:w="25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385"/>
        </w:trPr>
        <w:tc>
          <w:tcPr>
            <w:tcW w:w="59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4">
              <w:r>
                <w:rPr>
                  <w:rFonts w:ascii="Arial" w:cs="Arial" w:eastAsia="Arial" w:hAnsi="Arial"/>
                  <w:sz w:val="18"/>
                  <w:szCs w:val="18"/>
                  <w:color w:val="0000EE"/>
                  <w:w w:val="88"/>
                </w:rPr>
                <w:t>Statements of Cash Flows for the years ended December 31, 2021, 2020 and 2019</w:t>
              </w:r>
            </w:hyperlink>
          </w:p>
        </w:tc>
        <w:tc>
          <w:tcPr>
            <w:tcW w:w="3300" w:type="dxa"/>
            <w:vAlign w:val="bottom"/>
            <w:gridSpan w:val="2"/>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94</w:t>
            </w:r>
          </w:p>
        </w:tc>
      </w:tr>
      <w:tr>
        <w:trPr>
          <w:trHeight w:val="385"/>
        </w:trPr>
        <w:tc>
          <w:tcPr>
            <w:tcW w:w="9220" w:type="dxa"/>
            <w:vAlign w:val="bottom"/>
            <w:gridSpan w:val="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Schedules of Investments as of December 31, 2021 and 2020</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95</w:t>
            </w:r>
          </w:p>
        </w:tc>
      </w:tr>
      <w:tr>
        <w:trPr>
          <w:trHeight w:val="385"/>
        </w:trPr>
        <w:tc>
          <w:tcPr>
            <w:tcW w:w="4400" w:type="dxa"/>
            <w:vAlign w:val="bottom"/>
            <w:tcBorders>
              <w:top w:val="single" w:sz="8" w:color="0000EE"/>
            </w:tcBorders>
            <w:gridSpan w:val="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Notes to Financial Statements</w:t>
              </w:r>
            </w:hyperlink>
          </w:p>
        </w:tc>
        <w:tc>
          <w:tcPr>
            <w:tcW w:w="4820" w:type="dxa"/>
            <w:vAlign w:val="bottom"/>
            <w:gridSpan w:val="5"/>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112</w:t>
            </w:r>
          </w:p>
        </w:tc>
      </w:tr>
      <w:tr>
        <w:trPr>
          <w:trHeight w:val="20"/>
        </w:trPr>
        <w:tc>
          <w:tcPr>
            <w:tcW w:w="216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and the Board of Directors of Runway Growth Finance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audited the accompanying statements of assets and liabilities of Runway Growth Finance Corp. (the Company), including the schedules of investments, as of December 31, 2021 and 2020, the related statements of operations, changes in net assets, and cash flows for each of the three years in the period ended December 31, 2021, and the related notes, which include the senior securities table, to the financial statements (collectively, the financial statements). In our opinion, the financial statements present fairly, in all material respects, the financial position of the Company as of December 31, 2021 and 2020, and the results of its operations, changes in net assets, and cash flows for each of the three years in the period ended December 31, 2021,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right="220" w:firstLine="259"/>
        <w:spacing w:after="0" w:line="25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December 31, 2021 and 2020, by correspondence with the custodians and portfolio companies and other appropriate procedures where replies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Non-control/non-affiliate investments at fair value (cost of $647,448,895 and $532,676,057,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655,384,403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541,978,736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3"/>
              </w:rPr>
              <w:t>Control/affiliate investments at fair value (cost of $34,873,846 and $13,911,494, respectively)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29,130,371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9,845,854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 U.S. Treasury Bills at fair value (cost of $45,001,250 and $70,001,472,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45,001,500</w:t>
            </w:r>
          </w:p>
        </w:tc>
        <w:tc>
          <w:tcPr>
            <w:tcW w:w="2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70,002,060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Total investments at fair value (cost of $727,323,991 and $616,589,023, respectively)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729,516,274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621,826,650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4,696,693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2,368,680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and deferred expenses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949,768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738,347,480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639,891,397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2026 Senior Notes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Deferred debt costs (net of accumulated amortization of $855,295 and $383,873, respectively)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(1,511,540)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Total debt, less unamortized deferred debt 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79,488,460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97,416,770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Reverse repurchase agreement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44,774,963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Accrued incentive fees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6,010,250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Interest payable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249,247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1,408,826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962,348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132,152,989</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173,647,712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Commitments and contingencies (Note 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Common stock, $0.01 par value; 100,000,000 shares authorized; 41,380,614 and 31,414,051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413,806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606,047,671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466,872,304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Distributable (losses)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(266,986)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(942,759)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net assets</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606,194,491</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466,243,685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3900"/>
              <w:spacing w:after="0"/>
              <w:rPr>
                <w:sz w:val="20"/>
                <w:szCs w:val="20"/>
                <w:color w:val="auto"/>
              </w:rPr>
            </w:pPr>
            <w:r>
              <w:rPr>
                <w:rFonts w:ascii="Arial" w:cs="Arial" w:eastAsia="Arial" w:hAnsi="Arial"/>
                <w:sz w:val="18"/>
                <w:szCs w:val="18"/>
                <w:color w:val="auto"/>
              </w:rPr>
              <w:t>See notes to financial statements.</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b w:val="1"/>
                <w:bCs w:val="1"/>
                <w:color w:val="auto"/>
                <w:w w:val="98"/>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Investment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7"/>
                <w:szCs w:val="17"/>
                <w:color w:val="auto"/>
              </w:rPr>
              <w:t>From non-control/non-affiliate: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66,177,191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51,591,420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53,015,168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7"/>
                <w:szCs w:val="17"/>
                <w:color w:val="auto"/>
              </w:rPr>
              <w:t>Payment in-kind interest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2,991,900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3,690,049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7"/>
                <w:szCs w:val="17"/>
                <w:color w:val="auto"/>
              </w:rPr>
              <w:t>Interest income from U.S. Treasury Bills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7"/>
                <w:szCs w:val="17"/>
                <w:color w:val="auto"/>
              </w:rPr>
              <w:t>Other income from non-investment sources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From control/affiliate: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7"/>
                <w:szCs w:val="17"/>
                <w:color w:val="auto"/>
              </w:rPr>
              <w:t>Interest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113,554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 in-kind interest income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investment income</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71,358,455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57,626,303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55,139,136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Management fees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8,988,920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6,831,566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7"/>
                <w:szCs w:val="17"/>
                <w:color w:val="auto"/>
              </w:rPr>
              <w:t>Incentive fees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9,231,830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7,260,656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2,553,901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7"/>
                <w:szCs w:val="17"/>
                <w:color w:val="auto"/>
              </w:rPr>
              <w:t>Professional fees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1,281,776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1,156,550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Overhead allocation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7"/>
                <w:szCs w:val="17"/>
                <w:color w:val="auto"/>
              </w:rPr>
              <w:t>Administration fee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579,365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515,891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Debt financing fees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1,593,085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7"/>
                <w:szCs w:val="17"/>
                <w:color w:val="auto"/>
              </w:rPr>
              <w:t>Directors’ fees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293,479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Tax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expenses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1,516,947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1,064,322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26,866,767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19,556,586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18,685,305</w:t>
            </w:r>
          </w:p>
        </w:tc>
        <w:tc>
          <w:tcPr>
            <w:tcW w:w="0" w:type="dxa"/>
            <w:vAlign w:val="bottom"/>
          </w:tcPr>
          <w:p>
            <w:pPr>
              <w:spacing w:after="0"/>
              <w:rPr>
                <w:sz w:val="1"/>
                <w:szCs w:val="1"/>
                <w:color w:val="auto"/>
              </w:rPr>
            </w:pPr>
          </w:p>
        </w:tc>
      </w:tr>
      <w:tr>
        <w:trPr>
          <w:trHeight w:val="210"/>
        </w:trPr>
        <w:tc>
          <w:tcPr>
            <w:tcW w:w="6200" w:type="dxa"/>
            <w:vAlign w:val="bottom"/>
            <w:gridSpan w:val="2"/>
          </w:tcPr>
          <w:p>
            <w:pPr>
              <w:spacing w:after="0"/>
              <w:rPr>
                <w:sz w:val="20"/>
                <w:szCs w:val="20"/>
                <w:color w:val="auto"/>
              </w:rPr>
            </w:pPr>
            <w:r>
              <w:rPr>
                <w:rFonts w:ascii="Arial" w:cs="Arial" w:eastAsia="Arial" w:hAnsi="Arial"/>
                <w:sz w:val="17"/>
                <w:szCs w:val="17"/>
                <w:b w:val="1"/>
                <w:bCs w:val="1"/>
                <w:color w:val="auto"/>
              </w:rPr>
              <w:t>Net investment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44,491,688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38,069,717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36,453,831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7"/>
                <w:szCs w:val="17"/>
                <w:b w:val="1"/>
                <w:bCs w:val="1"/>
                <w:color w:val="auto"/>
              </w:rPr>
              <w:t>Realized and unrealized gain (loss) on investments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shd w:val="clear" w:color="auto" w:fill="CCEEFF"/>
          </w:tcPr>
          <w:p>
            <w:pPr>
              <w:ind w:left="100"/>
              <w:spacing w:after="0" w:line="185" w:lineRule="exact"/>
              <w:rPr>
                <w:sz w:val="20"/>
                <w:szCs w:val="20"/>
                <w:color w:val="auto"/>
              </w:rPr>
            </w:pPr>
            <w:r>
              <w:rPr>
                <w:rFonts w:ascii="Arial" w:cs="Arial" w:eastAsia="Arial" w:hAnsi="Arial"/>
                <w:sz w:val="17"/>
                <w:szCs w:val="17"/>
                <w:color w:val="auto"/>
                <w:w w:val="95"/>
              </w:rPr>
              <w:t>Realized gain (loss) on non-control/non-affiliate investments, including U.S. Treasury</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4,172,366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(5,347,409)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Bills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tcPr>
          <w:p>
            <w:pPr>
              <w:ind w:left="100"/>
              <w:spacing w:after="0" w:line="185" w:lineRule="exact"/>
              <w:rPr>
                <w:sz w:val="20"/>
                <w:szCs w:val="20"/>
                <w:color w:val="auto"/>
              </w:rPr>
            </w:pPr>
            <w:r>
              <w:rPr>
                <w:rFonts w:ascii="Arial" w:cs="Arial" w:eastAsia="Arial" w:hAnsi="Arial"/>
                <w:sz w:val="17"/>
                <w:szCs w:val="17"/>
                <w:color w:val="auto"/>
              </w:rPr>
              <w:t>Net change in unrealized appreciation (depreciation) on non-control/non-affiliate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2"/>
              </w:rPr>
              <w:t>(16,231,219)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13,970,465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7"/>
              </w:rPr>
              <w:t>(9,416,462)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80" w:type="dxa"/>
            <w:vAlign w:val="bottom"/>
          </w:tcPr>
          <w:p>
            <w:pPr>
              <w:ind w:left="100"/>
              <w:spacing w:after="0"/>
              <w:rPr>
                <w:sz w:val="20"/>
                <w:szCs w:val="20"/>
                <w:color w:val="auto"/>
              </w:rPr>
            </w:pPr>
            <w:r>
              <w:rPr>
                <w:rFonts w:ascii="Arial" w:cs="Arial" w:eastAsia="Arial" w:hAnsi="Arial"/>
                <w:sz w:val="17"/>
                <w:szCs w:val="17"/>
                <w:color w:val="auto"/>
              </w:rPr>
              <w:t>investments, including U.S. Treasury Bills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change in unrealized appreciation on control/affiliate investments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13,185,875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287,127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gridSpan w:val="2"/>
          </w:tcPr>
          <w:p>
            <w:pPr>
              <w:spacing w:after="0"/>
              <w:rPr>
                <w:sz w:val="20"/>
                <w:szCs w:val="20"/>
                <w:color w:val="auto"/>
              </w:rPr>
            </w:pPr>
            <w:r>
              <w:rPr>
                <w:rFonts w:ascii="Arial" w:cs="Arial" w:eastAsia="Arial" w:hAnsi="Arial"/>
                <w:sz w:val="17"/>
                <w:szCs w:val="17"/>
                <w:b w:val="1"/>
                <w:bCs w:val="1"/>
                <w:color w:val="auto"/>
              </w:rPr>
              <w:t>Net realized and unrealized gain (loss) on investments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8,910,183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(8,807,431)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increase in net assets resulting from operations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45,618,710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46,979,900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27,646,400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net assets resulting from operations per common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Net investment income per common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outstanding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39,593,658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27,617,425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18,701,021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15"/>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20" w:type="dxa"/>
            <w:vAlign w:val="bottom"/>
          </w:tcPr>
          <w:p>
            <w:pPr>
              <w:jc w:val="right"/>
              <w:ind w:right="11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120" w:type="dxa"/>
            <w:vAlign w:val="bottom"/>
          </w:tcPr>
          <w:p>
            <w:pPr>
              <w:jc w:val="right"/>
              <w:ind w:right="11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34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26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44,491,688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38,069,717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36,453,831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gain (loss) on non-control/non-affiliate investments, including U.S.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Treasury Bills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4,172,366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(5,347,409)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w w:val="94"/>
              </w:rPr>
              <w:t>Net change in unrealized appreciation (depreciation) on non-control/non-affiliate</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investments, including U.S. Treasury Bills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(16,231,219)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13,970,465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(9,416,462)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on control/affiliate investments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13,185,875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287,127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45,618,710</w:t>
            </w:r>
          </w:p>
        </w:tc>
        <w:tc>
          <w:tcPr>
            <w:tcW w:w="1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46,979,900</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27,646,400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Distributions to stockholders from:</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(44,942,937)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(39,709,233)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(40,651,334)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distributions to stockholders</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(44,942,937)</w:t>
            </w:r>
          </w:p>
        </w:tc>
        <w:tc>
          <w:tcPr>
            <w:tcW w:w="1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(39,709,233)</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(40,651,334)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119,293,828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50,315,308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Issuance of shares of common stock under dividend reinvestment plan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26,994,806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32,443,448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32,458,787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(7,013,601)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(98,959)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139,275,033</w:t>
            </w:r>
          </w:p>
        </w:tc>
        <w:tc>
          <w:tcPr>
            <w:tcW w:w="1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82,659,797</w:t>
            </w:r>
          </w:p>
        </w:tc>
        <w:tc>
          <w:tcPr>
            <w:tcW w:w="1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221,948,760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rPr>
          <w:sz w:val="20"/>
          <w:szCs w:val="20"/>
          <w:color w:val="auto"/>
        </w:rPr>
      </w:pPr>
      <w:r>
        <w:rPr>
          <w:rFonts w:ascii="Arial" w:cs="Arial" w:eastAsia="Arial" w:hAnsi="Arial"/>
          <w:sz w:val="18"/>
          <w:szCs w:val="18"/>
          <w:b w:val="1"/>
          <w:bCs w:val="1"/>
          <w:color w:val="auto"/>
        </w:rPr>
        <w:t>Total increase in net assets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assets at beginning of period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139,950,806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89,930,464</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208,943,826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466,243,685</w:t>
            </w:r>
          </w:p>
        </w:tc>
        <w:tc>
          <w:tcPr>
            <w:tcW w:w="14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376,313,221</w:t>
            </w:r>
          </w:p>
        </w:tc>
        <w:tc>
          <w:tcPr>
            <w:tcW w:w="1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167,369,395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$ 606,194,491</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$ 466,243,685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$ 376,313,221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-325120</wp:posOffset>
            </wp:positionV>
            <wp:extent cx="629221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540" w:space="720"/>
            <w:col w:w="3660"/>
          </w:cols>
          <w:pgMar w:left="980" w:top="517" w:right="99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9,966,563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5,602,837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14,754,619</w:t>
            </w: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outstanding at beginning of period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31,414,051</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25,811,214</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11,056,595</w:t>
            </w: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41,380,614</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31,414,051</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25,811,214</w:t>
            </w:r>
          </w:p>
        </w:tc>
      </w:tr>
      <w:tr>
        <w:trPr>
          <w:trHeight w:val="20"/>
        </w:trPr>
        <w:tc>
          <w:tcPr>
            <w:tcW w:w="6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40"/>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140"/>
              <w:spacing w:after="0"/>
              <w:rPr>
                <w:sz w:val="20"/>
                <w:szCs w:val="20"/>
                <w:color w:val="auto"/>
              </w:rPr>
            </w:pPr>
            <w:r>
              <w:rPr>
                <w:rFonts w:ascii="Arial" w:cs="Arial" w:eastAsia="Arial" w:hAnsi="Arial"/>
                <w:sz w:val="13"/>
                <w:szCs w:val="13"/>
                <w:b w:val="1"/>
                <w:bCs w:val="1"/>
                <w:color w:val="auto"/>
                <w:w w:val="97"/>
              </w:rPr>
              <w:t>Year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60"/>
              <w:spacing w:after="0"/>
              <w:rPr>
                <w:sz w:val="20"/>
                <w:szCs w:val="20"/>
                <w:color w:val="auto"/>
              </w:rPr>
            </w:pPr>
            <w:r>
              <w:rPr>
                <w:rFonts w:ascii="Arial" w:cs="Arial" w:eastAsia="Arial" w:hAnsi="Arial"/>
                <w:sz w:val="13"/>
                <w:szCs w:val="13"/>
                <w:b w:val="1"/>
                <w:bCs w:val="1"/>
                <w:color w:val="auto"/>
                <w:w w:val="97"/>
              </w:rPr>
              <w:t>Year Ended</w:t>
            </w:r>
          </w:p>
        </w:tc>
        <w:tc>
          <w:tcPr>
            <w:tcW w:w="0" w:type="dxa"/>
            <w:vAlign w:val="bottom"/>
          </w:tcPr>
          <w:p>
            <w:pPr>
              <w:spacing w:after="0"/>
              <w:rPr>
                <w:sz w:val="1"/>
                <w:szCs w:val="1"/>
                <w:color w:val="auto"/>
              </w:rPr>
            </w:pPr>
          </w:p>
        </w:tc>
      </w:tr>
      <w:tr>
        <w:trPr>
          <w:trHeight w:val="153"/>
        </w:trPr>
        <w:tc>
          <w:tcPr>
            <w:tcW w:w="60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Net increase in net assets resulting from operations</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45,618,710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46,979,900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27,646,400</w:t>
            </w:r>
          </w:p>
        </w:tc>
        <w:tc>
          <w:tcPr>
            <w:tcW w:w="0" w:type="dxa"/>
            <w:vAlign w:val="bottom"/>
          </w:tcPr>
          <w:p>
            <w:pPr>
              <w:spacing w:after="0"/>
              <w:rPr>
                <w:sz w:val="1"/>
                <w:szCs w:val="1"/>
                <w:color w:val="auto"/>
              </w:rPr>
            </w:pPr>
          </w:p>
        </w:tc>
      </w:tr>
      <w:tr>
        <w:trPr>
          <w:trHeight w:val="19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Adjustments to reconcile net increase in net assets resulting from operations to net cash</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provided by (used in) operating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Purchases of investments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(424,445,288)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2"/>
              </w:rPr>
              <w:t>(272,532,493)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(241,669,802)</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U.S. Treasury Bills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(210,001,787)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(276,000,012)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(315,836,640)</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Payment in-kind interest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(2,991,900)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(3,690,049)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(1,329,413)</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or repayments of investments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303,601,548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110,559,763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102,938,909</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Sales or maturities of U.S. Treasury Bills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234,998,939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279,984,131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295,955,273</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U.S. Treasury Bills sold short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25,999,624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Realized (gain) loss on investments, including U.S. Treasury Bills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(4,172,366)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5,347,409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(609,031)</w:t>
            </w:r>
          </w:p>
        </w:tc>
        <w:tc>
          <w:tcPr>
            <w:tcW w:w="0" w:type="dxa"/>
            <w:vAlign w:val="bottom"/>
          </w:tcPr>
          <w:p>
            <w:pPr>
              <w:spacing w:after="0"/>
              <w:rPr>
                <w:sz w:val="1"/>
                <w:szCs w:val="1"/>
                <w:color w:val="auto"/>
              </w:rPr>
            </w:pPr>
          </w:p>
        </w:tc>
      </w:tr>
      <w:tr>
        <w:trPr>
          <w:trHeight w:val="19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Net change in unrealized appreciation (depreciation) on investments, including U.S.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Bills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3,045,344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(14,257,592)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9,416,462</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Amortization of fixed income premiums or accretion of discounts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(7,742,317)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(9,255,732)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(13,021,775)</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debt costs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236,981</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 receivable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(740,903)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(720,008)</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Other accounts receivable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(457,065)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44,569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20,231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deferred expenses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(45,837)</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Payable for securities purchased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(80,699)</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Accrued incentive fees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1,003,185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1,424,078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2,511,421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Due to affiliate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(35,160)</w:t>
            </w:r>
          </w:p>
        </w:tc>
        <w:tc>
          <w:tcPr>
            <w:tcW w:w="0" w:type="dxa"/>
            <w:vAlign w:val="bottom"/>
          </w:tcPr>
          <w:p>
            <w:pPr>
              <w:spacing w:after="0"/>
              <w:rPr>
                <w:sz w:val="1"/>
                <w:szCs w:val="1"/>
                <w:color w:val="auto"/>
              </w:rPr>
            </w:pPr>
          </w:p>
        </w:tc>
      </w:tr>
      <w:tr>
        <w:trPr>
          <w:trHeight w:val="203"/>
        </w:trPr>
        <w:tc>
          <w:tcPr>
            <w:tcW w:w="6080" w:type="dxa"/>
            <w:vAlign w:val="bottom"/>
          </w:tcPr>
          <w:p>
            <w:pPr>
              <w:ind w:left="220"/>
              <w:spacing w:after="0"/>
              <w:rPr>
                <w:sz w:val="20"/>
                <w:szCs w:val="20"/>
                <w:color w:val="auto"/>
              </w:rPr>
            </w:pPr>
            <w:r>
              <w:rPr>
                <w:rFonts w:ascii="Arial" w:cs="Arial" w:eastAsia="Arial" w:hAnsi="Arial"/>
                <w:sz w:val="16"/>
                <w:szCs w:val="16"/>
                <w:color w:val="auto"/>
              </w:rPr>
              <w:t>Interest payable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(218,767)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(32,042)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336,075</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464,681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(237,299)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810,976</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(61,251,458)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(106,090,579)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(133,575,637)</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Deferred offering costs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102,865</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financing costs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(829,609)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(1,086,129)</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Borrowings under credit facilities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161,000,000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200,500,000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162,250,000</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under credit facilities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(199,000,000)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(162,500,000)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(160,750,000)</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Proceeds from 2026 Senior Notes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reverse repurchase agreements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149,249,338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248,749,477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289,385,422</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Repayments of reverse repurchase agreements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(174,124,375)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2"/>
              </w:rPr>
              <w:t>(253,693,279)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(294,351,749)</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to stockholders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(17,948,131)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(7,265,785)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(8,192,547)</w:t>
            </w:r>
          </w:p>
        </w:tc>
        <w:tc>
          <w:tcPr>
            <w:tcW w:w="0" w:type="dxa"/>
            <w:vAlign w:val="bottom"/>
          </w:tcPr>
          <w:p>
            <w:pPr>
              <w:spacing w:after="0"/>
              <w:rPr>
                <w:sz w:val="1"/>
                <w:szCs w:val="1"/>
                <w:color w:val="auto"/>
              </w:rPr>
            </w:pPr>
          </w:p>
        </w:tc>
      </w:tr>
      <w:tr>
        <w:trPr>
          <w:trHeight w:val="203"/>
        </w:trPr>
        <w:tc>
          <w:tcPr>
            <w:tcW w:w="6080" w:type="dxa"/>
            <w:vAlign w:val="bottom"/>
          </w:tcPr>
          <w:p>
            <w:pPr>
              <w:ind w:left="120"/>
              <w:spacing w:after="0"/>
              <w:rPr>
                <w:sz w:val="20"/>
                <w:szCs w:val="20"/>
                <w:color w:val="auto"/>
              </w:rPr>
            </w:pPr>
            <w:r>
              <w:rPr>
                <w:rFonts w:ascii="Arial" w:cs="Arial" w:eastAsia="Arial" w:hAnsi="Arial"/>
                <w:sz w:val="16"/>
                <w:szCs w:val="16"/>
                <w:color w:val="auto"/>
              </w:rPr>
              <w:t>Offering costs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(7,013,601)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(98,959)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(510,027)</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received from common stock issued</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119,293,828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50,315,308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190,000,000</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51,061,905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75,177,153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176,847,835</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(10,189,553)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(30,913,426)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43,272,198</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14,886,246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45,799,672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2,527,474</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4,696,693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14,886,246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45,799,672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and non-cash financing cash flow information:</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Taxes paid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183,510</w:t>
            </w:r>
          </w:p>
        </w:tc>
        <w:tc>
          <w:tcPr>
            <w:tcW w:w="0" w:type="dxa"/>
            <w:vAlign w:val="bottom"/>
          </w:tcPr>
          <w:p>
            <w:pPr>
              <w:spacing w:after="0"/>
              <w:rPr>
                <w:sz w:val="1"/>
                <w:szCs w:val="1"/>
                <w:color w:val="auto"/>
              </w:rPr>
            </w:pPr>
          </w:p>
        </w:tc>
      </w:tr>
      <w:tr>
        <w:trPr>
          <w:trHeight w:val="202"/>
        </w:trPr>
        <w:tc>
          <w:tcPr>
            <w:tcW w:w="6080" w:type="dxa"/>
            <w:vAlign w:val="bottom"/>
          </w:tcPr>
          <w:p>
            <w:pPr>
              <w:ind w:left="120"/>
              <w:spacing w:after="0"/>
              <w:rPr>
                <w:sz w:val="20"/>
                <w:szCs w:val="20"/>
                <w:color w:val="auto"/>
              </w:rPr>
            </w:pPr>
            <w:r>
              <w:rPr>
                <w:rFonts w:ascii="Arial" w:cs="Arial" w:eastAsia="Arial" w:hAnsi="Arial"/>
                <w:sz w:val="16"/>
                <w:szCs w:val="16"/>
                <w:color w:val="auto"/>
              </w:rPr>
              <w:t>Interest paid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2,772,668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1,096,192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850,391</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portfolio purchases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2,925,095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23,959,450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080" w:type="dxa"/>
            <w:vAlign w:val="bottom"/>
          </w:tcPr>
          <w:p>
            <w:pPr>
              <w:ind w:left="120"/>
              <w:spacing w:after="0"/>
              <w:rPr>
                <w:sz w:val="20"/>
                <w:szCs w:val="20"/>
                <w:color w:val="auto"/>
              </w:rPr>
            </w:pPr>
            <w:r>
              <w:rPr>
                <w:rFonts w:ascii="Arial" w:cs="Arial" w:eastAsia="Arial" w:hAnsi="Arial"/>
                <w:sz w:val="16"/>
                <w:szCs w:val="16"/>
                <w:color w:val="auto"/>
              </w:rPr>
              <w:t>Non-cash dividend reinvestments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26,994,806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32,443,448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32,458,787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740" w:type="dxa"/>
            <w:vAlign w:val="bottom"/>
            <w:tcBorders>
              <w:top w:val="single" w:sz="8" w:color="auto"/>
              <w:bottom w:val="single" w:sz="8" w:color="auto"/>
            </w:tcBorders>
            <w:gridSpan w:val="4"/>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Control/affiliate investments</w:t>
            </w:r>
          </w:p>
        </w:tc>
        <w:tc>
          <w:tcPr>
            <w:tcW w:w="1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b w:val="1"/>
                <w:bCs w:val="1"/>
                <w:color w:val="auto"/>
                <w:w w:val="89"/>
              </w:rPr>
              <w:t>(15)</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02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3"/>
              </w:rPr>
              <w:t>Senior Secured Term Loans</w:t>
            </w:r>
            <w:r>
              <w:rPr>
                <w:rFonts w:ascii="Arial" w:cs="Arial" w:eastAsia="Arial" w:hAnsi="Arial"/>
                <w:sz w:val="10"/>
                <w:szCs w:val="10"/>
                <w:b w:val="1"/>
                <w:bCs w:val="1"/>
                <w:color w:val="auto"/>
                <w:w w:val="93"/>
              </w:rPr>
              <w:t>(7),(8)</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LIBOR+12.00%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5/16/2017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6,519,240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6,502,036</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7,567,610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8/3/2017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2,173,080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2,170,069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2,522,537</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III: LIBOR+12.00%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542,721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543,783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629,997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541,964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542,215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629,118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V: LIBOR+12.00%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1,079,293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1,073,081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1,252,833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1/31/2022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12/18/2019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824,143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824,143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1,008,093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LIBOR+8.50%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11.00% floor, 4.00%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18,598,265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19,172,352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14,649,788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20" w:type="dxa"/>
            <w:vAlign w:val="bottom"/>
            <w:gridSpan w:val="6"/>
          </w:tcPr>
          <w:p>
            <w:pPr>
              <w:spacing w:after="0" w:line="126" w:lineRule="exact"/>
              <w:rPr>
                <w:sz w:val="20"/>
                <w:szCs w:val="20"/>
                <w:color w:val="auto"/>
              </w:rPr>
            </w:pPr>
            <w:r>
              <w:rPr>
                <w:rFonts w:ascii="Arial" w:cs="Arial" w:eastAsia="Arial" w:hAnsi="Arial"/>
                <w:sz w:val="14"/>
                <w:szCs w:val="14"/>
                <w:b w:val="1"/>
                <w:bCs w:val="1"/>
                <w:color w:val="auto"/>
              </w:rPr>
              <w:t>Total Senior Secured Term</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7"/>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30,827,679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28,259,976</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Stocks</w:t>
            </w:r>
            <w:r>
              <w:rPr>
                <w:rFonts w:ascii="Arial" w:cs="Arial" w:eastAsia="Arial" w:hAnsi="Arial"/>
                <w:sz w:val="10"/>
                <w:szCs w:val="10"/>
                <w:b w:val="1"/>
                <w:bCs w:val="1"/>
                <w:color w:val="auto"/>
              </w:rPr>
              <w:t>(7)</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Series A-1 Preferred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67,114,092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870,395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Pivot3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1 Preferred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2,675,585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6"/>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2,800,000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870,395</w:t>
            </w: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tcPr>
          <w:p>
            <w:pPr>
              <w:spacing w:after="0" w:line="130" w:lineRule="exact"/>
              <w:rPr>
                <w:sz w:val="20"/>
                <w:szCs w:val="20"/>
                <w:color w:val="auto"/>
              </w:rPr>
            </w:pPr>
            <w:r>
              <w:rPr>
                <w:rFonts w:ascii="Arial" w:cs="Arial" w:eastAsia="Arial" w:hAnsi="Arial"/>
                <w:sz w:val="14"/>
                <w:szCs w:val="14"/>
                <w:color w:val="auto"/>
              </w:rPr>
              <w:t>Mojix,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$1.286/share,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2,349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119,320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$2.1286/share,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$5.57338/share,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828,522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1,246,167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6"/>
          </w:tcPr>
          <w:p>
            <w:pPr>
              <w:spacing w:after="0" w:line="115" w:lineRule="exact"/>
              <w:rPr>
                <w:sz w:val="20"/>
                <w:szCs w:val="20"/>
                <w:color w:val="auto"/>
              </w:rPr>
            </w:pPr>
            <w:r>
              <w:rPr>
                <w:rFonts w:ascii="Arial" w:cs="Arial" w:eastAsia="Arial" w:hAnsi="Arial"/>
                <w:sz w:val="13"/>
                <w:szCs w:val="13"/>
                <w:b w:val="1"/>
                <w:bCs w:val="1"/>
                <w:color w:val="auto"/>
              </w:rPr>
              <w:t>Total Control/affiliate</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34,873,846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29,130,371</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4.80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20" w:type="dxa"/>
            <w:vAlign w:val="bottom"/>
            <w:tcBorders>
              <w:top w:val="single" w:sz="8" w:color="CCEEFF"/>
            </w:tcBorders>
            <w:gridSpan w:val="6"/>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Non-control/non-affiliate</w:t>
            </w:r>
          </w:p>
        </w:tc>
        <w:tc>
          <w:tcPr>
            <w:tcW w:w="10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80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50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(8)</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rPr>
              <w:t>Aginity,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LIBOR+9.50%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899,054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899,054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Fixed 6.50% PIK, due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4,472,419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4,472,419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2,348,809</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LIBOR+9.00%, 9.50%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12/30/2025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12/30/2021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5,000,000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4,847,557</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4,847,557</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0.80 %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LIBOR+9.00%, 9.50%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3.00% ETP, due 12/30/2025</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12/30/2021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20,000,743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20,000,743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3.30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LIBOR+5.00%, 5.50%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3.75% PIK, 2.00%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3/31/2025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20,546,075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20,326,021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20,326,021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LIBOR+7.75%, 8.25%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4.50%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rPr>
              <w:t>9/30/2019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35,861,035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35,848,514</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5.91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LIBOR+7.75%, 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0.75%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29,970,285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30,727,298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5.07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PIK, 12.00%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 xml:space="preserve">7.50% ETP, due 12/15/2022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17,574,000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18,111,074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15,884,482</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2.62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xml:space="preserve">2.00% ETP, due 8/17/2025 </w:t>
            </w:r>
            <w:r>
              <w:rPr>
                <w:rFonts w:ascii="Arial" w:cs="Arial" w:eastAsia="Arial" w:hAnsi="Arial"/>
                <w:sz w:val="10"/>
                <w:szCs w:val="10"/>
                <w:color w:val="auto"/>
              </w:rPr>
              <w:t>(3)(13)</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34,863,473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34,863,473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5.75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9"/>
              </w:rPr>
              <w:t>CrossRoads Extremity Systems,</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LIBOR+8.15%, 1.50%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LLC</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8.65% floor, 3.50%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7/1/2025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6/29/2021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7,552,967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7,381,304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7,701,001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LIBOR+9.50%, 10.00%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1.75% ETP, due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9,942,422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9,942,422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LIBOR+11.00%, 12.0%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2.39% ETP, due 5/13/2024</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13,641,254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13,623,763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13,623,763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LIBOR+9.25%, 9.75%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5.00% ETP, due 8/21/2023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45,490,925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45,490,925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7.50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LIBOR+9.25%, 9.75%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5.00% 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rPr>
              <w:t>9/30/2021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9,990,162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9,990,162</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3.50%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29,799,392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29,799,392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4.92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LIBOR+9.00%, 9.50%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2.50% ETP, due 11/15/2025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11/15/2021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39,916,175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39,916,175</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6.59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6"/>
              </w:rPr>
              <w:t>Intellisite Holdings, Inc. (dba Epic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Electronic</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LIBOR+9.75%, 10.25%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IO Technologies, Inc.)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Equipment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2.00% ETP, due 12/17/2025</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Instruments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18,521,523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18,521,523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Marley Spoon AG</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LIBOR+8.50%, 1.25%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gridSpan w:val="3"/>
          </w:tcPr>
          <w:p>
            <w:pPr>
              <w:ind w:left="100"/>
              <w:spacing w:after="0" w:line="157" w:lineRule="exact"/>
              <w:rPr>
                <w:sz w:val="20"/>
                <w:szCs w:val="20"/>
                <w:color w:val="auto"/>
              </w:rPr>
            </w:pPr>
            <w:r>
              <w:rPr>
                <w:rFonts w:ascii="Arial" w:cs="Arial" w:eastAsia="Arial" w:hAnsi="Arial"/>
                <w:sz w:val="14"/>
                <w:szCs w:val="14"/>
                <w:color w:val="auto"/>
                <w:w w:val="99"/>
              </w:rPr>
              <w:t xml:space="preserve">PIK, 9.00% floor, due 6/15/2025 </w:t>
            </w:r>
            <w:r>
              <w:rPr>
                <w:rFonts w:ascii="Arial" w:cs="Arial" w:eastAsia="Arial" w:hAnsi="Arial"/>
                <w:sz w:val="10"/>
                <w:szCs w:val="10"/>
                <w:color w:val="auto"/>
                <w:w w:val="99"/>
              </w:rPr>
              <w:t>(3)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6/30/2021</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26,442,863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26,061,371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26,061,370</w:t>
            </w:r>
          </w:p>
        </w:tc>
        <w:tc>
          <w:tcPr>
            <w:tcW w:w="120" w:type="dxa"/>
            <w:vAlign w:val="bottom"/>
          </w:tcPr>
          <w:p>
            <w:pPr>
              <w:spacing w:after="0"/>
              <w:rPr>
                <w:sz w:val="13"/>
                <w:szCs w:val="13"/>
                <w:color w:val="auto"/>
              </w:rPr>
            </w:pPr>
          </w:p>
        </w:tc>
        <w:tc>
          <w:tcPr>
            <w:tcW w:w="500" w:type="dxa"/>
            <w:vAlign w:val="bottom"/>
            <w:vMerge w:val="restart"/>
          </w:tcPr>
          <w:p>
            <w:pPr>
              <w:ind w:left="200"/>
              <w:spacing w:after="0"/>
              <w:rPr>
                <w:sz w:val="20"/>
                <w:szCs w:val="20"/>
                <w:color w:val="auto"/>
              </w:rPr>
            </w:pPr>
            <w:r>
              <w:rPr>
                <w:rFonts w:ascii="Arial" w:cs="Arial" w:eastAsia="Arial" w:hAnsi="Arial"/>
                <w:sz w:val="14"/>
                <w:szCs w:val="14"/>
                <w:color w:val="auto"/>
              </w:rPr>
              <w:t>4.30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gridSpan w:val="2"/>
          </w:tcPr>
          <w:p>
            <w:pPr>
              <w:ind w:left="100"/>
              <w:spacing w:after="0"/>
              <w:rPr>
                <w:sz w:val="20"/>
                <w:szCs w:val="20"/>
                <w:color w:val="auto"/>
              </w:rPr>
            </w:pPr>
            <w:r>
              <w:rPr>
                <w:rFonts w:ascii="Arial" w:cs="Arial" w:eastAsia="Arial" w:hAnsi="Arial"/>
                <w:sz w:val="11"/>
                <w:szCs w:val="11"/>
                <w:color w:val="auto"/>
              </w:rPr>
              <w:t>(4)(12)</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LIBOR+8.50%, 1.25%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6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4"/>
                <w:szCs w:val="14"/>
                <w:color w:val="auto"/>
                <w:w w:val="99"/>
              </w:rPr>
              <w:t xml:space="preserve">PIK, 9.00% floor, due 6/15/2025 </w:t>
            </w:r>
            <w:r>
              <w:rPr>
                <w:rFonts w:ascii="Arial" w:cs="Arial" w:eastAsia="Arial" w:hAnsi="Arial"/>
                <w:sz w:val="10"/>
                <w:szCs w:val="10"/>
                <w:color w:val="auto"/>
                <w:w w:val="99"/>
              </w:rPr>
              <w:t>(3)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12/29/2021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8,100,000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8,019,228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8,019,228</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1.32</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(4)(12)</w:t>
            </w: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.25% PIK, 10.00%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8/15/2022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3,958,483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4,473,959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4,371,891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0.72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LIBOR+8.48%, 8.98%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3.95% ETP, due 7/1/2026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12,675,523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12,675,523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(8)</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4.00%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9,946,271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9,946,271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LIBOR+9.25%, 11.60%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3.00% ETP, due 7/15/2023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19,348,875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19,348,874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751,979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LIBOR+9.25%,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7/24/2019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998,484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998,484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IV: LIBOR+8.25%,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1,014,040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Snagajob.com,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LIBOR+8.50%, 9.00%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2.75% ETP, due 9/1/2025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9/29/2021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37,315,385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36,847,618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36,847,618</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Turning Tech Intermediate,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LIBOR+10.50%, 11.00%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3.00% ETP, due 12/15/2024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20,098,640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20,098,640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LIBOR+9.05%, 9.55%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3.00% ETP, due 12/1/2024</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12/29/2020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24,681,082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24,681,082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LIBOR+9.05%, 9.55%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3.00% ETP, due 12/1/2024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14,990,171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14,990,171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VTX Intermediate Holdings,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LIBOR+9.00%, 9.50%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gridSpan w:val="4"/>
          </w:tcPr>
          <w:p>
            <w:pPr>
              <w:spacing w:after="0"/>
              <w:rPr>
                <w:sz w:val="20"/>
                <w:szCs w:val="20"/>
                <w:color w:val="auto"/>
              </w:rPr>
            </w:pPr>
            <w:r>
              <w:rPr>
                <w:rFonts w:ascii="Arial" w:cs="Arial" w:eastAsia="Arial" w:hAnsi="Arial"/>
                <w:sz w:val="14"/>
                <w:szCs w:val="14"/>
                <w:color w:val="auto"/>
              </w:rPr>
              <w:t>(dba VertexOne)</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4.50% ETP, due 12/28/2026</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75,000,000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74,257,185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74,257,185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20" w:type="dxa"/>
            <w:vAlign w:val="bottom"/>
            <w:tcBorders>
              <w:top w:val="single" w:sz="8" w:color="CCEEFF"/>
            </w:tcBorders>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0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598,181,753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594,793,670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Lien Term Loans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LIBOR+5.00%, 5.50 floor, 5.00%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4"/>
                <w:szCs w:val="14"/>
                <w:color w:val="auto"/>
              </w:rPr>
              <w:t>PIK, 3.00% ETP, due 12/22/2025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12/22/2021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13,000,000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12,872,588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12,872,588</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(3)(4)(11)</w:t>
            </w: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w w:val="98"/>
              </w:rPr>
              <w:t>Total Second Lien Term Loans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12,872,588</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12,872,588</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Stocks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7/10/2018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289,419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462,025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11% Series A Cumulative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Redeemable Perpetual Preferred</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line="167" w:lineRule="exact"/>
              <w:rPr>
                <w:sz w:val="20"/>
                <w:szCs w:val="20"/>
                <w:color w:val="auto"/>
              </w:rPr>
            </w:pPr>
            <w:r>
              <w:rPr>
                <w:rFonts w:ascii="Arial" w:cs="Arial" w:eastAsia="Arial" w:hAnsi="Arial"/>
                <w:sz w:val="19"/>
                <w:szCs w:val="19"/>
                <w:color w:val="auto"/>
                <w:vertAlign w:val="subscript"/>
              </w:rPr>
              <w:t>Stock</w:t>
            </w:r>
            <w:r>
              <w:rPr>
                <w:rFonts w:ascii="Arial" w:cs="Arial" w:eastAsia="Arial" w:hAnsi="Arial"/>
                <w:sz w:val="9"/>
                <w:szCs w:val="9"/>
                <w:color w:val="auto"/>
              </w:rPr>
              <w:t xml:space="preserve"> (16)(19)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544,178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14,287,836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15,704,705</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14,537,836</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16,166,730</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Internet Retail</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Class P Units </w:t>
            </w:r>
            <w:r>
              <w:rPr>
                <w:rFonts w:ascii="Arial" w:cs="Arial" w:eastAsia="Arial" w:hAnsi="Arial"/>
                <w:sz w:val="10"/>
                <w:szCs w:val="10"/>
                <w:color w:val="auto"/>
              </w:rPr>
              <w:t>(18)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9/22/2021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526,845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984,036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8,903,933</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(16)(19)</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12/21/2021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22,278</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Quantum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30" w:lineRule="exact"/>
              <w:rPr>
                <w:sz w:val="20"/>
                <w:szCs w:val="20"/>
                <w:color w:val="auto"/>
              </w:rPr>
            </w:pPr>
            <w:r>
              <w:rPr>
                <w:rFonts w:ascii="Arial" w:cs="Arial" w:eastAsia="Arial" w:hAnsi="Arial"/>
                <w:sz w:val="11"/>
                <w:szCs w:val="11"/>
                <w:color w:val="auto"/>
              </w:rPr>
              <w:t xml:space="preserve">Common Stock </w:t>
            </w:r>
            <w:r>
              <w:rPr>
                <w:rFonts w:ascii="Arial" w:cs="Arial" w:eastAsia="Arial" w:hAnsi="Arial"/>
                <w:sz w:val="15"/>
                <w:szCs w:val="15"/>
                <w:color w:val="auto"/>
                <w:vertAlign w:val="superscript"/>
              </w:rPr>
              <w:t>(3)(16)(19)</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8/13/2021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459,720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2,606,612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2,537,654</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zSpace,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12/31/2020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6,078,499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1,119,096</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4,709,744</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11,463,865</w:t>
            </w:r>
          </w:p>
        </w:tc>
        <w:tc>
          <w:tcPr>
            <w:tcW w:w="1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Aginity,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3/9/2030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811,770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1,009,216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AllClear ID,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9/1/2027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1,749,733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898,370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Allurion Technologies,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C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$6.58/share,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3/30/2031</w:t>
            </w:r>
          </w:p>
        </w:tc>
        <w:tc>
          <w:tcPr>
            <w:tcW w:w="720" w:type="dxa"/>
            <w:vAlign w:val="bottom"/>
          </w:tcPr>
          <w:p>
            <w:pPr>
              <w:jc w:val="right"/>
              <w:spacing w:after="0"/>
              <w:rPr>
                <w:sz w:val="20"/>
                <w:szCs w:val="20"/>
                <w:color w:val="auto"/>
              </w:rPr>
            </w:pPr>
            <w:r>
              <w:rPr>
                <w:rFonts w:ascii="Arial" w:cs="Arial" w:eastAsia="Arial" w:hAnsi="Arial"/>
                <w:sz w:val="14"/>
                <w:szCs w:val="14"/>
                <w:color w:val="auto"/>
              </w:rPr>
              <w:t>3/30/2021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132,978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282,462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638,313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G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$0.8638/share, expires 6/29/2028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2,387,705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1,047,581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3,811,702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$6.87/share,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7/25/2022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224,174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583,301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Bombora,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$3.29/share,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3/31/2031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292,372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CareCloud,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$7.50/share,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1/8/2022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1/8/2023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12/20/2028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12/20/2018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1,538,462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808,617</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10/31/2029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10/31/2019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845,540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202,154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CloudPay,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Stock, exercise price $66.53/share,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expires 6/30/2030 </w:t>
            </w:r>
            <w:r>
              <w:rPr>
                <w:rFonts w:ascii="Arial" w:cs="Arial" w:eastAsia="Arial" w:hAnsi="Arial"/>
                <w:sz w:val="10"/>
                <w:szCs w:val="10"/>
                <w:color w:val="auto"/>
              </w:rPr>
              <w:t>(3)(13)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217,500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807,139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$171.3182/share,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8/17/2031 </w:t>
            </w:r>
            <w:r>
              <w:rPr>
                <w:rFonts w:ascii="Arial" w:cs="Arial" w:eastAsia="Arial" w:hAnsi="Arial"/>
                <w:sz w:val="10"/>
                <w:szCs w:val="10"/>
                <w:color w:val="auto"/>
              </w:rPr>
              <w:t>(3)(13)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1/7/2030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191,601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424,800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1,578,981</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CrossRoads Extremity Systems,</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$3.79/share,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6/29/2031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94,888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209,843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5/31/2029 </w:t>
            </w:r>
            <w:r>
              <w:rPr>
                <w:rFonts w:ascii="Arial" w:cs="Arial" w:eastAsia="Arial" w:hAnsi="Arial"/>
                <w:sz w:val="10"/>
                <w:szCs w:val="10"/>
                <w:color w:val="auto"/>
              </w:rPr>
              <w:t>(3)(11)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333,621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192,499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574,831</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$0.6000/share, expires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306,799</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$0.6000/share, expires 7/11/2026</w:t>
            </w:r>
          </w:p>
        </w:tc>
        <w:tc>
          <w:tcPr>
            <w:tcW w:w="72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833,333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114,719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511,332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Fidelis Cybersecurity,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$337.50/share,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expires 5/13/2031 </w:t>
            </w:r>
            <w:r>
              <w:rPr>
                <w:rFonts w:ascii="Arial" w:cs="Arial" w:eastAsia="Arial" w:hAnsi="Arial"/>
                <w:sz w:val="10"/>
                <w:szCs w:val="10"/>
                <w:color w:val="auto"/>
              </w:rPr>
              <w:t>(17)</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10/19/2030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194,673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438,014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2,232,569</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G Convertible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$0.04021/share,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11/19/2031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11/19/2021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16,786,869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128,142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$9.29/share,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7/26/2029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150,804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522,083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1,721,243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6"/>
              </w:rPr>
              <w:t>Intellisite Holdings, Inc. (dba Epic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Electronic</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Success fee, expires 12/17/2024</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IO Technologies, Inc.)</w:t>
            </w: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Equipment &amp;</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Instruments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12/17/2021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234,314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$1.49/share,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12/12/2029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387,596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359,302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$1.1938/share, expires 7/22/2029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185,467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w w:val="97"/>
              </w:rPr>
              <w:t>Mingle Healthcare Solutions,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$0.24/share,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8/15/2028</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1,625,000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492,375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C-1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$1.46432/share,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12/28/2028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(16)</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12/23/2020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$4.4464/share, expires 10/5/2028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w w:val="98"/>
              </w:rPr>
              <w:t>$4.4464/share, expires 12/28/2028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22,491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$6.78/share,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6/27/2029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tcPr>
          <w:p>
            <w:pPr>
              <w:spacing w:after="0" w:line="130" w:lineRule="exact"/>
              <w:rPr>
                <w:sz w:val="20"/>
                <w:szCs w:val="20"/>
                <w:color w:val="auto"/>
              </w:rPr>
            </w:pPr>
            <w:r>
              <w:rPr>
                <w:rFonts w:ascii="Arial" w:cs="Arial" w:eastAsia="Arial" w:hAnsi="Arial"/>
                <w:sz w:val="14"/>
                <w:szCs w:val="14"/>
                <w:color w:val="auto"/>
              </w:rPr>
              <w:t>Route 92 Medical,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 xml:space="preserve">Success fee, expires 8/17/2031 </w:t>
            </w:r>
            <w:r>
              <w:rPr>
                <w:rFonts w:ascii="Arial" w:cs="Arial" w:eastAsia="Arial" w:hAnsi="Arial"/>
                <w:sz w:val="10"/>
                <w:szCs w:val="10"/>
                <w:color w:val="auto"/>
                <w:w w:val="96"/>
              </w:rPr>
              <w:t>(14)</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8/17/2021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248,118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261,443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Scale Computing,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price $0.8031/share,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3/29/2029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9,665,667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(2),(6)</w:t>
            </w:r>
          </w:p>
        </w:tc>
        <w:tc>
          <w:tcPr>
            <w:tcW w:w="640" w:type="dxa"/>
            <w:vAlign w:val="bottom"/>
            <w:gridSpan w:val="2"/>
          </w:tcPr>
          <w:p>
            <w:pPr>
              <w:jc w:val="right"/>
              <w:ind w:right="248"/>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SetPoint Medical Corporation</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$1.00/share,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6/29/2031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3"/>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D-3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$2.4320/share, expires 12/3/2028</w:t>
            </w: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647,615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2,162,000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2,162,000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Snagajob.com, Inc.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Series B-1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$1.30/share,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expires 9/29/31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334,353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STN Video Inc.</w:t>
            </w:r>
          </w:p>
        </w:tc>
        <w:tc>
          <w:tcPr>
            <w:tcW w:w="10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Advertising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Class B Non-Voting</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$0.67/share,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6/30/2027</w:t>
            </w:r>
          </w:p>
        </w:tc>
        <w:tc>
          <w:tcPr>
            <w:tcW w:w="720" w:type="dxa"/>
            <w:vAlign w:val="bottom"/>
          </w:tcPr>
          <w:p>
            <w:pPr>
              <w:jc w:val="right"/>
              <w:spacing w:after="0"/>
              <w:rPr>
                <w:sz w:val="20"/>
                <w:szCs w:val="20"/>
                <w:color w:val="auto"/>
              </w:rPr>
            </w:pPr>
            <w:r>
              <w:rPr>
                <w:rFonts w:ascii="Arial" w:cs="Arial" w:eastAsia="Arial" w:hAnsi="Arial"/>
                <w:sz w:val="14"/>
                <w:szCs w:val="14"/>
                <w:color w:val="auto"/>
              </w:rPr>
              <w:t>6/30/2017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191,500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246,461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Success fee, expires 12/29/2025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12/29/2020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376,500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485,311</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17,146,974</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20,087,550</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647,448,895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655,384,403</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108.12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2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U.S. Treasury</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U.S. Treasury Bill, 0.033%, due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1/11/2022 </w:t>
            </w:r>
            <w:r>
              <w:rPr>
                <w:rFonts w:ascii="Arial" w:cs="Arial" w:eastAsia="Arial" w:hAnsi="Arial"/>
                <w:sz w:val="10"/>
                <w:szCs w:val="10"/>
                <w:color w:val="auto"/>
              </w:rPr>
              <w:t>(9)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12/30/2021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45,001,250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45,001,500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727,323,991</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729,516,274</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120.34</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660" w:hanging="328"/>
        <w:spacing w:after="0" w:line="238"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2021, the 3-Month LIBOR was 0.21% and the U.S. Prime Rate was 3.25%.</w:t>
      </w:r>
    </w:p>
    <w:p>
      <w:pPr>
        <w:spacing w:after="0" w:line="7"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The Company's investments are generally acquired in private transactions exempt from registration under the Securities Act of 1933, as amended (the "Securities Act") and, therefore, except as otherwise noted, are subject to limitations on resale, may be deemed to be "restricted securities" under the Securities Act, and were valued as determined in good faith by the Company's Board of Directors.</w:t>
      </w:r>
    </w:p>
    <w:p>
      <w:pPr>
        <w:spacing w:after="0" w:line="7" w:lineRule="exact"/>
        <w:rPr>
          <w:rFonts w:ascii="Arial" w:cs="Arial" w:eastAsia="Arial" w:hAnsi="Arial"/>
          <w:sz w:val="11"/>
          <w:szCs w:val="11"/>
          <w:color w:val="auto"/>
        </w:rPr>
      </w:pPr>
    </w:p>
    <w:p>
      <w:pPr>
        <w:jc w:val="both"/>
        <w:ind w:left="660" w:right="20" w:hanging="328"/>
        <w:spacing w:after="0" w:line="254" w:lineRule="auto"/>
        <w:tabs>
          <w:tab w:leader="none" w:pos="660" w:val="left"/>
        </w:tabs>
        <w:numPr>
          <w:ilvl w:val="0"/>
          <w:numId w:val="62"/>
        </w:numPr>
        <w:rPr>
          <w:rFonts w:ascii="Arial" w:cs="Arial" w:eastAsia="Arial" w:hAnsi="Arial"/>
          <w:sz w:val="10"/>
          <w:szCs w:val="10"/>
          <w:color w:val="auto"/>
        </w:rPr>
      </w:pPr>
      <w:r>
        <w:rPr>
          <w:rFonts w:ascii="Arial" w:cs="Arial" w:eastAsia="Arial" w:hAnsi="Arial"/>
          <w:sz w:val="13"/>
          <w:szCs w:val="13"/>
          <w:color w:val="auto"/>
        </w:rPr>
        <w:t>Investment is not a qualifying investment as defined under Section 55(a) of the Investment Company Act of 1940, as amended. Non-qualifying assets represent 12.35% of total investments at fair value as of December 31, 2021.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 w:lineRule="exact"/>
        <w:rPr>
          <w:rFonts w:ascii="Arial" w:cs="Arial" w:eastAsia="Arial" w:hAnsi="Arial"/>
          <w:sz w:val="10"/>
          <w:szCs w:val="10"/>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Represents a PIK security. PIK interest will be accrued and paid at maturity.</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Disclosures of end-of-term payments ("ETP") are one-time payments stated as a percentage of original principal amount.</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28" w:lineRule="exact"/>
        <w:rPr>
          <w:rFonts w:ascii="Arial" w:cs="Arial" w:eastAsia="Arial" w:hAnsi="Arial"/>
          <w:sz w:val="11"/>
          <w:szCs w:val="11"/>
          <w:color w:val="auto"/>
        </w:rPr>
      </w:pPr>
    </w:p>
    <w:p>
      <w:pPr>
        <w:ind w:left="660" w:right="20" w:hanging="328"/>
        <w:spacing w:after="0" w:line="251"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Pivot3, Inc., Marley Spoon AG, Mojix, Inc., and The Kairn Corporation senior secured term loans.</w:t>
      </w:r>
    </w:p>
    <w:p>
      <w:pPr>
        <w:jc w:val="both"/>
        <w:ind w:left="660" w:hanging="328"/>
        <w:spacing w:after="0" w:line="238"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Treasury bill with $45,000,000 par value purchased pursuant to a 0.25% reverse repurchase agreement with Goldman Sachs, dated December 30, 2021, due January 6, 2022, with a repurchase price of $44,774,963 and collateralized by a 0.033% U.S. Treasury Bill due January 11, 2022 with a par value of $45,000,000 and fair value of $45,001,560.</w:t>
      </w:r>
    </w:p>
    <w:p>
      <w:pPr>
        <w:spacing w:after="0" w:line="7"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 is domiciled in Germany.</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28"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1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06"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28" w:lineRule="exact"/>
        <w:rPr>
          <w:rFonts w:ascii="Arial" w:cs="Arial" w:eastAsia="Arial" w:hAnsi="Arial"/>
          <w:sz w:val="11"/>
          <w:szCs w:val="11"/>
          <w:color w:val="auto"/>
        </w:rPr>
      </w:pPr>
    </w:p>
    <w:p>
      <w:pPr>
        <w:ind w:left="660" w:hanging="328"/>
        <w:spacing w:after="0"/>
        <w:tabs>
          <w:tab w:leader="none" w:pos="660"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warrant count is based upon a percentage of ownership of Fidelis Cybersecurity, Inc.</w:t>
      </w:r>
    </w:p>
    <w:p>
      <w:pPr>
        <w:spacing w:after="0" w:line="28"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63"/>
        </w:numPr>
        <w:rPr>
          <w:rFonts w:ascii="Arial" w:cs="Arial" w:eastAsia="Arial" w:hAnsi="Arial"/>
          <w:sz w:val="11"/>
          <w:szCs w:val="11"/>
          <w:color w:val="auto"/>
        </w:rPr>
      </w:pPr>
      <w:r>
        <w:rPr>
          <w:rFonts w:ascii="Arial" w:cs="Arial" w:eastAsia="Arial" w:hAnsi="Arial"/>
          <w:sz w:val="14"/>
          <w:szCs w:val="14"/>
          <w:color w:val="auto"/>
        </w:rPr>
        <w:t>As a result of Brilliant Earth Group Inc.'s (the Public Company) IPO though an Up-C structure, the Company received a share of Class B common stock in Brilliant Earth Group, Inc. for every Class P unit it held in Brilliant Earth, LLC. On a one-to-one basis, both the Class B common stock and Class P units can be surrendered for Class A common stock in the Public Company.</w:t>
      </w:r>
    </w:p>
    <w:p>
      <w:pPr>
        <w:spacing w:after="0" w:line="7" w:lineRule="exact"/>
        <w:rPr>
          <w:rFonts w:ascii="Arial" w:cs="Arial" w:eastAsia="Arial" w:hAnsi="Arial"/>
          <w:sz w:val="11"/>
          <w:szCs w:val="11"/>
          <w:color w:val="auto"/>
        </w:rPr>
      </w:pPr>
    </w:p>
    <w:p>
      <w:pPr>
        <w:ind w:left="660" w:hanging="328"/>
        <w:spacing w:after="0"/>
        <w:tabs>
          <w:tab w:leader="none" w:pos="660" w:val="left"/>
        </w:tabs>
        <w:numPr>
          <w:ilvl w:val="0"/>
          <w:numId w:val="63"/>
        </w:numPr>
        <w:rPr>
          <w:rFonts w:ascii="Arial" w:cs="Arial" w:eastAsia="Arial" w:hAnsi="Arial"/>
          <w:sz w:val="11"/>
          <w:szCs w:val="11"/>
          <w:color w:val="auto"/>
        </w:rPr>
      </w:pPr>
      <w:r>
        <w:rPr>
          <w:rFonts w:ascii="Arial" w:cs="Arial" w:eastAsia="Arial" w:hAnsi="Arial"/>
          <w:sz w:val="14"/>
          <w:szCs w:val="14"/>
          <w:color w:val="auto"/>
        </w:rPr>
        <w:t>Investment is not a "restricted security" under the Securities Act.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shows the fair value of the portfolio company investments in which we are deemed to exercise a controlling influence over the management or policies of the portfolio company, as defined in the 1940 Act, due to beneficially owning, either directly or through one or more controlled companies, more than 25% of the outstanding voting securities of the portfolio company as of December 31, 2021, along with the transactions during year ended December 31,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8"/>
          </w:tcPr>
          <w:p>
            <w:pPr>
              <w:jc w:val="center"/>
              <w:ind w:left="157"/>
              <w:spacing w:after="0"/>
              <w:rPr>
                <w:sz w:val="20"/>
                <w:szCs w:val="20"/>
                <w:color w:val="auto"/>
              </w:rPr>
            </w:pPr>
            <w:r>
              <w:rPr>
                <w:rFonts w:ascii="Arial" w:cs="Arial" w:eastAsia="Arial" w:hAnsi="Arial"/>
                <w:sz w:val="13"/>
                <w:szCs w:val="13"/>
                <w:b w:val="1"/>
                <w:bCs w:val="1"/>
                <w:color w:val="auto"/>
                <w:w w:val="86"/>
              </w:rPr>
              <w:t>For the year ended December 31, 2021</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10"/>
        </w:trPr>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Net Change in</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5"/>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Fair Value</w:t>
            </w:r>
          </w:p>
        </w:tc>
      </w:tr>
      <w:tr>
        <w:trPr>
          <w:trHeight w:val="135"/>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8"/>
              </w:rPr>
              <w:t>Gains</w:t>
            </w:r>
          </w:p>
        </w:tc>
        <w:tc>
          <w:tcPr>
            <w:tcW w:w="6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as of</w:t>
            </w:r>
          </w:p>
        </w:tc>
      </w:tr>
      <w:tr>
        <w:trPr>
          <w:trHeight w:val="153"/>
        </w:trPr>
        <w:tc>
          <w:tcPr>
            <w:tcW w:w="2080" w:type="dxa"/>
            <w:vAlign w:val="bottom"/>
          </w:tcPr>
          <w:p>
            <w:pPr>
              <w:spacing w:after="0" w:line="154" w:lineRule="exact"/>
              <w:rPr>
                <w:sz w:val="20"/>
                <w:szCs w:val="20"/>
                <w:color w:val="auto"/>
              </w:rPr>
            </w:pPr>
            <w:r>
              <w:rPr>
                <w:rFonts w:ascii="Arial" w:cs="Arial" w:eastAsia="Arial" w:hAnsi="Arial"/>
                <w:sz w:val="12"/>
                <w:szCs w:val="12"/>
                <w:b w:val="1"/>
                <w:bCs w:val="1"/>
                <w:color w:val="auto"/>
              </w:rPr>
              <w:t>Portfolio Company</w:t>
            </w:r>
            <w:r>
              <w:rPr>
                <w:rFonts w:ascii="Arial" w:cs="Arial" w:eastAsia="Arial" w:hAnsi="Arial"/>
                <w:sz w:val="17"/>
                <w:szCs w:val="17"/>
                <w:b w:val="1"/>
                <w:bCs w:val="1"/>
                <w:color w:val="auto"/>
                <w:vertAlign w:val="superscript"/>
              </w:rPr>
              <w:t>(4)</w:t>
            </w:r>
          </w:p>
        </w:tc>
        <w:tc>
          <w:tcPr>
            <w:tcW w:w="2180" w:type="dxa"/>
            <w:vAlign w:val="bottom"/>
            <w:gridSpan w:val="3"/>
          </w:tcPr>
          <w:p>
            <w:pPr>
              <w:ind w:left="100"/>
              <w:spacing w:after="0"/>
              <w:rPr>
                <w:sz w:val="20"/>
                <w:szCs w:val="20"/>
                <w:color w:val="auto"/>
              </w:rPr>
            </w:pPr>
            <w:r>
              <w:rPr>
                <w:rFonts w:ascii="Arial" w:cs="Arial" w:eastAsia="Arial" w:hAnsi="Arial"/>
                <w:sz w:val="13"/>
                <w:szCs w:val="13"/>
                <w:b w:val="1"/>
                <w:bCs w:val="1"/>
                <w:color w:val="auto"/>
              </w:rPr>
              <w:t>Investment Description</w:t>
            </w:r>
          </w:p>
        </w:tc>
        <w:tc>
          <w:tcPr>
            <w:tcW w:w="10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85"/>
              </w:rPr>
              <w:t>December 31, 2020</w:t>
            </w:r>
          </w:p>
        </w:tc>
        <w:tc>
          <w:tcPr>
            <w:tcW w:w="100" w:type="dxa"/>
            <w:vAlign w:val="bottom"/>
          </w:tcPr>
          <w:p>
            <w:pPr>
              <w:spacing w:after="0"/>
              <w:rPr>
                <w:sz w:val="13"/>
                <w:szCs w:val="13"/>
                <w:color w:val="auto"/>
              </w:rPr>
            </w:pPr>
          </w:p>
        </w:tc>
        <w:tc>
          <w:tcPr>
            <w:tcW w:w="74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95"/>
              </w:rPr>
              <w:t>Additions</w:t>
            </w:r>
            <w:r>
              <w:rPr>
                <w:rFonts w:ascii="Arial" w:cs="Arial" w:eastAsia="Arial" w:hAnsi="Arial"/>
                <w:sz w:val="17"/>
                <w:szCs w:val="17"/>
                <w:b w:val="1"/>
                <w:bCs w:val="1"/>
                <w:color w:val="auto"/>
                <w:w w:val="95"/>
                <w:vertAlign w:val="superscript"/>
              </w:rPr>
              <w:t>(1)</w:t>
            </w:r>
          </w:p>
        </w:tc>
        <w:tc>
          <w:tcPr>
            <w:tcW w:w="100" w:type="dxa"/>
            <w:vAlign w:val="bottom"/>
          </w:tcPr>
          <w:p>
            <w:pPr>
              <w:spacing w:after="0"/>
              <w:rPr>
                <w:sz w:val="13"/>
                <w:szCs w:val="13"/>
                <w:color w:val="auto"/>
              </w:rPr>
            </w:pPr>
          </w:p>
        </w:tc>
        <w:tc>
          <w:tcPr>
            <w:tcW w:w="70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85"/>
              </w:rPr>
              <w:t>Reductions</w:t>
            </w:r>
            <w:r>
              <w:rPr>
                <w:rFonts w:ascii="Arial" w:cs="Arial" w:eastAsia="Arial" w:hAnsi="Arial"/>
                <w:sz w:val="17"/>
                <w:szCs w:val="17"/>
                <w:b w:val="1"/>
                <w:bCs w:val="1"/>
                <w:color w:val="auto"/>
                <w:w w:val="85"/>
                <w:vertAlign w:val="superscript"/>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57"/>
              <w:spacing w:after="0"/>
              <w:rPr>
                <w:sz w:val="20"/>
                <w:szCs w:val="20"/>
                <w:color w:val="auto"/>
              </w:rPr>
            </w:pPr>
            <w:r>
              <w:rPr>
                <w:rFonts w:ascii="Arial" w:cs="Arial" w:eastAsia="Arial" w:hAnsi="Arial"/>
                <w:sz w:val="13"/>
                <w:szCs w:val="13"/>
                <w:b w:val="1"/>
                <w:bCs w:val="1"/>
                <w:color w:val="auto"/>
                <w:w w:val="82"/>
              </w:rPr>
              <w:t>(Losses)</w:t>
            </w:r>
          </w:p>
        </w:tc>
        <w:tc>
          <w:tcPr>
            <w:tcW w:w="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(Depreciation)</w:t>
            </w:r>
          </w:p>
        </w:tc>
        <w:tc>
          <w:tcPr>
            <w:tcW w:w="20" w:type="dxa"/>
            <w:vAlign w:val="bottom"/>
          </w:tcPr>
          <w:p>
            <w:pPr>
              <w:spacing w:after="0"/>
              <w:rPr>
                <w:sz w:val="13"/>
                <w:szCs w:val="13"/>
                <w:color w:val="auto"/>
              </w:rPr>
            </w:pPr>
          </w:p>
        </w:tc>
        <w:tc>
          <w:tcPr>
            <w:tcW w:w="114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91"/>
              </w:rPr>
              <w:t>December 31, 2021</w:t>
            </w:r>
            <w:r>
              <w:rPr>
                <w:rFonts w:ascii="Arial" w:cs="Arial" w:eastAsia="Arial" w:hAnsi="Arial"/>
                <w:sz w:val="17"/>
                <w:szCs w:val="17"/>
                <w:b w:val="1"/>
                <w:bCs w:val="1"/>
                <w:color w:val="auto"/>
                <w:w w:val="91"/>
                <w:vertAlign w:val="superscript"/>
              </w:rPr>
              <w:t>(3)</w:t>
            </w:r>
          </w:p>
        </w:tc>
      </w:tr>
      <w:tr>
        <w:trPr>
          <w:trHeight w:val="128"/>
        </w:trPr>
        <w:tc>
          <w:tcPr>
            <w:tcW w:w="2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Senior Secured Term Loans</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r>
      <w:tr>
        <w:trPr>
          <w:trHeight w:val="121"/>
        </w:trPr>
        <w:tc>
          <w:tcPr>
            <w:tcW w:w="208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0"/>
              </w:rPr>
              <w:t>Tranche I: LIBOR+12.00% PIK, 12.00%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rPr>
              <w:t>floor, 5% ETP, due 1/15/2022 (4)</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4,913,150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2,654,460</w:t>
            </w:r>
          </w:p>
        </w:tc>
        <w:tc>
          <w:tcPr>
            <w:tcW w:w="100" w:type="dxa"/>
            <w:vAlign w:val="bottom"/>
          </w:tcPr>
          <w:p>
            <w:pPr>
              <w:spacing w:after="0"/>
              <w:rPr>
                <w:sz w:val="12"/>
                <w:szCs w:val="12"/>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7,567,610</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II: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20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12.00% floor, 5% ETP, due 1/15/2022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9"/>
        </w:trPr>
        <w:tc>
          <w:tcPr>
            <w:tcW w:w="20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884,820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2,522,537</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Tranche III: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2080" w:type="dxa"/>
            <w:vAlign w:val="bottom"/>
          </w:tcPr>
          <w:p>
            <w:pPr>
              <w:spacing w:after="0"/>
              <w:rPr>
                <w:sz w:val="11"/>
                <w:szCs w:val="11"/>
                <w:color w:val="auto"/>
              </w:rPr>
            </w:pPr>
          </w:p>
        </w:tc>
        <w:tc>
          <w:tcPr>
            <w:tcW w:w="2180" w:type="dxa"/>
            <w:vAlign w:val="bottom"/>
            <w:gridSpan w:val="3"/>
          </w:tcPr>
          <w:p>
            <w:pPr>
              <w:ind w:left="100"/>
              <w:spacing w:after="0" w:line="135" w:lineRule="exact"/>
              <w:rPr>
                <w:sz w:val="20"/>
                <w:szCs w:val="20"/>
                <w:color w:val="auto"/>
              </w:rPr>
            </w:pPr>
            <w:r>
              <w:rPr>
                <w:rFonts w:ascii="Arial" w:cs="Arial" w:eastAsia="Arial" w:hAnsi="Arial"/>
                <w:sz w:val="13"/>
                <w:szCs w:val="13"/>
                <w:color w:val="auto"/>
                <w:w w:val="94"/>
              </w:rPr>
              <w:t>12.00% floor, 5% ETP, due 1/15/2022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208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(4)</w:t>
            </w: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409,016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220,981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629,997</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IV: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20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12.00% floor, 5% ETP, due 1/15/2022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9"/>
        </w:trPr>
        <w:tc>
          <w:tcPr>
            <w:tcW w:w="20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220,673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629,118</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Tranche V: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2080" w:type="dxa"/>
            <w:vAlign w:val="bottom"/>
          </w:tcPr>
          <w:p>
            <w:pPr>
              <w:spacing w:after="0"/>
              <w:rPr>
                <w:sz w:val="11"/>
                <w:szCs w:val="11"/>
                <w:color w:val="auto"/>
              </w:rPr>
            </w:pPr>
          </w:p>
        </w:tc>
        <w:tc>
          <w:tcPr>
            <w:tcW w:w="2180" w:type="dxa"/>
            <w:vAlign w:val="bottom"/>
            <w:gridSpan w:val="3"/>
          </w:tcPr>
          <w:p>
            <w:pPr>
              <w:ind w:left="100"/>
              <w:spacing w:after="0" w:line="135" w:lineRule="exact"/>
              <w:rPr>
                <w:sz w:val="20"/>
                <w:szCs w:val="20"/>
                <w:color w:val="auto"/>
              </w:rPr>
            </w:pPr>
            <w:r>
              <w:rPr>
                <w:rFonts w:ascii="Arial" w:cs="Arial" w:eastAsia="Arial" w:hAnsi="Arial"/>
                <w:sz w:val="13"/>
                <w:szCs w:val="13"/>
                <w:color w:val="auto"/>
                <w:w w:val="94"/>
              </w:rPr>
              <w:t>12.00% floor, 5% ETP, due 1/15/2022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208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(4)</w:t>
            </w: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813,382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439,451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1,252,833</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VI: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20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12.00% floor, 5% ETP, due 1/31/2022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9"/>
        </w:trPr>
        <w:tc>
          <w:tcPr>
            <w:tcW w:w="20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w:t>
            </w: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779,370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438,723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1,008,093</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Tranche VII: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w w:val="94"/>
              </w:rPr>
              <w:t>12.00% floor, 5% ETP, due 4/30/2021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Pivot3 Holdings, Inc.</w:t>
            </w: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Tranche I: LIBOR+8.50% PIK, 11.00%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9"/>
        </w:trPr>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w w:val="95"/>
              </w:rPr>
              <w:t>floor, 4.00% ETP, due 11/15/2022 (4)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12,015,832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(3,994,885)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6,628,841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14,649,788</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1"/>
              </w:rPr>
              <w:t>Tranche II: LIBOR+8.50% PIK, 11.00%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rPr>
              <w:t>floor, due 11/15/2022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569,181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0"/>
              </w:rPr>
              <w:t>(1,080,984)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511,803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rPr>
              <w:t>Tranche III: LIBOR+8.50%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5"/>
        </w:trPr>
        <w:tc>
          <w:tcPr>
            <w:tcW w:w="20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11.00% floor, 4.00% ETP, due</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9"/>
        </w:trPr>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11/15/2022</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1,330,538</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(2,531,040)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1,200,502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w w:val="99"/>
              </w:rPr>
              <w:t>Total Senior Secured Term Loans</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7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8,961,080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14,415,551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(8,316,909)</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left="31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13,200,254</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28,259,976</w:t>
            </w:r>
          </w:p>
        </w:tc>
      </w:tr>
      <w:tr>
        <w:trPr>
          <w:trHeight w:val="128"/>
        </w:trPr>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Preferred Stocks</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35"/>
        </w:trPr>
        <w:tc>
          <w:tcPr>
            <w:tcW w:w="2080" w:type="dxa"/>
            <w:vAlign w:val="bottom"/>
          </w:tcPr>
          <w:p>
            <w:pPr>
              <w:spacing w:after="0" w:line="135"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Series A-1 Preferred 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884,774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left="31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(14,379)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870,395</w:t>
            </w:r>
          </w:p>
        </w:tc>
      </w:tr>
      <w:tr>
        <w:trPr>
          <w:trHeight w:val="135"/>
        </w:trPr>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Pivot3 Holdings, Inc.</w:t>
            </w:r>
          </w:p>
        </w:tc>
        <w:tc>
          <w:tcPr>
            <w:tcW w:w="21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Series 1 Preferred Stock</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31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9"/>
        </w:trPr>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Total Preferred Stocks</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7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884,774</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center"/>
              <w:ind w:left="31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(14,379)</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870,395</w:t>
            </w:r>
          </w:p>
        </w:tc>
      </w:tr>
      <w:tr>
        <w:trPr>
          <w:trHeight w:val="128"/>
        </w:trPr>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Warrants</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21"/>
        </w:trPr>
        <w:tc>
          <w:tcPr>
            <w:tcW w:w="208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w w:val="91"/>
              </w:rPr>
              <w:t>price $1.286/share, expires 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9"/>
        </w:trPr>
        <w:tc>
          <w:tcPr>
            <w:tcW w:w="208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w w:val="88"/>
              </w:rPr>
              <w:t>price $2.1286/share, expires 12/13/2030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80" w:type="dxa"/>
            <w:vAlign w:val="bottom"/>
          </w:tcPr>
          <w:p>
            <w:pPr>
              <w:spacing w:after="0"/>
              <w:rPr>
                <w:sz w:val="10"/>
                <w:szCs w:val="10"/>
                <w:color w:val="auto"/>
              </w:rPr>
            </w:pPr>
          </w:p>
        </w:tc>
        <w:tc>
          <w:tcPr>
            <w:tcW w:w="218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96"/>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2080" w:type="dxa"/>
            <w:vAlign w:val="bottom"/>
          </w:tcPr>
          <w:p>
            <w:pPr>
              <w:spacing w:after="0"/>
              <w:rPr>
                <w:sz w:val="11"/>
                <w:szCs w:val="11"/>
                <w:color w:val="auto"/>
              </w:rPr>
            </w:pPr>
          </w:p>
        </w:tc>
        <w:tc>
          <w:tcPr>
            <w:tcW w:w="21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price $5.57338/share, expires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2080" w:type="dxa"/>
            <w:vAlign w:val="bottom"/>
          </w:tcPr>
          <w:p>
            <w:pPr>
              <w:spacing w:after="0"/>
              <w:rPr>
                <w:sz w:val="12"/>
                <w:szCs w:val="12"/>
                <w:color w:val="auto"/>
              </w:rPr>
            </w:pPr>
          </w:p>
        </w:tc>
        <w:tc>
          <w:tcPr>
            <w:tcW w:w="2180" w:type="dxa"/>
            <w:vAlign w:val="bottom"/>
            <w:gridSpan w:val="3"/>
          </w:tcPr>
          <w:p>
            <w:pPr>
              <w:ind w:left="100"/>
              <w:spacing w:after="0"/>
              <w:rPr>
                <w:sz w:val="20"/>
                <w:szCs w:val="20"/>
                <w:color w:val="auto"/>
              </w:rPr>
            </w:pPr>
            <w:r>
              <w:rPr>
                <w:rFonts w:ascii="Arial" w:cs="Arial" w:eastAsia="Arial" w:hAnsi="Arial"/>
                <w:sz w:val="13"/>
                <w:szCs w:val="13"/>
                <w:color w:val="auto"/>
              </w:rPr>
              <w:t>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left="3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2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center"/>
              <w:ind w:left="317"/>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r>
      <w:tr>
        <w:trPr>
          <w:trHeight w:val="128"/>
        </w:trPr>
        <w:tc>
          <w:tcPr>
            <w:tcW w:w="2080" w:type="dxa"/>
            <w:vAlign w:val="bottom"/>
          </w:tcPr>
          <w:p>
            <w:pPr>
              <w:spacing w:after="0" w:line="129" w:lineRule="exact"/>
              <w:rPr>
                <w:sz w:val="20"/>
                <w:szCs w:val="20"/>
                <w:color w:val="auto"/>
              </w:rPr>
            </w:pPr>
            <w:r>
              <w:rPr>
                <w:rFonts w:ascii="Arial" w:cs="Arial" w:eastAsia="Arial" w:hAnsi="Arial"/>
                <w:sz w:val="13"/>
                <w:szCs w:val="13"/>
                <w:b w:val="1"/>
                <w:bCs w:val="1"/>
                <w:color w:val="auto"/>
                <w:w w:val="98"/>
              </w:rPr>
              <w:t>Total Control/affiliate investments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9,845,854</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14,415,551</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(8,316,909)</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center"/>
              <w:ind w:left="317"/>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13,185,875</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29,130,371</w:t>
            </w: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9"/>
        </w:trPr>
        <w:tc>
          <w:tcPr>
            <w:tcW w:w="2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64"/>
        </w:numPr>
        <w:rPr>
          <w:rFonts w:ascii="Arial" w:cs="Arial" w:eastAsia="Arial" w:hAnsi="Arial"/>
          <w:sz w:val="11"/>
          <w:szCs w:val="11"/>
          <w:color w:val="auto"/>
        </w:rPr>
      </w:pPr>
      <w:r>
        <w:rPr>
          <w:rFonts w:ascii="Arial" w:cs="Arial" w:eastAsia="Arial" w:hAnsi="Arial"/>
          <w:sz w:val="14"/>
          <w:szCs w:val="14"/>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74" w:lineRule="exact"/>
        <w:rPr>
          <w:rFonts w:ascii="Arial" w:cs="Arial" w:eastAsia="Arial" w:hAnsi="Arial"/>
          <w:sz w:val="11"/>
          <w:szCs w:val="11"/>
          <w:color w:val="auto"/>
        </w:rPr>
      </w:pPr>
    </w:p>
    <w:p>
      <w:pPr>
        <w:jc w:val="both"/>
        <w:ind w:left="660" w:right="20" w:hanging="328"/>
        <w:spacing w:after="0" w:line="238" w:lineRule="auto"/>
        <w:tabs>
          <w:tab w:leader="none" w:pos="660" w:val="left"/>
        </w:tabs>
        <w:numPr>
          <w:ilvl w:val="0"/>
          <w:numId w:val="64"/>
        </w:numPr>
        <w:rPr>
          <w:rFonts w:ascii="Arial" w:cs="Arial" w:eastAsia="Arial" w:hAnsi="Arial"/>
          <w:sz w:val="11"/>
          <w:szCs w:val="11"/>
          <w:color w:val="auto"/>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74"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4"/>
        </w:numPr>
        <w:rPr>
          <w:rFonts w:ascii="Arial" w:cs="Arial" w:eastAsia="Arial" w:hAnsi="Arial"/>
          <w:sz w:val="11"/>
          <w:szCs w:val="11"/>
          <w:color w:val="auto"/>
        </w:rPr>
      </w:pPr>
      <w:r>
        <w:rPr>
          <w:rFonts w:ascii="Arial" w:cs="Arial" w:eastAsia="Arial" w:hAnsi="Arial"/>
          <w:sz w:val="14"/>
          <w:szCs w:val="14"/>
          <w:color w:val="auto"/>
        </w:rPr>
        <w:t>All investments in the portfolio companies, which as of December 31, 2021 represented 4.81%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64"/>
        </w:numPr>
        <w:rPr>
          <w:rFonts w:ascii="Arial" w:cs="Arial" w:eastAsia="Arial" w:hAnsi="Arial"/>
          <w:sz w:val="10"/>
          <w:szCs w:val="10"/>
          <w:color w:val="auto"/>
        </w:rPr>
      </w:pPr>
      <w:r>
        <w:rPr>
          <w:rFonts w:ascii="Arial" w:cs="Arial" w:eastAsia="Arial" w:hAnsi="Arial"/>
          <w:sz w:val="13"/>
          <w:szCs w:val="13"/>
          <w:color w:val="auto"/>
        </w:rPr>
        <w:t>For the year ended December 31, 2021, the Company earned no investment income from control investments, except for $117,340 from Pivot3 Holdings,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226,578,920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170,983,403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South Central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75,155,555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Southeastern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66,823,245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41,659,696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35,687,298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34,080,598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Midwestern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20,098,640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13,447,419</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684,514,774</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182,660,314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Healthcare Technology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146,756,439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109,560,343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Internet Software &amp;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76,238,876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72,869,269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Data Processing &amp; Outsourced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38,925,165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20,100,640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Electronic Equipment &amp; Instruments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18,755,837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System Software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13,447,419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2,537,654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2,477,351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Computer &amp; Electronics Retail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185,467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684,514,774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112.92 %</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2200" w:val="left"/>
        </w:tabs>
        <w:rPr>
          <w:sz w:val="20"/>
          <w:szCs w:val="20"/>
          <w:color w:val="auto"/>
        </w:rPr>
      </w:pPr>
      <w:r>
        <w:rPr>
          <w:rFonts w:ascii="Arial" w:cs="Arial" w:eastAsia="Arial" w:hAnsi="Arial"/>
          <w:sz w:val="14"/>
          <w:szCs w:val="14"/>
          <w:b w:val="1"/>
          <w:bCs w:val="1"/>
          <w:color w:val="auto"/>
        </w:rPr>
        <w:t>Portfolio Companies</w:t>
      </w:r>
      <w:r>
        <w:rPr>
          <w:sz w:val="20"/>
          <w:szCs w:val="20"/>
          <w:color w:val="auto"/>
        </w:rPr>
        <w:tab/>
      </w:r>
      <w:r>
        <w:rPr>
          <w:rFonts w:ascii="Arial" w:cs="Arial" w:eastAsia="Arial" w:hAnsi="Arial"/>
          <w:sz w:val="13"/>
          <w:szCs w:val="13"/>
          <w:b w:val="1"/>
          <w:bCs w:val="1"/>
          <w:color w:val="auto"/>
        </w:rPr>
        <w:t>Sub-Industry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Control/affiliate investments</w:t>
      </w:r>
      <w:r>
        <w:rPr>
          <w:rFonts w:ascii="Arial" w:cs="Arial" w:eastAsia="Arial" w:hAnsi="Arial"/>
          <w:sz w:val="10"/>
          <w:szCs w:val="10"/>
          <w:b w:val="1"/>
          <w:bCs w:val="1"/>
          <w:u w:val="single" w:color="auto"/>
          <w:color w:val="auto"/>
        </w:rPr>
        <w:t>(14)</w:t>
      </w:r>
    </w:p>
    <w:p>
      <w:pPr>
        <w:spacing w:after="0" w:line="221" w:lineRule="auto"/>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0"/>
          <w:szCs w:val="10"/>
          <w:b w:val="1"/>
          <w:bCs w:val="1"/>
          <w:color w:val="auto"/>
        </w:rPr>
        <w:t>(13)</w:t>
      </w:r>
    </w:p>
    <w:p>
      <w:pPr>
        <w:ind w:left="2140" w:right="220" w:hanging="2132"/>
        <w:spacing w:after="0" w:line="271" w:lineRule="auto"/>
        <w:tabs>
          <w:tab w:leader="none" w:pos="212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380"/>
        <w:spacing w:after="0" w:line="258" w:lineRule="auto"/>
        <w:rPr>
          <w:sz w:val="20"/>
          <w:szCs w:val="20"/>
          <w:color w:val="auto"/>
        </w:rPr>
      </w:pPr>
      <w:r>
        <w:rPr>
          <w:rFonts w:ascii="Arial" w:cs="Arial" w:eastAsia="Arial" w:hAnsi="Arial"/>
          <w:sz w:val="14"/>
          <w:szCs w:val="14"/>
          <w:b w:val="1"/>
          <w:bCs w:val="1"/>
          <w:color w:val="auto"/>
        </w:rPr>
        <w:t>Total Senior Secured Term Loans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Stocks</w:t>
      </w:r>
    </w:p>
    <w:p>
      <w:pPr>
        <w:spacing w:after="0" w:line="4" w:lineRule="exact"/>
        <w:rPr>
          <w:sz w:val="20"/>
          <w:szCs w:val="20"/>
          <w:color w:val="auto"/>
        </w:rPr>
      </w:pPr>
    </w:p>
    <w:p>
      <w:pPr>
        <w:ind w:left="2140" w:right="220" w:hanging="2132"/>
        <w:spacing w:after="0" w:line="271" w:lineRule="auto"/>
        <w:tabs>
          <w:tab w:leader="none" w:pos="212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(8)</w:t>
      </w:r>
    </w:p>
    <w:p>
      <w:pPr>
        <w:spacing w:after="0" w:line="4" w:lineRule="exact"/>
        <w:rPr>
          <w:sz w:val="20"/>
          <w:szCs w:val="20"/>
          <w:color w:val="auto"/>
        </w:rPr>
      </w:pPr>
    </w:p>
    <w:p>
      <w:pPr>
        <w:ind w:left="2140" w:right="220" w:hanging="2132"/>
        <w:spacing w:after="0" w:line="271" w:lineRule="auto"/>
        <w:tabs>
          <w:tab w:leader="none" w:pos="2120" w:val="left"/>
        </w:tabs>
        <w:rPr>
          <w:sz w:val="20"/>
          <w:szCs w:val="20"/>
          <w:color w:val="auto"/>
        </w:rPr>
      </w:pPr>
      <w:r>
        <w:rPr>
          <w:rFonts w:ascii="Arial" w:cs="Arial" w:eastAsia="Arial" w:hAnsi="Arial"/>
          <w:sz w:val="14"/>
          <w:szCs w:val="14"/>
          <w:color w:val="auto"/>
        </w:rPr>
        <w:t>Mojix, Inc.</w:t>
      </w:r>
      <w:r>
        <w:rPr>
          <w:sz w:val="20"/>
          <w:szCs w:val="20"/>
          <w:color w:val="auto"/>
        </w:rPr>
        <w:tab/>
      </w:r>
      <w:r>
        <w:rPr>
          <w:rFonts w:ascii="Arial" w:cs="Arial" w:eastAsia="Arial" w:hAnsi="Arial"/>
          <w:sz w:val="13"/>
          <w:szCs w:val="13"/>
          <w:color w:val="auto"/>
        </w:rPr>
        <w:t>Application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Total Warrants</w:t>
            </w:r>
          </w:p>
        </w:tc>
        <w:tc>
          <w:tcPr>
            <w:tcW w:w="780" w:type="dxa"/>
            <w:vAlign w:val="bottom"/>
          </w:tcPr>
          <w:p>
            <w:pPr>
              <w:spacing w:after="0"/>
              <w:rPr>
                <w:sz w:val="14"/>
                <w:szCs w:val="14"/>
                <w:color w:val="auto"/>
              </w:rPr>
            </w:pPr>
          </w:p>
        </w:tc>
      </w:tr>
      <w:tr>
        <w:trPr>
          <w:trHeight w:val="158"/>
        </w:trPr>
        <w:tc>
          <w:tcPr>
            <w:tcW w:w="20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Total Control/affiliate</w:t>
            </w:r>
          </w:p>
        </w:tc>
        <w:tc>
          <w:tcPr>
            <w:tcW w:w="780" w:type="dxa"/>
            <w:vAlign w:val="bottom"/>
          </w:tcPr>
          <w:p>
            <w:pPr>
              <w:spacing w:after="0"/>
              <w:rPr>
                <w:sz w:val="13"/>
                <w:szCs w:val="13"/>
                <w:color w:val="auto"/>
              </w:rPr>
            </w:pPr>
          </w:p>
        </w:tc>
      </w:tr>
      <w:tr>
        <w:trPr>
          <w:trHeight w:val="129"/>
        </w:trPr>
        <w:tc>
          <w:tcPr>
            <w:tcW w:w="7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8"/>
              </w:rPr>
              <w:t>investments</w:t>
            </w: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8"/>
        </w:trPr>
        <w:tc>
          <w:tcPr>
            <w:tcW w:w="20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780" w:type="dxa"/>
            <w:vAlign w:val="bottom"/>
          </w:tcPr>
          <w:p>
            <w:pPr>
              <w:spacing w:after="0"/>
              <w:rPr>
                <w:sz w:val="11"/>
                <w:szCs w:val="11"/>
                <w:color w:val="auto"/>
              </w:rPr>
            </w:pPr>
          </w:p>
        </w:tc>
      </w:tr>
      <w:tr>
        <w:trPr>
          <w:trHeight w:val="128"/>
        </w:trPr>
        <w:tc>
          <w:tcPr>
            <w:tcW w:w="15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investments</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3"/>
        </w:trPr>
        <w:tc>
          <w:tcPr>
            <w:tcW w:w="7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b w:val="1"/>
                <w:bCs w:val="1"/>
                <w:color w:val="auto"/>
              </w:rPr>
              <w:t>Corporate</w:t>
            </w:r>
          </w:p>
        </w:tc>
        <w:tc>
          <w:tcPr>
            <w:tcW w:w="1300" w:type="dxa"/>
            <w:vAlign w:val="bottom"/>
            <w:gridSpan w:val="3"/>
          </w:tcPr>
          <w:p>
            <w:pPr>
              <w:spacing w:after="0" w:line="123" w:lineRule="exact"/>
              <w:rPr>
                <w:sz w:val="20"/>
                <w:szCs w:val="20"/>
                <w:color w:val="auto"/>
              </w:rPr>
            </w:pPr>
            <w:r>
              <w:rPr>
                <w:rFonts w:ascii="Arial" w:cs="Arial" w:eastAsia="Arial" w:hAnsi="Arial"/>
                <w:sz w:val="14"/>
                <w:szCs w:val="14"/>
                <w:b w:val="1"/>
                <w:bCs w:val="1"/>
                <w:color w:val="auto"/>
              </w:rPr>
              <w:t>Bond</w:t>
            </w:r>
          </w:p>
        </w:tc>
        <w:tc>
          <w:tcPr>
            <w:tcW w:w="780" w:type="dxa"/>
            <w:vAlign w:val="bottom"/>
          </w:tcPr>
          <w:p>
            <w:pPr>
              <w:spacing w:after="0"/>
              <w:rPr>
                <w:sz w:val="10"/>
                <w:szCs w:val="10"/>
                <w:color w:val="auto"/>
              </w:rPr>
            </w:pPr>
          </w:p>
        </w:tc>
      </w:tr>
      <w:tr>
        <w:trPr>
          <w:trHeight w:val="148"/>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w w:val="99"/>
              </w:rPr>
              <w:t>TriplePoint Venture Growth BDC</w:t>
            </w:r>
          </w:p>
        </w:tc>
        <w:tc>
          <w:tcPr>
            <w:tcW w:w="780" w:type="dxa"/>
            <w:vAlign w:val="bottom"/>
          </w:tcPr>
          <w:p>
            <w:pPr>
              <w:ind w:left="100"/>
              <w:spacing w:after="0" w:line="149" w:lineRule="exact"/>
              <w:rPr>
                <w:sz w:val="20"/>
                <w:szCs w:val="20"/>
                <w:color w:val="auto"/>
              </w:rPr>
            </w:pPr>
            <w:r>
              <w:rPr>
                <w:rFonts w:ascii="Arial" w:cs="Arial" w:eastAsia="Arial" w:hAnsi="Arial"/>
                <w:sz w:val="14"/>
                <w:szCs w:val="14"/>
                <w:color w:val="auto"/>
              </w:rPr>
              <w:t>Specialty</w:t>
            </w:r>
          </w:p>
        </w:tc>
      </w:tr>
      <w:tr>
        <w:trPr>
          <w:trHeight w:val="182"/>
        </w:trPr>
        <w:tc>
          <w:tcPr>
            <w:tcW w:w="2040" w:type="dxa"/>
            <w:vAlign w:val="bottom"/>
            <w:gridSpan w:val="4"/>
          </w:tcPr>
          <w:p>
            <w:pPr>
              <w:spacing w:after="0"/>
              <w:rPr>
                <w:sz w:val="20"/>
                <w:szCs w:val="20"/>
                <w:color w:val="auto"/>
              </w:rPr>
            </w:pPr>
            <w:r>
              <w:rPr>
                <w:rFonts w:ascii="Arial" w:cs="Arial" w:eastAsia="Arial" w:hAnsi="Arial"/>
                <w:sz w:val="14"/>
                <w:szCs w:val="14"/>
                <w:color w:val="auto"/>
              </w:rPr>
              <w:t>Corp.</w:t>
            </w:r>
          </w:p>
        </w:tc>
        <w:tc>
          <w:tcPr>
            <w:tcW w:w="780" w:type="dxa"/>
            <w:vAlign w:val="bottom"/>
          </w:tcPr>
          <w:p>
            <w:pPr>
              <w:ind w:left="100"/>
              <w:spacing w:after="0"/>
              <w:rPr>
                <w:sz w:val="20"/>
                <w:szCs w:val="20"/>
                <w:color w:val="auto"/>
              </w:rPr>
            </w:pPr>
            <w:r>
              <w:rPr>
                <w:rFonts w:ascii="Arial" w:cs="Arial" w:eastAsia="Arial" w:hAnsi="Arial"/>
                <w:sz w:val="14"/>
                <w:szCs w:val="14"/>
                <w:color w:val="auto"/>
              </w:rPr>
              <w:t>Finance</w:t>
            </w:r>
          </w:p>
        </w:tc>
      </w:tr>
      <w:tr>
        <w:trPr>
          <w:trHeight w:val="263"/>
        </w:trPr>
        <w:tc>
          <w:tcPr>
            <w:tcW w:w="2040" w:type="dxa"/>
            <w:vAlign w:val="bottom"/>
            <w:gridSpan w:val="4"/>
          </w:tcPr>
          <w:p>
            <w:pPr>
              <w:spacing w:after="0"/>
              <w:rPr>
                <w:sz w:val="20"/>
                <w:szCs w:val="20"/>
                <w:color w:val="auto"/>
              </w:rPr>
            </w:pPr>
            <w:r>
              <w:rPr>
                <w:rFonts w:ascii="Arial" w:cs="Arial" w:eastAsia="Arial" w:hAnsi="Arial"/>
                <w:sz w:val="14"/>
                <w:szCs w:val="14"/>
                <w:b w:val="1"/>
                <w:bCs w:val="1"/>
                <w:color w:val="auto"/>
                <w:w w:val="99"/>
              </w:rPr>
              <w:t>Senior Secured Term Loans</w:t>
            </w:r>
            <w:r>
              <w:rPr>
                <w:rFonts w:ascii="Arial" w:cs="Arial" w:eastAsia="Arial" w:hAnsi="Arial"/>
                <w:sz w:val="10"/>
                <w:szCs w:val="10"/>
                <w:b w:val="1"/>
                <w:bCs w:val="1"/>
                <w:color w:val="auto"/>
                <w:w w:val="99"/>
              </w:rPr>
              <w:t>(13)</w:t>
            </w:r>
          </w:p>
        </w:tc>
        <w:tc>
          <w:tcPr>
            <w:tcW w:w="780" w:type="dxa"/>
            <w:vAlign w:val="bottom"/>
          </w:tcPr>
          <w:p>
            <w:pPr>
              <w:spacing w:after="0"/>
              <w:rPr>
                <w:sz w:val="22"/>
                <w:szCs w:val="22"/>
                <w:color w:val="auto"/>
              </w:rPr>
            </w:pPr>
          </w:p>
        </w:tc>
      </w:tr>
      <w:tr>
        <w:trPr>
          <w:trHeight w:val="149"/>
        </w:trPr>
        <w:tc>
          <w:tcPr>
            <w:tcW w:w="2040" w:type="dxa"/>
            <w:vAlign w:val="bottom"/>
            <w:gridSpan w:val="4"/>
          </w:tcPr>
          <w:p>
            <w:pPr>
              <w:spacing w:after="0" w:line="149" w:lineRule="exact"/>
              <w:rPr>
                <w:sz w:val="20"/>
                <w:szCs w:val="20"/>
                <w:color w:val="auto"/>
              </w:rPr>
            </w:pPr>
            <w:r>
              <w:rPr>
                <w:rFonts w:ascii="Arial" w:cs="Arial" w:eastAsia="Arial" w:hAnsi="Arial"/>
                <w:sz w:val="14"/>
                <w:szCs w:val="14"/>
                <w:color w:val="auto"/>
              </w:rPr>
              <w:t>Aria Systems, Inc.</w:t>
            </w:r>
          </w:p>
        </w:tc>
        <w:tc>
          <w:tcPr>
            <w:tcW w:w="780" w:type="dxa"/>
            <w:vAlign w:val="bottom"/>
          </w:tcPr>
          <w:p>
            <w:pPr>
              <w:ind w:left="100"/>
              <w:spacing w:after="0" w:line="149" w:lineRule="exact"/>
              <w:rPr>
                <w:sz w:val="20"/>
                <w:szCs w:val="20"/>
                <w:color w:val="auto"/>
              </w:rPr>
            </w:pPr>
            <w:r>
              <w:rPr>
                <w:rFonts w:ascii="Arial" w:cs="Arial" w:eastAsia="Arial" w:hAnsi="Arial"/>
                <w:sz w:val="14"/>
                <w:szCs w:val="14"/>
                <w:color w:val="auto"/>
                <w:w w:val="96"/>
              </w:rPr>
              <w:t>Application</w:t>
            </w:r>
          </w:p>
        </w:tc>
      </w:tr>
      <w:tr>
        <w:trPr>
          <w:trHeight w:val="182"/>
        </w:trPr>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Arial" w:cs="Arial" w:eastAsia="Arial" w:hAnsi="Arial"/>
                <w:sz w:val="14"/>
                <w:szCs w:val="14"/>
                <w:color w:val="auto"/>
              </w:rPr>
              <w:t>Software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Investment Description</w:t>
            </w:r>
            <w:r>
              <w:rPr>
                <w:rFonts w:ascii="Arial" w:cs="Arial" w:eastAsia="Arial" w:hAnsi="Arial"/>
                <w:sz w:val="10"/>
                <w:szCs w:val="10"/>
                <w:b w:val="1"/>
                <w:bCs w:val="1"/>
                <w:color w:val="auto"/>
                <w:w w:val="97"/>
              </w:rPr>
              <w:t>(1),(5),(10)</w:t>
            </w:r>
          </w:p>
        </w:tc>
        <w:tc>
          <w:tcPr>
            <w:tcW w:w="100" w:type="dxa"/>
            <w:vAlign w:val="bottom"/>
            <w:vMerge w:val="restart"/>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0"/>
                <w:szCs w:val="10"/>
                <w:b w:val="1"/>
                <w:bCs w:val="1"/>
                <w:color w:val="auto"/>
                <w:w w:val="97"/>
              </w:rPr>
              <w:t>(2),(8)</w:t>
            </w:r>
          </w:p>
        </w:tc>
        <w:tc>
          <w:tcPr>
            <w:tcW w:w="120" w:type="dxa"/>
            <w:vAlign w:val="bottom"/>
            <w:vMerge w:val="restart"/>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2160" w:type="dxa"/>
            <w:vAlign w:val="bottom"/>
            <w:gridSpan w:val="2"/>
          </w:tcPr>
          <w:p>
            <w:pPr>
              <w:spacing w:after="0"/>
              <w:rPr>
                <w:sz w:val="20"/>
                <w:szCs w:val="20"/>
                <w:color w:val="auto"/>
              </w:rPr>
            </w:pPr>
            <w:r>
              <w:rPr>
                <w:rFonts w:ascii="Arial" w:cs="Arial" w:eastAsia="Arial" w:hAnsi="Arial"/>
                <w:sz w:val="14"/>
                <w:szCs w:val="14"/>
                <w:color w:val="auto"/>
              </w:rPr>
              <w:t>Tranche I: LIBOR+12.00% PIK,</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5/16/2017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6,519,240</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6,502,036</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4,913,150</w:t>
            </w:r>
          </w:p>
        </w:tc>
        <w:tc>
          <w:tcPr>
            <w:tcW w:w="1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8/3/2017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2,173,080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2,170,069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1,637,717</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III: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7/6/2018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542,721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543,783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409,016</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IV: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9/5/2018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541,964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542,215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408,445</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V: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line="149" w:lineRule="exact"/>
              <w:rPr>
                <w:sz w:val="20"/>
                <w:szCs w:val="20"/>
                <w:color w:val="auto"/>
              </w:rPr>
            </w:pPr>
            <w:r>
              <w:rPr>
                <w:rFonts w:ascii="Arial" w:cs="Arial" w:eastAsia="Arial" w:hAnsi="Arial"/>
                <w:sz w:val="14"/>
                <w:szCs w:val="14"/>
                <w:color w:val="auto"/>
              </w:rPr>
              <w:t xml:space="preserve">5/15/2021 </w:t>
            </w: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1/28/2019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1,079,293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1,073,081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813,382</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VI: LIBOR+12.00% PIK,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12.00% floor, 5%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60" w:type="dxa"/>
            <w:vAlign w:val="bottom"/>
          </w:tcPr>
          <w:p>
            <w:pPr>
              <w:spacing w:after="0"/>
              <w:rPr>
                <w:sz w:val="20"/>
                <w:szCs w:val="20"/>
                <w:color w:val="auto"/>
              </w:rPr>
            </w:pPr>
            <w:r>
              <w:rPr>
                <w:rFonts w:ascii="Arial" w:cs="Arial" w:eastAsia="Arial" w:hAnsi="Arial"/>
                <w:sz w:val="14"/>
                <w:szCs w:val="14"/>
                <w:color w:val="auto"/>
              </w:rPr>
              <w:t xml:space="preserve">4/30/2021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12/18/2019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1,034,143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1,034,143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779,370</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11,865,327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8,961,080</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160" w:type="dxa"/>
            <w:vAlign w:val="bottom"/>
            <w:gridSpan w:val="2"/>
          </w:tcPr>
          <w:p>
            <w:pPr>
              <w:ind w:left="40"/>
              <w:spacing w:after="0"/>
              <w:rPr>
                <w:sz w:val="20"/>
                <w:szCs w:val="20"/>
                <w:color w:val="auto"/>
              </w:rPr>
            </w:pPr>
            <w:r>
              <w:rPr>
                <w:rFonts w:ascii="Arial" w:cs="Arial" w:eastAsia="Arial" w:hAnsi="Arial"/>
                <w:sz w:val="14"/>
                <w:szCs w:val="14"/>
                <w:color w:val="auto"/>
              </w:rPr>
              <w:t xml:space="preserve">Series A-1 Preferred Stock </w:t>
            </w:r>
            <w:r>
              <w:rPr>
                <w:rFonts w:ascii="Arial" w:cs="Arial" w:eastAsia="Arial" w:hAnsi="Arial"/>
                <w:sz w:val="10"/>
                <w:szCs w:val="10"/>
                <w:color w:val="auto"/>
              </w:rPr>
              <w:t>(7)</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67,114,092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884,774</w:t>
            </w:r>
          </w:p>
        </w:tc>
        <w:tc>
          <w:tcPr>
            <w:tcW w:w="12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2160" w:type="dxa"/>
            <w:vAlign w:val="bottom"/>
            <w:gridSpan w:val="2"/>
          </w:tcPr>
          <w:p>
            <w:pPr>
              <w:ind w:left="40"/>
              <w:spacing w:after="0"/>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exercise price $1.286/share,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119,320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exercise price $2.1286/share,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5,873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298,325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exercise price $5.57338/share,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spacing w:after="0"/>
              <w:rPr>
                <w:sz w:val="20"/>
                <w:szCs w:val="20"/>
                <w:color w:val="auto"/>
              </w:rPr>
            </w:pPr>
            <w:r>
              <w:rPr>
                <w:rFonts w:ascii="Arial" w:cs="Arial" w:eastAsia="Arial" w:hAnsi="Arial"/>
                <w:sz w:val="14"/>
                <w:szCs w:val="14"/>
                <w:color w:val="auto"/>
              </w:rPr>
              <w:t>expires 12/13/2030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394,733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828,522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1,246,167</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13,911,494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9,845,854</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160" w:type="dxa"/>
            <w:vAlign w:val="bottom"/>
            <w:gridSpan w:val="2"/>
          </w:tcPr>
          <w:p>
            <w:pPr>
              <w:spacing w:after="0"/>
              <w:rPr>
                <w:sz w:val="20"/>
                <w:szCs w:val="20"/>
                <w:color w:val="auto"/>
              </w:rPr>
            </w:pPr>
            <w:r>
              <w:rPr>
                <w:rFonts w:ascii="Arial" w:cs="Arial" w:eastAsia="Arial" w:hAnsi="Arial"/>
                <w:sz w:val="14"/>
                <w:szCs w:val="14"/>
                <w:color w:val="auto"/>
              </w:rPr>
              <w:t>Bonds, 5.75% Interest rate, due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20"/>
                <w:szCs w:val="20"/>
                <w:color w:val="auto"/>
              </w:rPr>
            </w:pPr>
            <w:r>
              <w:rPr>
                <w:rFonts w:ascii="Arial" w:cs="Arial" w:eastAsia="Arial" w:hAnsi="Arial"/>
                <w:sz w:val="14"/>
                <w:szCs w:val="14"/>
                <w:color w:val="auto"/>
              </w:rPr>
              <w:t xml:space="preserve">7/15/2022 </w:t>
            </w:r>
            <w:r>
              <w:rPr>
                <w:rFonts w:ascii="Arial" w:cs="Arial" w:eastAsia="Arial" w:hAnsi="Arial"/>
                <w:sz w:val="10"/>
                <w:szCs w:val="10"/>
                <w:color w:val="auto"/>
              </w:rPr>
              <w:t>(3)</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13,227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253,095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333,453</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2160" w:type="dxa"/>
            <w:vAlign w:val="bottom"/>
            <w:gridSpan w:val="2"/>
          </w:tcPr>
          <w:p>
            <w:pPr>
              <w:spacing w:after="0"/>
              <w:rPr>
                <w:sz w:val="20"/>
                <w:szCs w:val="20"/>
                <w:color w:val="auto"/>
              </w:rPr>
            </w:pPr>
            <w:r>
              <w:rPr>
                <w:rFonts w:ascii="Arial" w:cs="Arial" w:eastAsia="Arial" w:hAnsi="Arial"/>
                <w:sz w:val="14"/>
                <w:szCs w:val="14"/>
                <w:color w:val="auto"/>
              </w:rPr>
              <w:t>Tranche I: LIBOR+9.00%, 11.35%</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floor, 4.50% ETP, due 12/15/2021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6/29/2018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25,573,394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26,487,949</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Tranche II: LIBOR+9.00%,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11.35% floor, 4.50%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20"/>
                <w:szCs w:val="20"/>
                <w:color w:val="auto"/>
              </w:rPr>
            </w:pPr>
            <w:r>
              <w:rPr>
                <w:rFonts w:ascii="Arial" w:cs="Arial" w:eastAsia="Arial" w:hAnsi="Arial"/>
                <w:sz w:val="14"/>
                <w:szCs w:val="14"/>
                <w:color w:val="auto"/>
              </w:rPr>
              <w:t>12/15/2021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2,500,000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2,546,484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2,648,795</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-4740910</wp:posOffset>
            </wp:positionV>
            <wp:extent cx="6292215" cy="283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-4175125</wp:posOffset>
            </wp:positionV>
            <wp:extent cx="6292215" cy="283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-3609340</wp:posOffset>
            </wp:positionV>
            <wp:extent cx="6292215" cy="283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832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-3043555</wp:posOffset>
            </wp:positionV>
            <wp:extent cx="629221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-2752090</wp:posOffset>
            </wp:positionV>
            <wp:extent cx="6292215"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-2469515</wp:posOffset>
            </wp:positionV>
            <wp:extent cx="6292215"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-2280920</wp:posOffset>
            </wp:positionV>
            <wp:extent cx="6292215" cy="2825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-1715135</wp:posOffset>
            </wp:positionV>
            <wp:extent cx="6292215" cy="282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8257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-1329055</wp:posOffset>
            </wp:positionV>
            <wp:extent cx="629221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-951865</wp:posOffset>
            </wp:positionV>
            <wp:extent cx="6292215"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-669290</wp:posOffset>
            </wp:positionV>
            <wp:extent cx="6292215"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-480695</wp:posOffset>
            </wp:positionV>
            <wp:extent cx="629221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-4938395</wp:posOffset>
            </wp:positionV>
            <wp:extent cx="6292215"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180"/>
            <w:col w:w="6680"/>
          </w:cols>
          <w:pgMar w:left="980" w:top="517" w:right="1019" w:bottom="1440" w:gutter="0" w:footer="0" w:header="0"/>
          <w:type w:val="continuous"/>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LIBOR+8.25%, 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4.50% ETP, due 10/15/2023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$ 35,000,000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34,722,601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34,722,601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7.45 %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LIBOR+8.25%, 9.25%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0.75% ETP, due 10/15/2023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12/17/2020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29,733,181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29,758,229</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6.38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LIBOR+9.50%, 12.00%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7.50% ETP, due 12/15/2022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12/20/2018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16,348,200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15,598,546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LIBOR+7.50%, 1.00%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10.00% floor, 2.75%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6/13/2023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7,615,625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7,540,959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7,447,536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LIBOR+9.50%, 1.25%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11.25% floor, 3.00%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2160" w:type="dxa"/>
            <w:vAlign w:val="bottom"/>
            <w:gridSpan w:val="2"/>
          </w:tcPr>
          <w:p>
            <w:pPr>
              <w:ind w:left="100"/>
              <w:spacing w:after="0" w:line="149" w:lineRule="exact"/>
              <w:rPr>
                <w:sz w:val="20"/>
                <w:szCs w:val="20"/>
                <w:color w:val="auto"/>
              </w:rPr>
            </w:pPr>
            <w:r>
              <w:rPr>
                <w:rFonts w:ascii="Arial" w:cs="Arial" w:eastAsia="Arial" w:hAnsi="Arial"/>
                <w:sz w:val="17"/>
                <w:szCs w:val="17"/>
                <w:color w:val="auto"/>
                <w:vertAlign w:val="subscript"/>
              </w:rPr>
              <w:t>12/15/2023</w:t>
            </w:r>
            <w:r>
              <w:rPr>
                <w:rFonts w:ascii="Arial" w:cs="Arial" w:eastAsia="Arial" w:hAnsi="Arial"/>
                <w:sz w:val="8"/>
                <w:szCs w:val="8"/>
                <w:color w:val="auto"/>
              </w:rPr>
              <w:t xml:space="preserve"> (3),(4),(11)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25,146,185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24,772,553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24,772,553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5.31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Credit Sesame,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LIBOR+8.35%, 10.25%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floor, 2.50% ETP, due 12/15/2023</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34,693,762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34,531,361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7.41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LIBOR+8.35% , 2.00%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PIK on overadvance, 10.25% floor,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 xml:space="preserve">due 5/15/2023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1/7/2020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9,489,736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9,489,736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9,362,671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2.01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LIBOR+9.15%, 11.50%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5.13% ETP, due 11/15/2021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5,872,257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6,177,307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6,180,487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Echo 360 Holdings,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LIBOR+9.25%, 12.05%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floor, 4.00% ETP, due 5/3/2023</w:t>
            </w:r>
          </w:p>
        </w:tc>
        <w:tc>
          <w:tcPr>
            <w:tcW w:w="720" w:type="dxa"/>
            <w:vAlign w:val="bottom"/>
          </w:tcPr>
          <w:p>
            <w:pPr>
              <w:jc w:val="right"/>
              <w:spacing w:after="0"/>
              <w:rPr>
                <w:sz w:val="20"/>
                <w:szCs w:val="20"/>
                <w:color w:val="auto"/>
              </w:rPr>
            </w:pPr>
            <w:r>
              <w:rPr>
                <w:rFonts w:ascii="Arial" w:cs="Arial" w:eastAsia="Arial" w:hAnsi="Arial"/>
                <w:sz w:val="14"/>
                <w:szCs w:val="14"/>
                <w:color w:val="auto"/>
              </w:rPr>
              <w:t>5/3/2019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14,078,320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14,324,161</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12.05% floor, 4.00%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5/3/2023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3,029,295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3,069,463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0.66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LIBOR+9.25%, 9.75%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5.00% ETP, due 8/21/2023</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10/19/2020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45,000,000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44,330,193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44,330,193</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9.51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LIBOR+8.75%, 9.25%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3.50% ETP, due 12/1/2025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29,156,536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29,156,536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6.25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LIBOR+8.00%, 10.50%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2.50% ETP, due 7/15/2023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19,899,836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19,817,189</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4.25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LIBOR+8.00%,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10.50% floor, 2.50%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7/15/2023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9,825,946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9,908,594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2.13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LIBOR+8.75%, 10.75%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3.00% ETP, due 6/15/2023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30,054,163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30,270,499</w:t>
            </w:r>
          </w:p>
        </w:tc>
        <w:tc>
          <w:tcPr>
            <w:tcW w:w="12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6.49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LIBOR+8.25%, 10.65% floor,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4.00% ETP, due 1/15/2023</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18,474,451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18,597,407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18,405,948</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3.95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w w:val="96"/>
              </w:rPr>
              <w:t>Mingle Healthcare Solutions,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LIBOR+9.50%, 11.75%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10.00% ETP, due 8/15/2022</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4,416,667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4,683,180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4,646,930</w:t>
            </w:r>
          </w:p>
        </w:tc>
        <w:tc>
          <w:tcPr>
            <w:tcW w:w="12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Senior Secured Term Loans</w:t>
            </w:r>
            <w:r>
              <w:rPr>
                <w:rFonts w:ascii="Arial" w:cs="Arial" w:eastAsia="Arial" w:hAnsi="Arial"/>
                <w:sz w:val="9"/>
                <w:szCs w:val="9"/>
                <w:b w:val="1"/>
                <w:bCs w:val="1"/>
                <w:color w:val="auto"/>
              </w:rPr>
              <w:t>(13)</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(continued)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3DNA Corp. (dba NationBuilder)</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 LIBOR+9.00%, 11.50%</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floor, 5.50% ETP, due 4/15/2023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7,160,591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7,079,561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 LIBOR+9.00%,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11.50% floor, 5.50%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4/15/2023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6/12/2019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512,117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505,683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Ouster,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10.75% floor, 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ETP, due 11/15/2021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11/27/2018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7,134,750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7,234,515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Pivot3,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LIBOR+8.50%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11.00% floor, 4.00%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11/15/2022 </w:t>
            </w:r>
            <w:r>
              <w:rPr>
                <w:rFonts w:ascii="Arial" w:cs="Arial" w:eastAsia="Arial" w:hAnsi="Arial"/>
                <w:sz w:val="10"/>
                <w:szCs w:val="10"/>
                <w:color w:val="auto"/>
              </w:rPr>
              <w:t>(4)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21,345,001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21,609,825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19,864,282</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LIBOR+8.50%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1,022,772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951,822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LIBOR+8.50%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 xml:space="preserve">11.00% floor, due 11/15/2022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10/2/2020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930,629</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LIBOR+8.50%, 2.00% PIK,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9.05% floor, 3.50%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7/22/2024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40,327,734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40,206,479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LIBOR+9.25%, 11.60%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floor, 3.00% ETP, due 12/31/2022</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19,250,000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18,850,776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18,850,776</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LIBOR+9.25%,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12/31/2022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730,457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III: LIBOR+9.25%,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11.60% floor, 3.00% ETP,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12/31/2022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7/24/2019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965,131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965,131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IV: LIBOR+8.25%,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10.60% floor, 3.00% ETP, due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12/31/2022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997,975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The Kairn Corporation</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Tranche I: LIBOR+9.50% PIK,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 xml:space="preserve">10.81% floor, due 12/15/2022 </w:t>
            </w:r>
            <w:r>
              <w:rPr>
                <w:rFonts w:ascii="Arial" w:cs="Arial" w:eastAsia="Arial" w:hAnsi="Arial"/>
                <w:sz w:val="10"/>
                <w:szCs w:val="10"/>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3/24/2020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788,143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788,143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788,143</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II: Fixed 6.50% PIK, due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 xml:space="preserve">3/9/2027 </w:t>
            </w:r>
            <w:r>
              <w:rPr>
                <w:rFonts w:ascii="Arial" w:cs="Arial" w:eastAsia="Arial" w:hAnsi="Arial"/>
                <w:sz w:val="10"/>
                <w:szCs w:val="10"/>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4,187,933</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LIBOR+9.05%, 9.55% floor,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3.00% ETP, due 12/1/2024</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4"/>
              </w:rPr>
              <w:t>12/29/2020</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24,269,950</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gridSpan w:val="3"/>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494,689,952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493,003,577</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Stocks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Series G Preferred Stock </w:t>
            </w:r>
            <w:r>
              <w:rPr>
                <w:rFonts w:ascii="Arial" w:cs="Arial" w:eastAsia="Arial" w:hAnsi="Arial"/>
                <w:sz w:val="10"/>
                <w:szCs w:val="10"/>
                <w:color w:val="auto"/>
              </w:rPr>
              <w:t>(7)</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7/10/2018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289,419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451,494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11% Series A Cumulative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Redeemable Perpetual Preferred</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line="167" w:lineRule="exact"/>
              <w:rPr>
                <w:sz w:val="20"/>
                <w:szCs w:val="20"/>
                <w:color w:val="auto"/>
              </w:rPr>
            </w:pPr>
            <w:r>
              <w:rPr>
                <w:rFonts w:ascii="Arial" w:cs="Arial" w:eastAsia="Arial" w:hAnsi="Arial"/>
                <w:sz w:val="19"/>
                <w:szCs w:val="19"/>
                <w:color w:val="auto"/>
                <w:vertAlign w:val="subscript"/>
              </w:rPr>
              <w:t>Stock</w:t>
            </w:r>
            <w:r>
              <w:rPr>
                <w:rFonts w:ascii="Arial" w:cs="Arial" w:eastAsia="Arial" w:hAnsi="Arial"/>
                <w:sz w:val="9"/>
                <w:szCs w:val="9"/>
                <w:color w:val="auto"/>
              </w:rPr>
              <w:t xml:space="preserve"> (15),(16)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760,000</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18,687,450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14,659,600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Preferred Stocks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18,937,450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15,111,094</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7"/>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Common Stocks</w:t>
            </w:r>
            <w:r>
              <w:rPr>
                <w:rFonts w:ascii="Arial" w:cs="Arial" w:eastAsia="Arial" w:hAnsi="Arial"/>
                <w:sz w:val="10"/>
                <w:szCs w:val="10"/>
                <w:b w:val="1"/>
                <w:bCs w:val="1"/>
                <w:color w:val="auto"/>
              </w:rPr>
              <w:t>(7)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 xml:space="preserve">Common Stock </w:t>
            </w:r>
            <w:r>
              <w:rPr>
                <w:rFonts w:ascii="Arial" w:cs="Arial" w:eastAsia="Arial" w:hAnsi="Arial"/>
                <w:sz w:val="10"/>
                <w:szCs w:val="10"/>
                <w:color w:val="auto"/>
              </w:rPr>
              <w:t>(15)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12/23/2020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118,100</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521,940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zSpace,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12/31/2020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6,811,430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1,119,096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Common Stocks</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1,237,196</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521,940</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0.11</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AllClear ID,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Specialized</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9/1/2027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9/1/2017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870,514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1,749,733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980,199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Aria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G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$0.8638/share, expires 6/29/2028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2,170,641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770,578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2,772,147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Aspen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Education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$6.87/share,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7/25/2022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7/25/2017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224,174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583,301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1,217,000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Brilliant Earth, LLC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 Retail</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Class P Units,</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$5.25/share,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9/30/2029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333,333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Class P Units,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12/17/2030</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12/17/2020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Circadence Corporation</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12/20/2028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12/20/2018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1,538,462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3,083,703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A-6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$1.17/share,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10/31/2029</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10/31/2019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384,615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845,540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770,926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CloudPassage,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$1.60/share,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6/13/2029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273,798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116,135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CloudPay Solutions Ltd.</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Human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Resource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Stock, exercise price $66.53/share,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Employment</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 xml:space="preserve">expires 6/30/2030 </w:t>
            </w:r>
            <w:r>
              <w:rPr>
                <w:rFonts w:ascii="Arial" w:cs="Arial" w:eastAsia="Arial" w:hAnsi="Arial"/>
                <w:sz w:val="10"/>
                <w:szCs w:val="10"/>
                <w:color w:val="auto"/>
              </w:rPr>
              <w:t>(3),(11)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6/30/2020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217,500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298,697</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GROWTH Sesame,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Specialized</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1/7/2030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596,167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spacing w:after="0" w:line="130" w:lineRule="exact"/>
              <w:rPr>
                <w:sz w:val="20"/>
                <w:szCs w:val="20"/>
                <w:color w:val="auto"/>
              </w:rPr>
            </w:pPr>
            <w:r>
              <w:rPr>
                <w:rFonts w:ascii="Arial" w:cs="Arial" w:eastAsia="Arial" w:hAnsi="Arial"/>
                <w:sz w:val="14"/>
                <w:szCs w:val="14"/>
                <w:color w:val="auto"/>
              </w:rPr>
              <w:t>Dejero Labs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 xml:space="preserve">5/31/2029 </w:t>
            </w:r>
            <w:r>
              <w:rPr>
                <w:rFonts w:ascii="Arial" w:cs="Arial" w:eastAsia="Arial" w:hAnsi="Arial"/>
                <w:sz w:val="10"/>
                <w:szCs w:val="10"/>
                <w:color w:val="auto"/>
              </w:rPr>
              <w:t>(3),(6)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333,621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192,499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264,160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Dtex Systems,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$0.6000/share, expires 6/1/2025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297,136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C-Prime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 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$0.6000/share, expires 7/11/2026</w:t>
            </w:r>
          </w:p>
        </w:tc>
        <w:tc>
          <w:tcPr>
            <w:tcW w:w="720" w:type="dxa"/>
            <w:vAlign w:val="bottom"/>
          </w:tcPr>
          <w:p>
            <w:pPr>
              <w:jc w:val="right"/>
              <w:spacing w:after="0"/>
              <w:rPr>
                <w:sz w:val="20"/>
                <w:szCs w:val="20"/>
                <w:color w:val="auto"/>
              </w:rPr>
            </w:pPr>
            <w:r>
              <w:rPr>
                <w:rFonts w:ascii="Arial" w:cs="Arial" w:eastAsia="Arial" w:hAnsi="Arial"/>
                <w:sz w:val="14"/>
                <w:szCs w:val="14"/>
                <w:color w:val="auto"/>
              </w:rPr>
              <w:t>7/11/2019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833,333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114,719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495,226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Echo 360 Holdings,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E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$1.5963/share, expires 5/3/2029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1,066,767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299,762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629,630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FiscalNote,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10/19/2030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10/19/2020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194,673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438,014</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409,996</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Gynesonics,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6"/>
              </w:rPr>
              <w:t xml:space="preserve">Success fee, expires 12/1/2027 </w:t>
            </w:r>
            <w:r>
              <w:rPr>
                <w:rFonts w:ascii="Arial" w:cs="Arial" w:eastAsia="Arial" w:hAnsi="Arial"/>
                <w:sz w:val="10"/>
                <w:szCs w:val="10"/>
                <w:color w:val="auto"/>
                <w:w w:val="96"/>
              </w:rPr>
              <w:t>(12)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498,900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506,293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INRIX,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$9.29/share,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7/26/2029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522,083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504,439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Longtail Ad Solutions, Inc. (dba</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gridSpan w:val="4"/>
          </w:tcPr>
          <w:p>
            <w:pPr>
              <w:spacing w:after="0" w:line="149" w:lineRule="exact"/>
              <w:rPr>
                <w:sz w:val="20"/>
                <w:szCs w:val="20"/>
                <w:color w:val="auto"/>
              </w:rPr>
            </w:pPr>
            <w:r>
              <w:rPr>
                <w:rFonts w:ascii="Arial" w:cs="Arial" w:eastAsia="Arial" w:hAnsi="Arial"/>
                <w:sz w:val="14"/>
                <w:szCs w:val="14"/>
                <w:color w:val="auto"/>
              </w:rPr>
              <w:t>JW Player)</w:t>
            </w: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 and</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$1.49/share,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12/12/2029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12/12/2019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322,997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38,800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304,264</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Massdrop,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Electronics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$1.1938/share, expires 7/22/2029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183,188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276,478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w w:val="99"/>
              </w:rPr>
              <w:t>Mingle Healthcare Solutions, Inc.</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Health Care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 $0.24/share,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Technology</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8/15/2028</w:t>
            </w:r>
          </w:p>
        </w:tc>
        <w:tc>
          <w:tcPr>
            <w:tcW w:w="720" w:type="dxa"/>
            <w:vAlign w:val="bottom"/>
          </w:tcPr>
          <w:p>
            <w:pPr>
              <w:jc w:val="right"/>
              <w:spacing w:after="0"/>
              <w:rPr>
                <w:sz w:val="20"/>
                <w:szCs w:val="20"/>
                <w:color w:val="auto"/>
              </w:rPr>
            </w:pPr>
            <w:r>
              <w:rPr>
                <w:rFonts w:ascii="Arial" w:cs="Arial" w:eastAsia="Arial" w:hAnsi="Arial"/>
                <w:sz w:val="14"/>
                <w:szCs w:val="14"/>
                <w:color w:val="auto"/>
              </w:rPr>
              <w:t>8/15/2018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1,625,000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492,375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MTBC,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exercise price $7.50/share, expires</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1/8/2022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$10.00/share,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1/8/2023</w:t>
            </w:r>
          </w:p>
        </w:tc>
        <w:tc>
          <w:tcPr>
            <w:tcW w:w="720" w:type="dxa"/>
            <w:vAlign w:val="bottom"/>
          </w:tcPr>
          <w:p>
            <w:pPr>
              <w:jc w:val="right"/>
              <w:spacing w:after="0"/>
              <w:rPr>
                <w:sz w:val="20"/>
                <w:szCs w:val="20"/>
                <w:color w:val="auto"/>
              </w:rPr>
            </w:pPr>
            <w:r>
              <w:rPr>
                <w:rFonts w:ascii="Arial" w:cs="Arial" w:eastAsia="Arial" w:hAnsi="Arial"/>
                <w:sz w:val="14"/>
                <w:szCs w:val="14"/>
                <w:color w:val="auto"/>
              </w:rPr>
              <w:t>1/8/2020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837,000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2,492,000</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3DNA Corp. (dba NationBuilder)</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C-1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8"/>
              </w:rPr>
              <w:t>$1.4643/share, expires 12/28/2028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66,341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Ouster,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B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$0.3323/share, expires 11/27/2028</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11/27/2018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1,805,597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103,010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9,901,935</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Pivot3,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$0.59/share,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5/13/2029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2,033,898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216,610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Porch Group,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 xml:space="preserve">Earnout, expires 12/23/2023 </w:t>
            </w:r>
            <w:r>
              <w:rPr>
                <w:rFonts w:ascii="Arial" w:cs="Arial" w:eastAsia="Arial" w:hAnsi="Arial"/>
                <w:sz w:val="10"/>
                <w:szCs w:val="10"/>
                <w:color w:val="auto"/>
              </w:rPr>
              <w:t>(12)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Software</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12/23/2020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RealWear,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Technology</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Hardware,</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Storage &amp;</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$4.4464/share, expires 10/5/2028</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Peripherals</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135,841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w w:val="98"/>
              </w:rPr>
              <w:t>$4.4464/share, expires 12/28/2028</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12/28/2018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25,248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A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$6.78/share,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expires 6/27/2029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6/27/2019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tcPr>
          <w:p>
            <w:pPr>
              <w:spacing w:after="0" w:line="130" w:lineRule="exact"/>
              <w:rPr>
                <w:sz w:val="20"/>
                <w:szCs w:val="20"/>
                <w:color w:val="auto"/>
              </w:rPr>
            </w:pPr>
            <w:r>
              <w:rPr>
                <w:rFonts w:ascii="Arial" w:cs="Arial" w:eastAsia="Arial" w:hAnsi="Arial"/>
                <w:sz w:val="14"/>
                <w:szCs w:val="14"/>
                <w:color w:val="auto"/>
              </w:rPr>
              <w:t>Scale Computing, Inc.</w:t>
            </w:r>
          </w:p>
        </w:tc>
        <w:tc>
          <w:tcPr>
            <w:tcW w:w="108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System</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exercise price $0.8031/share,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expires 3/29/2029</w:t>
            </w:r>
          </w:p>
        </w:tc>
        <w:tc>
          <w:tcPr>
            <w:tcW w:w="720" w:type="dxa"/>
            <w:vAlign w:val="bottom"/>
          </w:tcPr>
          <w:p>
            <w:pPr>
              <w:jc w:val="right"/>
              <w:spacing w:after="0"/>
              <w:rPr>
                <w:sz w:val="20"/>
                <w:szCs w:val="20"/>
                <w:color w:val="auto"/>
              </w:rPr>
            </w:pPr>
            <w:r>
              <w:rPr>
                <w:rFonts w:ascii="Arial" w:cs="Arial" w:eastAsia="Arial" w:hAnsi="Arial"/>
                <w:sz w:val="14"/>
                <w:szCs w:val="14"/>
                <w:color w:val="auto"/>
              </w:rPr>
              <w:t>3/29/2019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9,665,667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345,816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SendtoNews Video, Inc.</w:t>
            </w: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Advertising</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Warrant for Class B Non-Voting</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 $0.67/share,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 xml:space="preserve">expires 6/30/2027 </w:t>
            </w:r>
            <w:r>
              <w:rPr>
                <w:rFonts w:ascii="Arial" w:cs="Arial" w:eastAsia="Arial" w:hAnsi="Arial"/>
                <w:sz w:val="10"/>
                <w:szCs w:val="10"/>
                <w:color w:val="auto"/>
              </w:rPr>
              <w:t>(3),(6)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6/30/2017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246,461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0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Sub-Industry</w:t>
            </w:r>
          </w:p>
        </w:tc>
        <w:tc>
          <w:tcPr>
            <w:tcW w:w="100" w:type="dxa"/>
            <w:vAlign w:val="bottom"/>
          </w:tcPr>
          <w:p>
            <w:pPr>
              <w:spacing w:after="0"/>
              <w:rPr>
                <w:sz w:val="12"/>
                <w:szCs w:val="1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0"/>
                <w:szCs w:val="10"/>
                <w:b w:val="1"/>
                <w:bCs w:val="1"/>
                <w:color w:val="auto"/>
              </w:rPr>
              <w:t>(1),(5),(10)</w:t>
            </w:r>
          </w:p>
        </w:tc>
        <w:tc>
          <w:tcPr>
            <w:tcW w:w="8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0"/>
                <w:szCs w:val="10"/>
                <w:b w:val="1"/>
                <w:bCs w:val="1"/>
                <w:color w:val="auto"/>
              </w:rPr>
              <w:t>(2),(8)</w:t>
            </w:r>
          </w:p>
        </w:tc>
        <w:tc>
          <w:tcPr>
            <w:tcW w:w="640" w:type="dxa"/>
            <w:vAlign w:val="bottom"/>
            <w:gridSpan w:val="2"/>
          </w:tcPr>
          <w:p>
            <w:pPr>
              <w:jc w:val="right"/>
              <w:ind w:right="248"/>
              <w:spacing w:after="0" w:line="149"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6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1"/>
              </w:rPr>
              <w:t>Assets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20" w:type="dxa"/>
            <w:vAlign w:val="bottom"/>
            <w:tcBorders>
              <w:top w:val="single" w:sz="8" w:color="auto"/>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investments (continued)</w:t>
            </w: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0"/>
                <w:szCs w:val="10"/>
                <w:b w:val="1"/>
                <w:bCs w:val="1"/>
                <w:color w:val="auto"/>
              </w:rPr>
              <w:t>(7)</w:t>
            </w:r>
            <w:r>
              <w:rPr>
                <w:rFonts w:ascii="Arial" w:cs="Arial" w:eastAsia="Arial" w:hAnsi="Arial"/>
                <w:sz w:val="14"/>
                <w:szCs w:val="14"/>
                <w:b w:val="1"/>
                <w:bCs w:val="1"/>
                <w:color w:val="auto"/>
              </w:rPr>
              <w:t xml:space="preserve"> (continued)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ShareThis, Inc.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Data Processing</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Warrant for Series D-3 Preferred</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&amp; Outsourced</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exercise price</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$2.4320/share, expires 12/3/2028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12/3/2018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647,615</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2,162,000</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0.46 %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tcPr>
          <w:p>
            <w:pPr>
              <w:spacing w:after="0" w:line="130" w:lineRule="exact"/>
              <w:rPr>
                <w:sz w:val="20"/>
                <w:szCs w:val="20"/>
                <w:color w:val="auto"/>
              </w:rPr>
            </w:pPr>
            <w:r>
              <w:rPr>
                <w:rFonts w:ascii="Arial" w:cs="Arial" w:eastAsia="Arial" w:hAnsi="Arial"/>
                <w:sz w:val="14"/>
                <w:szCs w:val="14"/>
                <w:color w:val="auto"/>
              </w:rPr>
              <w:t>The Kairn Corporation</w:t>
            </w:r>
          </w:p>
        </w:tc>
        <w:tc>
          <w:tcPr>
            <w:tcW w:w="108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Application</w:t>
            </w:r>
          </w:p>
        </w:tc>
        <w:tc>
          <w:tcPr>
            <w:tcW w:w="100" w:type="dxa"/>
            <w:vAlign w:val="bottom"/>
          </w:tcPr>
          <w:p>
            <w:pPr>
              <w:spacing w:after="0"/>
              <w:rPr>
                <w:sz w:val="11"/>
                <w:szCs w:val="11"/>
                <w:color w:val="auto"/>
              </w:rPr>
            </w:pPr>
          </w:p>
        </w:tc>
        <w:tc>
          <w:tcPr>
            <w:tcW w:w="216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Warrant for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Software</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8"/>
              </w:rPr>
              <w:t>exercise price $0.01/share, expires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3/9/2030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3/9/2020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81,177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20" w:type="dxa"/>
            <w:vAlign w:val="bottom"/>
            <w:gridSpan w:val="5"/>
            <w:shd w:val="clear" w:color="auto" w:fill="CCEEFF"/>
          </w:tcPr>
          <w:p>
            <w:pPr>
              <w:spacing w:after="0" w:line="130" w:lineRule="exact"/>
              <w:rPr>
                <w:sz w:val="20"/>
                <w:szCs w:val="20"/>
                <w:color w:val="auto"/>
              </w:rPr>
            </w:pPr>
            <w:r>
              <w:rPr>
                <w:rFonts w:ascii="Arial" w:cs="Arial" w:eastAsia="Arial" w:hAnsi="Arial"/>
                <w:sz w:val="14"/>
                <w:szCs w:val="14"/>
                <w:color w:val="auto"/>
              </w:rPr>
              <w:t>VERO Biotech LLC</w:t>
            </w:r>
          </w:p>
        </w:tc>
        <w:tc>
          <w:tcPr>
            <w:tcW w:w="10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 Care</w:t>
            </w:r>
          </w:p>
        </w:tc>
        <w:tc>
          <w:tcPr>
            <w:tcW w:w="10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Success fee, expires 12/29/2025</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12/29/2020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233,300</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17,558,364</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33,008,672</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20" w:type="dxa"/>
            <w:vAlign w:val="bottom"/>
            <w:gridSpan w:val="5"/>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532,676,057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541,978,736</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116.24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investments</w:t>
            </w:r>
          </w:p>
        </w:tc>
        <w:tc>
          <w:tcPr>
            <w:tcW w:w="112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20" w:type="dxa"/>
            <w:vAlign w:val="bottom"/>
            <w:gridSpan w:val="5"/>
          </w:tcPr>
          <w:p>
            <w:pPr>
              <w:spacing w:after="0" w:line="103" w:lineRule="exact"/>
              <w:rPr>
                <w:sz w:val="20"/>
                <w:szCs w:val="20"/>
                <w:color w:val="auto"/>
              </w:rPr>
            </w:pPr>
            <w:r>
              <w:rPr>
                <w:rFonts w:ascii="Arial" w:cs="Arial" w:eastAsia="Arial" w:hAnsi="Arial"/>
                <w:sz w:val="11"/>
                <w:szCs w:val="11"/>
                <w:b w:val="1"/>
                <w:bCs w:val="1"/>
                <w:color w:val="auto"/>
              </w:rPr>
              <w:t>U.S. Treasury</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60" w:type="dxa"/>
            <w:vAlign w:val="bottom"/>
            <w:gridSpan w:val="3"/>
          </w:tcPr>
          <w:p>
            <w:pPr>
              <w:ind w:left="100"/>
              <w:spacing w:after="0" w:line="103" w:lineRule="exact"/>
              <w:rPr>
                <w:sz w:val="20"/>
                <w:szCs w:val="20"/>
                <w:color w:val="auto"/>
              </w:rPr>
            </w:pPr>
            <w:r>
              <w:rPr>
                <w:rFonts w:ascii="Arial" w:cs="Arial" w:eastAsia="Arial" w:hAnsi="Arial"/>
                <w:sz w:val="11"/>
                <w:szCs w:val="11"/>
                <w:color w:val="auto"/>
              </w:rPr>
              <w:t>U.S. Treasury Bill, 0.40%, due</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 xml:space="preserve">01/12/2021 </w:t>
            </w:r>
            <w:r>
              <w:rPr>
                <w:rFonts w:ascii="Arial" w:cs="Arial" w:eastAsia="Arial" w:hAnsi="Arial"/>
                <w:sz w:val="10"/>
                <w:szCs w:val="10"/>
                <w:color w:val="auto"/>
              </w:rPr>
              <w:t>(9)</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4"/>
              </w:rPr>
              <w:t>12/30/2020</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70,000,000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70,001,472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70,002,060</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Investments</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616,589,023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621,826,650</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133.37</w:t>
            </w:r>
          </w:p>
        </w:tc>
        <w:tc>
          <w:tcPr>
            <w:tcW w:w="14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60" w:hanging="328"/>
        <w:spacing w:after="0" w:line="238"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2020, the 3-Month LIBOR was 0.24% and the U.S. Prime Rate was 3.25%.</w:t>
      </w:r>
    </w:p>
    <w:p>
      <w:pPr>
        <w:spacing w:after="0" w:line="74"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December 31, 2020 represented 118.36%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jc w:val="both"/>
        <w:ind w:left="660" w:hanging="328"/>
        <w:spacing w:after="0" w:line="255" w:lineRule="auto"/>
        <w:tabs>
          <w:tab w:leader="none" w:pos="660" w:val="left"/>
        </w:tabs>
        <w:numPr>
          <w:ilvl w:val="0"/>
          <w:numId w:val="65"/>
        </w:numPr>
        <w:rPr>
          <w:rFonts w:ascii="Arial" w:cs="Arial" w:eastAsia="Arial" w:hAnsi="Arial"/>
          <w:sz w:val="10"/>
          <w:szCs w:val="10"/>
          <w:color w:val="auto"/>
        </w:rPr>
      </w:pPr>
      <w:r>
        <w:rPr>
          <w:rFonts w:ascii="Arial" w:cs="Arial" w:eastAsia="Arial" w:hAnsi="Arial"/>
          <w:sz w:val="13"/>
          <w:szCs w:val="13"/>
          <w:color w:val="auto"/>
        </w:rPr>
        <w:t>Investment is not a qualifying asset as defined under Section 55(a) of the Investment Company Act of 1940, as amended (the “1940 Act”). Non-qualifying assets represent 10.68% of total investments at fair value as of December 31,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66" w:lineRule="exact"/>
        <w:rPr>
          <w:rFonts w:ascii="Arial" w:cs="Arial" w:eastAsia="Arial" w:hAnsi="Arial"/>
          <w:sz w:val="10"/>
          <w:szCs w:val="10"/>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95" w:lineRule="exact"/>
        <w:rPr>
          <w:rFonts w:ascii="Arial" w:cs="Arial" w:eastAsia="Arial" w:hAnsi="Arial"/>
          <w:sz w:val="11"/>
          <w:szCs w:val="11"/>
          <w:color w:val="auto"/>
        </w:rPr>
      </w:pPr>
    </w:p>
    <w:p>
      <w:pPr>
        <w:jc w:val="both"/>
        <w:ind w:left="660" w:hanging="328"/>
        <w:spacing w:after="0" w:line="238"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Treasury bills with $70,000,000 in aggregate of par value were purchased pursuant to a 0.40% reverse repurchase agreement with Goldman Sachs dated December 30, 2020 and due to the Company on January 12 2021, with a repurchase price to the Company of $69,650,000, collateralized by a 0.40% U.S. Treasury Bill due January 12 2021 with an aggregate par value of $70,000,000 and fair value of $70,002,060.</w:t>
      </w:r>
    </w:p>
    <w:p>
      <w:pPr>
        <w:spacing w:after="0" w:line="74"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9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95"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Mojix, Inc., Pivot3, Inc., and The Kairn Corporation senior secured term loans.</w:t>
      </w:r>
    </w:p>
    <w:p>
      <w:pPr>
        <w:spacing w:after="0" w:line="106"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Control investment, as defined under the 1940 Act, in which the Company owns at least 25% of the investment’s voting securities or has greater than 50% representation on its board.</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Investment is publicly traded and listed on NASDAQ.</w:t>
      </w:r>
    </w:p>
    <w:p>
      <w:pPr>
        <w:spacing w:after="0" w:line="136"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65"/>
        </w:numPr>
        <w:rPr>
          <w:rFonts w:ascii="Arial" w:cs="Arial" w:eastAsia="Arial" w:hAnsi="Arial"/>
          <w:sz w:val="11"/>
          <w:szCs w:val="11"/>
          <w:color w:val="auto"/>
        </w:rPr>
      </w:pPr>
      <w:r>
        <w:rPr>
          <w:rFonts w:ascii="Arial" w:cs="Arial" w:eastAsia="Arial" w:hAnsi="Arial"/>
          <w:sz w:val="14"/>
          <w:szCs w:val="14"/>
          <w:color w:val="auto"/>
        </w:rPr>
        <w:t>260,000 shares of MTBC, Inc. preferred stock with a fair value of $1,429,600 have restrictions on the sale of the shares due to escrow claims, and such fair value is considered a Level 2 fair value measurement under the fair value hierarchy.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shows the fair value of the portfolio company investments in which we are deemed to exercise a controlling influence over the management or policies of the portfolio company, as defined in the 1940 Act, due to beneficially owning, either directly or through one or more controlled companies, more than 25% of the outstanding voting securities of the portfolio company as of December 31, 2020, along with the transactions during the year ended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9"/>
          </w:tcPr>
          <w:p>
            <w:pPr>
              <w:ind w:left="240"/>
              <w:spacing w:after="0"/>
              <w:rPr>
                <w:sz w:val="20"/>
                <w:szCs w:val="20"/>
                <w:color w:val="auto"/>
              </w:rPr>
            </w:pPr>
            <w:r>
              <w:rPr>
                <w:rFonts w:ascii="Arial" w:cs="Arial" w:eastAsia="Arial" w:hAnsi="Arial"/>
                <w:sz w:val="13"/>
                <w:szCs w:val="13"/>
                <w:b w:val="1"/>
                <w:bCs w:val="1"/>
                <w:color w:val="auto"/>
                <w:w w:val="87"/>
              </w:rPr>
              <w:t>For the Year Ended December 31, 2020</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rPr>
              <w:t>Net Change in</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9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240"/>
              <w:spacing w:after="0" w:line="135"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Gains</w:t>
            </w:r>
          </w:p>
        </w:tc>
        <w:tc>
          <w:tcPr>
            <w:tcW w:w="80" w:type="dxa"/>
            <w:vAlign w:val="bottom"/>
          </w:tcPr>
          <w:p>
            <w:pPr>
              <w:spacing w:after="0"/>
              <w:rPr>
                <w:sz w:val="11"/>
                <w:szCs w:val="11"/>
                <w:color w:val="auto"/>
              </w:rPr>
            </w:pPr>
          </w:p>
        </w:tc>
        <w:tc>
          <w:tcPr>
            <w:tcW w:w="90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160" w:type="dxa"/>
            <w:vAlign w:val="bottom"/>
          </w:tcPr>
          <w:p>
            <w:pPr>
              <w:spacing w:after="0"/>
              <w:rPr>
                <w:sz w:val="11"/>
                <w:szCs w:val="11"/>
                <w:color w:val="auto"/>
              </w:rPr>
            </w:pPr>
          </w:p>
        </w:tc>
        <w:tc>
          <w:tcPr>
            <w:tcW w:w="98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53"/>
        </w:trPr>
        <w:tc>
          <w:tcPr>
            <w:tcW w:w="212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Portfolio Company</w:t>
            </w:r>
            <w:r>
              <w:rPr>
                <w:rFonts w:ascii="Arial" w:cs="Arial" w:eastAsia="Arial" w:hAnsi="Arial"/>
                <w:sz w:val="17"/>
                <w:szCs w:val="17"/>
                <w:b w:val="1"/>
                <w:bCs w:val="1"/>
                <w:color w:val="auto"/>
                <w:vertAlign w:val="superscript"/>
              </w:rPr>
              <w:t>(4)</w:t>
            </w:r>
          </w:p>
        </w:tc>
        <w:tc>
          <w:tcPr>
            <w:tcW w:w="2180" w:type="dxa"/>
            <w:vAlign w:val="bottom"/>
            <w:gridSpan w:val="3"/>
          </w:tcPr>
          <w:p>
            <w:pPr>
              <w:ind w:left="80"/>
              <w:spacing w:after="0"/>
              <w:rPr>
                <w:sz w:val="20"/>
                <w:szCs w:val="20"/>
                <w:color w:val="auto"/>
              </w:rPr>
            </w:pPr>
            <w:r>
              <w:rPr>
                <w:rFonts w:ascii="Arial" w:cs="Arial" w:eastAsia="Arial" w:hAnsi="Arial"/>
                <w:sz w:val="13"/>
                <w:szCs w:val="13"/>
                <w:b w:val="1"/>
                <w:bCs w:val="1"/>
                <w:color w:val="auto"/>
              </w:rPr>
              <w:t>Investment Description</w:t>
            </w:r>
          </w:p>
        </w:tc>
        <w:tc>
          <w:tcPr>
            <w:tcW w:w="10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85"/>
              </w:rPr>
              <w:t>December 31, 2019</w:t>
            </w:r>
          </w:p>
        </w:tc>
        <w:tc>
          <w:tcPr>
            <w:tcW w:w="100" w:type="dxa"/>
            <w:vAlign w:val="bottom"/>
          </w:tcPr>
          <w:p>
            <w:pPr>
              <w:spacing w:after="0"/>
              <w:rPr>
                <w:sz w:val="13"/>
                <w:szCs w:val="13"/>
                <w:color w:val="auto"/>
              </w:rPr>
            </w:pPr>
          </w:p>
        </w:tc>
        <w:tc>
          <w:tcPr>
            <w:tcW w:w="680" w:type="dxa"/>
            <w:vAlign w:val="bottom"/>
            <w:gridSpan w:val="2"/>
          </w:tcPr>
          <w:p>
            <w:pPr>
              <w:jc w:val="right"/>
              <w:spacing w:after="0" w:line="154" w:lineRule="exact"/>
              <w:rPr>
                <w:sz w:val="20"/>
                <w:szCs w:val="20"/>
                <w:color w:val="auto"/>
              </w:rPr>
            </w:pPr>
            <w:r>
              <w:rPr>
                <w:rFonts w:ascii="Arial" w:cs="Arial" w:eastAsia="Arial" w:hAnsi="Arial"/>
                <w:sz w:val="12"/>
                <w:szCs w:val="12"/>
                <w:b w:val="1"/>
                <w:bCs w:val="1"/>
                <w:color w:val="auto"/>
                <w:w w:val="92"/>
              </w:rPr>
              <w:t>Additions</w:t>
            </w:r>
            <w:r>
              <w:rPr>
                <w:rFonts w:ascii="Arial" w:cs="Arial" w:eastAsia="Arial" w:hAnsi="Arial"/>
                <w:sz w:val="17"/>
                <w:szCs w:val="17"/>
                <w:b w:val="1"/>
                <w:bCs w:val="1"/>
                <w:color w:val="auto"/>
                <w:w w:val="92"/>
                <w:vertAlign w:val="superscript"/>
              </w:rPr>
              <w:t>(1)</w:t>
            </w:r>
          </w:p>
        </w:tc>
        <w:tc>
          <w:tcPr>
            <w:tcW w:w="80" w:type="dxa"/>
            <w:vAlign w:val="bottom"/>
          </w:tcPr>
          <w:p>
            <w:pPr>
              <w:spacing w:after="0"/>
              <w:rPr>
                <w:sz w:val="13"/>
                <w:szCs w:val="13"/>
                <w:color w:val="auto"/>
              </w:rPr>
            </w:pPr>
          </w:p>
        </w:tc>
        <w:tc>
          <w:tcPr>
            <w:tcW w:w="72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88"/>
              </w:rPr>
              <w:t>Reductions</w:t>
            </w:r>
            <w:r>
              <w:rPr>
                <w:rFonts w:ascii="Arial" w:cs="Arial" w:eastAsia="Arial" w:hAnsi="Arial"/>
                <w:sz w:val="17"/>
                <w:szCs w:val="17"/>
                <w:b w:val="1"/>
                <w:bCs w:val="1"/>
                <w:color w:val="auto"/>
                <w:w w:val="88"/>
                <w:vertAlign w:val="superscript"/>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b w:val="1"/>
                <w:bCs w:val="1"/>
                <w:color w:val="auto"/>
              </w:rPr>
              <w:t>(Losses)</w:t>
            </w:r>
          </w:p>
        </w:tc>
        <w:tc>
          <w:tcPr>
            <w:tcW w:w="80" w:type="dxa"/>
            <w:vAlign w:val="bottom"/>
          </w:tcPr>
          <w:p>
            <w:pPr>
              <w:spacing w:after="0"/>
              <w:rPr>
                <w:sz w:val="13"/>
                <w:szCs w:val="13"/>
                <w:color w:val="auto"/>
              </w:rPr>
            </w:pPr>
          </w:p>
        </w:tc>
        <w:tc>
          <w:tcPr>
            <w:tcW w:w="900" w:type="dxa"/>
            <w:vAlign w:val="bottom"/>
            <w:gridSpan w:val="4"/>
          </w:tcPr>
          <w:p>
            <w:pPr>
              <w:ind w:left="20"/>
              <w:spacing w:after="0"/>
              <w:rPr>
                <w:sz w:val="20"/>
                <w:szCs w:val="20"/>
                <w:color w:val="auto"/>
              </w:rPr>
            </w:pPr>
            <w:r>
              <w:rPr>
                <w:rFonts w:ascii="Arial" w:cs="Arial" w:eastAsia="Arial" w:hAnsi="Arial"/>
                <w:sz w:val="13"/>
                <w:szCs w:val="13"/>
                <w:b w:val="1"/>
                <w:bCs w:val="1"/>
                <w:color w:val="auto"/>
                <w:w w:val="98"/>
              </w:rPr>
              <w:t>(Depreciation)</w:t>
            </w:r>
          </w:p>
        </w:tc>
        <w:tc>
          <w:tcPr>
            <w:tcW w:w="114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w w:val="91"/>
              </w:rPr>
              <w:t>December 31, 2020</w:t>
            </w:r>
            <w:r>
              <w:rPr>
                <w:rFonts w:ascii="Arial" w:cs="Arial" w:eastAsia="Arial" w:hAnsi="Arial"/>
                <w:sz w:val="17"/>
                <w:szCs w:val="17"/>
                <w:b w:val="1"/>
                <w:bCs w:val="1"/>
                <w:color w:val="auto"/>
                <w:w w:val="91"/>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Senior Secured Term Loans</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w w:val="90"/>
              </w:rPr>
              <w:t>Tranche I: LIBOR+12.00% PIK, 12.00%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floor, 5% ETP, due 7/15/2021</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86"/>
              </w:rPr>
              <w:t>4,860,763</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52,387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4,913,150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II: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95"/>
              </w:rPr>
              <w:t>12.00% floor, 5% ETP, due 7/15/2021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1,620,255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1,637,717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rPr>
              <w:t>Tranche III: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w w:val="95"/>
              </w:rPr>
              <w:t>12.00% floor, 5% ETP, due 7/15/2021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404,654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4,362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409,016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IV: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95"/>
              </w:rPr>
              <w:t>12.00% floor, 5% ETP, due 7/15/2021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404,090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408,445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rPr>
              <w:t>Tranche V: LIBOR+12.00% PIK,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w w:val="95"/>
              </w:rPr>
              <w:t>12.00% floor, 5% ETP, due 7/15/2021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804,709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8,673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813,382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VI: LIBOR+12.00% PIK,</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95"/>
              </w:rPr>
              <w:t>12.00% floor, 5% ETP, due 7/31/2021</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771,060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8,310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779,370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Total Senior Secured Term Loans</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ind w:left="7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8,865,531</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95,549</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8,961,080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00" w:type="dxa"/>
            <w:vAlign w:val="bottom"/>
          </w:tcPr>
          <w:p>
            <w:pPr>
              <w:spacing w:after="0" w:line="135" w:lineRule="exact"/>
              <w:rPr>
                <w:sz w:val="20"/>
                <w:szCs w:val="20"/>
                <w:color w:val="auto"/>
              </w:rPr>
            </w:pPr>
            <w:r>
              <w:rPr>
                <w:rFonts w:ascii="Arial" w:cs="Arial" w:eastAsia="Arial" w:hAnsi="Arial"/>
                <w:sz w:val="13"/>
                <w:szCs w:val="13"/>
                <w:b w:val="1"/>
                <w:bCs w:val="1"/>
                <w:color w:val="auto"/>
              </w:rPr>
              <w:t>Preferred Stocks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Mojix, Inc.</w:t>
            </w:r>
          </w:p>
        </w:tc>
        <w:tc>
          <w:tcPr>
            <w:tcW w:w="8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Series A-1 Preferred Stock</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ind w:left="7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800,000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84,774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884,774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Warrants</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line="121" w:lineRule="exact"/>
              <w:rPr>
                <w:sz w:val="20"/>
                <w:szCs w:val="20"/>
                <w:color w:val="auto"/>
              </w:rPr>
            </w:pPr>
            <w:r>
              <w:rPr>
                <w:rFonts w:ascii="Arial" w:cs="Arial" w:eastAsia="Arial" w:hAnsi="Arial"/>
                <w:sz w:val="13"/>
                <w:szCs w:val="13"/>
                <w:color w:val="auto"/>
              </w:rPr>
              <w:t>Mojix, Inc.</w:t>
            </w: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w w:val="97"/>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w w:val="92"/>
              </w:rPr>
              <w:t>price $1.286/share, expires 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180" w:type="dxa"/>
            <w:vAlign w:val="bottom"/>
            <w:gridSpan w:val="3"/>
            <w:shd w:val="clear" w:color="auto" w:fill="CCEEFF"/>
          </w:tcPr>
          <w:p>
            <w:pPr>
              <w:ind w:left="80"/>
              <w:spacing w:after="0" w:line="121" w:lineRule="exact"/>
              <w:rPr>
                <w:sz w:val="20"/>
                <w:szCs w:val="20"/>
                <w:color w:val="auto"/>
              </w:rPr>
            </w:pPr>
            <w:r>
              <w:rPr>
                <w:rFonts w:ascii="Arial" w:cs="Arial" w:eastAsia="Arial" w:hAnsi="Arial"/>
                <w:sz w:val="13"/>
                <w:szCs w:val="13"/>
                <w:color w:val="auto"/>
                <w:w w:val="97"/>
              </w:rPr>
              <w:t>Warrant for Common Stock, exercise</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w w:val="89"/>
              </w:rPr>
              <w:t>price $2.1286/share, expires 12/13/2030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180" w:type="dxa"/>
            <w:vAlign w:val="bottom"/>
            <w:gridSpan w:val="3"/>
          </w:tcPr>
          <w:p>
            <w:pPr>
              <w:ind w:left="80"/>
              <w:spacing w:after="0" w:line="121" w:lineRule="exact"/>
              <w:rPr>
                <w:sz w:val="20"/>
                <w:szCs w:val="20"/>
                <w:color w:val="auto"/>
              </w:rPr>
            </w:pPr>
            <w:r>
              <w:rPr>
                <w:rFonts w:ascii="Arial" w:cs="Arial" w:eastAsia="Arial" w:hAnsi="Arial"/>
                <w:sz w:val="13"/>
                <w:szCs w:val="13"/>
                <w:color w:val="auto"/>
                <w:w w:val="97"/>
              </w:rPr>
              <w:t>Warrant for Common Stock, exercise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w w:val="86"/>
              </w:rPr>
              <w:t>price $5.57338/share, expires 12/13/2030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7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Warrants</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ind w:left="7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line="129" w:lineRule="exact"/>
              <w:rPr>
                <w:sz w:val="20"/>
                <w:szCs w:val="20"/>
                <w:color w:val="auto"/>
              </w:rPr>
            </w:pPr>
            <w:r>
              <w:rPr>
                <w:rFonts w:ascii="Arial" w:cs="Arial" w:eastAsia="Arial" w:hAnsi="Arial"/>
                <w:sz w:val="13"/>
                <w:szCs w:val="13"/>
                <w:b w:val="1"/>
                <w:bCs w:val="1"/>
                <w:color w:val="auto"/>
                <w:w w:val="99"/>
              </w:rPr>
              <w:t>Total Control/affiliate investments</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ind w:left="72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9,665,531</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42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180,323</w:t>
            </w: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9,845,854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90" w:lineRule="auto"/>
        <w:tabs>
          <w:tab w:leader="none" w:pos="660" w:val="left"/>
        </w:tabs>
        <w:numPr>
          <w:ilvl w:val="0"/>
          <w:numId w:val="66"/>
        </w:numPr>
        <w:rPr>
          <w:rFonts w:ascii="Arial" w:cs="Arial" w:eastAsia="Arial" w:hAnsi="Arial"/>
          <w:sz w:val="10"/>
          <w:szCs w:val="10"/>
          <w:color w:val="auto"/>
        </w:rPr>
      </w:pPr>
      <w:r>
        <w:rPr>
          <w:rFonts w:ascii="Arial" w:cs="Arial" w:eastAsia="Arial" w:hAnsi="Arial"/>
          <w:sz w:val="13"/>
          <w:szCs w:val="13"/>
          <w:color w:val="auto"/>
        </w:rPr>
        <w:t>Gross additions includes increases in the basis of investments resulting from new portfolio investments, PIK interest, accretion of OID, the exchange of one or more existing investments for one or more new investments and the movement of an existing portfolio company into this category from a different category.</w:t>
      </w:r>
    </w:p>
    <w:p>
      <w:pPr>
        <w:spacing w:after="0" w:line="43" w:lineRule="exact"/>
        <w:rPr>
          <w:rFonts w:ascii="Arial" w:cs="Arial" w:eastAsia="Arial" w:hAnsi="Arial"/>
          <w:sz w:val="10"/>
          <w:szCs w:val="10"/>
          <w:color w:val="auto"/>
        </w:rPr>
      </w:pPr>
    </w:p>
    <w:p>
      <w:pPr>
        <w:jc w:val="both"/>
        <w:ind w:left="660" w:right="20" w:hanging="328"/>
        <w:spacing w:after="0" w:line="238" w:lineRule="auto"/>
        <w:tabs>
          <w:tab w:leader="none" w:pos="660" w:val="left"/>
        </w:tabs>
        <w:numPr>
          <w:ilvl w:val="0"/>
          <w:numId w:val="66"/>
        </w:numPr>
        <w:rPr>
          <w:rFonts w:ascii="Arial" w:cs="Arial" w:eastAsia="Arial" w:hAnsi="Arial"/>
          <w:sz w:val="11"/>
          <w:szCs w:val="11"/>
          <w:color w:val="auto"/>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74" w:lineRule="exact"/>
        <w:rPr>
          <w:rFonts w:ascii="Arial" w:cs="Arial" w:eastAsia="Arial" w:hAnsi="Arial"/>
          <w:sz w:val="11"/>
          <w:szCs w:val="11"/>
          <w:color w:val="auto"/>
        </w:rPr>
      </w:pPr>
    </w:p>
    <w:p>
      <w:pPr>
        <w:ind w:left="660" w:hanging="328"/>
        <w:spacing w:after="0" w:line="253" w:lineRule="auto"/>
        <w:tabs>
          <w:tab w:leader="none" w:pos="660" w:val="left"/>
        </w:tabs>
        <w:numPr>
          <w:ilvl w:val="0"/>
          <w:numId w:val="66"/>
        </w:numPr>
        <w:rPr>
          <w:rFonts w:ascii="Arial" w:cs="Arial" w:eastAsia="Arial" w:hAnsi="Arial"/>
          <w:sz w:val="11"/>
          <w:szCs w:val="11"/>
          <w:color w:val="auto"/>
        </w:rPr>
      </w:pPr>
      <w:r>
        <w:rPr>
          <w:rFonts w:ascii="Arial" w:cs="Arial" w:eastAsia="Arial" w:hAnsi="Arial"/>
          <w:sz w:val="14"/>
          <w:szCs w:val="14"/>
          <w:color w:val="auto"/>
        </w:rPr>
        <w:t>All investments in the portfolio company, which as of December 31, 2020 represented 2.11% of the Company’s net assets, are restricted as to resale and were valued at fair value as determined in good faith by the Company’s Board of Directors.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66"/>
        </w:numPr>
        <w:rPr>
          <w:rFonts w:ascii="Arial" w:cs="Arial" w:eastAsia="Arial" w:hAnsi="Arial"/>
          <w:sz w:val="11"/>
          <w:szCs w:val="11"/>
          <w:color w:val="auto"/>
        </w:rPr>
      </w:pPr>
      <w:r>
        <w:rPr>
          <w:rFonts w:ascii="Arial" w:cs="Arial" w:eastAsia="Arial" w:hAnsi="Arial"/>
          <w:sz w:val="14"/>
          <w:szCs w:val="14"/>
          <w:color w:val="auto"/>
        </w:rPr>
        <w:t>The Company earned no investment income from control investments.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294,585,551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113,684,806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70,958,641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24,503,250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South Central United States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22,726,932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294,160</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166,728,532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Healthcare Technology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79,159,609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65,886,330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Internet Software &amp;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60,804,985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53,016,743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Specialized Consumer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45,470,398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&amp; Employment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25,071,250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Education Services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19,240,254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18,682,426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17,136,450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Specialty Finance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System Software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264,160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551,824,590</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as of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On December 1, 2017, we completed our Initial Private Offering, in which we issued 18,241,157 shares of our common stock to stockholders for a total purchase price of $275,000,000 in reliance on exemptions from the registration requirements of the Securities Act, and other applicable securities laws.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2021, the Company had completed multiple closings under its second private offering (the “Second Private Offering”) and had accepted aggregate capital commitments of $181,673,500. As of December 31, 2021, in connection with the Second Private Offering the Company has issued 9,617,379 shares of its common stock for a total purchase price of $144,260,683. Concurrent with the IPO, all undrawn commitments under the Second Private Offering were cancelled.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25, 2021, the Company closed its initial public offering ("IPO"), issuing 6,850,000 shares of its common stock at a public offering price of $14.60 per share. Net of underwriting fees and offering costs, the Company received net cash proceeds of approximately $93 million. The Company’s common stock began trading on the Nasdaq Global Select Market under the symbol “RWAY” on October 21, 2021.</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2021, the Company has issued 22,564 shares as an additional direct investment by Runway Growth Holdings LLC, an affiliate of RGC, at a per-share price of $15.00 for total proceeds of $338,453 in a private offering pursuant to an exemption from registration under Regulation D of the Securities Act and purchased an additional 23,346 shares in the public markets for a total purchase price of $315,251. The Company has issued an additional 6,647,847 shares as part of the dividend reinvestment plan. For more information, see “Note 6 – Net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accompanying financial statements of the Company are prepared on the accrual basis of accounting in conformity with U.S. Generally Accepted Accounting Principles (“U.S.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 Certain items in the December 31, 2020 and December 31, 2019 financial statements have been reclassified to conform to the December 31, 2021 presentation with no effect on net income.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items in the December 31, 2020 and December 31, 2019 financial statements have been reclassified to conform to the December 31, 2021 presentation with no net effect on the net increase in net assets resulting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represents deposits held at financial institutions while cash equivalents are highly liquid investments held at financial institutions with an original maturity of three months or less at the date of acquisition. At times,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Costs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fees and expenses associated with opening the KeyBank credit facilities, including entering into the Credit Agreement (as defined below) (see “Note 10 – Borrowings”), and the issuance of the 2026 Senior Notes (as defined below) pursuant to the Note Purchase Agreement (as defined below) (see “Note 10 – Borrowings”) are being deferred and amortized as part of interest expense using the effective interest method over the term of the Credit Agreement and the Note Purchase Agreement in accordance with ASC 470, Debt. Debt issuance costs associated with the Credit Agreement and the Note Purchase Agreement are classified as a direct reduction of the carrying amount of borrowings with the Credit Agreement and the Note Purchase Agreement, unless there are no outstanding borrowings, in which case the debt issuance costs are presented as an asset.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and may in the future,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reverse repurchase agreement of one-day duration and 102 percent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 reverse repurchase agreement with Goldman Sachs, which expired on January 6, 2022, the Company purchased a U.S. Treasury Bill, due January 11, 2022. The fair value of the related collateral that the Company received for this agreement was $45,001,500 at December 31, 2021. Pursuant to a reverse repurchase agreement with Goldman Sachs which expired on January 6, 2021, the Company purchased a U.S. Treasury Bill, due January 12, 2021. The value of the related collateral that the Company received for this agreement was $70,002,060 at December 31, 2020. At December 31, 2021 and December 31, 2020, the repurchase liability is $44,774,963 and $69,650,000, respectively, which is reflected as Reverse Repurchase Agreement on the Statement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66" w:lineRule="exact"/>
        <w:rPr>
          <w:sz w:val="20"/>
          <w:szCs w:val="20"/>
          <w:color w:val="auto"/>
        </w:rPr>
      </w:pPr>
    </w:p>
    <w:p>
      <w:pPr>
        <w:jc w:val="both"/>
        <w:ind w:firstLine="259"/>
        <w:spacing w:after="0" w:line="293"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the Company is required to distribute to stockholders to maintain its qualification as a RIC for U.S. federal income tax purposes, even though the Company has not yet collected the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Non-Accrual of Investments</w:t>
      </w:r>
    </w:p>
    <w:p>
      <w:pPr>
        <w:spacing w:after="0" w:line="225"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6"/>
          <w:szCs w:val="16"/>
          <w:color w:val="auto"/>
        </w:rPr>
        <w:t>Debt investments are placed on non-accrual status when principal, interest, and other obligations become materially past due or when there is a reasonable doubt that principal, interest or other obligations will be collected in full. At the point of non-accrual, the Company will cease recognizing interest income on the debt investment until all principal and interest due has been paid or the Company believes the borrower has demonstrated the ability to repay its current and future contractual obligations. Additionally, any original issue discount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66"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6"/>
          <w:szCs w:val="16"/>
          <w:color w:val="auto"/>
        </w:rPr>
        <w:t>As of December 31, 2021, the Company had six loans to Mojix, Inc. and one loan to Pivot3 Holdings, Inc., representing an aggregate principal funded of $30,278,707 at a fair market value of $28,259,976, on non-accrual status, which represents 4.66% of the Company’s net assets. The non-accrual loans as of December 31, 2021 had total interest of $4,760,387 that would have been accrued into income. Had the loans not been on non-accrual status, $4,064,620 would be payable, and $695,767 would be original issue discount. For the year ended December 31, 2021, approximately 4.2% of the Company’s total investment income was attributable to non-cash PIK interest. As of December 31, 2020, the Company had six loans to Mojix, Inc. representing an aggregate principal funded of $11,000,000 at a fair market value of $8,961,080, on non-accrual status, which represents 1.92% of the Company’s net assets. The non-accrual status loans as of December 31, 2020 had total interest of $1,627,725 that would have been accrued into income. Had the loan not been on non-accrual status, $1,213,861 would be payable, and $413,864 would be original issue discount. For the year ended December 31, 2020, approximately 6.4% of the Company’s total investment income was attributable to non-cash PIK interest. As of December 31, 2019, the Company had two loans to Aginity, Inc. representing an aggregate principal funded of $9,000,000 at a fair market value of $4,311,589, on non-accrual status, which represented 1.15% of the Company’s net assets. The non-accrual status loans as of December 31, 2019, had total interest of $1,033,827 that would have been accrued into income. Had the loan not been on non-accrual status, $576,314 would be payable, and $457,513 would be original issue discount. For the year ended December 31, 2019, approximately 2.4% of the Company’s total investment income was attributable to non-cash PIK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w:t>
      </w:r>
      <w:r>
        <w:rPr>
          <w:rFonts w:ascii="Arial" w:cs="Arial" w:eastAsia="Arial" w:hAnsi="Arial"/>
          <w:sz w:val="18"/>
          <w:szCs w:val="18"/>
          <w:color w:val="auto"/>
        </w:rPr>
        <w:t>(“ASC Topic 820”), issued by the FASB. Fair value is the price that would be received to sell an asset or paid to transfer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in an orderly transaction between market participants at the measurement date.</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8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8" w:lineRule="exact"/>
        <w:rPr>
          <w:sz w:val="20"/>
          <w:szCs w:val="20"/>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1 — Valuations are based on quoted prices in active markets for identical assets or liabilities that are accessible at the measurement date.</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183"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independent valuation firm, if any, and makes a recommendation to our Board of Directors regarding such valuations;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84"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and equity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Rule 2a-5 under the 1940 Act was adopted by the SEC in December 2020 and establishes requirements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the Company’s debt investments, the Company compares the cost basis of the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w:t>
      </w:r>
    </w:p>
    <w:p>
      <w:pPr>
        <w:spacing w:after="0" w:line="1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Fair value of warrants is primarily determined using a Black Scholes option-pricing model. Privately held warrants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equity-related securities are valued based on an analysis of various factors including, but not limited to, the following:</w:t>
      </w:r>
    </w:p>
    <w:p>
      <w:pPr>
        <w:spacing w:after="0" w:line="146" w:lineRule="exact"/>
        <w:rPr>
          <w:sz w:val="20"/>
          <w:szCs w:val="20"/>
          <w:color w:val="auto"/>
        </w:rPr>
      </w:pPr>
    </w:p>
    <w:p>
      <w:pPr>
        <w:jc w:val="both"/>
        <w:ind w:left="980" w:hanging="324"/>
        <w:spacing w:after="0" w:line="270"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80"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76"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6" w:lineRule="exact"/>
        <w:rPr>
          <w:rFonts w:ascii="Arial" w:cs="Arial" w:eastAsia="Arial" w:hAnsi="Arial"/>
          <w:sz w:val="17"/>
          <w:szCs w:val="17"/>
          <w:color w:val="auto"/>
        </w:rPr>
      </w:pPr>
    </w:p>
    <w:p>
      <w:pPr>
        <w:jc w:val="both"/>
        <w:ind w:left="980" w:hanging="324"/>
        <w:spacing w:after="0" w:line="301"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7" w:lineRule="exact"/>
        <w:rPr>
          <w:rFonts w:ascii="Arial" w:cs="Arial" w:eastAsia="Arial" w:hAnsi="Arial"/>
          <w:sz w:val="16"/>
          <w:szCs w:val="16"/>
          <w:color w:val="auto"/>
        </w:rPr>
      </w:pPr>
    </w:p>
    <w:p>
      <w:pPr>
        <w:jc w:val="both"/>
        <w:ind w:left="980" w:hanging="324"/>
        <w:spacing w:after="0" w:line="272"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 of the amount</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 Fair value of the Company’s Credit Agreement is estimated by discounting remaining payments using applicable market rates or market quotes for similar instruments at the measurement date, if applicable. As of both December 31, 2021 and December 31, 2020, the Company believes that the carrying value of its Credit Agreement approximates fair value. The 2026 Senior Notes are carried at cost and with their longer maturity dates, fair value is estimated by discounting remaining payments using current market rates for similar instruments and considering such factors as the legal maturity date and the ability of market participants to prepay the notes. As of December 31, 2021, the Company believes that the carrying value of the 2026 Senior Notes approximates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ability or power to exercise a controlling influence over the management or policies of a company. Control is generally deemed to exist when a company or individual possesses or has the right to acquire within 60 days or less, a beneficial ownership of more than 25.0% of the voting securities of an investee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elected to be treated as a RIC under Subchapter M of the Code starting with its taxable year ended December 31, 2016 and intends to qualify annually for the tax treatment applicable to RICs. Generally, a RIC is not subject to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federal income taxes in the future.</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Depending on the level of taxable income earned in a tax year, we may choose to carry forward such taxable income in excess of current year dividend distributions from such current year taxable income into the next tax year and pay a 4% excise tax on such income, as required. If we determine that our estimated current year taxable income will exceed our estimated dividend distributions for the current year from such income, we accrue excise tax on estimated excess taxable income as such taxable income is earned. For the years ended December 31, 2021, 2020, and 2019, we recorded an expense of $0, $1,319, and $99,549, respectively, for U.S. federal excise tax, which is included in tax expense in the statement of operations. Differences between taxable income and net increase in net assets resulting from operations either can be temporary, meaning they will reverse in the future, or permanent. In accordance with Section 946-205-45-3 of the ASC, permanent tax differences are reclassified from accumulated undistributed earnings to paid-in-capital at the end of each year and have no impact on total net assets. For the years ended December 31, 2021, 2020, and 2019,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reclassified for book purposes amounts arising from permanent book/tax differences primarily related to non-deductible excise taxes paid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64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2019</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(99,549)</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Accumulated undistributed earnings</w:t>
            </w:r>
          </w:p>
        </w:tc>
        <w:tc>
          <w:tcPr>
            <w:tcW w:w="120" w:type="dxa"/>
            <w:vAlign w:val="bottom"/>
          </w:tcPr>
          <w:p>
            <w:pPr>
              <w:spacing w:after="0"/>
              <w:rPr>
                <w:sz w:val="20"/>
                <w:szCs w:val="20"/>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99,549</w:t>
            </w: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U.S. federal income tax purposes, distributions paid to stockholders are reported as ordinary income, return of capital, long term capital gains or a combination thereof. The tax character of distributions paid for the years ended December 31, 2021, 2020, and 2019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4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000" w:type="dxa"/>
            <w:vAlign w:val="bottom"/>
          </w:tcPr>
          <w:p>
            <w:pPr>
              <w:spacing w:after="0"/>
              <w:rPr>
                <w:sz w:val="14"/>
                <w:szCs w:val="14"/>
                <w:color w:val="auto"/>
              </w:rPr>
            </w:pPr>
          </w:p>
        </w:tc>
        <w:tc>
          <w:tcPr>
            <w:tcW w:w="3400" w:type="dxa"/>
            <w:vAlign w:val="bottom"/>
            <w:gridSpan w:val="2"/>
          </w:tcPr>
          <w:p>
            <w:pPr>
              <w:jc w:val="center"/>
              <w:ind w:left="2268"/>
              <w:spacing w:after="0"/>
              <w:rPr>
                <w:sz w:val="20"/>
                <w:szCs w:val="20"/>
                <w:color w:val="auto"/>
              </w:rPr>
            </w:pPr>
            <w:r>
              <w:rPr>
                <w:rFonts w:ascii="Arial" w:cs="Arial" w:eastAsia="Arial" w:hAnsi="Arial"/>
                <w:sz w:val="14"/>
                <w:szCs w:val="14"/>
                <w:b w:val="1"/>
                <w:bCs w:val="1"/>
                <w:color w:val="auto"/>
                <w:w w:val="96"/>
              </w:rPr>
              <w:t>2021</w:t>
            </w:r>
          </w:p>
        </w:tc>
        <w:tc>
          <w:tcPr>
            <w:tcW w:w="12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9"/>
              </w:rPr>
              <w:t>2020</w:t>
            </w:r>
          </w:p>
        </w:tc>
        <w:tc>
          <w:tcPr>
            <w:tcW w:w="12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89"/>
              </w:rPr>
              <w:t>2019</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$ 44,942,937</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$ 39,518,000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$ 40,651,335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Long-term capital gain</w:t>
            </w:r>
          </w:p>
        </w:tc>
        <w:tc>
          <w:tcPr>
            <w:tcW w:w="2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191,233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stockholders who are deemed “Affected Investors” as a result of the Company not being a publicly traded Regulated Investment Company may have additional taxable income.</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U.S. federal income tax purposes, the tax cost of investments as of December 31, 2021, 2020 and 2019 was $726,968,588, $619,496,230, and $480,118,372, respectively. The net unrealized appreciation (depreciation) on investments owned at December 31, 2021, 2020 and 2019 was $2,547,686, $2,330,420, and $(12,136,672), respectively. For the year ended December 31, 2021, gross unrealized appreciation and depreciation was $23,598,138 and $(21,050,452), respectively. For the year ended December 31, 2020, gross unrealized appreciation and depreciation was $21,395,985 and $(19,065,565), respectively. For the year ended December 31, 2019, gross unrealized appreciation and depreciation was $6,121,374 and $(18,258,046), respectively.</w:t>
      </w:r>
    </w:p>
    <w:p>
      <w:pPr>
        <w:spacing w:after="0" w:line="17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At December 31, 2021, 2020 and 2019, the components of distributable earnings on a tax basis detailed below differ from the amounts reflected in the Company’s Statements of Assets and Liabilities by temporary and other book/tax differences, primarily relating to the tax treatment of debt modifications,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45,618,710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46,979,900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27,646,400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3,045,344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(14,257,592)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9,416,462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book to tax differences</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(7,644,771)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2,940,608</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Taxable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41,019,283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32,490,479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40,003,470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Distributed during the year</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43,621,131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35,527,183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35,821,420</w:t>
            </w: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Accumulated undistributed earnings on a tax basis</w:t>
            </w:r>
          </w:p>
        </w:tc>
        <w:tc>
          <w:tcPr>
            <w:tcW w:w="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(2,601,848)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(3,036,704)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4,182,050</w:t>
            </w:r>
          </w:p>
        </w:tc>
      </w:tr>
      <w:tr>
        <w:trPr>
          <w:trHeight w:val="20"/>
        </w:trPr>
        <w:tc>
          <w:tcPr>
            <w:tcW w:w="5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 For the years ended December 31, 2021 and 2020, the Company had a long-term capital loss carryforward of $2,930,579 and $4,358,511, respectively. The Company had no long-term capital loss carryforward for the year ended December 31, 2019.</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years ended December 31, 2021, 2020 and 2019, the Company utilized capital loss carryforward in the amount of $1,427,932, $0, and $0, respectively, to offset realized capital gains.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December 31, 2021, December 31, 2020 or December 31, 2019. Although we file federal and state tax returns, our major tax jurisdiction is federal. The previous three year-ends and the interim tax period since then remain subject to examination by the Internal Revenue Service.</w:t>
      </w:r>
    </w:p>
    <w:p>
      <w:pPr>
        <w:spacing w:after="0" w:line="17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U.S. federal income tax at corporate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and diluted earnings/(loss) per common share is calculated using the weighted-average number of common shares outstanding for the period presented. For the years ended December 31, 2021, 2020 and 2019, basic and diluted earnings/(loss) per share were the same because there were no potentially dilutive securities outstanding. Per share data is based on the weighted-average shares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year ended December 31, 2021, the Company declared and paid dividends in the amount of $44,942,937 of which $17,948,131 was distributed in cash and the remainder distributed in shares to stockholders pursuant to the Company’s dividend reinvestment plan. For the year ended December 31, 2020, the Company declared and paid dividends in the amount of $39,709,233 of which $7,265,785 was distributed in cash and the remainder distributed in shares to stockholders pursuant to the Company’s dividend reinvestment plan. For the year ended December 31, 2019, the Company declared and paid dividends in the amount of $40,651,334 of which $8,192,547 was distributed in cash and the remainder distributed in shares to stockholders pursuant to the Company’s dividend reinvestment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Organization costs include, among other things, the cost of organizing as a Maryland corporation, including the cost of legal services and other fees pertaining to our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below),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costs incurred in connection with the Initial Private Offering. As a result, for the years ended December 31, 2021, December 31, 2020 and December 31, 2019, the Company did not incur any organization or offering expenses in connection with the Initial Private Offering.</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Offering costs related to new or follow-on offerings, including the Second Private Offering, were accumulated and charged to additional paid in capital at the time of closing beginning in 2019. These offering costs related to the Second Private Offering are subject to a cap of $600,000, excluding placement agent fees which have no cap, of which the Company will bear the cost. As of December 31, 2021 and December 31, 2020, the Company had accumulated and recorded $651,991 and $608,989, respectively, of offering costs related to the Second Private Offering. As of December 31, 2021 and December 31, 2020, $186,198 and $154,738, respectively, in placement agent fees had been incurred. Under the terms of the Second Private Offering, offering costs in excess of $600,000, excluding placement agent fees, will be reimbursed by RGC.</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Offering costs related to the IPO were accumulated and charged to additional paid in capital at the time of closing in 2021. As of December 31, 2021 and December 31, 2020, respectively, we had accumulated and recorded $6,970,599 and $0 of offering costs related to the Company’s IPO. The offering costs are fully born by the Company and include underwriting fees, legal fees, and other costs pertaining to the preparation of the Company’s offering materials as well as travel-related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March 2020, the FASB issued ASU No. 2020-04, “Reference Rate Reform (Topic 848),”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January 2021, the FASB issued ASU No. 2021-01, “Reference Rate Reform (Topic 848),” which expanded the scope of Topic 848 to include derivative instruments impacted by the discounting transition. ASU 2020-04 and ASU 2021-01 are effective for all entities through December 31, 2022. ASU No. 2021-01 provides increased clarity as the Company continues to evaluate the transition of reference rates and is currently evaluating the impact of adopting ASU No. 2020-04 and 2021-01 on the consolidated financial statements. The Company did not utilize the optional expedients and exceptions provided in this guidance during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2021, the Company had $186,984,615 in unfunded loan commitments to provide debt financing to its portfolio companies. The balance of unfunded commitments to extend financing as of December 31, 2021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80" w:type="dxa"/>
            <w:vAlign w:val="bottom"/>
            <w:tcBorders>
              <w:bottom w:val="single" w:sz="8" w:color="CCEEFF"/>
            </w:tcBorders>
          </w:tcPr>
          <w:p>
            <w:pPr>
              <w:spacing w:after="0"/>
              <w:rPr>
                <w:sz w:val="14"/>
                <w:szCs w:val="14"/>
                <w:color w:val="auto"/>
              </w:rPr>
            </w:pPr>
          </w:p>
        </w:tc>
        <w:tc>
          <w:tcPr>
            <w:tcW w:w="27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Investment Type</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December 31, 2021</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Allurion Technologies, Inc.</w:t>
            </w: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CloudPay, Inc.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CrossRoads Extremity Systems, LLC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Dtex Systems, Inc.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INRIX, Inc.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Intellisite Holdings, Inc. (dba Epic IO Technologies, Inc.)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Marley Spoon AG</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Route 92 Medical, Inc.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SetPoint Medical Corporation</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ShareThis, Inc.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Snagajob.com, Inc.</w:t>
            </w:r>
          </w:p>
        </w:tc>
        <w:tc>
          <w:tcPr>
            <w:tcW w:w="3000" w:type="dxa"/>
            <w:vAlign w:val="bottom"/>
            <w:gridSpan w:val="2"/>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6,784,615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3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186,984,615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20" w:type="dxa"/>
            <w:vAlign w:val="bottom"/>
          </w:tcPr>
          <w:p>
            <w:pPr>
              <w:spacing w:after="0"/>
              <w:rPr>
                <w:sz w:val="24"/>
                <w:szCs w:val="24"/>
                <w:color w:val="auto"/>
              </w:rPr>
            </w:pPr>
          </w:p>
        </w:tc>
        <w:tc>
          <w:tcPr>
            <w:tcW w:w="30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2020, the Company had $49,085,569 in unfunded loan commitments to provide debt financing to its portfolio companies. The balance of unfunded commitments to extend financing as of December 31, 2020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20"/>
                <w:szCs w:val="20"/>
                <w:color w:val="auto"/>
              </w:rPr>
            </w:pPr>
            <w:r>
              <w:rPr>
                <w:rFonts w:ascii="Arial" w:cs="Arial" w:eastAsia="Arial" w:hAnsi="Arial"/>
                <w:sz w:val="14"/>
                <w:szCs w:val="14"/>
                <w:b w:val="1"/>
                <w:bCs w:val="1"/>
                <w:color w:val="auto"/>
              </w:rPr>
              <w:t>Portfolio Company</w:t>
            </w:r>
          </w:p>
        </w:tc>
        <w:tc>
          <w:tcPr>
            <w:tcW w:w="280" w:type="dxa"/>
            <w:vAlign w:val="bottom"/>
          </w:tcPr>
          <w:p>
            <w:pPr>
              <w:spacing w:after="0"/>
              <w:rPr>
                <w:sz w:val="14"/>
                <w:szCs w:val="14"/>
                <w:color w:val="auto"/>
              </w:rPr>
            </w:pPr>
          </w:p>
        </w:tc>
        <w:tc>
          <w:tcPr>
            <w:tcW w:w="2980" w:type="dxa"/>
            <w:vAlign w:val="bottom"/>
            <w:gridSpan w:val="2"/>
          </w:tcPr>
          <w:p>
            <w:pPr>
              <w:ind w:left="840"/>
              <w:spacing w:after="0"/>
              <w:rPr>
                <w:sz w:val="20"/>
                <w:szCs w:val="20"/>
                <w:color w:val="auto"/>
              </w:rPr>
            </w:pPr>
            <w:r>
              <w:rPr>
                <w:rFonts w:ascii="Arial" w:cs="Arial" w:eastAsia="Arial" w:hAnsi="Arial"/>
                <w:sz w:val="14"/>
                <w:szCs w:val="14"/>
                <w:b w:val="1"/>
                <w:bCs w:val="1"/>
                <w:color w:val="auto"/>
              </w:rPr>
              <w:t>Investment Type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December 31, 2020</w:t>
            </w: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CloudPassage, Inc.</w:t>
            </w:r>
          </w:p>
        </w:tc>
        <w:tc>
          <w:tcPr>
            <w:tcW w:w="2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Credit Sesame,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Revolving Line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585,569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Gynesonics, Inc.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ShareThis, Inc.</w:t>
            </w:r>
          </w:p>
        </w:tc>
        <w:tc>
          <w:tcPr>
            <w:tcW w:w="3260" w:type="dxa"/>
            <w:vAlign w:val="bottom"/>
            <w:gridSpan w:val="3"/>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VERO Biotech LLC</w:t>
            </w:r>
          </w:p>
        </w:tc>
        <w:tc>
          <w:tcPr>
            <w:tcW w:w="32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r>
      <w:tr>
        <w:trPr>
          <w:trHeight w:val="209"/>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49,085,569</w:t>
            </w: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management believes that its available cash balances and/or availability under the Credit Agreement provides sufficient funds to cover its unfunded commitments as of December 31, 2021. The Company has evaluated the expected net future cash flows related to unfunded commitments and determined the fair value to be zero as of December 31, 2021 and December 31, 2020.</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Management monitors the financial condition of those financial institutions and does not currently anticipate any losses from these counterparties.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Increase/(Decrease) in Net Assets Resulting from Operations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income/losses per common share for the years ended December 31, 2021, 2020 and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2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48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45,618,710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46,979,900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27,646,400</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Weighted-average shares outstanding for the period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39,593,658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27,617,425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18,701,021</w:t>
            </w:r>
          </w:p>
        </w:tc>
      </w:tr>
      <w:tr>
        <w:trPr>
          <w:trHeight w:val="216"/>
        </w:trPr>
        <w:tc>
          <w:tcPr>
            <w:tcW w:w="512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39,593,658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27,617,425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18,701,021</w:t>
            </w:r>
          </w:p>
        </w:tc>
      </w:tr>
      <w:tr>
        <w:trPr>
          <w:trHeight w:val="216"/>
        </w:trPr>
        <w:tc>
          <w:tcPr>
            <w:tcW w:w="51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Basic and diluted income per common share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0"/>
        </w:trPr>
        <w:tc>
          <w:tcPr>
            <w:tcW w:w="512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r>
    </w:tbl>
    <w:p>
      <w:pPr>
        <w:ind w:left="660" w:hanging="328"/>
        <w:spacing w:after="0" w:line="229" w:lineRule="auto"/>
        <w:tabs>
          <w:tab w:leader="none" w:pos="660" w:val="left"/>
        </w:tabs>
        <w:numPr>
          <w:ilvl w:val="0"/>
          <w:numId w:val="71"/>
        </w:numPr>
        <w:rPr>
          <w:rFonts w:ascii="Arial" w:cs="Arial" w:eastAsia="Arial" w:hAnsi="Arial"/>
          <w:sz w:val="27"/>
          <w:szCs w:val="27"/>
          <w:color w:val="auto"/>
          <w:vertAlign w:val="superscript"/>
        </w:rPr>
      </w:pPr>
      <w:r>
        <w:rPr>
          <w:rFonts w:ascii="Arial" w:cs="Arial" w:eastAsia="Arial" w:hAnsi="Arial"/>
          <w:sz w:val="14"/>
          <w:szCs w:val="14"/>
          <w:color w:val="auto"/>
        </w:rPr>
        <w:t>Per share data is based on average weighted shares outstanding</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the authority to issue 100,000,000 shares of common stock, $0.01 par value per share.</w:t>
      </w:r>
    </w:p>
    <w:p>
      <w:pPr>
        <w:spacing w:after="0" w:line="225" w:lineRule="exact"/>
        <w:rPr>
          <w:sz w:val="20"/>
          <w:szCs w:val="20"/>
          <w:color w:val="auto"/>
        </w:rPr>
      </w:pPr>
    </w:p>
    <w:p>
      <w:pPr>
        <w:jc w:val="both"/>
        <w:ind w:firstLine="382"/>
        <w:spacing w:after="0" w:line="311" w:lineRule="auto"/>
        <w:rPr>
          <w:sz w:val="20"/>
          <w:szCs w:val="20"/>
          <w:color w:val="auto"/>
        </w:rPr>
      </w:pPr>
      <w:r>
        <w:rPr>
          <w:rFonts w:ascii="Arial" w:cs="Arial" w:eastAsia="Arial" w:hAnsi="Arial"/>
          <w:sz w:val="16"/>
          <w:szCs w:val="16"/>
          <w:color w:val="auto"/>
        </w:rPr>
        <w:t>On October 25, 2021, the Company closed its IPO, issuing 6,850,000 shares of its common stock at a public offering price of $14.60 per share. Net of underwriting fees and offering costs, the Company received net cash proceeds of approximately $93 million. The Company’s common stock began trading on the Nasdaq Global Select Market under the symbol “RWAY” on October 21, 2021.</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October 25, 2021, the Company entered into subscription agreements (the “Subscription Agreements”) with investors providing for the private placement of the Company’s common shares. Under the terms of the Subscription Agreements, investors were required to fund drawdowns to purchase the Company’s common shares up to the amount of their respective capital commitment on an as-needed basis each time the Company delivered a drawdown notice to its investors. Concurrent with the IPO, all undrawn commitments under the Second Private Offering were cancelled.</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Initial Private Offering, the Company issued 18,241,157 shares of our common stock to stockholders for a total purchase price of $275,000,000. Between June 14, 2019 and December 31, 2021, the Company accepted $181,673,500 in capital commitments under its Second Private Offering. As of December 31, 2021 and December 31, 2020, respectively, the Company issued 9,617,379 and 8,352,251 shares of common stock for aggregate proceeds of $144,260,683 and $125,283,766 under the Second Private Offering.</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2021, the Company has issued 22,564 shares as an additional direct investment by Runway Growth Holdings LLC, an affiliate of RGC, at $15.00 per share for total proceeds of $338,453 in a private offering pursuant to an exemption from registration under Regulation D of the Securities Act.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2021, the Company issued 1,830,974 shares for $26,994,806 in connection with the reinvestment of dividends. The following table summarizes capital activity during the year ended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Distributable</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86"/>
              </w:rPr>
              <w:t>(Losses)</w:t>
            </w:r>
          </w:p>
        </w:tc>
        <w:tc>
          <w:tcPr>
            <w:tcW w:w="8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4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31,414,051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$ 314,140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$ 466,872,304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(942,759)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$ 466,243,685</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8,135,589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81,356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119,212,472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119,293,828</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1,830,974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26,976,496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26,994,806</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(7,013,601)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(7,013,601)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44,491,688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44,491,688</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4,172,366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4,172,366</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(3,045,344)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(3,045,344)</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(44,942,937)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(44,942,937)</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41,380,614</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$ 413,806</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$ 606,047,671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(266,986)</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$ 606,194,491</w:t>
            </w: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45"/>
        </w:trPr>
        <w:tc>
          <w:tcPr>
            <w:tcW w:w="44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4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year ended December 31, 2020, the Company issued 2,248,483 shares for $32,443,448 in connection with the reinvestment of dividends. The following table summarizes capital activity during the year ended December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Distributable</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38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tcPr>
          <w:p>
            <w:pPr>
              <w:jc w:val="right"/>
              <w:ind w:right="256"/>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25,811,214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$ 258,112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$ 384,369,854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(8,314,745)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$ 376,313,221</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3,354,354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33,543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50,281,765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50,315,308</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2,248,483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32,420,963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32,443,448</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(98,959)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(98,959)</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38,069,717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38,069,717</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(5,347,409)</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(5,347,409)</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14,257,592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14,257,592</w:t>
            </w: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(39,709,233)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(39,709,233)</w:t>
            </w: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Balance,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31,414,051</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$ 314,140</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$ 466,872,304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(942,759)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$ 466,243,685</w:t>
            </w: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2019, the Company issued 2,177,466 shares for $32,458,787 in connection with the reinvestment of dividends. The following table summarizes capital activity during the year ended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4"/>
                <w:szCs w:val="14"/>
                <w:color w:val="auto"/>
              </w:rPr>
            </w:pP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Distributable</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33"/>
        </w:trPr>
        <w:tc>
          <w:tcPr>
            <w:tcW w:w="4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0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1120" w:type="dxa"/>
            <w:vAlign w:val="bottom"/>
          </w:tcPr>
          <w:p>
            <w:pPr>
              <w:jc w:val="right"/>
              <w:ind w:right="256"/>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11,056,595</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$ 110,566</w:t>
            </w:r>
          </w:p>
        </w:tc>
        <w:tc>
          <w:tcPr>
            <w:tcW w:w="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$ 162,568,188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4,690,641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$ 167,369,395</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12,577,153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125,771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189,874,229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190,000,000</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Reinvestment of dividends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2,177,466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32,437,012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32,458,787</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Offering costs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(510,027)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(510,027)</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36,453,831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36,453,831</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Net realized gain (loss) on investments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609,031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609,031</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unrealized appreciation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(depreciation) on investments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(9,416,462)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(9,416,462)</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(40,651,334)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(40,651,334)</w:t>
            </w: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Tax reconciliation of stockholders'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accordance with U.S. GAAP</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Balance, end of year</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25,811,214</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$ 258,112</w:t>
            </w:r>
          </w:p>
        </w:tc>
        <w:tc>
          <w:tcPr>
            <w:tcW w:w="4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$ 384,369,854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(8,314,745)</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$ 376,313,221</w:t>
            </w:r>
          </w:p>
        </w:tc>
      </w:tr>
      <w:tr>
        <w:trPr>
          <w:trHeight w:val="20"/>
        </w:trPr>
        <w:tc>
          <w:tcPr>
            <w:tcW w:w="4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45"/>
        </w:trPr>
        <w:tc>
          <w:tcPr>
            <w:tcW w:w="40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4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common shares issued, the price per share and the proceeds raised, since inception, are detailed in the following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71"/>
              <w:spacing w:after="0"/>
              <w:rPr>
                <w:sz w:val="20"/>
                <w:szCs w:val="20"/>
                <w:color w:val="auto"/>
              </w:rPr>
            </w:pPr>
            <w:r>
              <w:rPr>
                <w:rFonts w:ascii="Arial" w:cs="Arial" w:eastAsia="Arial" w:hAnsi="Arial"/>
                <w:sz w:val="14"/>
                <w:szCs w:val="14"/>
                <w:b w:val="1"/>
                <w:bCs w:val="1"/>
                <w:color w:val="auto"/>
                <w:w w:val="95"/>
              </w:rPr>
              <w:t>Price Per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6620" w:type="dxa"/>
            <w:vAlign w:val="bottom"/>
            <w:gridSpan w:val="3"/>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December 22, 2016</w:t>
            </w:r>
          </w:p>
        </w:tc>
        <w:tc>
          <w:tcPr>
            <w:tcW w:w="940" w:type="dxa"/>
            <w:vAlign w:val="bottom"/>
          </w:tcPr>
          <w:p>
            <w:pPr>
              <w:jc w:val="right"/>
              <w:spacing w:after="0"/>
              <w:rPr>
                <w:sz w:val="20"/>
                <w:szCs w:val="20"/>
                <w:color w:val="auto"/>
              </w:rPr>
            </w:pPr>
            <w:r>
              <w:rPr>
                <w:rFonts w:ascii="Arial" w:cs="Arial" w:eastAsia="Arial" w:hAnsi="Arial"/>
                <w:sz w:val="18"/>
                <w:szCs w:val="18"/>
                <w:color w:val="auto"/>
              </w:rPr>
              <w:t>333,333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June 26, 2017</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December 22, 2017</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117,582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202,779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326,431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May 24, 2019</w:t>
            </w:r>
          </w:p>
        </w:tc>
        <w:tc>
          <w:tcPr>
            <w:tcW w:w="940" w:type="dxa"/>
            <w:vAlign w:val="bottom"/>
          </w:tcPr>
          <w:p>
            <w:pPr>
              <w:jc w:val="right"/>
              <w:spacing w:after="0"/>
              <w:rPr>
                <w:sz w:val="20"/>
                <w:szCs w:val="20"/>
                <w:color w:val="auto"/>
              </w:rPr>
            </w:pPr>
            <w:r>
              <w:rPr>
                <w:rFonts w:ascii="Arial" w:cs="Arial" w:eastAsia="Arial" w:hAnsi="Arial"/>
                <w:sz w:val="18"/>
                <w:szCs w:val="18"/>
                <w:color w:val="auto"/>
              </w:rPr>
              <w:t>3,232,189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480,121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43,979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487,166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March 31,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6,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550,639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7,934,712</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November 12,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593,692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8,584,772</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19,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9,183,220</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March 24, 2021</w:t>
            </w:r>
          </w:p>
        </w:tc>
        <w:tc>
          <w:tcPr>
            <w:tcW w:w="940" w:type="dxa"/>
            <w:vAlign w:val="bottom"/>
          </w:tcPr>
          <w:p>
            <w:pPr>
              <w:jc w:val="right"/>
              <w:spacing w:after="0"/>
              <w:rPr>
                <w:sz w:val="20"/>
                <w:szCs w:val="20"/>
                <w:color w:val="auto"/>
              </w:rPr>
            </w:pPr>
            <w:r>
              <w:rPr>
                <w:rFonts w:ascii="Arial" w:cs="Arial" w:eastAsia="Arial" w:hAnsi="Arial"/>
                <w:sz w:val="18"/>
                <w:szCs w:val="18"/>
                <w:color w:val="auto"/>
              </w:rPr>
              <w:t>20,461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306,911</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13, 2021</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9,410,371</w:t>
            </w: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line="216" w:lineRule="exact"/>
              <w:rPr>
                <w:sz w:val="20"/>
                <w:szCs w:val="20"/>
                <w:color w:val="auto"/>
              </w:rPr>
            </w:pPr>
            <w:r>
              <w:rPr>
                <w:rFonts w:ascii="Arial" w:cs="Arial" w:eastAsia="Arial" w:hAnsi="Arial"/>
                <w:sz w:val="17"/>
                <w:szCs w:val="17"/>
                <w:color w:val="auto"/>
              </w:rPr>
              <w:t>August 12, 2021</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8,401,215</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29,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18,976,917</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October 25,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100,010,000</w:t>
            </w:r>
          </w:p>
        </w:tc>
        <w:tc>
          <w:tcPr>
            <w:tcW w:w="0" w:type="dxa"/>
            <w:vAlign w:val="bottom"/>
          </w:tcPr>
          <w:p>
            <w:pPr>
              <w:spacing w:after="0"/>
              <w:rPr>
                <w:sz w:val="1"/>
                <w:szCs w:val="1"/>
                <w:color w:val="auto"/>
              </w:rPr>
            </w:pPr>
          </w:p>
        </w:tc>
      </w:tr>
      <w:tr>
        <w:trPr>
          <w:trHeight w:val="210"/>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41,380,614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617,386,489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72"/>
        </w:numPr>
        <w:rPr>
          <w:rFonts w:ascii="Arial" w:cs="Arial" w:eastAsia="Arial" w:hAnsi="Arial"/>
          <w:sz w:val="27"/>
          <w:szCs w:val="27"/>
          <w:color w:val="auto"/>
          <w:vertAlign w:val="superscript"/>
        </w:rPr>
      </w:pPr>
      <w:r>
        <w:rPr>
          <w:rFonts w:ascii="Arial" w:cs="Arial" w:eastAsia="Arial" w:hAnsi="Arial"/>
          <w:sz w:val="14"/>
          <w:szCs w:val="14"/>
          <w:color w:val="auto"/>
        </w:rPr>
        <w:t>Shares were issued as part of the dividend reinvestment plan</w:t>
      </w:r>
      <w:r>
        <w:rPr>
          <w:rFonts w:ascii="Arial" w:cs="Arial" w:eastAsia="Arial" w:hAnsi="Arial"/>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Advisory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Agreement”). On August 3, 2017, the Board of Directors approved certain amendments to the Prior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 the Advisory Agreement. In reliance upon certain exemptive relief granted by the SEC in connection with the global COVID-19</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Under the terms of the Advisory Agreement, RGC:</w:t>
      </w:r>
    </w:p>
    <w:p>
      <w:pPr>
        <w:spacing w:after="0" w:line="188" w:lineRule="exact"/>
        <w:rPr>
          <w:sz w:val="20"/>
          <w:szCs w:val="20"/>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base management fee is payable on the first day of each calendar quarter.</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The base management fee will be an amount equal to 0.40% (1.60% annualized) of the Company’s average daily Gross Assets (defined below) during the most recently completed calendar quarter for so long as the aggregate amount of Gross Assets of the Company as of the end of the most recently completed calendar quarter is equal or greater than $500,000,000 but less than $1,000,000,000. For purposes of the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less than $500,000,000 the base management fee will be an amount equal to 0.4375% (1.75%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RGC earned base management fees of $8,988,920, $6,831,566 and $5,105,009 for the years ended December 31, 2021,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agreement with the Administrator (the “Administration Agreement”), and any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Until the consummation of a Spin-Off transaction,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w:t>
      </w:r>
    </w:p>
    <w:p>
      <w:pPr>
        <w:spacing w:after="0" w:line="17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For the foregoing purpose, the Company’s “aggregate cumulative realized capital gains” will not include any unrealized appreciation. If such amount is negative, then no Capital Gains Fee will be payable for such year.</w:t>
      </w:r>
    </w:p>
    <w:p>
      <w:pPr>
        <w:spacing w:after="0" w:line="16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RGC earned incentive fees for the year ended December 31, 2021 of $9,231,830. $7,384,498 of the incentive fees for the year ended December 31, 2021 were earned, payable in cash, and $1,847,332 of the incentive fees for the year ended December 31, 2021 were</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accrued and generated from deferred interest (i.e., PIK and certain discount accretion) and are not payable pending receipt of cash by the Company. RGC earned incentive fees for the year ended December 31, 2020 of $7,260,656. $5,407,305 of the incentive fees for the year ended December 31, 2020 were earned, payable in cash, and $1,853,351 of the incentive fees for the year ended December 31, 2020 were accrued and generated from deferred interest (i.e., PIK and certain discount accretion) and are not payable pending receipt of cash by the Company. RGC earned incentive fees for the year ended December 31, 2019 of $8,349,449. $6,500,502 of the incentive fees for the year ended December 31, 2019 were earned, payable in cash, and $1,848,947 of the incentive fees for the year ended December 31, 2019 were accrued and generated from deferred interest (i.e., PIK and certain discount accretion) and are not payable pending receipt of cash by the Company. Both currently payable in cash, $2,493,508 and $1,892,430, and deferred incentive fees, $3,516,742 and $3,114,635, are included in accrued incentive fees on the Statements of Assets and Liabilities as of December 31, 2021 and December 31, 2020, respectively.</w:t>
      </w:r>
    </w:p>
    <w:p>
      <w:pPr>
        <w:spacing w:after="0" w:line="1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December 31, 2021 and December 31, 2020, there was no capital gains incentive fee accrued, earned or payable to RGC under the Advisory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 Income Incentive Fee or Capital Gains Fee will be payable in connection with the Public Fund Spin-Off unless, on the date of the completion of the Public Fund Spin-Off, the sum of the Company’s (i) Pre-Incentive Fee net investment income and (ii) realized capital gains less realized capital losses and unrealized capital depreciation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 reimbursed the Administrator $942,320 during the year ended December 31, 2021. As of December 31, 2021, the Company had accrued a net payable to the Administrator of $221,243. Of the total amount reimbursed to the Administrator, $810,054 was related to overhead allocation expense for the year ended December 31, 2021. The Company reimbursed the Administrator $546,073 during the year ended December 31, 2020. As of December 31, 2020, the Company had accrued a net payable to the Administrator of $143,515. Of the total amount reimbursed to the Administrator, $532,879 was related to overhead allocation expense for the year ended December 31, 2020. The Company reimbursed the Administrator $1,168,188 during the year ended December 31, 2019. As of December 31, 2019, the Company had accrued a net payable to the Administrator of $81,537. Of the total amount reimbursed to the Administrator, $827,464 was related to overhead allocation expense for the year ended December 31, 2019. Administration fees, which include fees payable by the Administrator to third-party service providers who provide additional administration services for the Company, were $579,365, $515,891 and $490,022 for the years ended December 31, 2021, 2020 and 2019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strategic relationship, OCM purchased an aggregate of 14,571,334 shares of our common stock for an aggregate purchase price of $219.3 million in our Initial Private Offering and our Second Private Offering. As of December 31, 2021, OCM owns 19,979,688 shares of our common stock or 48% of our total issued and outstanding shares. OCM has granted a proxy to us pursuant to which the shares held by OCM will be voted in the same proportion as our other stockholders vote their shares.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OCM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$125 million capital commitment. Brian Laibow, Co-Head of North America &amp; Managing Director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 Laibow is OCM’s appointee to RGC’s board of managers and investment committee. In connection with the Subsequent OCM Commitment, OCM also purchased additional equity in RGC.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recorded at fair value have been categorized based upon a fair value hierarchy in accordance with ASC Topic 820. See Note 2 for discussion of the Company’s policies.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The following tables present information about the Company’s assets measured at fair value as of December 31, 2021 and 2020,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2021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As of December 31, 2021 (Unaudited)</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2,559,932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8,903,933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11,463,865</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Term Loans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623,053,646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623,053,646</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Second Lien Term Loans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12,872,588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12,872,588</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15,704,705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17,037,125</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20,087,550</w:t>
            </w: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18,264,637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684,514,774</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45,001,500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45,001,500</w:t>
            </w: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63,266,137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8,903,933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657,346,204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729,516,274</w:t>
            </w:r>
          </w:p>
        </w:tc>
      </w:tr>
      <w:tr>
        <w:trPr>
          <w:trHeight w:val="20"/>
        </w:trPr>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8"/>
        </w:trPr>
        <w:tc>
          <w:tcPr>
            <w:tcW w:w="3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2020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521,940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521,940</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Senior Secured Term Loans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501,964,657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501,964,657</w:t>
            </w: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15,995,868</w:t>
            </w:r>
          </w:p>
        </w:tc>
      </w:tr>
      <w:tr>
        <w:trPr>
          <w:trHeight w:val="216"/>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Warrants</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33,008,672</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13,230,000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551,824,590</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70,002,060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70,002,060</w:t>
            </w: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83,232,060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2,284,993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536,309,597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621,826,650</w:t>
            </w:r>
          </w:p>
        </w:tc>
      </w:tr>
      <w:tr>
        <w:trPr>
          <w:trHeight w:val="20"/>
        </w:trPr>
        <w:tc>
          <w:tcPr>
            <w:tcW w:w="3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transfers into and out of the levels indicated above at the end of the reporting period. During the period ended December 31, 2021, the Company had warrant investments converted to common stock investments, resulting in an asset transfer out of Level 3 and into Level 2 at the fair value of $15,305,039. There were no transfers into or out of the levels during the year ended December 31, 2020. The following table presents a rollforward of Level 3 assets measured at fair value as of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Senior Secured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Second Lien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Term Loans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Term Loans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1,336,268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501,964,657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33,008,672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536,309,597</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fixed income premiums 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accretion of discounts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7,741,738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7,744,326</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408,035,478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12,870,000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423,743,525</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(293,323,063)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(293,747,564)</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(15,305,039)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(15,305,039)</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Realized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(824,936)</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Change in unrealized appreciation (depreciation)</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(2,003,848)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(1,365,164)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(573,705)</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at December 31, 2021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1,332,420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623,053,646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12,872,588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20,087,550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657,346,204</w:t>
            </w:r>
          </w:p>
        </w:tc>
        <w:tc>
          <w:tcPr>
            <w:tcW w:w="0" w:type="dxa"/>
            <w:vAlign w:val="bottom"/>
          </w:tcPr>
          <w:p>
            <w:pPr>
              <w:spacing w:after="0"/>
              <w:rPr>
                <w:sz w:val="1"/>
                <w:szCs w:val="1"/>
                <w:color w:val="auto"/>
              </w:rPr>
            </w:pPr>
          </w:p>
        </w:tc>
      </w:tr>
      <w:tr>
        <w:trPr>
          <w:trHeight w:val="155"/>
        </w:trPr>
        <w:tc>
          <w:tcPr>
            <w:tcW w:w="370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rPr>
              <w:t>Change in unrealized appreciation (depreciation)</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Level 3 investments still held as of</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(2,003,849)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(545,142)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(2,686,635)</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(5,235,626)</w:t>
            </w:r>
          </w:p>
        </w:tc>
        <w:tc>
          <w:tcPr>
            <w:tcW w:w="0" w:type="dxa"/>
            <w:vAlign w:val="bottom"/>
          </w:tcPr>
          <w:p>
            <w:pPr>
              <w:spacing w:after="0"/>
              <w:rPr>
                <w:sz w:val="1"/>
                <w:szCs w:val="1"/>
                <w:color w:val="auto"/>
              </w:rPr>
            </w:pPr>
          </w:p>
        </w:tc>
      </w:tr>
      <w:tr>
        <w:trPr>
          <w:trHeight w:val="21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28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3"/>
          <w:szCs w:val="13"/>
          <w:color w:val="auto"/>
        </w:rPr>
      </w:pPr>
      <w:r>
        <w:rPr>
          <w:rFonts w:ascii="Arial" w:cs="Arial" w:eastAsia="Arial" w:hAnsi="Arial"/>
          <w:sz w:val="14"/>
          <w:szCs w:val="14"/>
          <w:color w:val="auto"/>
        </w:rPr>
        <w:t>Includes PIK interest, net of reorganization and restructuring of investments.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rollforward of Level 3 assets measured at fair value as of December 31,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Senior Secured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rPr>
              <w:t>Term Loans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349,570,424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18,008,337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368,016,276</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w w:val="96"/>
              </w:rPr>
              <w:t>Amortization of fixed income premiums or accretion of discounts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9,238,509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9,238,509</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250,483,677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2,088,018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253,371,695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4"/>
              </w:rPr>
              <w:t>(103,716,096)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(2,874,028)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(106,590,124)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(7,835,899)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(6,629,169)</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 in unrealized appreciation (depreciation)</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4,224,042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14,579,615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18,902,410</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2020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1,336,268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501,964,657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33,008,672</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536,309,597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 in unrealized appreciation (depreciation) on Level 3</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60" w:type="dxa"/>
            <w:vAlign w:val="bottom"/>
            <w:gridSpan w:val="2"/>
            <w:vMerge w:val="continue"/>
          </w:tcPr>
          <w:p>
            <w:pPr>
              <w:spacing w:after="0"/>
              <w:rPr>
                <w:sz w:val="13"/>
                <w:szCs w:val="13"/>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13,979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4,526,472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9,932,673</w:t>
            </w:r>
          </w:p>
        </w:tc>
        <w:tc>
          <w:tcPr>
            <w:tcW w:w="14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14,473,124</w:t>
            </w:r>
          </w:p>
        </w:tc>
        <w:tc>
          <w:tcPr>
            <w:tcW w:w="0" w:type="dxa"/>
            <w:vAlign w:val="bottom"/>
          </w:tcPr>
          <w:p>
            <w:pPr>
              <w:spacing w:after="0"/>
              <w:rPr>
                <w:sz w:val="1"/>
                <w:szCs w:val="1"/>
                <w:color w:val="auto"/>
              </w:rPr>
            </w:pPr>
          </w:p>
        </w:tc>
      </w:tr>
      <w:tr>
        <w:trPr>
          <w:trHeight w:val="217"/>
        </w:trPr>
        <w:tc>
          <w:tcPr>
            <w:tcW w:w="4960" w:type="dxa"/>
            <w:vAlign w:val="bottom"/>
            <w:gridSpan w:val="2"/>
          </w:tcPr>
          <w:p>
            <w:pPr>
              <w:spacing w:after="0"/>
              <w:rPr>
                <w:sz w:val="20"/>
                <w:szCs w:val="20"/>
                <w:color w:val="auto"/>
              </w:rPr>
            </w:pPr>
            <w:r>
              <w:rPr>
                <w:rFonts w:ascii="Arial" w:cs="Arial" w:eastAsia="Arial" w:hAnsi="Arial"/>
                <w:sz w:val="18"/>
                <w:szCs w:val="18"/>
                <w:color w:val="auto"/>
              </w:rPr>
              <w:t>investments still held as of December 31, 2020</w:t>
            </w: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60" w:hanging="328"/>
        <w:spacing w:after="0" w:line="229" w:lineRule="auto"/>
        <w:tabs>
          <w:tab w:leader="none" w:pos="660" w:val="left"/>
        </w:tabs>
        <w:numPr>
          <w:ilvl w:val="0"/>
          <w:numId w:val="75"/>
        </w:numPr>
        <w:rPr>
          <w:rFonts w:ascii="Arial" w:cs="Arial" w:eastAsia="Arial" w:hAnsi="Arial"/>
          <w:sz w:val="27"/>
          <w:szCs w:val="27"/>
          <w:color w:val="auto"/>
          <w:vertAlign w:val="superscript"/>
        </w:rPr>
      </w:pPr>
      <w:r>
        <w:rPr>
          <w:rFonts w:ascii="Arial" w:cs="Arial" w:eastAsia="Arial" w:hAnsi="Arial"/>
          <w:sz w:val="14"/>
          <w:szCs w:val="14"/>
          <w:color w:val="auto"/>
        </w:rPr>
        <w:t>Includes PIK interest, net of reorganization and restructuring of investments</w:t>
      </w:r>
      <w:r>
        <w:rPr>
          <w:rFonts w:ascii="Arial" w:cs="Arial" w:eastAsia="Arial" w:hAnsi="Arial"/>
          <w:sz w:val="17"/>
          <w:szCs w:val="17"/>
          <w:color w:val="auto"/>
        </w:rPr>
        <w: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1,332,420</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transaction prices</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N/A</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8"/>
        </w:trPr>
        <w:tc>
          <w:tcPr>
            <w:tcW w:w="2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4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594,793,670</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6.2% - 71.2% (12.9%)</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Market approach</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Origination yield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 - 100.1% (11.8%)</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28,259,976</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16.3% - 25.0% (20.8%)</w:t>
            </w:r>
          </w:p>
        </w:tc>
        <w:tc>
          <w:tcPr>
            <w:tcW w:w="0" w:type="dxa"/>
            <w:vAlign w:val="bottom"/>
          </w:tcPr>
          <w:p>
            <w:pPr>
              <w:spacing w:after="0"/>
              <w:rPr>
                <w:sz w:val="1"/>
                <w:szCs w:val="1"/>
                <w:color w:val="auto"/>
              </w:rPr>
            </w:pPr>
          </w:p>
        </w:tc>
      </w:tr>
      <w:tr>
        <w:trPr>
          <w:trHeight w:val="202"/>
        </w:trPr>
        <w:tc>
          <w:tcPr>
            <w:tcW w:w="2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Second Lien Term Loans</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Discounted Cash Flow</w:t>
            </w:r>
          </w:p>
        </w:tc>
        <w:tc>
          <w:tcPr>
            <w:tcW w:w="2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12,872,588</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analysis</w:t>
            </w: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 - 12.2% (12.2%)</w:t>
            </w:r>
          </w:p>
        </w:tc>
        <w:tc>
          <w:tcPr>
            <w:tcW w:w="0" w:type="dxa"/>
            <w:vAlign w:val="bottom"/>
          </w:tcPr>
          <w:p>
            <w:pPr>
              <w:spacing w:after="0"/>
              <w:rPr>
                <w:sz w:val="1"/>
                <w:szCs w:val="1"/>
                <w:color w:val="auto"/>
              </w:rPr>
            </w:pPr>
          </w:p>
        </w:tc>
      </w:tr>
      <w:tr>
        <w:trPr>
          <w:trHeight w:val="216"/>
        </w:trPr>
        <w:tc>
          <w:tcPr>
            <w:tcW w:w="2340" w:type="dxa"/>
            <w:vAlign w:val="bottom"/>
            <w:gridSpan w:val="3"/>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13,132,780</w:t>
            </w: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Risk-free interest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0.1% - 1.2% (0.5%)</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Average industry volatility</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 - 75.0% (39.6%)</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Estimated time to exit</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0.5 - 5.7 (2.0 yrs)</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0.00x - 13.46x (6.16x)</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6,954,770</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30.0% - 46.0% (36.0%)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Revenue multiples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2.94x - 123.71x (9.53x)</w:t>
            </w:r>
          </w:p>
        </w:tc>
        <w:tc>
          <w:tcPr>
            <w:tcW w:w="0" w:type="dxa"/>
            <w:vAlign w:val="bottom"/>
          </w:tcPr>
          <w:p>
            <w:pPr>
              <w:spacing w:after="0"/>
              <w:rPr>
                <w:sz w:val="1"/>
                <w:szCs w:val="1"/>
                <w:color w:val="auto"/>
              </w:rPr>
            </w:pPr>
          </w:p>
        </w:tc>
      </w:tr>
      <w:tr>
        <w:trPr>
          <w:trHeight w:val="209"/>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657,346,204</w:t>
            </w: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80" w:type="dxa"/>
            <w:vAlign w:val="bottom"/>
            <w:gridSpan w:val="2"/>
            <w:vMerge w:val="restart"/>
          </w:tcPr>
          <w:p>
            <w:pPr>
              <w:jc w:val="right"/>
              <w:ind w:right="332"/>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as of December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Unobservable Inputs</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232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merger and acquisition</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1,336,268</w:t>
            </w:r>
          </w:p>
        </w:tc>
        <w:tc>
          <w:tcPr>
            <w:tcW w:w="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transaction prices</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N/A</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8"/>
        </w:trPr>
        <w:tc>
          <w:tcPr>
            <w:tcW w:w="2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Senior Secured Term</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140"/>
              <w:spacing w:after="0" w:line="198" w:lineRule="exact"/>
              <w:rPr>
                <w:sz w:val="20"/>
                <w:szCs w:val="20"/>
                <w:color w:val="auto"/>
              </w:rPr>
            </w:pPr>
            <w:r>
              <w:rPr>
                <w:rFonts w:ascii="Arial" w:cs="Arial" w:eastAsia="Arial" w:hAnsi="Arial"/>
                <w:sz w:val="18"/>
                <w:szCs w:val="18"/>
                <w:color w:val="auto"/>
                <w:w w:val="91"/>
              </w:rPr>
              <w:t>Discounted Cash Flow</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3"/>
          </w:tcPr>
          <w:p>
            <w:pPr>
              <w:spacing w:after="0" w:line="235"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6"/>
                <w:szCs w:val="26"/>
                <w:b w:val="1"/>
                <w:bCs w:val="1"/>
                <w:color w:val="auto"/>
                <w:vertAlign w:val="superscript"/>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471,256,844</w:t>
            </w:r>
          </w:p>
        </w:tc>
        <w:tc>
          <w:tcPr>
            <w:tcW w:w="140" w:type="dxa"/>
            <w:vAlign w:val="bottom"/>
          </w:tcPr>
          <w:p>
            <w:pPr>
              <w:spacing w:after="0"/>
              <w:rPr>
                <w:sz w:val="20"/>
                <w:szCs w:val="20"/>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8.0%-100.0% (14.8%)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Market approach</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Origination yield</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11.4%-100.1% (14.3%)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30,707,813</w:t>
            </w: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19.5%-23.8% (20.2%)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16,803,367</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Option pricing model</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Risk-free interest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0.1%-0.8% (0.1%)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Average industry volatility</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35.0%-72.2% (56.0%)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Estimated time to exit</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0.3-9.2 (1.5) years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0.00x-5.85x (1.92x)</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16,205,305</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PWERM</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21.0%-40.0% (27.9%)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3"/>
              </w:rPr>
              <w:t>Revenue Multiples</w:t>
            </w:r>
          </w:p>
        </w:tc>
        <w:tc>
          <w:tcPr>
            <w:tcW w:w="2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2"/>
              </w:rPr>
              <w:t>0.00x-51.69x (5.62x)</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Level 3 Investments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536,309,597</w:t>
            </w:r>
          </w:p>
        </w:tc>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660" w:hanging="328"/>
        <w:spacing w:after="0" w:line="248" w:lineRule="auto"/>
        <w:tabs>
          <w:tab w:leader="none" w:pos="6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 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72" w:lineRule="exact"/>
        <w:rPr>
          <w:rFonts w:ascii="Arial" w:cs="Arial" w:eastAsia="Arial" w:hAnsi="Arial"/>
          <w:sz w:val="13"/>
          <w:szCs w:val="13"/>
          <w:color w:val="auto"/>
        </w:rPr>
      </w:pPr>
    </w:p>
    <w:p>
      <w:pPr>
        <w:jc w:val="both"/>
        <w:ind w:left="660" w:hanging="328"/>
        <w:spacing w:after="0" w:line="247" w:lineRule="auto"/>
        <w:tabs>
          <w:tab w:leader="none" w:pos="6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years ended December 31, 2021 and December 31, 2020.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year ended December 31, 2021, the Company had realized losses of $824,936 and a net change in unrealized appreciation of $2,795,307 from its investments in warrants. For the year ended December 31, 2020, the Company had realized gains of $1,175,229 and a net change in unrealized appreciation of $14,161,969 from its investments in warrants. For the year ended December 31, 2019, the Company had realized gains of $228,171 and a net change in unrealized (depreciation) of $(609,169) from its investments in warrants. Realized gains from warrants is included in Realized gain (loss) on non-control/non-affiliate investments, including U.S. Treasury Bills on the Statement of Operations. The net change in unrealized appreciation (depreciation) from warrants is included in Net change in unrealized appreciation (depreciation) on non-control/non-affiliate investments, including U.S. Treasury Bills, except for $216,610, $358,682,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$0, respectively for the years ended December 31, 2021, December 31, 2020 and December 31, 2019, included in Net change in unrealized appreciation on control/affiliate investments.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Borrowings</w:t>
      </w:r>
    </w:p>
    <w:p>
      <w:pPr>
        <w:spacing w:after="0" w:line="229"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On December 10, 2021, the Company entered into a Master Note Purchase Agreement (the “Note Purchase Agreement”) governing the issuance of $70,000,000 in aggregate principal amount of 4.25% Series 2021A Senior Notes due 2026 (the “2026 Senior Notes”) to institutional accredited investors (as defined in Regulation D under the Securities Act of 1933, as amended (the “Securities Act”)) in a private placement. The 2026 Senior Notes were issued in two closings. The initial issuance of $20 million 2026 Senior Notes closed on December 10, 2021 and the second and final issuance of $50 million closed on February 10, 2022. See “—Subsequent Events.”</w:t>
      </w:r>
    </w:p>
    <w:p>
      <w:pPr>
        <w:spacing w:after="0" w:line="16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 xml:space="preserve">The 2026 Senior Notes bear an interest rate of 4.25% per year and are due on December 10, 2026, unless redeemed, purchased or prepaid prior to such date by the Company or its affiliates in accordance with their terms. Interest on the 2026 Senior Notes will be due semiannually. The interest rate is subject to a 1.00% increase in the event that, subject to certain exceptions, the 2026 Senior Notes cease to have an investment grade rating or receive an investment grade rating below the Investment Grade (as defined in the Note Purchase Agreement). The 2026 Senior Notes are general unsecured obligations of the Company that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outstanding and future unsecured unsubordinated indebtedness issued by the Company.</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Aggregate offering costs in connection with the 2026 Senior Notes issuance, including the underwriter’s discount and commissions, were $380,606 which were capitalized and deferred. As of December 31, 2021, unamortized deferred debt costs related to the 2026 Senior Notes were $376,029 and were included in the Total debt, less unamortized deferred debt costs on the Consolidated Statements of Assets and Liabilities.</w:t>
      </w:r>
    </w:p>
    <w:p>
      <w:pPr>
        <w:spacing w:after="0" w:line="18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For the year ended December 31, 2021, the components of interest expense and related fees for the 2026 Senior Notes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Year Ended</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December 31,</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2021</w:t>
            </w:r>
          </w:p>
        </w:tc>
        <w:tc>
          <w:tcPr>
            <w:tcW w:w="26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51,944</w:t>
            </w:r>
          </w:p>
        </w:tc>
        <w:tc>
          <w:tcPr>
            <w:tcW w:w="2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deferred debt costs</w:t>
            </w: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2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amortization of deferred debt costs</w:t>
            </w: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56,521</w:t>
            </w:r>
          </w:p>
        </w:tc>
        <w:tc>
          <w:tcPr>
            <w:tcW w:w="2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cost of debt</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60" w:type="dxa"/>
            <w:vAlign w:val="bottom"/>
            <w:vMerge w:val="restart"/>
          </w:tcPr>
          <w:p>
            <w:pPr>
              <w:jc w:val="right"/>
              <w:ind w:right="24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1"/>
        </w:trPr>
        <w:tc>
          <w:tcPr>
            <w:tcW w:w="50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w:t>
            </w: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On May 31, 2019, the Company entered into a Credit Agreement (the “Credit Agreement”) by and among the Company, as borrower, KeyBank National Association, as administrative agent, syndication agent, and a lender, CIBC Bank USA, as documentation agent and a lender, U.S. Bank National Association, as paying agent, the guarantors from time to time party thereto, and the other lenders from time to time party thereto.</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availability period under the Credit Agreement expires on May 31, 2022 and is followed by a two-year amortization period. The stated maturity date under the Credit Agreement is May 31, 2024.</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10, 2020, Company entered into an amendment (the “Credit Facility Amendment”) to the Credit Agreement. The Credit Facility Amendment amended the Credit Agreement to, among other things: (i) increase the size of the aggregate commitments under the Credit Facility to $175 million from $100 million; (ii) add MUFG Union Bank, N.A. as a new lender and co-documentation agent under the 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 2020, the Company entered into an amendment (the “December Credit Facility Amendment”) to the Credit Agreement. The December Credit Facility Amendment amended the Credit Agreement to: (i) increase the size of the aggregate commitments under the Credit Facility to $215 million from $175 million; (ii) increase the accordion amount under the Credit Facility from a $200 million maximum aggregate commitment amount to a $300 million maximum aggregate commitment amount; and (iii) add Bank of Hope and First Foundation Bank as new Lenders and Managing Agents under the Credit Agreement. Borrowing under the Credit Facility remains subject to the leverage restrictions contained in the 1940 Act.</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June 1, 2021, the Company entered into an amendment (the “June Credit Facility Amendment”) to the Credit Agreement. The June Credit Facility Amendment amended the Credit Agreement to: (i) allow the Company to incur permitted indebtedness without the prior written consent of the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3, 2021, the Company further amended the fee letter (the “Second Amended and Restated Fee Letter”) to amend the first payment date of the minimum earnings fee, which will be payable annually starting on May 31, 2022. Under the Second Amended and Restated Fee Letter, the Company will also pay a supplemental fee on the 15th calendar day of each month beginning August 16, 2021 and ending July 15, 2022 in an aggregate amount equal to $66,367, which is paid pro rata to the lenders listed in Schedule A of the Second Amended and Restated Fee Letter.</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status and regulated-investment-company status; nonpayment; misrepresentation of representations and warranties; breach of covenant; and certain bankruptcy and liquidation events.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new Credit Agreement, the Company terminated the Credit Facilities.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Prior to termination on May 31, 2019, the current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was based on unused capital commitments. Borrowings under the Credit Facilities bore interest, at the Company’s election at the time of drawdown, at a rate per annum equal to</w:t>
      </w:r>
    </w:p>
    <w:p>
      <w:pPr>
        <w:spacing w:after="0" w:line="1" w:lineRule="exact"/>
        <w:rPr>
          <w:sz w:val="20"/>
          <w:szCs w:val="20"/>
          <w:color w:val="auto"/>
        </w:rPr>
      </w:pPr>
    </w:p>
    <w:p>
      <w:pPr>
        <w:ind w:firstLine="8"/>
        <w:spacing w:after="0" w:line="260" w:lineRule="auto"/>
        <w:tabs>
          <w:tab w:leader="none" w:pos="2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LIBOR rate loans, the LIBOR rate for the applicable interest period plus 2.50% or (ii) in the case of prime rate loans, CIBC’s prime commercial rate at the time of the borrowing minus 0.50%.</w:t>
      </w:r>
    </w:p>
    <w:p>
      <w:pPr>
        <w:spacing w:after="0" w:line="18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For the years ended December 31, 2021 and December 31, 2020, the weighted average outstanding debt balance was $71,435,616 and $27,900,273, respectively, and the weighted average effective interest rate was 3.54% and 3.54%, respectively.</w:t>
      </w:r>
    </w:p>
    <w:p>
      <w:pPr>
        <w:spacing w:after="0" w:line="14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For the years ended December 31, 2021, December 31, 2020, and December 31, 2019 the components of interest expense and related fees for the KeyBank Credit Agreement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2,492,194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986,727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deferred debt costs</w:t>
            </w: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1,201,816</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684,586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560,877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amortization of deferred debt costs</w:t>
            </w: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3,694,010</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1,671,313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1,370,015</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cost of debt</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1"/>
        </w:trPr>
        <w:tc>
          <w:tcPr>
            <w:tcW w:w="50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w:t>
            </w: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2021, the Company had $61,000,000 outstanding under the Credit Agreement and $20,000,000 of 2026 Senior Notes outstanding under the Note Purchase Agreement, each with maturities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Date of</w:t>
            </w:r>
          </w:p>
        </w:tc>
        <w:tc>
          <w:tcPr>
            <w:tcW w:w="9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Due Date</w:t>
            </w:r>
          </w:p>
        </w:tc>
        <w:tc>
          <w:tcPr>
            <w:tcW w:w="140" w:type="dxa"/>
            <w:vAlign w:val="bottom"/>
          </w:tcPr>
          <w:p>
            <w:pPr>
              <w:spacing w:after="0"/>
              <w:rPr>
                <w:sz w:val="14"/>
                <w:szCs w:val="14"/>
                <w:color w:val="auto"/>
              </w:rPr>
            </w:pPr>
          </w:p>
        </w:tc>
        <w:tc>
          <w:tcPr>
            <w:tcW w:w="10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4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Rate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Advance</w:t>
            </w: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5/31/2024</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$ 61,000,000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1"/>
              </w:rPr>
              <w:t>3.50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Series 2021A Senior Notes due 2026</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12/10/2021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12/10/2026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4.25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$ 81,000,000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2020, the Company had $99,000,000 outstanding under the Credit Agreement with a maturity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11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Due Date</w:t>
            </w:r>
          </w:p>
        </w:tc>
        <w:tc>
          <w:tcPr>
            <w:tcW w:w="9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404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Advance</w:t>
            </w:r>
          </w:p>
        </w:tc>
        <w:tc>
          <w:tcPr>
            <w:tcW w:w="116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6/30/2020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99,000,000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99,000,000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0" w:type="dxa"/>
            <w:vAlign w:val="bottom"/>
            <w:vMerge w:val="restart"/>
          </w:tcPr>
          <w:p>
            <w:pPr>
              <w:jc w:val="right"/>
              <w:ind w:right="65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Information about the Company’s senior securities is shown in the following table for the fiscal years ended December 31, 2021, 2020, 2019 and 2018. No senior securities were outstanding for the fiscal years ended December 31, 2017 and prior.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Total 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Involuntary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Liquidating</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Exclusive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Coverage</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Preference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Class and Period</w:t>
            </w:r>
          </w:p>
        </w:tc>
        <w:tc>
          <w:tcPr>
            <w:tcW w:w="280" w:type="dxa"/>
            <w:vAlign w:val="bottom"/>
          </w:tcPr>
          <w:p>
            <w:pPr>
              <w:spacing w:after="0"/>
              <w:rPr>
                <w:sz w:val="20"/>
                <w:szCs w:val="20"/>
                <w:color w:val="auto"/>
              </w:rPr>
            </w:pPr>
          </w:p>
        </w:tc>
        <w:tc>
          <w:tcPr>
            <w:tcW w:w="1660" w:type="dxa"/>
            <w:vAlign w:val="bottom"/>
          </w:tcPr>
          <w:p>
            <w:pPr>
              <w:jc w:val="right"/>
              <w:spacing w:after="0" w:line="235" w:lineRule="exact"/>
              <w:rPr>
                <w:sz w:val="20"/>
                <w:szCs w:val="20"/>
                <w:color w:val="auto"/>
              </w:rPr>
            </w:pPr>
            <w:r>
              <w:rPr>
                <w:rFonts w:ascii="Arial" w:cs="Arial" w:eastAsia="Arial" w:hAnsi="Arial"/>
                <w:sz w:val="18"/>
                <w:szCs w:val="18"/>
                <w:b w:val="1"/>
                <w:bCs w:val="1"/>
                <w:color w:val="auto"/>
                <w:w w:val="87"/>
              </w:rPr>
              <w:t>Treasury Securities</w:t>
            </w:r>
            <w:r>
              <w:rPr>
                <w:rFonts w:ascii="Arial" w:cs="Arial" w:eastAsia="Arial" w:hAnsi="Arial"/>
                <w:sz w:val="26"/>
                <w:szCs w:val="26"/>
                <w:b w:val="1"/>
                <w:bCs w:val="1"/>
                <w:color w:val="auto"/>
                <w:w w:val="87"/>
                <w:vertAlign w:val="superscript"/>
              </w:rPr>
              <w:t>(1)</w:t>
            </w:r>
          </w:p>
        </w:tc>
        <w:tc>
          <w:tcPr>
            <w:tcW w:w="200" w:type="dxa"/>
            <w:vAlign w:val="bottom"/>
          </w:tcPr>
          <w:p>
            <w:pPr>
              <w:spacing w:after="0"/>
              <w:rPr>
                <w:sz w:val="20"/>
                <w:szCs w:val="20"/>
                <w:color w:val="auto"/>
              </w:rPr>
            </w:pPr>
          </w:p>
        </w:tc>
        <w:tc>
          <w:tcPr>
            <w:tcW w:w="1160" w:type="dxa"/>
            <w:vAlign w:val="bottom"/>
            <w:gridSpan w:val="3"/>
          </w:tcPr>
          <w:p>
            <w:pPr>
              <w:jc w:val="center"/>
              <w:ind w:right="200"/>
              <w:spacing w:after="0" w:line="235" w:lineRule="exact"/>
              <w:rPr>
                <w:sz w:val="20"/>
                <w:szCs w:val="20"/>
                <w:color w:val="auto"/>
              </w:rPr>
            </w:pPr>
            <w:r>
              <w:rPr>
                <w:rFonts w:ascii="Arial" w:cs="Arial" w:eastAsia="Arial" w:hAnsi="Arial"/>
                <w:sz w:val="18"/>
                <w:szCs w:val="18"/>
                <w:b w:val="1"/>
                <w:bCs w:val="1"/>
                <w:color w:val="auto"/>
                <w:w w:val="89"/>
              </w:rPr>
              <w:t>per Unit</w:t>
            </w:r>
            <w:r>
              <w:rPr>
                <w:rFonts w:ascii="Arial" w:cs="Arial" w:eastAsia="Arial" w:hAnsi="Arial"/>
                <w:sz w:val="26"/>
                <w:szCs w:val="26"/>
                <w:b w:val="1"/>
                <w:bCs w:val="1"/>
                <w:color w:val="auto"/>
                <w:w w:val="89"/>
                <w:vertAlign w:val="superscript"/>
              </w:rPr>
              <w:t>(2)</w:t>
            </w:r>
          </w:p>
        </w:tc>
        <w:tc>
          <w:tcPr>
            <w:tcW w:w="1180" w:type="dxa"/>
            <w:vAlign w:val="bottom"/>
            <w:gridSpan w:val="2"/>
          </w:tcPr>
          <w:p>
            <w:pPr>
              <w:jc w:val="center"/>
              <w:ind w:right="200"/>
              <w:spacing w:after="0" w:line="235" w:lineRule="exact"/>
              <w:rPr>
                <w:sz w:val="20"/>
                <w:szCs w:val="20"/>
                <w:color w:val="auto"/>
              </w:rPr>
            </w:pPr>
            <w:r>
              <w:rPr>
                <w:rFonts w:ascii="Arial" w:cs="Arial" w:eastAsia="Arial" w:hAnsi="Arial"/>
                <w:sz w:val="18"/>
                <w:szCs w:val="18"/>
                <w:b w:val="1"/>
                <w:bCs w:val="1"/>
                <w:color w:val="auto"/>
                <w:w w:val="91"/>
              </w:rPr>
              <w:t>per Unit</w:t>
            </w:r>
            <w:r>
              <w:rPr>
                <w:rFonts w:ascii="Arial" w:cs="Arial" w:eastAsia="Arial" w:hAnsi="Arial"/>
                <w:sz w:val="26"/>
                <w:szCs w:val="26"/>
                <w:b w:val="1"/>
                <w:bCs w:val="1"/>
                <w:color w:val="auto"/>
                <w:w w:val="91"/>
                <w:vertAlign w:val="superscript"/>
              </w:rPr>
              <w:t>(3)</w:t>
            </w:r>
          </w:p>
        </w:tc>
        <w:tc>
          <w:tcPr>
            <w:tcW w:w="980" w:type="dxa"/>
            <w:vAlign w:val="bottom"/>
          </w:tcPr>
          <w:p>
            <w:pPr>
              <w:jc w:val="center"/>
              <w:spacing w:after="0" w:line="235" w:lineRule="exact"/>
              <w:rPr>
                <w:sz w:val="20"/>
                <w:szCs w:val="20"/>
                <w:color w:val="auto"/>
              </w:rPr>
            </w:pPr>
            <w:r>
              <w:rPr>
                <w:rFonts w:ascii="Arial" w:cs="Arial" w:eastAsia="Arial" w:hAnsi="Arial"/>
                <w:sz w:val="18"/>
                <w:szCs w:val="18"/>
                <w:b w:val="1"/>
                <w:bCs w:val="1"/>
                <w:color w:val="auto"/>
                <w:w w:val="89"/>
              </w:rPr>
              <w:t>per Unit</w:t>
            </w:r>
            <w:r>
              <w:rPr>
                <w:rFonts w:ascii="Arial" w:cs="Arial" w:eastAsia="Arial" w:hAnsi="Arial"/>
                <w:sz w:val="26"/>
                <w:szCs w:val="26"/>
                <w:b w:val="1"/>
                <w:bCs w:val="1"/>
                <w:color w:val="auto"/>
                <w:w w:val="89"/>
                <w:vertAlign w:val="superscript"/>
              </w:rPr>
              <w:t>(4)</w:t>
            </w:r>
          </w:p>
        </w:tc>
      </w:tr>
      <w:tr>
        <w:trPr>
          <w:trHeight w:val="209"/>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2026 Senior Notes</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31,310</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Credit Agreement</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99,000,000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5,710</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Credit Facilities</w:t>
            </w:r>
            <w:r>
              <w:rPr>
                <w:rFonts w:ascii="Arial" w:cs="Arial" w:eastAsia="Arial" w:hAnsi="Arial"/>
                <w:sz w:val="25"/>
                <w:szCs w:val="25"/>
                <w:b w:val="1"/>
                <w:bCs w:val="1"/>
                <w:color w:val="auto"/>
                <w:vertAlign w:val="superscript"/>
              </w:rPr>
              <w:t>(5)</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99,000,000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5,710</w:t>
            </w:r>
          </w:p>
        </w:tc>
        <w:tc>
          <w:tcPr>
            <w:tcW w:w="20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59,500,000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3,811</w:t>
            </w:r>
          </w:p>
        </w:tc>
        <w:tc>
          <w:tcPr>
            <w:tcW w:w="20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27"/>
          <w:szCs w:val="27"/>
          <w:color w:val="auto"/>
          <w:vertAlign w:val="superscript"/>
        </w:rPr>
      </w:pPr>
      <w:r>
        <w:rPr>
          <w:rFonts w:ascii="Arial" w:cs="Arial" w:eastAsia="Arial" w:hAnsi="Arial"/>
          <w:sz w:val="14"/>
          <w:szCs w:val="14"/>
          <w:color w:val="auto"/>
        </w:rPr>
        <w:t>Total amount of each class of senior securities outstanding at the end of the period presented</w:t>
      </w:r>
      <w:r>
        <w:rPr>
          <w:rFonts w:ascii="Arial" w:cs="Arial" w:eastAsia="Arial" w:hAnsi="Arial"/>
          <w:sz w:val="17"/>
          <w:szCs w:val="17"/>
          <w:color w:val="auto"/>
        </w:rPr>
        <w:t>.</w:t>
      </w:r>
    </w:p>
    <w:p>
      <w:pPr>
        <w:spacing w:after="0" w:line="125" w:lineRule="exact"/>
        <w:rPr>
          <w:rFonts w:ascii="Arial" w:cs="Arial" w:eastAsia="Arial" w:hAnsi="Arial"/>
          <w:sz w:val="27"/>
          <w:szCs w:val="27"/>
          <w:color w:val="auto"/>
          <w:vertAlign w:val="superscript"/>
        </w:rPr>
      </w:pPr>
    </w:p>
    <w:p>
      <w:pPr>
        <w:jc w:val="both"/>
        <w:ind w:left="660" w:hanging="328"/>
        <w:spacing w:after="0" w:line="197" w:lineRule="auto"/>
        <w:tabs>
          <w:tab w:leader="none" w:pos="660" w:val="left"/>
        </w:tabs>
        <w:numPr>
          <w:ilvl w:val="0"/>
          <w:numId w:val="78"/>
        </w:numPr>
        <w:rPr>
          <w:rFonts w:ascii="Arial" w:cs="Arial" w:eastAsia="Arial" w:hAnsi="Arial"/>
          <w:sz w:val="22"/>
          <w:szCs w:val="22"/>
          <w:color w:val="auto"/>
          <w:vertAlign w:val="superscript"/>
        </w:rPr>
      </w:pPr>
      <w:r>
        <w:rPr>
          <w:rFonts w:ascii="Arial" w:cs="Arial" w:eastAsia="Arial" w:hAnsi="Arial"/>
          <w:sz w:val="18"/>
          <w:szCs w:val="18"/>
          <w:color w:val="auto"/>
        </w:rPr>
        <w:t>A</w:t>
      </w:r>
      <w:r>
        <w:rPr>
          <w:rFonts w:ascii="Arial" w:cs="Arial" w:eastAsia="Arial" w:hAnsi="Arial"/>
          <w:sz w:val="14"/>
          <w:szCs w:val="14"/>
          <w:color w:val="auto"/>
        </w:rPr>
        <w:t>sset coverage per unit is the ratio of the carrying value of total assets, less all liabilities excluding indebtedness represented by senior securities in this table to</w:t>
      </w:r>
      <w:r>
        <w:rPr>
          <w:rFonts w:ascii="Arial" w:cs="Arial" w:eastAsia="Arial" w:hAnsi="Arial"/>
          <w:sz w:val="18"/>
          <w:szCs w:val="18"/>
          <w:color w:val="auto"/>
        </w:rPr>
        <w:t xml:space="preserve"> </w:t>
      </w:r>
      <w:r>
        <w:rPr>
          <w:rFonts w:ascii="Arial" w:cs="Arial" w:eastAsia="Arial" w:hAnsi="Arial"/>
          <w:sz w:val="14"/>
          <w:szCs w:val="14"/>
          <w:color w:val="auto"/>
        </w:rPr>
        <w:t>the aggregate amount of senior securities representing indebtedness. Asset coverage per unit is express in terms of dollar amounts per $1,000 of indebtedness and is calculated on a consolidated basis.</w:t>
      </w:r>
    </w:p>
    <w:p>
      <w:pPr>
        <w:spacing w:after="0" w:line="74" w:lineRule="exact"/>
        <w:rPr>
          <w:rFonts w:ascii="Arial" w:cs="Arial" w:eastAsia="Arial" w:hAnsi="Arial"/>
          <w:sz w:val="22"/>
          <w:szCs w:val="22"/>
          <w:color w:val="auto"/>
          <w:vertAlign w:val="superscript"/>
        </w:rPr>
      </w:pPr>
    </w:p>
    <w:p>
      <w:pPr>
        <w:ind w:left="660" w:hanging="328"/>
        <w:spacing w:after="0" w:line="253" w:lineRule="auto"/>
        <w:tabs>
          <w:tab w:leader="none" w:pos="660" w:val="left"/>
        </w:tabs>
        <w:numPr>
          <w:ilvl w:val="0"/>
          <w:numId w:val="78"/>
        </w:numPr>
        <w:rPr>
          <w:rFonts w:ascii="Arial" w:cs="Arial" w:eastAsia="Arial" w:hAnsi="Arial"/>
          <w:sz w:val="11"/>
          <w:szCs w:val="11"/>
          <w:color w:val="auto"/>
        </w:rPr>
      </w:pPr>
      <w:r>
        <w:rPr>
          <w:rFonts w:ascii="Arial" w:cs="Arial" w:eastAsia="Arial" w:hAnsi="Arial"/>
          <w:sz w:val="14"/>
          <w:szCs w:val="14"/>
          <w:color w:val="auto"/>
        </w:rPr>
        <w:t>The amount to which such class of senior security would be entitled upon the Company’s involuntary liquidation in preference to any security junior to it. The “—” in this column indicates information that the SEC expressly does not require to be disclosed for certain types of senior securities.</w:t>
      </w:r>
    </w:p>
    <w:p>
      <w:pPr>
        <w:spacing w:after="0" w:line="65" w:lineRule="exact"/>
        <w:rPr>
          <w:rFonts w:ascii="Arial" w:cs="Arial" w:eastAsia="Arial" w:hAnsi="Arial"/>
          <w:sz w:val="11"/>
          <w:szCs w:val="11"/>
          <w:color w:val="auto"/>
        </w:rPr>
      </w:pPr>
    </w:p>
    <w:p>
      <w:pPr>
        <w:ind w:left="660" w:hanging="328"/>
        <w:spacing w:after="0"/>
        <w:tabs>
          <w:tab w:leader="none" w:pos="660" w:val="left"/>
        </w:tabs>
        <w:numPr>
          <w:ilvl w:val="0"/>
          <w:numId w:val="78"/>
        </w:numPr>
        <w:rPr>
          <w:rFonts w:ascii="Arial" w:cs="Arial" w:eastAsia="Arial" w:hAnsi="Arial"/>
          <w:sz w:val="11"/>
          <w:szCs w:val="11"/>
          <w:color w:val="auto"/>
        </w:rPr>
      </w:pPr>
      <w:r>
        <w:rPr>
          <w:rFonts w:ascii="Arial" w:cs="Arial" w:eastAsia="Arial" w:hAnsi="Arial"/>
          <w:sz w:val="14"/>
          <w:szCs w:val="14"/>
          <w:color w:val="auto"/>
        </w:rPr>
        <w:t>Not applicable because the senior securities are not registered for public trading.</w:t>
      </w:r>
    </w:p>
    <w:p>
      <w:pPr>
        <w:spacing w:after="0" w:line="95" w:lineRule="exact"/>
        <w:rPr>
          <w:rFonts w:ascii="Arial" w:cs="Arial" w:eastAsia="Arial" w:hAnsi="Arial"/>
          <w:sz w:val="11"/>
          <w:szCs w:val="11"/>
          <w:color w:val="auto"/>
        </w:rPr>
      </w:pPr>
    </w:p>
    <w:p>
      <w:pPr>
        <w:ind w:left="660" w:hanging="328"/>
        <w:spacing w:after="0" w:line="272" w:lineRule="auto"/>
        <w:tabs>
          <w:tab w:leader="none" w:pos="660" w:val="left"/>
        </w:tabs>
        <w:numPr>
          <w:ilvl w:val="0"/>
          <w:numId w:val="78"/>
        </w:numPr>
        <w:rPr>
          <w:rFonts w:ascii="Arial" w:cs="Arial" w:eastAsia="Arial" w:hAnsi="Arial"/>
          <w:sz w:val="13"/>
          <w:szCs w:val="13"/>
          <w:color w:val="auto"/>
        </w:rPr>
      </w:pPr>
      <w:r>
        <w:rPr>
          <w:rFonts w:ascii="Arial" w:cs="Arial" w:eastAsia="Arial" w:hAnsi="Arial"/>
          <w:sz w:val="14"/>
          <w:szCs w:val="14"/>
          <w:color w:val="auto"/>
        </w:rPr>
        <w:t>On June 22, 2018, the Company entered into the Credit Facilities with CIBC. On May 31, 2019, in conjunction with securing and entering into the new Credit Agreement, the Company terminated the Credit Facilities</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Financial Highlights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Year Ended</w:t>
            </w:r>
          </w:p>
        </w:tc>
      </w:tr>
      <w:tr>
        <w:trPr>
          <w:trHeight w:val="148"/>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196"/>
        </w:trPr>
        <w:tc>
          <w:tcPr>
            <w:tcW w:w="2460" w:type="dxa"/>
            <w:vAlign w:val="bottom"/>
            <w:shd w:val="clear" w:color="auto" w:fill="CCEEFF"/>
          </w:tcPr>
          <w:p>
            <w:pPr>
              <w:spacing w:after="0" w:line="195" w:lineRule="exact"/>
              <w:rPr>
                <w:sz w:val="20"/>
                <w:szCs w:val="20"/>
                <w:color w:val="auto"/>
              </w:rPr>
            </w:pPr>
            <w:r>
              <w:rPr>
                <w:rFonts w:ascii="Arial" w:cs="Arial" w:eastAsia="Arial" w:hAnsi="Arial"/>
                <w:sz w:val="15"/>
                <w:szCs w:val="15"/>
                <w:b w:val="1"/>
                <w:bCs w:val="1"/>
                <w:color w:val="auto"/>
              </w:rPr>
              <w:t>Per Share Data</w:t>
            </w:r>
            <w:r>
              <w:rPr>
                <w:rFonts w:ascii="Arial" w:cs="Arial" w:eastAsia="Arial" w:hAnsi="Arial"/>
                <w:sz w:val="22"/>
                <w:szCs w:val="22"/>
                <w:b w:val="1"/>
                <w:bCs w:val="1"/>
                <w:color w:val="auto"/>
                <w:vertAlign w:val="superscript"/>
              </w:rPr>
              <w:t>(1)</w:t>
            </w:r>
            <w:r>
              <w:rPr>
                <w:rFonts w:ascii="Arial" w:cs="Arial" w:eastAsia="Arial" w:hAnsi="Arial"/>
                <w:sz w:val="15"/>
                <w:szCs w:val="15"/>
                <w:b w:val="1"/>
                <w:bCs w:val="1"/>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5"/>
        </w:trPr>
        <w:tc>
          <w:tcPr>
            <w:tcW w:w="2460" w:type="dxa"/>
            <w:vAlign w:val="bottom"/>
          </w:tcPr>
          <w:p>
            <w:pPr>
              <w:spacing w:after="0" w:line="185" w:lineRule="exact"/>
              <w:rPr>
                <w:sz w:val="20"/>
                <w:szCs w:val="20"/>
                <w:color w:val="auto"/>
              </w:rPr>
            </w:pPr>
            <w:r>
              <w:rPr>
                <w:rFonts w:ascii="Arial" w:cs="Arial" w:eastAsia="Arial" w:hAnsi="Arial"/>
                <w:sz w:val="17"/>
                <w:szCs w:val="17"/>
                <w:color w:val="auto"/>
              </w:rPr>
              <w:t>Net asset value at beginning of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7"/>
                <w:szCs w:val="17"/>
                <w:color w:val="auto"/>
              </w:rPr>
              <w:t>period</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14.84</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14.58</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15.14</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14.66</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10.38</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15.00</w:t>
            </w:r>
          </w:p>
        </w:tc>
        <w:tc>
          <w:tcPr>
            <w:tcW w:w="160" w:type="dxa"/>
            <w:vAlign w:val="bottom"/>
          </w:tcPr>
          <w:p>
            <w:pPr>
              <w:spacing w:after="0"/>
              <w:rPr>
                <w:sz w:val="18"/>
                <w:szCs w:val="18"/>
                <w:color w:val="auto"/>
              </w:rPr>
            </w:pPr>
          </w:p>
        </w:tc>
      </w:tr>
      <w:tr>
        <w:trPr>
          <w:trHeight w:val="206"/>
        </w:trPr>
        <w:tc>
          <w:tcPr>
            <w:tcW w:w="2460" w:type="dxa"/>
            <w:vAlign w:val="bottom"/>
            <w:shd w:val="clear" w:color="auto" w:fill="CCEEFF"/>
          </w:tcPr>
          <w:p>
            <w:pPr>
              <w:spacing w:after="0" w:line="207" w:lineRule="exact"/>
              <w:rPr>
                <w:sz w:val="20"/>
                <w:szCs w:val="20"/>
                <w:color w:val="auto"/>
              </w:rPr>
            </w:pPr>
            <w:r>
              <w:rPr>
                <w:rFonts w:ascii="Arial" w:cs="Arial" w:eastAsia="Arial" w:hAnsi="Arial"/>
                <w:sz w:val="16"/>
                <w:szCs w:val="16"/>
                <w:color w:val="auto"/>
              </w:rPr>
              <w:t>Net investment income</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(83.81)</w:t>
            </w:r>
          </w:p>
        </w:tc>
        <w:tc>
          <w:tcPr>
            <w:tcW w:w="160" w:type="dxa"/>
            <w:vAlign w:val="bottom"/>
            <w:shd w:val="clear" w:color="auto" w:fill="CCEEFF"/>
          </w:tcPr>
          <w:p>
            <w:pPr>
              <w:spacing w:after="0"/>
              <w:rPr>
                <w:sz w:val="17"/>
                <w:szCs w:val="17"/>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7"/>
                <w:szCs w:val="17"/>
                <w:color w:val="auto"/>
              </w:rPr>
              <w:t>Realized gain (loss)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0.03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185"/>
        </w:trPr>
        <w:tc>
          <w:tcPr>
            <w:tcW w:w="24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4"/>
              </w:rPr>
              <w:t>Change in unrealized appreciation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0"/>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60" w:type="dxa"/>
            <w:vAlign w:val="bottom"/>
            <w:shd w:val="clear" w:color="auto" w:fill="CCEEFF"/>
          </w:tcPr>
          <w:p>
            <w:pPr>
              <w:spacing w:after="0"/>
              <w:rPr>
                <w:sz w:val="19"/>
                <w:szCs w:val="19"/>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7"/>
                <w:szCs w:val="17"/>
                <w:color w:val="auto"/>
              </w:rPr>
              <w:t>Issuance of common 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79.20</w:t>
            </w:r>
          </w:p>
        </w:tc>
        <w:tc>
          <w:tcPr>
            <w:tcW w:w="160" w:type="dxa"/>
            <w:vAlign w:val="bottom"/>
          </w:tcPr>
          <w:p>
            <w:pPr>
              <w:spacing w:after="0"/>
              <w:rPr>
                <w:sz w:val="17"/>
                <w:szCs w:val="17"/>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Dividends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2460" w:type="dxa"/>
            <w:vAlign w:val="bottom"/>
          </w:tcPr>
          <w:p>
            <w:pPr>
              <w:spacing w:after="0"/>
              <w:rPr>
                <w:sz w:val="20"/>
                <w:szCs w:val="20"/>
                <w:color w:val="auto"/>
              </w:rPr>
            </w:pPr>
            <w:r>
              <w:rPr>
                <w:rFonts w:ascii="Arial" w:cs="Arial" w:eastAsia="Arial" w:hAnsi="Arial"/>
                <w:sz w:val="17"/>
                <w:szCs w:val="17"/>
                <w:color w:val="auto"/>
              </w:rPr>
              <w:t>Offering costs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(0.03)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24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Accretion (Dilution)</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36"/>
        </w:trPr>
        <w:tc>
          <w:tcPr>
            <w:tcW w:w="2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asset value at end of period</w:t>
            </w:r>
          </w:p>
        </w:tc>
        <w:tc>
          <w:tcPr>
            <w:tcW w:w="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14.65</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14.84</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14.58</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15.14</w:t>
            </w: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14.66</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10.38</w:t>
            </w:r>
          </w:p>
        </w:tc>
        <w:tc>
          <w:tcPr>
            <w:tcW w:w="160" w:type="dxa"/>
            <w:vAlign w:val="bottom"/>
            <w:tcBorders>
              <w:bottom w:val="single" w:sz="8" w:color="CCEEFF"/>
            </w:tcBorders>
          </w:tcPr>
          <w:p>
            <w:pPr>
              <w:spacing w:after="0"/>
              <w:rPr>
                <w:sz w:val="20"/>
                <w:szCs w:val="20"/>
                <w:color w:val="auto"/>
              </w:rPr>
            </w:pPr>
          </w:p>
        </w:tc>
      </w:tr>
      <w:tr>
        <w:trPr>
          <w:trHeight w:val="138"/>
        </w:trPr>
        <w:tc>
          <w:tcPr>
            <w:tcW w:w="246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Total return based on net asset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20"/>
        </w:trPr>
        <w:tc>
          <w:tcPr>
            <w:tcW w:w="2460" w:type="dxa"/>
            <w:vAlign w:val="bottom"/>
            <w:shd w:val="clear" w:color="auto" w:fill="CCEEFF"/>
          </w:tcPr>
          <w:p>
            <w:pPr>
              <w:spacing w:after="0" w:line="220" w:lineRule="exact"/>
              <w:rPr>
                <w:sz w:val="20"/>
                <w:szCs w:val="20"/>
                <w:color w:val="auto"/>
              </w:rPr>
            </w:pPr>
            <w:r>
              <w:rPr>
                <w:rFonts w:ascii="Arial" w:cs="Arial" w:eastAsia="Arial" w:hAnsi="Arial"/>
                <w:sz w:val="17"/>
                <w:szCs w:val="17"/>
                <w:color w:val="auto"/>
              </w:rPr>
              <w:t>value</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1.79 %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3.27 %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41.23 %</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(30.80)%</w:t>
            </w:r>
          </w:p>
        </w:tc>
      </w:tr>
      <w:tr>
        <w:trPr>
          <w:trHeight w:val="185"/>
        </w:trPr>
        <w:tc>
          <w:tcPr>
            <w:tcW w:w="2460" w:type="dxa"/>
            <w:vAlign w:val="bottom"/>
          </w:tcPr>
          <w:p>
            <w:pPr>
              <w:spacing w:after="0" w:line="185" w:lineRule="exact"/>
              <w:rPr>
                <w:sz w:val="20"/>
                <w:szCs w:val="20"/>
                <w:color w:val="auto"/>
              </w:rPr>
            </w:pPr>
            <w:r>
              <w:rPr>
                <w:rFonts w:ascii="Arial" w:cs="Arial" w:eastAsia="Arial" w:hAnsi="Arial"/>
                <w:sz w:val="17"/>
                <w:szCs w:val="17"/>
                <w:color w:val="auto"/>
              </w:rPr>
              <w:t>Weighted-average shares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7"/>
                <w:szCs w:val="17"/>
                <w:color w:val="auto"/>
              </w:rPr>
              <w:t>outstanding for period, basic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39,593,658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27,617,425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18,701,021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9,300,960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2,795,274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10,774</w:t>
            </w:r>
          </w:p>
        </w:tc>
        <w:tc>
          <w:tcPr>
            <w:tcW w:w="160" w:type="dxa"/>
            <w:vAlign w:val="bottom"/>
          </w:tcPr>
          <w:p>
            <w:pPr>
              <w:spacing w:after="0"/>
              <w:rPr>
                <w:sz w:val="18"/>
                <w:szCs w:val="18"/>
                <w:color w:val="auto"/>
              </w:rPr>
            </w:pPr>
          </w:p>
        </w:tc>
      </w:tr>
      <w:tr>
        <w:trPr>
          <w:trHeight w:val="206"/>
        </w:trPr>
        <w:tc>
          <w:tcPr>
            <w:tcW w:w="2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Ratio/Supplemental Data: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7"/>
                <w:szCs w:val="17"/>
                <w:color w:val="auto"/>
              </w:rPr>
              <w:t>Net assets at end of period</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3"/>
              </w:rPr>
              <w:t>606,194,491</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3"/>
              </w:rPr>
              <w:t>466,243,685</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w w:val="93"/>
              </w:rPr>
              <w:t>376,313,221</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w w:val="95"/>
              </w:rPr>
              <w:t>167,369,395</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w w:val="95"/>
              </w:rPr>
              <w:t>127,040,377</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7"/>
              </w:rPr>
              <w:t>3,476,672</w:t>
            </w:r>
          </w:p>
        </w:tc>
        <w:tc>
          <w:tcPr>
            <w:tcW w:w="160" w:type="dxa"/>
            <w:vAlign w:val="bottom"/>
          </w:tcPr>
          <w:p>
            <w:pPr>
              <w:spacing w:after="0"/>
              <w:rPr>
                <w:sz w:val="17"/>
                <w:szCs w:val="17"/>
                <w:color w:val="auto"/>
              </w:rPr>
            </w:pPr>
          </w:p>
        </w:tc>
      </w:tr>
      <w:tr>
        <w:trPr>
          <w:trHeight w:val="203"/>
        </w:trPr>
        <w:tc>
          <w:tcPr>
            <w:tcW w:w="24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Average net assets</w:t>
            </w:r>
            <w:r>
              <w:rPr>
                <w:rFonts w:ascii="Arial" w:cs="Arial" w:eastAsia="Arial" w:hAnsi="Arial"/>
                <w:sz w:val="23"/>
                <w:szCs w:val="23"/>
                <w:color w:val="auto"/>
                <w:vertAlign w:val="superscript"/>
              </w:rPr>
              <w:t>(5)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508,835,560</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403,188,386</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283,773,605</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141,046,177</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40,388,772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151,520</w:t>
            </w:r>
          </w:p>
        </w:tc>
        <w:tc>
          <w:tcPr>
            <w:tcW w:w="160" w:type="dxa"/>
            <w:vAlign w:val="bottom"/>
            <w:shd w:val="clear" w:color="auto" w:fill="CCEEFF"/>
          </w:tcPr>
          <w:p>
            <w:pPr>
              <w:spacing w:after="0"/>
              <w:rPr>
                <w:sz w:val="17"/>
                <w:szCs w:val="17"/>
                <w:color w:val="auto"/>
              </w:rPr>
            </w:pPr>
          </w:p>
        </w:tc>
      </w:tr>
      <w:tr>
        <w:trPr>
          <w:trHeight w:val="185"/>
        </w:trPr>
        <w:tc>
          <w:tcPr>
            <w:tcW w:w="2460" w:type="dxa"/>
            <w:vAlign w:val="bottom"/>
          </w:tcPr>
          <w:p>
            <w:pPr>
              <w:spacing w:after="0" w:line="185" w:lineRule="exact"/>
              <w:rPr>
                <w:sz w:val="20"/>
                <w:szCs w:val="20"/>
                <w:color w:val="auto"/>
              </w:rPr>
            </w:pPr>
            <w:r>
              <w:rPr>
                <w:rFonts w:ascii="Arial" w:cs="Arial" w:eastAsia="Arial" w:hAnsi="Arial"/>
                <w:sz w:val="17"/>
                <w:szCs w:val="17"/>
                <w:color w:val="auto"/>
                <w:w w:val="94"/>
              </w:rPr>
              <w:t>Ratio of net operating expenses to</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2460" w:type="dxa"/>
            <w:vAlign w:val="bottom"/>
          </w:tcPr>
          <w:p>
            <w:pPr>
              <w:spacing w:after="0" w:line="220" w:lineRule="exact"/>
              <w:rPr>
                <w:sz w:val="20"/>
                <w:szCs w:val="20"/>
                <w:color w:val="auto"/>
              </w:rPr>
            </w:pPr>
            <w:r>
              <w:rPr>
                <w:rFonts w:ascii="Arial" w:cs="Arial" w:eastAsia="Arial" w:hAnsi="Arial"/>
                <w:sz w:val="17"/>
                <w:szCs w:val="17"/>
                <w:color w:val="auto"/>
              </w:rPr>
              <w:t>average net assets</w:t>
            </w:r>
            <w:r>
              <w:rPr>
                <w:rFonts w:ascii="Arial" w:cs="Arial" w:eastAsia="Arial" w:hAnsi="Arial"/>
                <w:sz w:val="25"/>
                <w:szCs w:val="25"/>
                <w:color w:val="auto"/>
                <w:vertAlign w:val="superscript"/>
              </w:rPr>
              <w:t>(6)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5.28 %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4.84 %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6.58 %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6.42 %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12.46 %</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595.90 %</w:t>
            </w:r>
          </w:p>
        </w:tc>
      </w:tr>
      <w:tr>
        <w:trPr>
          <w:trHeight w:val="185"/>
        </w:trPr>
        <w:tc>
          <w:tcPr>
            <w:tcW w:w="24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3"/>
              </w:rPr>
              <w:t>Ratio of net increase (decrease) in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w w:val="90"/>
              </w:rPr>
              <w:t>net assets resulting from operations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0"/>
        </w:trPr>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to average net assets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8.97 %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11.62 %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9.74 %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8.34 %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(595.90)%</w:t>
            </w:r>
          </w:p>
        </w:tc>
      </w:tr>
      <w:tr>
        <w:trPr>
          <w:trHeight w:val="333"/>
        </w:trPr>
        <w:tc>
          <w:tcPr>
            <w:tcW w:w="2460" w:type="dxa"/>
            <w:vAlign w:val="bottom"/>
          </w:tcPr>
          <w:p>
            <w:pPr>
              <w:spacing w:after="0"/>
              <w:rPr>
                <w:sz w:val="20"/>
                <w:szCs w:val="20"/>
                <w:color w:val="auto"/>
              </w:rPr>
            </w:pPr>
            <w:r>
              <w:rPr>
                <w:rFonts w:ascii="Arial" w:cs="Arial" w:eastAsia="Arial" w:hAnsi="Arial"/>
                <w:sz w:val="17"/>
                <w:szCs w:val="17"/>
                <w:color w:val="auto"/>
              </w:rPr>
              <w:t>Portfolio turnover rate</w:t>
            </w:r>
            <w:r>
              <w:rPr>
                <w:rFonts w:ascii="Arial" w:cs="Arial" w:eastAsia="Arial" w:hAnsi="Arial"/>
                <w:sz w:val="25"/>
                <w:szCs w:val="25"/>
                <w:color w:val="auto"/>
                <w:vertAlign w:val="superscript"/>
              </w:rPr>
              <w:t>(7)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49.61 %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25.14 %</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32.99 %</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11.66 %</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227.09 %</w:t>
            </w:r>
          </w:p>
        </w:tc>
        <w:tc>
          <w:tcPr>
            <w:tcW w:w="1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5684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3"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3"/>
          <w:szCs w:val="13"/>
          <w:color w:val="auto"/>
        </w:rPr>
      </w:pPr>
      <w:r>
        <w:rPr>
          <w:rFonts w:ascii="Arial" w:cs="Arial" w:eastAsia="Arial" w:hAnsi="Arial"/>
          <w:sz w:val="14"/>
          <w:szCs w:val="14"/>
          <w:color w:val="auto"/>
        </w:rPr>
        <w:t>Financial highlights are based on weighted-average shares outstanding.</w:t>
      </w:r>
    </w:p>
    <w:p>
      <w:pPr>
        <w:spacing w:after="0" w:line="95" w:lineRule="exact"/>
        <w:rPr>
          <w:rFonts w:ascii="Arial" w:cs="Arial" w:eastAsia="Arial" w:hAnsi="Arial"/>
          <w:sz w:val="13"/>
          <w:szCs w:val="13"/>
          <w:color w:val="auto"/>
        </w:rPr>
      </w:pPr>
    </w:p>
    <w:p>
      <w:pPr>
        <w:ind w:left="660" w:hanging="328"/>
        <w:spacing w:after="0"/>
        <w:tabs>
          <w:tab w:leader="none" w:pos="660" w:val="left"/>
        </w:tabs>
        <w:numPr>
          <w:ilvl w:val="0"/>
          <w:numId w:val="79"/>
        </w:numPr>
        <w:rPr>
          <w:rFonts w:ascii="Arial" w:cs="Arial" w:eastAsia="Arial" w:hAnsi="Arial"/>
          <w:sz w:val="11"/>
          <w:szCs w:val="11"/>
          <w:color w:val="auto"/>
        </w:rPr>
      </w:pPr>
      <w:r>
        <w:rPr>
          <w:rFonts w:ascii="Arial" w:cs="Arial" w:eastAsia="Arial" w:hAnsi="Arial"/>
          <w:sz w:val="12"/>
          <w:szCs w:val="12"/>
          <w:color w:val="auto"/>
        </w:rPr>
        <w:t>Total return based on net asset value is based upon the change in net asset value per share between the opening and ending net asset values per share in the year.</w:t>
      </w:r>
    </w:p>
    <w:p>
      <w:pPr>
        <w:spacing w:after="0" w:line="118" w:lineRule="exact"/>
        <w:rPr>
          <w:rFonts w:ascii="Arial" w:cs="Arial" w:eastAsia="Arial" w:hAnsi="Arial"/>
          <w:sz w:val="11"/>
          <w:szCs w:val="11"/>
          <w:color w:val="auto"/>
        </w:rPr>
      </w:pPr>
    </w:p>
    <w:p>
      <w:pPr>
        <w:ind w:left="660" w:right="20" w:hanging="328"/>
        <w:spacing w:after="0" w:line="253" w:lineRule="auto"/>
        <w:tabs>
          <w:tab w:leader="none" w:pos="660" w:val="left"/>
        </w:tabs>
        <w:numPr>
          <w:ilvl w:val="0"/>
          <w:numId w:val="79"/>
        </w:numPr>
        <w:rPr>
          <w:rFonts w:ascii="Arial" w:cs="Arial" w:eastAsia="Arial" w:hAnsi="Arial"/>
          <w:sz w:val="13"/>
          <w:szCs w:val="13"/>
          <w:color w:val="auto"/>
        </w:rPr>
      </w:pPr>
      <w:r>
        <w:rPr>
          <w:rFonts w:ascii="Arial" w:cs="Arial" w:eastAsia="Arial" w:hAnsi="Arial"/>
          <w:sz w:val="14"/>
          <w:szCs w:val="14"/>
          <w:color w:val="auto"/>
        </w:rPr>
        <w:t>Return from investment operations was 7.55%, 9.47%, 12.88%, 8.59%, (6.36)% and (30.80)% for the years ended December 31, 2021, 2020, 2019, 2018, 2017, and 2016, respectively. Return from investment operations represents returns on net investment income from operations.</w:t>
      </w:r>
    </w:p>
    <w:p>
      <w:pPr>
        <w:spacing w:after="0" w:line="65" w:lineRule="exact"/>
        <w:rPr>
          <w:rFonts w:ascii="Arial" w:cs="Arial" w:eastAsia="Arial" w:hAnsi="Arial"/>
          <w:sz w:val="13"/>
          <w:szCs w:val="13"/>
          <w:color w:val="auto"/>
        </w:rPr>
      </w:pPr>
    </w:p>
    <w:p>
      <w:pPr>
        <w:ind w:left="660" w:right="20" w:hanging="328"/>
        <w:spacing w:after="0" w:line="253" w:lineRule="auto"/>
        <w:tabs>
          <w:tab w:leader="none" w:pos="660" w:val="left"/>
        </w:tabs>
        <w:numPr>
          <w:ilvl w:val="0"/>
          <w:numId w:val="79"/>
        </w:numPr>
        <w:rPr>
          <w:rFonts w:ascii="Arial" w:cs="Arial" w:eastAsia="Arial" w:hAnsi="Arial"/>
          <w:sz w:val="13"/>
          <w:szCs w:val="13"/>
          <w:color w:val="auto"/>
        </w:rPr>
      </w:pPr>
      <w:r>
        <w:rPr>
          <w:rFonts w:ascii="Arial" w:cs="Arial" w:eastAsia="Arial" w:hAnsi="Arial"/>
          <w:sz w:val="14"/>
          <w:szCs w:val="14"/>
          <w:color w:val="auto"/>
        </w:rPr>
        <w:t>Return from accretion (dilution) was (0.13)%, (0.06)%, 0.88%, (0.07)%, 46.24%, and 0.00% for the years ended December 31, 2021, 2020, 2019, 2018, 2017, and 2016, respectively.</w:t>
      </w:r>
    </w:p>
    <w:p>
      <w:pPr>
        <w:spacing w:after="0" w:line="65" w:lineRule="exact"/>
        <w:rPr>
          <w:rFonts w:ascii="Arial" w:cs="Arial" w:eastAsia="Arial" w:hAnsi="Arial"/>
          <w:sz w:val="13"/>
          <w:szCs w:val="13"/>
          <w:color w:val="auto"/>
        </w:rPr>
      </w:pPr>
    </w:p>
    <w:p>
      <w:pPr>
        <w:ind w:left="660" w:right="20" w:hanging="328"/>
        <w:spacing w:after="0" w:line="253" w:lineRule="auto"/>
        <w:tabs>
          <w:tab w:leader="none" w:pos="660" w:val="left"/>
        </w:tabs>
        <w:numPr>
          <w:ilvl w:val="0"/>
          <w:numId w:val="79"/>
        </w:numPr>
        <w:rPr>
          <w:rFonts w:ascii="Arial" w:cs="Arial" w:eastAsia="Arial" w:hAnsi="Arial"/>
          <w:sz w:val="13"/>
          <w:szCs w:val="13"/>
          <w:color w:val="auto"/>
        </w:rPr>
      </w:pPr>
      <w:r>
        <w:rPr>
          <w:rFonts w:ascii="Arial" w:cs="Arial" w:eastAsia="Arial" w:hAnsi="Arial"/>
          <w:sz w:val="14"/>
          <w:szCs w:val="14"/>
          <w:color w:val="auto"/>
        </w:rPr>
        <w:t>Ratio of net investment income to average net assets was 8.74%, 9.47%, 12.88%, 8.30%, (4.56)%, and (595.90)% for the years ended December 31, 2021, 2020, 2019, 2018, 2017, and 2016, respectively.</w:t>
      </w:r>
    </w:p>
    <w:p>
      <w:pPr>
        <w:spacing w:after="0" w:line="65" w:lineRule="exact"/>
        <w:rPr>
          <w:rFonts w:ascii="Arial" w:cs="Arial" w:eastAsia="Arial" w:hAnsi="Arial"/>
          <w:sz w:val="13"/>
          <w:szCs w:val="13"/>
          <w:color w:val="auto"/>
        </w:rPr>
      </w:pPr>
    </w:p>
    <w:p>
      <w:pPr>
        <w:ind w:left="660" w:hanging="328"/>
        <w:spacing w:after="0" w:line="253" w:lineRule="auto"/>
        <w:tabs>
          <w:tab w:leader="none" w:pos="660" w:val="left"/>
        </w:tabs>
        <w:numPr>
          <w:ilvl w:val="0"/>
          <w:numId w:val="79"/>
        </w:numPr>
        <w:rPr>
          <w:rFonts w:ascii="Arial" w:cs="Arial" w:eastAsia="Arial" w:hAnsi="Arial"/>
          <w:sz w:val="13"/>
          <w:szCs w:val="13"/>
          <w:color w:val="auto"/>
        </w:rPr>
      </w:pPr>
      <w:r>
        <w:rPr>
          <w:rFonts w:ascii="Arial" w:cs="Arial" w:eastAsia="Arial" w:hAnsi="Arial"/>
          <w:sz w:val="14"/>
          <w:szCs w:val="14"/>
          <w:color w:val="auto"/>
        </w:rPr>
        <w:t>Ratio of net operating expenses excluding incentive fees, to average net assets was 3.47%, 3.04%, 3.64%, 5.42%, 12.46%, and 595.95% for the years ended December 31, 2021, 2020, 2019, 2018,2017, and 2016, respectively.</w:t>
      </w:r>
    </w:p>
    <w:p>
      <w:pPr>
        <w:spacing w:after="0" w:line="65" w:lineRule="exact"/>
        <w:rPr>
          <w:rFonts w:ascii="Arial" w:cs="Arial" w:eastAsia="Arial" w:hAnsi="Arial"/>
          <w:sz w:val="13"/>
          <w:szCs w:val="13"/>
          <w:color w:val="auto"/>
        </w:rPr>
      </w:pPr>
    </w:p>
    <w:p>
      <w:pPr>
        <w:ind w:left="660" w:right="20" w:hanging="328"/>
        <w:spacing w:after="0" w:line="253" w:lineRule="auto"/>
        <w:tabs>
          <w:tab w:leader="none" w:pos="660" w:val="left"/>
        </w:tabs>
        <w:numPr>
          <w:ilvl w:val="0"/>
          <w:numId w:val="79"/>
        </w:numPr>
        <w:rPr>
          <w:rFonts w:ascii="Arial" w:cs="Arial" w:eastAsia="Arial" w:hAnsi="Arial"/>
          <w:sz w:val="13"/>
          <w:szCs w:val="13"/>
          <w:color w:val="auto"/>
        </w:rPr>
      </w:pPr>
      <w:r>
        <w:rPr>
          <w:rFonts w:ascii="Arial" w:cs="Arial" w:eastAsia="Arial" w:hAnsi="Arial"/>
          <w:sz w:val="14"/>
          <w:szCs w:val="14"/>
          <w:color w:val="auto"/>
        </w:rPr>
        <w:t>The portfolio turnover rate for the years ended December 31, 2021, 2020, 2019, 2018 and 2017 equals the lesser of investment portfolio purchases or sales during the period, divided by the average investment portfolio value during the period. As such, portfolio turnover rate is not annualized.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Selected Quarterly Financial Data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5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2021</w:t>
            </w: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16,422,773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18,745,602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18,610,066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17,580,014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4,941,041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7,405,125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7,868,942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6,651,659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11,481,732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11,340,477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10,741,124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10,928,355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(199,223)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(4,595,853)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718,310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8,249,132</w:t>
            </w: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(1,911,181)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(1,228,382)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9,371,328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6,711,343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10,231,052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19,304,987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7"/>
              </w:rPr>
              <w:t>Increase in net assets resulting from operations per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Net asset value per share as of the end of the period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14.65</w:t>
            </w:r>
          </w:p>
        </w:tc>
      </w:tr>
      <w:tr>
        <w:trPr>
          <w:trHeight w:val="341"/>
        </w:trPr>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5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14,820,857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11,801,054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14,215,723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16,788,669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5,177,270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3,927,213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4,693,143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5,758,960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9,643,587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7,873,841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9,522,580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11,029,709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(6,717,262)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203,854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1,142,706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23,293</w:t>
            </w: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(1,179,081)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5,496,594</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9,696,337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1,747,244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13,574,289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10,909,028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20,749,339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7"/>
              </w:rPr>
              <w:t>Increase in net assets resulting from operations per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Net asset value per share as of the end of the period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evaluated events subsequent to December 31, 2021 through March 3, 2022, the date the financial statements were issued.</w:t>
      </w:r>
    </w:p>
    <w:p>
      <w:pPr>
        <w:spacing w:after="0" w:line="170" w:lineRule="exact"/>
        <w:rPr>
          <w:sz w:val="20"/>
          <w:szCs w:val="20"/>
          <w:color w:val="auto"/>
        </w:rPr>
      </w:pPr>
    </w:p>
    <w:p>
      <w:pPr>
        <w:jc w:val="both"/>
        <w:ind w:left="80" w:firstLine="259"/>
        <w:spacing w:after="0" w:line="263" w:lineRule="auto"/>
        <w:rPr>
          <w:sz w:val="20"/>
          <w:szCs w:val="20"/>
          <w:color w:val="auto"/>
        </w:rPr>
      </w:pPr>
      <w:r>
        <w:rPr>
          <w:rFonts w:ascii="Arial" w:cs="Arial" w:eastAsia="Arial" w:hAnsi="Arial"/>
          <w:sz w:val="18"/>
          <w:szCs w:val="18"/>
          <w:color w:val="auto"/>
        </w:rPr>
        <w:t>On February 9, 2022, in conjunction with its sale to Johnson &amp; Johnson, CrossRoads Extremity Systems, LLC prepaid its outstanding principal balance of $7,562,722 on the senior secured loan. In addition, the Company received cash proceeds of $805,188 in consideration of its warrants, interest, and fees for total proceeds $8,367,910</w:t>
      </w:r>
    </w:p>
    <w:p>
      <w:pPr>
        <w:spacing w:after="0" w:line="184"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On February 10, 2022, the Company issued the remaining $50 million 2026 Senior Notes pursuant to the Note Purchase Agreement. The initial issuance of $20 million 2026 Senior Notes closed on December 10, 2021. The 2026 Senior Notes bear an interest rate of 4.25% per year and are due on December 10, 2026, unless redeemed, purchased, or prepaid prior to such date by the Company or its affiliates in accordance with their terms. Interest on the 2026 Senior Notes will be due semiannually. For more information, see “Note 10 — Borrowings.”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24, 2022, the Board of Directors declared a distribution of $0.27 per share for stockholders of record on March 8, 2022 payable on or before March 22, 2022.</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24, 2022, the Board of Directors approved a repurchase program (the “Repurchase Program”) under which the Company may repurchase up to $25 million of our outstanding common stock . Under the Repurchase Program, purchases may be made at management’s discretion from time to time in open-market transactions, in accordance with all applicable securities laws and regulations. Unless extended by the Board of Directors, the repurchase program will terminate 12-months from the date it was approved.</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28, 2022, the Company funded an investment of $3,000,000 to Intellisite Holdings, Inc. (dba Epic IO Technologies,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 The Company’s internal control over financial reporting is a process designed under the supervision of its Chief Executive Officer (Principal Executive Officer) and Chief Financial Officer and Treasurer (Principal Financial Officer) and effected by the Company’s Board of Directors, management and other personnel, to provide reasonable assurance regarding the reliability of financial reporting and the preparation of its financial statements for external reporting purposes in accordance with U.S. GAAP.</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financial statements in accordance with U.S. GAAP,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financial statements.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Management conducted an evaluation of the effectiveness of the Company’s internal control over financial reporting as of December 31, 2021 based on the framework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concluded that the Company’s internal control over financial reporting as of December 31, 2021 was effective.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due to an exemption for emerging growth companies under the JOBS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year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following table is being provided to update as of December 31, 2021, certain information in our registration statement on Form N-2 (File No. 333-262146). The information is intended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Annual Report on Form 10-K contains a reference to fees or expenses paid by “you,” “us,” or “the Company,” or that “we” will pay for expenses, stockholders will indirectly bear such fees or expenses as investors in us.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Sales load (as a percentage of offering price)</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ind w:lef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ind w:lef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9"/>
        </w:trPr>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 transaction expenses (as a percentage of offering price)</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Annual expenses (as a percentage of net assets attributable to common stock):</w:t>
            </w: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ind w:left="4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60" w:right="20" w:hanging="328"/>
        <w:spacing w:after="0" w:line="253"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4"/>
          <w:szCs w:val="14"/>
          <w:color w:val="auto"/>
        </w:rPr>
        <w:t>In the event that the securities are sold to or through underwriters, a related prospectus will disclose the applicable sales load (underwriting discount or commission).</w:t>
      </w:r>
    </w:p>
    <w:p>
      <w:pPr>
        <w:spacing w:after="0" w:line="65" w:lineRule="exact"/>
        <w:rPr>
          <w:rFonts w:ascii="Arial" w:cs="Arial" w:eastAsia="Arial" w:hAnsi="Arial"/>
          <w:sz w:val="13"/>
          <w:szCs w:val="13"/>
          <w:color w:val="auto"/>
        </w:rPr>
      </w:pPr>
    </w:p>
    <w:p>
      <w:pPr>
        <w:ind w:left="660" w:hanging="328"/>
        <w:spacing w:after="0" w:line="253"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4"/>
          <w:szCs w:val="14"/>
          <w:color w:val="auto"/>
        </w:rPr>
        <w:t>A related prospectus will disclose the estimated amount of offering expenses, the offering price and the estimated amount of offering expenses borne by the Company as a percentage of the offering price.</w:t>
      </w:r>
    </w:p>
    <w:p>
      <w:pPr>
        <w:spacing w:after="0" w:line="65" w:lineRule="exact"/>
        <w:rPr>
          <w:rFonts w:ascii="Arial" w:cs="Arial" w:eastAsia="Arial" w:hAnsi="Arial"/>
          <w:sz w:val="13"/>
          <w:szCs w:val="13"/>
          <w:color w:val="auto"/>
        </w:rPr>
      </w:pPr>
    </w:p>
    <w:p>
      <w:pPr>
        <w:ind w:left="660" w:right="20" w:hanging="328"/>
        <w:spacing w:after="0" w:line="253"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4"/>
          <w:szCs w:val="14"/>
          <w:color w:val="auto"/>
        </w:rPr>
        <w:t xml:space="preserve">The expenses of the dividend reinvestment plan are included in “other expenses” in the table above. For additional information, see </w:t>
      </w:r>
      <w:r>
        <w:rPr>
          <w:rFonts w:ascii="Arial" w:cs="Arial" w:eastAsia="Arial" w:hAnsi="Arial"/>
          <w:sz w:val="14"/>
          <w:szCs w:val="14"/>
          <w:i w:val="1"/>
          <w:iCs w:val="1"/>
          <w:color w:val="auto"/>
        </w:rPr>
        <w:t>“Dividend</w:t>
      </w:r>
      <w:r>
        <w:rPr>
          <w:rFonts w:ascii="Arial" w:cs="Arial" w:eastAsia="Arial" w:hAnsi="Arial"/>
          <w:sz w:val="14"/>
          <w:szCs w:val="14"/>
          <w:color w:val="auto"/>
        </w:rPr>
        <w:t xml:space="preserve"> </w:t>
      </w:r>
      <w:r>
        <w:rPr>
          <w:rFonts w:ascii="Arial" w:cs="Arial" w:eastAsia="Arial" w:hAnsi="Arial"/>
          <w:sz w:val="14"/>
          <w:szCs w:val="14"/>
          <w:i w:val="1"/>
          <w:iCs w:val="1"/>
          <w:color w:val="auto"/>
        </w:rPr>
        <w:t>Reinvestment Plan.”</w:t>
      </w:r>
    </w:p>
    <w:p>
      <w:pPr>
        <w:spacing w:after="0" w:line="65" w:lineRule="exact"/>
        <w:rPr>
          <w:rFonts w:ascii="Arial" w:cs="Arial" w:eastAsia="Arial" w:hAnsi="Arial"/>
          <w:sz w:val="13"/>
          <w:szCs w:val="13"/>
          <w:color w:val="auto"/>
        </w:rPr>
      </w:pPr>
    </w:p>
    <w:p>
      <w:pPr>
        <w:ind w:left="660" w:right="20" w:hanging="328"/>
        <w:spacing w:after="0" w:line="253"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4"/>
          <w:szCs w:val="14"/>
          <w:color w:val="auto"/>
        </w:rPr>
        <w:t xml:space="preserve">Assumes the base management fee will be an amount equal to 0.40% (1.60% annualized) of our average daily Gross Assets during the most recently completed calendar quarter. See </w:t>
      </w:r>
      <w:r>
        <w:rPr>
          <w:rFonts w:ascii="Arial" w:cs="Arial" w:eastAsia="Arial" w:hAnsi="Arial"/>
          <w:sz w:val="14"/>
          <w:szCs w:val="14"/>
          <w:i w:val="1"/>
          <w:iCs w:val="1"/>
          <w:color w:val="auto"/>
        </w:rPr>
        <w:t>“Management and Other Agreements - Compensation of Adviser.”</w:t>
      </w:r>
    </w:p>
    <w:p>
      <w:pPr>
        <w:spacing w:after="0" w:line="65" w:lineRule="exact"/>
        <w:rPr>
          <w:rFonts w:ascii="Arial" w:cs="Arial" w:eastAsia="Arial" w:hAnsi="Arial"/>
          <w:sz w:val="13"/>
          <w:szCs w:val="13"/>
          <w:color w:val="auto"/>
        </w:rPr>
      </w:pPr>
    </w:p>
    <w:p>
      <w:pPr>
        <w:ind w:left="660" w:hanging="328"/>
        <w:spacing w:after="0" w:line="253" w:lineRule="auto"/>
        <w:tabs>
          <w:tab w:leader="none" w:pos="660" w:val="left"/>
        </w:tabs>
        <w:numPr>
          <w:ilvl w:val="0"/>
          <w:numId w:val="80"/>
        </w:numPr>
        <w:rPr>
          <w:rFonts w:ascii="Arial" w:cs="Arial" w:eastAsia="Arial" w:hAnsi="Arial"/>
          <w:sz w:val="13"/>
          <w:szCs w:val="13"/>
          <w:color w:val="auto"/>
        </w:rPr>
      </w:pPr>
      <w:r>
        <w:rPr>
          <w:rFonts w:ascii="Arial" w:cs="Arial" w:eastAsia="Arial" w:hAnsi="Arial"/>
          <w:sz w:val="14"/>
          <w:szCs w:val="14"/>
          <w:color w:val="auto"/>
        </w:rPr>
        <w:t>The incentive fee, which provides RGC with a share of the income that RGC generates for us, consists of an Investment Income Fee and a Capital Gains Fee.</w:t>
      </w:r>
    </w:p>
    <w:p>
      <w:pPr>
        <w:spacing w:after="0" w:line="218" w:lineRule="exact"/>
        <w:rPr>
          <w:sz w:val="20"/>
          <w:szCs w:val="20"/>
          <w:color w:val="auto"/>
        </w:rPr>
      </w:pPr>
    </w:p>
    <w:p>
      <w:pPr>
        <w:jc w:val="both"/>
        <w:ind w:left="660" w:right="20" w:firstLine="405"/>
        <w:spacing w:after="0" w:line="267" w:lineRule="auto"/>
        <w:rPr>
          <w:sz w:val="20"/>
          <w:szCs w:val="20"/>
          <w:color w:val="auto"/>
        </w:rPr>
      </w:pPr>
      <w:r>
        <w:rPr>
          <w:rFonts w:ascii="Arial" w:cs="Arial" w:eastAsia="Arial" w:hAnsi="Arial"/>
          <w:sz w:val="17"/>
          <w:szCs w:val="17"/>
          <w:color w:val="auto"/>
        </w:rPr>
        <w:t>Under the Income Incentive Fee, we pay RGC each quarter an incentive fee with respect to our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Pre-Incentive Fee net investment income, expressed as a rate of return on the value of our net assets (defined as total assets less liabilities) at the end of the immediately preceding fiscal quarter, will be compared to a “hurdle rate” of 2.0% per quarter (8.0% annualized). We will pay RGC an Income Incentive Fee with respect to the our Pre-Incentive Fee net investment income in each calendar quarter as follows: (1) no Income Incentive Fee in any calendar quarter in which our Pre-Incentive Fee net investment income does not exceed the hurdle rate of 2.0%; (2) 80% of our Pre-Incentive Fee net investment income with respect to that portion of such Pre-Incentive Fee net investment income, if any, that exceeds the hurdle rate but is less than 2.667% in any calendar quarter (10.668% annualized) (the portion of our Pre-Incentive Fee net investment income that exceeds the hurdle but is less than 2.667% is referred to as the “catch-up”; the “catch-up” is meant to provide RGC with 20.0% of our Pre-Incentive Fee net investment income as if a hurdle did not apply if our Pre-Incentive Fee net investment income exceeds 2.667% in any calendar quarter (10.668% annualized)); and (3) 20.0% of the amount of our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firstLine="401"/>
        <w:spacing w:after="0" w:line="257" w:lineRule="auto"/>
        <w:rPr>
          <w:sz w:val="20"/>
          <w:szCs w:val="20"/>
          <w:color w:val="auto"/>
        </w:rPr>
      </w:pPr>
      <w:r>
        <w:rPr>
          <w:rFonts w:ascii="Arial" w:cs="Arial" w:eastAsia="Arial" w:hAnsi="Arial"/>
          <w:sz w:val="18"/>
          <w:szCs w:val="18"/>
          <w:color w:val="auto"/>
        </w:rPr>
        <w:t>Under the Capital Gains Fee, we will pay RGC, as of the end of each calendar year, 20.0% of our aggregate cumulative realized capital gains, if any, from the date of our election to be regulated as a BDC through the end of that calendar year, computed net of our aggregate cumulative realized capital losses and aggregate cumulative unrealized capital depreciation through the end of such year, less the aggregate amount of any previously paid Capital Gains Fee. See “Management and Other Agreements - Compensation of Adviser.”</w:t>
      </w:r>
    </w:p>
    <w:p>
      <w:pPr>
        <w:spacing w:after="0" w:line="188" w:lineRule="exact"/>
        <w:rPr>
          <w:sz w:val="20"/>
          <w:szCs w:val="20"/>
          <w:color w:val="auto"/>
        </w:rPr>
      </w:pPr>
    </w:p>
    <w:p>
      <w:pPr>
        <w:jc w:val="both"/>
        <w:ind w:left="660" w:hanging="328"/>
        <w:spacing w:after="0" w:line="233" w:lineRule="auto"/>
        <w:tabs>
          <w:tab w:leader="none" w:pos="660" w:val="left"/>
        </w:tabs>
        <w:numPr>
          <w:ilvl w:val="0"/>
          <w:numId w:val="81"/>
        </w:numPr>
        <w:rPr>
          <w:rFonts w:ascii="Arial" w:cs="Arial" w:eastAsia="Arial" w:hAnsi="Arial"/>
          <w:sz w:val="26"/>
          <w:szCs w:val="26"/>
          <w:color w:val="auto"/>
          <w:vertAlign w:val="superscript"/>
        </w:rPr>
      </w:pPr>
      <w:r>
        <w:rPr>
          <w:rFonts w:ascii="Arial" w:cs="Arial" w:eastAsia="Arial" w:hAnsi="Arial"/>
          <w:sz w:val="18"/>
          <w:szCs w:val="18"/>
          <w:color w:val="auto"/>
        </w:rPr>
        <w:t>Interest payments on borrowed funds represents an estimate of our annualized interest expense based on borrowings under the Credit Agreement. The assumed weighted average interest rate on our total debt outstanding was 3.5%. We may borrow additional funds from time to time to make investments to the extent we determine that the economic situation is conducive to doing so. We may also issue debt securities or preferred stock, subject to our compliance with applicable requirements under the 1940 Act.</w:t>
      </w:r>
    </w:p>
    <w:p>
      <w:pPr>
        <w:spacing w:after="0" w:line="201" w:lineRule="exact"/>
        <w:rPr>
          <w:rFonts w:ascii="Arial" w:cs="Arial" w:eastAsia="Arial" w:hAnsi="Arial"/>
          <w:sz w:val="26"/>
          <w:szCs w:val="26"/>
          <w:color w:val="auto"/>
          <w:vertAlign w:val="superscript"/>
        </w:rPr>
      </w:pPr>
    </w:p>
    <w:p>
      <w:pPr>
        <w:jc w:val="both"/>
        <w:ind w:left="660" w:hanging="328"/>
        <w:spacing w:after="0" w:line="222" w:lineRule="auto"/>
        <w:tabs>
          <w:tab w:leader="none" w:pos="660" w:val="left"/>
        </w:tabs>
        <w:numPr>
          <w:ilvl w:val="0"/>
          <w:numId w:val="81"/>
        </w:numPr>
        <w:rPr>
          <w:rFonts w:ascii="Arial" w:cs="Arial" w:eastAsia="Arial" w:hAnsi="Arial"/>
          <w:sz w:val="26"/>
          <w:szCs w:val="26"/>
          <w:color w:val="auto"/>
          <w:vertAlign w:val="superscript"/>
        </w:rPr>
      </w:pPr>
      <w:r>
        <w:rPr>
          <w:rFonts w:ascii="Arial" w:cs="Arial" w:eastAsia="Arial" w:hAnsi="Arial"/>
          <w:sz w:val="18"/>
          <w:szCs w:val="18"/>
          <w:color w:val="auto"/>
        </w:rPr>
        <w:t xml:space="preserve">Includes our overhead expenses, such as payments under the Administration Agreement for certain expenses incurred by the Adviser. See </w:t>
      </w:r>
      <w:r>
        <w:rPr>
          <w:rFonts w:ascii="Arial" w:cs="Arial" w:eastAsia="Arial" w:hAnsi="Arial"/>
          <w:sz w:val="18"/>
          <w:szCs w:val="18"/>
          <w:i w:val="1"/>
          <w:iCs w:val="1"/>
          <w:color w:val="auto"/>
        </w:rPr>
        <w:t>“Management and Other Agreements - Investment Advisory Agreement; Administration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License Agreement.” </w:t>
      </w:r>
      <w:r>
        <w:rPr>
          <w:rFonts w:ascii="Arial" w:cs="Arial" w:eastAsia="Arial" w:hAnsi="Arial"/>
          <w:sz w:val="18"/>
          <w:szCs w:val="18"/>
          <w:color w:val="auto"/>
        </w:rPr>
        <w:t>We based these expenses on estimated amounts for the current fiscal year.</w:t>
      </w:r>
    </w:p>
    <w:p>
      <w:pPr>
        <w:spacing w:after="0" w:line="135" w:lineRule="exact"/>
        <w:rPr>
          <w:rFonts w:ascii="Arial" w:cs="Arial" w:eastAsia="Arial" w:hAnsi="Arial"/>
          <w:sz w:val="26"/>
          <w:szCs w:val="26"/>
          <w:color w:val="auto"/>
          <w:vertAlign w:val="superscript"/>
        </w:rPr>
      </w:pPr>
    </w:p>
    <w:p>
      <w:pPr>
        <w:ind w:left="660" w:hanging="328"/>
        <w:spacing w:after="0"/>
        <w:tabs>
          <w:tab w:leader="none" w:pos="660" w:val="left"/>
        </w:tabs>
        <w:numPr>
          <w:ilvl w:val="0"/>
          <w:numId w:val="81"/>
        </w:numPr>
        <w:rPr>
          <w:rFonts w:ascii="Arial" w:cs="Arial" w:eastAsia="Arial" w:hAnsi="Arial"/>
          <w:sz w:val="26"/>
          <w:szCs w:val="26"/>
          <w:color w:val="auto"/>
          <w:vertAlign w:val="superscript"/>
        </w:rPr>
      </w:pPr>
      <w:r>
        <w:rPr>
          <w:rFonts w:ascii="Arial" w:cs="Arial" w:eastAsia="Arial" w:hAnsi="Arial"/>
          <w:sz w:val="18"/>
          <w:szCs w:val="18"/>
          <w:color w:val="auto"/>
        </w:rPr>
        <w:t>Estimated.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 Year</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3 Years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5 Years</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10 Years</w:t>
            </w:r>
          </w:p>
        </w:tc>
      </w:tr>
      <w:tr>
        <w:trPr>
          <w:trHeight w:val="182"/>
        </w:trPr>
        <w:tc>
          <w:tcPr>
            <w:tcW w:w="4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You would pay the following expenses on a $1,000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92"/>
              </w:rPr>
              <w:t>investment, assuming a 5% annual return from realized capital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gains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bl>
    <w:p>
      <w:pPr>
        <w:spacing w:after="0" w:line="256"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7"/>
          <w:szCs w:val="17"/>
          <w:color w:val="auto"/>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w:t>
      </w:r>
      <w:r>
        <w:rPr>
          <w:rFonts w:ascii="Arial" w:cs="Arial" w:eastAsia="Arial" w:hAnsi="Arial"/>
          <w:sz w:val="17"/>
          <w:szCs w:val="17"/>
          <w:i w:val="1"/>
          <w:iCs w:val="1"/>
          <w:color w:val="auto"/>
        </w:rPr>
        <w:t>“Item 1. Business—Dividend Reinvestment Plan”</w:t>
      </w:r>
      <w:r>
        <w:rPr>
          <w:rFonts w:ascii="Arial" w:cs="Arial" w:eastAsia="Arial" w:hAnsi="Arial"/>
          <w:sz w:val="17"/>
          <w:szCs w:val="17"/>
          <w:color w:val="auto"/>
        </w:rPr>
        <w:t xml:space="preserve"> for additional information regarding our dividend reinvestment plan.</w:t>
      </w:r>
    </w:p>
    <w:p>
      <w:pPr>
        <w:spacing w:after="0" w:line="180" w:lineRule="exact"/>
        <w:rPr>
          <w:sz w:val="20"/>
          <w:szCs w:val="20"/>
          <w:color w:val="auto"/>
        </w:rPr>
      </w:pPr>
    </w:p>
    <w:p>
      <w:pPr>
        <w:jc w:val="both"/>
        <w:ind w:firstLine="363"/>
        <w:spacing w:after="0" w:line="312"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r>
        <w:rPr>
          <w:rFonts w:ascii="Arial" w:cs="Arial" w:eastAsia="Arial" w:hAnsi="Arial"/>
          <w:sz w:val="17"/>
          <w:szCs w:val="17"/>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https://runwaygrowth.com/wp-content/uploads/2020/02/Runway-Growth-Credit-Fund-SOX-Code-of-Business-Conduct-and-Ethics-March-2018.pdf.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Information in response to this item is incorporated by reference from our 2022 Proxy Statement. The 2022 Proxy Statement will be filed with the SEC within 120 days after the end of the fiscal period covered by this Form 10-K pursuant to Regulation 14A under the Exchange 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2" w:name="page143"/>
    <w:bookmarkEnd w:id="142"/>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are filed or incorporated by reference as part of this annual report on Form 10-K:</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(a)Financial Statements</w:t>
      </w:r>
    </w:p>
    <w:p>
      <w:pPr>
        <w:spacing w:after="0" w:line="229" w:lineRule="exact"/>
        <w:rPr>
          <w:sz w:val="20"/>
          <w:szCs w:val="20"/>
          <w:color w:val="auto"/>
        </w:rPr>
      </w:pPr>
    </w:p>
    <w:p>
      <w:pPr>
        <w:ind w:left="800" w:hanging="448"/>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Financial Statements — Refer to Part II, Item 8 of this Form 10-K, which are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422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Report of Independent Registered Public Accounting Firm</w:t>
              </w:r>
            </w:hyperlink>
          </w:p>
        </w:tc>
        <w:tc>
          <w:tcPr>
            <w:tcW w:w="4780" w:type="dxa"/>
            <w:vAlign w:val="bottom"/>
            <w:tcBorders>
              <w:bottom w:val="single" w:sz="8" w:color="CCEEFF"/>
            </w:tcBorders>
            <w:gridSpan w:val="6"/>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r>
      <w:tr>
        <w:trPr>
          <w:trHeight w:val="243"/>
        </w:trPr>
        <w:tc>
          <w:tcPr>
            <w:tcW w:w="40" w:type="dxa"/>
            <w:vAlign w:val="bottom"/>
          </w:tcPr>
          <w:p>
            <w:pPr>
              <w:spacing w:after="0"/>
              <w:rPr>
                <w:sz w:val="21"/>
                <w:szCs w:val="21"/>
                <w:color w:val="auto"/>
              </w:rPr>
            </w:pPr>
          </w:p>
        </w:tc>
        <w:tc>
          <w:tcPr>
            <w:tcW w:w="9000" w:type="dxa"/>
            <w:vAlign w:val="bottom"/>
            <w:gridSpan w:val="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Statements of Assets and Liabilities as of December 31, 2021 and 2020</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91</w:t>
            </w:r>
          </w:p>
        </w:tc>
      </w:tr>
      <w:tr>
        <w:trPr>
          <w:trHeight w:val="48"/>
        </w:trPr>
        <w:tc>
          <w:tcPr>
            <w:tcW w:w="4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90"/>
        </w:trPr>
        <w:tc>
          <w:tcPr>
            <w:tcW w:w="40" w:type="dxa"/>
            <w:vAlign w:val="bottom"/>
            <w:tcBorders>
              <w:bottom w:val="single" w:sz="8" w:color="CCEEFF"/>
            </w:tcBorders>
            <w:shd w:val="clear" w:color="auto" w:fill="CCEEFF"/>
          </w:tcPr>
          <w:p>
            <w:pPr>
              <w:spacing w:after="0"/>
              <w:rPr>
                <w:sz w:val="24"/>
                <w:szCs w:val="24"/>
                <w:color w:val="auto"/>
              </w:rPr>
            </w:pPr>
          </w:p>
        </w:tc>
        <w:tc>
          <w:tcPr>
            <w:tcW w:w="586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Statements of Operations for the years ended December 31, 2021, 2020 and 2019</w:t>
              </w:r>
            </w:hyperlink>
          </w:p>
        </w:tc>
        <w:tc>
          <w:tcPr>
            <w:tcW w:w="3140" w:type="dxa"/>
            <w:vAlign w:val="bottom"/>
            <w:tcBorders>
              <w:bottom w:val="single" w:sz="8" w:color="CCEEFF"/>
            </w:tcBorders>
            <w:gridSpan w:val="3"/>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16"/>
        </w:trPr>
        <w:tc>
          <w:tcPr>
            <w:tcW w:w="40" w:type="dxa"/>
            <w:vAlign w:val="bottom"/>
          </w:tcPr>
          <w:p>
            <w:pPr>
              <w:spacing w:after="0"/>
              <w:rPr>
                <w:sz w:val="18"/>
                <w:szCs w:val="18"/>
                <w:color w:val="auto"/>
              </w:rPr>
            </w:pPr>
          </w:p>
        </w:tc>
        <w:tc>
          <w:tcPr>
            <w:tcW w:w="9000" w:type="dxa"/>
            <w:vAlign w:val="bottom"/>
            <w:gridSpan w:val="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Statements of Changes in Net Assets for the years ended December 31, 2021, 2020 and 2019</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93</w:t>
            </w:r>
          </w:p>
        </w:tc>
      </w:tr>
      <w:tr>
        <w:trPr>
          <w:trHeight w:val="34"/>
        </w:trPr>
        <w:tc>
          <w:tcPr>
            <w:tcW w:w="40" w:type="dxa"/>
            <w:vAlign w:val="bottom"/>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9000" w:type="dxa"/>
            <w:vAlign w:val="bottom"/>
            <w:gridSpan w:val="8"/>
            <w:shd w:val="clear" w:color="auto" w:fill="CCEEFF"/>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Statements of Cash Flows for the years ended December 31, 2021, 2020 and 2019</w:t>
              </w:r>
            </w:hyperlink>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w:t>
            </w:r>
          </w:p>
        </w:tc>
      </w:tr>
      <w:tr>
        <w:trPr>
          <w:trHeight w:val="243"/>
        </w:trPr>
        <w:tc>
          <w:tcPr>
            <w:tcW w:w="40" w:type="dxa"/>
            <w:vAlign w:val="bottom"/>
            <w:tcBorders>
              <w:top w:val="single" w:sz="8" w:color="CCEEFF"/>
            </w:tcBorders>
          </w:tcPr>
          <w:p>
            <w:pPr>
              <w:spacing w:after="0"/>
              <w:rPr>
                <w:sz w:val="21"/>
                <w:szCs w:val="21"/>
                <w:color w:val="auto"/>
              </w:rPr>
            </w:pPr>
          </w:p>
        </w:tc>
        <w:tc>
          <w:tcPr>
            <w:tcW w:w="5900" w:type="dxa"/>
            <w:vAlign w:val="bottom"/>
            <w:tcBorders>
              <w:top w:val="single" w:sz="8" w:color="0000EE"/>
            </w:tcBorders>
            <w:gridSpan w:val="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Schedules of Investments as of December 31, 2021 and 2020</w:t>
              </w:r>
            </w:hyperlink>
          </w:p>
        </w:tc>
        <w:tc>
          <w:tcPr>
            <w:tcW w:w="3100" w:type="dxa"/>
            <w:vAlign w:val="bottom"/>
            <w:tcBorders>
              <w:top w:val="single" w:sz="8" w:color="CCEEFF"/>
            </w:tcBorders>
            <w:gridSpan w:val="2"/>
          </w:tcPr>
          <w:p>
            <w:pPr>
              <w:spacing w:after="0"/>
              <w:rPr>
                <w:sz w:val="21"/>
                <w:szCs w:val="21"/>
                <w:color w:val="auto"/>
              </w:rPr>
            </w:pPr>
          </w:p>
        </w:tc>
        <w:tc>
          <w:tcPr>
            <w:tcW w:w="9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95</w:t>
            </w:r>
          </w:p>
        </w:tc>
      </w:tr>
      <w:tr>
        <w:trPr>
          <w:trHeight w:val="48"/>
        </w:trPr>
        <w:tc>
          <w:tcPr>
            <w:tcW w:w="4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43"/>
        </w:trPr>
        <w:tc>
          <w:tcPr>
            <w:tcW w:w="40" w:type="dxa"/>
            <w:vAlign w:val="bottom"/>
            <w:shd w:val="clear" w:color="auto" w:fill="CCEEFF"/>
          </w:tcPr>
          <w:p>
            <w:pPr>
              <w:spacing w:after="0"/>
              <w:rPr>
                <w:sz w:val="21"/>
                <w:szCs w:val="21"/>
                <w:color w:val="auto"/>
              </w:rPr>
            </w:pPr>
          </w:p>
        </w:tc>
        <w:tc>
          <w:tcPr>
            <w:tcW w:w="9000" w:type="dxa"/>
            <w:vAlign w:val="bottom"/>
            <w:gridSpan w:val="8"/>
            <w:shd w:val="clear" w:color="auto" w:fill="CCEEFF"/>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Notes to Financial Statements</w:t>
              </w:r>
            </w:hyperlink>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112</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357505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60" w:top="517" w:right="97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40" w:type="dxa"/>
            <w:vAlign w:val="bottom"/>
            <w:gridSpan w:val="35"/>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Borders>
              <w:top w:val="single" w:sz="8" w:color="auto"/>
              <w:bottom w:val="single" w:sz="8" w:color="auto"/>
            </w:tcBorders>
            <w:vMerge w:val="restart"/>
          </w:tcPr>
          <w:p>
            <w:pPr>
              <w:ind w:left="180"/>
              <w:spacing w:after="0" w:line="169"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1"/>
                <w:szCs w:val="11"/>
                <w:color w:val="auto"/>
              </w:rPr>
            </w:pPr>
          </w:p>
        </w:tc>
        <w:tc>
          <w:tcPr>
            <w:tcW w:w="2940" w:type="dxa"/>
            <w:vAlign w:val="bottom"/>
            <w:tcBorders>
              <w:top w:val="single" w:sz="8" w:color="auto"/>
              <w:bottom w:val="single" w:sz="8" w:color="auto"/>
            </w:tcBorders>
            <w:gridSpan w:val="28"/>
            <w:vMerge w:val="restart"/>
          </w:tcPr>
          <w:p>
            <w:pPr>
              <w:spacing w:after="0" w:line="169"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Articles of Amendment and Restatement</w:t>
              </w:r>
            </w:hyperlink>
          </w:p>
        </w:tc>
        <w:tc>
          <w:tcPr>
            <w:tcW w:w="160" w:type="dxa"/>
            <w:vAlign w:val="bottom"/>
            <w:tcBorders>
              <w:top w:val="single" w:sz="8" w:color="auto"/>
              <w:bottom w:val="single" w:sz="8" w:color="0000EE"/>
            </w:tcBorders>
            <w:gridSpan w:val="4"/>
          </w:tcPr>
          <w:p>
            <w:pPr>
              <w:jc w:val="right"/>
              <w:spacing w:after="0" w:line="115" w:lineRule="exact"/>
              <w:rPr>
                <w:rFonts w:ascii="Arial" w:cs="Arial" w:eastAsia="Arial" w:hAnsi="Arial"/>
                <w:sz w:val="13"/>
                <w:szCs w:val="13"/>
                <w:color w:val="0000EE"/>
                <w:w w:val="87"/>
              </w:rPr>
            </w:pPr>
            <w:hyperlink r:id="rId175">
              <w:r>
                <w:rPr>
                  <w:rFonts w:ascii="Arial" w:cs="Arial" w:eastAsia="Arial" w:hAnsi="Arial"/>
                  <w:sz w:val="13"/>
                  <w:szCs w:val="13"/>
                  <w:color w:val="0000EE"/>
                  <w:w w:val="87"/>
                </w:rPr>
                <w:t>(1)</w:t>
              </w:r>
            </w:hyperlink>
          </w:p>
        </w:tc>
        <w:tc>
          <w:tcPr>
            <w:tcW w:w="30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140" w:type="dxa"/>
            <w:vAlign w:val="bottom"/>
            <w:tcBorders>
              <w:top w:val="single" w:sz="8" w:color="auto"/>
              <w:bottom w:val="single" w:sz="8" w:color="auto"/>
            </w:tcBorders>
            <w:vMerge w:val="restart"/>
          </w:tcPr>
          <w:p>
            <w:pPr>
              <w:spacing w:after="0"/>
              <w:rPr>
                <w:sz w:val="11"/>
                <w:szCs w:val="11"/>
                <w:color w:val="auto"/>
              </w:rPr>
            </w:pPr>
          </w:p>
        </w:tc>
        <w:tc>
          <w:tcPr>
            <w:tcW w:w="220" w:type="dxa"/>
            <w:vAlign w:val="bottom"/>
            <w:tcBorders>
              <w:top w:val="single" w:sz="8" w:color="auto"/>
              <w:bottom w:val="single" w:sz="8" w:color="auto"/>
            </w:tcBorders>
            <w:vMerge w:val="restart"/>
          </w:tcPr>
          <w:p>
            <w:pPr>
              <w:spacing w:after="0"/>
              <w:rPr>
                <w:sz w:val="11"/>
                <w:szCs w:val="11"/>
                <w:color w:val="auto"/>
              </w:rPr>
            </w:pPr>
          </w:p>
        </w:tc>
        <w:tc>
          <w:tcPr>
            <w:tcW w:w="220" w:type="dxa"/>
            <w:vAlign w:val="bottom"/>
            <w:tcBorders>
              <w:top w:val="single" w:sz="8" w:color="auto"/>
              <w:bottom w:val="single" w:sz="8" w:color="auto"/>
            </w:tcBorders>
            <w:vMerge w:val="restart"/>
          </w:tcPr>
          <w:p>
            <w:pPr>
              <w:spacing w:after="0"/>
              <w:rPr>
                <w:sz w:val="11"/>
                <w:szCs w:val="11"/>
                <w:color w:val="auto"/>
              </w:rPr>
            </w:pPr>
          </w:p>
        </w:tc>
        <w:tc>
          <w:tcPr>
            <w:tcW w:w="36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0" w:type="dxa"/>
            <w:vAlign w:val="bottom"/>
            <w:tcBorders>
              <w:top w:val="single" w:sz="8" w:color="auto"/>
              <w:bottom w:val="single" w:sz="8" w:color="auto"/>
            </w:tcBorders>
            <w:vMerge w:val="restart"/>
          </w:tcPr>
          <w:p>
            <w:pPr>
              <w:spacing w:after="0"/>
              <w:rPr>
                <w:sz w:val="11"/>
                <w:szCs w:val="11"/>
                <w:color w:val="auto"/>
              </w:rPr>
            </w:pPr>
          </w:p>
        </w:tc>
        <w:tc>
          <w:tcPr>
            <w:tcW w:w="188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1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80" w:type="dxa"/>
            <w:vAlign w:val="bottom"/>
            <w:tcBorders>
              <w:top w:val="single" w:sz="8" w:color="auto"/>
              <w:bottom w:val="single" w:sz="8" w:color="auto"/>
            </w:tcBorders>
            <w:vMerge w:val="restart"/>
          </w:tcPr>
          <w:p>
            <w:pPr>
              <w:spacing w:after="0"/>
              <w:rPr>
                <w:sz w:val="11"/>
                <w:szCs w:val="11"/>
                <w:color w:val="auto"/>
              </w:rPr>
            </w:pPr>
          </w:p>
        </w:tc>
        <w:tc>
          <w:tcPr>
            <w:tcW w:w="56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120" w:type="dxa"/>
            <w:vAlign w:val="bottom"/>
            <w:tcBorders>
              <w:top w:val="single" w:sz="8" w:color="auto"/>
              <w:bottom w:val="single" w:sz="8" w:color="auto"/>
            </w:tcBorders>
            <w:vMerge w:val="restart"/>
          </w:tcPr>
          <w:p>
            <w:pPr>
              <w:spacing w:after="0"/>
              <w:rPr>
                <w:sz w:val="11"/>
                <w:szCs w:val="11"/>
                <w:color w:val="auto"/>
              </w:rPr>
            </w:pPr>
          </w:p>
        </w:tc>
        <w:tc>
          <w:tcPr>
            <w:tcW w:w="34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0" w:type="dxa"/>
            <w:vAlign w:val="bottom"/>
            <w:tcBorders>
              <w:top w:val="single" w:sz="8" w:color="auto"/>
              <w:bottom w:val="single" w:sz="8" w:color="auto"/>
            </w:tcBorders>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100" w:type="dxa"/>
            <w:vAlign w:val="bottom"/>
            <w:tcBorders>
              <w:top w:val="single" w:sz="8" w:color="auto"/>
              <w:bottom w:val="single" w:sz="8" w:color="auto"/>
            </w:tcBorders>
            <w:vMerge w:val="restart"/>
          </w:tcPr>
          <w:p>
            <w:pPr>
              <w:spacing w:after="0"/>
              <w:rPr>
                <w:sz w:val="11"/>
                <w:szCs w:val="11"/>
                <w:color w:val="auto"/>
              </w:rPr>
            </w:pPr>
          </w:p>
        </w:tc>
        <w:tc>
          <w:tcPr>
            <w:tcW w:w="4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80" w:type="dxa"/>
            <w:vAlign w:val="bottom"/>
            <w:tcBorders>
              <w:top w:val="single" w:sz="8" w:color="auto"/>
              <w:bottom w:val="single" w:sz="8" w:color="auto"/>
            </w:tcBorders>
            <w:vMerge w:val="restart"/>
          </w:tcPr>
          <w:p>
            <w:pPr>
              <w:spacing w:after="0"/>
              <w:rPr>
                <w:sz w:val="11"/>
                <w:szCs w:val="11"/>
                <w:color w:val="auto"/>
              </w:rPr>
            </w:pPr>
          </w:p>
        </w:tc>
        <w:tc>
          <w:tcPr>
            <w:tcW w:w="8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1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4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60" w:type="dxa"/>
            <w:vAlign w:val="bottom"/>
            <w:tcBorders>
              <w:top w:val="single" w:sz="8" w:color="auto"/>
              <w:bottom w:val="single" w:sz="8" w:color="auto"/>
            </w:tcBorders>
            <w:vMerge w:val="restart"/>
          </w:tcPr>
          <w:p>
            <w:pPr>
              <w:spacing w:after="0"/>
              <w:rPr>
                <w:sz w:val="11"/>
                <w:szCs w:val="11"/>
                <w:color w:val="auto"/>
              </w:rPr>
            </w:pPr>
          </w:p>
        </w:tc>
        <w:tc>
          <w:tcPr>
            <w:tcW w:w="20" w:type="dxa"/>
            <w:vAlign w:val="bottom"/>
            <w:tcBorders>
              <w:top w:val="single" w:sz="8" w:color="auto"/>
              <w:bottom w:val="single" w:sz="8" w:color="auto"/>
            </w:tcBorders>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40" w:type="dxa"/>
            <w:vAlign w:val="bottom"/>
            <w:tcBorders>
              <w:bottom w:val="single" w:sz="8" w:color="0000EE"/>
            </w:tcBorders>
            <w:gridSpan w:val="28"/>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700" w:type="dxa"/>
            <w:vAlign w:val="bottom"/>
            <w:gridSpan w:val="7"/>
            <w:vMerge w:val="restart"/>
          </w:tcPr>
          <w:p>
            <w:pPr>
              <w:spacing w:after="0"/>
              <w:rPr>
                <w:rFonts w:ascii="Arial" w:cs="Arial" w:eastAsia="Arial" w:hAnsi="Arial"/>
                <w:sz w:val="18"/>
                <w:szCs w:val="18"/>
                <w:color w:val="0000EE"/>
                <w:w w:val="92"/>
              </w:rPr>
            </w:pPr>
            <w:hyperlink r:id="rId176">
              <w:r>
                <w:rPr>
                  <w:rFonts w:ascii="Arial" w:cs="Arial" w:eastAsia="Arial" w:hAnsi="Arial"/>
                  <w:sz w:val="18"/>
                  <w:szCs w:val="18"/>
                  <w:color w:val="0000EE"/>
                  <w:w w:val="92"/>
                </w:rPr>
                <w:t>Articles of Amendment</w:t>
              </w:r>
            </w:hyperlink>
          </w:p>
        </w:tc>
        <w:tc>
          <w:tcPr>
            <w:tcW w:w="220" w:type="dxa"/>
            <w:vAlign w:val="bottom"/>
            <w:tcBorders>
              <w:bottom w:val="single" w:sz="8" w:color="0000EE"/>
            </w:tcBorders>
            <w:gridSpan w:val="4"/>
          </w:tcPr>
          <w:p>
            <w:pPr>
              <w:jc w:val="right"/>
              <w:spacing w:after="0"/>
              <w:rPr>
                <w:rFonts w:ascii="Arial" w:cs="Arial" w:eastAsia="Arial" w:hAnsi="Arial"/>
                <w:sz w:val="13"/>
                <w:szCs w:val="13"/>
                <w:color w:val="0000EE"/>
                <w:w w:val="86"/>
              </w:rPr>
            </w:pPr>
            <w:hyperlink r:id="rId176">
              <w:r>
                <w:rPr>
                  <w:rFonts w:ascii="Arial" w:cs="Arial" w:eastAsia="Arial" w:hAnsi="Arial"/>
                  <w:sz w:val="13"/>
                  <w:szCs w:val="13"/>
                  <w:color w:val="0000EE"/>
                  <w:w w:val="86"/>
                </w:rPr>
                <w:t>(15)</w:t>
              </w:r>
            </w:hyperlink>
          </w:p>
        </w:tc>
        <w:tc>
          <w:tcPr>
            <w:tcW w:w="8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36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3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8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3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0000EE"/>
            </w:tcBorders>
            <w:gridSpan w:val="7"/>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2840" w:type="dxa"/>
            <w:vAlign w:val="bottom"/>
            <w:gridSpan w:val="27"/>
            <w:vMerge w:val="restart"/>
          </w:tcPr>
          <w:p>
            <w:pPr>
              <w:spacing w:after="0"/>
              <w:rPr>
                <w:rFonts w:ascii="Arial" w:cs="Arial" w:eastAsia="Arial" w:hAnsi="Arial"/>
                <w:sz w:val="18"/>
                <w:szCs w:val="18"/>
                <w:color w:val="0000EE"/>
                <w:w w:val="88"/>
              </w:rPr>
            </w:pPr>
            <w:hyperlink r:id="rId177">
              <w:r>
                <w:rPr>
                  <w:rFonts w:ascii="Arial" w:cs="Arial" w:eastAsia="Arial" w:hAnsi="Arial"/>
                  <w:sz w:val="18"/>
                  <w:szCs w:val="18"/>
                  <w:color w:val="0000EE"/>
                  <w:w w:val="88"/>
                </w:rPr>
                <w:t>Second Amended and Restated Bylaws</w:t>
              </w:r>
            </w:hyperlink>
          </w:p>
        </w:tc>
        <w:tc>
          <w:tcPr>
            <w:tcW w:w="200" w:type="dxa"/>
            <w:vAlign w:val="bottom"/>
            <w:tcBorders>
              <w:bottom w:val="single" w:sz="8" w:color="0000EE"/>
            </w:tcBorders>
            <w:gridSpan w:val="4"/>
          </w:tcPr>
          <w:p>
            <w:pPr>
              <w:jc w:val="right"/>
              <w:spacing w:after="0"/>
              <w:rPr>
                <w:rFonts w:ascii="Arial" w:cs="Arial" w:eastAsia="Arial" w:hAnsi="Arial"/>
                <w:sz w:val="13"/>
                <w:szCs w:val="13"/>
                <w:color w:val="0000EE"/>
                <w:w w:val="77"/>
              </w:rPr>
            </w:pPr>
            <w:hyperlink r:id="rId177">
              <w:r>
                <w:rPr>
                  <w:rFonts w:ascii="Arial" w:cs="Arial" w:eastAsia="Arial" w:hAnsi="Arial"/>
                  <w:sz w:val="13"/>
                  <w:szCs w:val="13"/>
                  <w:color w:val="0000EE"/>
                  <w:w w:val="77"/>
                </w:rPr>
                <w:t>(15)</w:t>
              </w:r>
            </w:hyperlink>
          </w:p>
        </w:tc>
        <w:tc>
          <w:tcPr>
            <w:tcW w:w="36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3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18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5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Borders>
              <w:bottom w:val="single" w:sz="8" w:color="0000EE"/>
            </w:tcBorders>
            <w:gridSpan w:val="27"/>
            <w:vMerge w:val="continu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2380" w:type="dxa"/>
            <w:vAlign w:val="bottom"/>
            <w:gridSpan w:val="15"/>
            <w:vMerge w:val="restart"/>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Form of Subscription Agreement</w:t>
              </w:r>
            </w:hyperlink>
          </w:p>
        </w:tc>
        <w:tc>
          <w:tcPr>
            <w:tcW w:w="160" w:type="dxa"/>
            <w:vAlign w:val="bottom"/>
            <w:tcBorders>
              <w:bottom w:val="single" w:sz="8" w:color="0000EE"/>
            </w:tcBorders>
          </w:tcPr>
          <w:p>
            <w:pPr>
              <w:jc w:val="right"/>
              <w:spacing w:after="0"/>
              <w:rPr>
                <w:rFonts w:ascii="Arial" w:cs="Arial" w:eastAsia="Arial" w:hAnsi="Arial"/>
                <w:sz w:val="13"/>
                <w:szCs w:val="13"/>
                <w:color w:val="0000EE"/>
                <w:w w:val="87"/>
              </w:rPr>
            </w:pPr>
            <w:hyperlink r:id="rId178">
              <w:r>
                <w:rPr>
                  <w:rFonts w:ascii="Arial" w:cs="Arial" w:eastAsia="Arial" w:hAnsi="Arial"/>
                  <w:sz w:val="13"/>
                  <w:szCs w:val="13"/>
                  <w:color w:val="0000EE"/>
                  <w:w w:val="87"/>
                </w:rPr>
                <w:t>(3)</w:t>
              </w:r>
            </w:hyperlink>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2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3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18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5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bottom w:val="single" w:sz="8" w:color="0000EE"/>
            </w:tcBorders>
            <w:gridSpan w:val="1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0"/>
                <w:szCs w:val="20"/>
                <w:color w:val="auto"/>
              </w:rPr>
            </w:pPr>
          </w:p>
        </w:tc>
        <w:tc>
          <w:tcPr>
            <w:tcW w:w="1780" w:type="dxa"/>
            <w:vAlign w:val="bottom"/>
            <w:gridSpan w:val="9"/>
            <w:vMerge w:val="restart"/>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Description of Securities</w:t>
              </w:r>
            </w:hyperlink>
          </w:p>
        </w:tc>
        <w:tc>
          <w:tcPr>
            <w:tcW w:w="220" w:type="dxa"/>
            <w:vAlign w:val="bottom"/>
            <w:tcBorders>
              <w:bottom w:val="single" w:sz="8" w:color="0000EE"/>
            </w:tcBorders>
            <w:gridSpan w:val="3"/>
          </w:tcPr>
          <w:p>
            <w:pPr>
              <w:jc w:val="right"/>
              <w:spacing w:after="0"/>
              <w:rPr>
                <w:rFonts w:ascii="Arial" w:cs="Arial" w:eastAsia="Arial" w:hAnsi="Arial"/>
                <w:sz w:val="13"/>
                <w:szCs w:val="13"/>
                <w:color w:val="0000EE"/>
                <w:w w:val="86"/>
              </w:rPr>
            </w:pPr>
            <w:hyperlink r:id="rId179">
              <w:r>
                <w:rPr>
                  <w:rFonts w:ascii="Arial" w:cs="Arial" w:eastAsia="Arial" w:hAnsi="Arial"/>
                  <w:sz w:val="13"/>
                  <w:szCs w:val="13"/>
                  <w:color w:val="0000EE"/>
                  <w:w w:val="86"/>
                </w:rPr>
                <w:t>(11)</w:t>
              </w:r>
            </w:hyperlink>
          </w:p>
        </w:tc>
        <w:tc>
          <w:tcPr>
            <w:tcW w:w="4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30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2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220" w:type="dxa"/>
            <w:vAlign w:val="bottom"/>
            <w:vMerge w:val="restart"/>
          </w:tcPr>
          <w:p>
            <w:pPr>
              <w:spacing w:after="0"/>
              <w:rPr>
                <w:sz w:val="20"/>
                <w:szCs w:val="20"/>
                <w:color w:val="auto"/>
              </w:rPr>
            </w:pPr>
          </w:p>
        </w:tc>
        <w:tc>
          <w:tcPr>
            <w:tcW w:w="3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18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5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bottom w:val="single" w:sz="8" w:color="0000EE"/>
            </w:tcBorders>
            <w:gridSpan w:val="9"/>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20"/>
                <w:szCs w:val="20"/>
                <w:color w:val="auto"/>
              </w:rPr>
            </w:pPr>
          </w:p>
        </w:tc>
        <w:tc>
          <w:tcPr>
            <w:tcW w:w="6600" w:type="dxa"/>
            <w:vAlign w:val="bottom"/>
            <w:gridSpan w:val="43"/>
            <w:vMerge w:val="restart"/>
          </w:tcPr>
          <w:p>
            <w:pPr>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Voting Proxy of OCM Growth Holdings, LLC in favor of Runway Growth Credit Fund Inc.</w:t>
              </w:r>
            </w:hyperlink>
          </w:p>
        </w:tc>
        <w:tc>
          <w:tcPr>
            <w:tcW w:w="160" w:type="dxa"/>
            <w:vAlign w:val="bottom"/>
            <w:tcBorders>
              <w:bottom w:val="single" w:sz="8" w:color="0000EE"/>
            </w:tcBorders>
            <w:gridSpan w:val="3"/>
          </w:tcPr>
          <w:p>
            <w:pPr>
              <w:jc w:val="right"/>
              <w:spacing w:after="0"/>
              <w:rPr>
                <w:rFonts w:ascii="Arial" w:cs="Arial" w:eastAsia="Arial" w:hAnsi="Arial"/>
                <w:sz w:val="13"/>
                <w:szCs w:val="13"/>
                <w:color w:val="0000EE"/>
                <w:w w:val="87"/>
              </w:rPr>
            </w:pPr>
            <w:hyperlink r:id="rId180">
              <w:r>
                <w:rPr>
                  <w:rFonts w:ascii="Arial" w:cs="Arial" w:eastAsia="Arial" w:hAnsi="Arial"/>
                  <w:sz w:val="13"/>
                  <w:szCs w:val="13"/>
                  <w:color w:val="0000EE"/>
                  <w:w w:val="87"/>
                </w:rPr>
                <w:t>(4)</w:t>
              </w:r>
            </w:hyperlink>
          </w:p>
        </w:tc>
        <w:tc>
          <w:tcPr>
            <w:tcW w:w="5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0" w:type="dxa"/>
            <w:vAlign w:val="bottom"/>
            <w:tcBorders>
              <w:bottom w:val="single" w:sz="8" w:color="0000EE"/>
            </w:tcBorders>
            <w:gridSpan w:val="43"/>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1"/>
                <w:szCs w:val="21"/>
                <w:color w:val="auto"/>
              </w:rPr>
            </w:pPr>
          </w:p>
        </w:tc>
        <w:tc>
          <w:tcPr>
            <w:tcW w:w="8840" w:type="dxa"/>
            <w:vAlign w:val="bottom"/>
            <w:gridSpan w:val="72"/>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Second Amended and Restated Investment Advisory Agreement between Runway Growth Credit Fund Inc. and Runway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tcBorders>
              <w:top w:val="single" w:sz="8" w:color="0000EE"/>
              <w:bottom w:val="single" w:sz="8" w:color="0000EE"/>
            </w:tcBorders>
            <w:gridSpan w:val="33"/>
            <w:vMerge w:val="restart"/>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Growth Capital LLC, as the investment adviser</w:t>
              </w:r>
            </w:hyperlink>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3"/>
                <w:szCs w:val="13"/>
                <w:color w:val="0000EE"/>
                <w:w w:val="87"/>
              </w:rPr>
            </w:pPr>
            <w:hyperlink r:id="rId181">
              <w:r>
                <w:rPr>
                  <w:rFonts w:ascii="Arial" w:cs="Arial" w:eastAsia="Arial" w:hAnsi="Arial"/>
                  <w:sz w:val="13"/>
                  <w:szCs w:val="13"/>
                  <w:color w:val="0000EE"/>
                  <w:w w:val="87"/>
                </w:rPr>
                <w:t>(5)</w:t>
              </w:r>
            </w:hyperlink>
          </w:p>
        </w:tc>
        <w:tc>
          <w:tcPr>
            <w:tcW w:w="220" w:type="dxa"/>
            <w:vAlign w:val="bottom"/>
            <w:tcBorders>
              <w:top w:val="single" w:sz="8" w:color="0000EE"/>
              <w:bottom w:val="single" w:sz="8" w:color="0000EE"/>
            </w:tcBorders>
            <w:vMerge w:val="restart"/>
          </w:tcPr>
          <w:p>
            <w:pPr>
              <w:spacing w:after="0"/>
              <w:rPr>
                <w:sz w:val="13"/>
                <w:szCs w:val="13"/>
                <w:color w:val="auto"/>
              </w:rPr>
            </w:pPr>
          </w:p>
        </w:tc>
        <w:tc>
          <w:tcPr>
            <w:tcW w:w="220" w:type="dxa"/>
            <w:vAlign w:val="bottom"/>
            <w:tcBorders>
              <w:top w:val="single" w:sz="8" w:color="0000EE"/>
              <w:bottom w:val="single" w:sz="8" w:color="0000EE"/>
            </w:tcBorders>
            <w:vMerge w:val="restart"/>
          </w:tcPr>
          <w:p>
            <w:pPr>
              <w:spacing w:after="0"/>
              <w:rPr>
                <w:sz w:val="13"/>
                <w:szCs w:val="13"/>
                <w:color w:val="auto"/>
              </w:rPr>
            </w:pPr>
          </w:p>
        </w:tc>
        <w:tc>
          <w:tcPr>
            <w:tcW w:w="36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188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gridSpan w:val="3"/>
            <w:vMerge w:val="restart"/>
          </w:tcPr>
          <w:p>
            <w:pPr>
              <w:spacing w:after="0"/>
              <w:rPr>
                <w:sz w:val="13"/>
                <w:szCs w:val="13"/>
                <w:color w:val="auto"/>
              </w:rPr>
            </w:pPr>
          </w:p>
        </w:tc>
        <w:tc>
          <w:tcPr>
            <w:tcW w:w="64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3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Borders>
              <w:bottom w:val="single" w:sz="8" w:color="0000EE"/>
            </w:tcBorders>
            <w:gridSpan w:val="33"/>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0"/>
                <w:szCs w:val="20"/>
                <w:color w:val="auto"/>
              </w:rPr>
            </w:pPr>
          </w:p>
        </w:tc>
        <w:tc>
          <w:tcPr>
            <w:tcW w:w="8840" w:type="dxa"/>
            <w:vAlign w:val="bottom"/>
            <w:gridSpan w:val="72"/>
          </w:tcPr>
          <w:p>
            <w:pPr>
              <w:spacing w:after="0"/>
              <w:rPr>
                <w:rFonts w:ascii="Arial" w:cs="Arial" w:eastAsia="Arial" w:hAnsi="Arial"/>
                <w:sz w:val="18"/>
                <w:szCs w:val="18"/>
                <w:color w:val="0000EE"/>
                <w:w w:val="92"/>
              </w:rPr>
            </w:pPr>
            <w:hyperlink r:id="rId182">
              <w:r>
                <w:rPr>
                  <w:rFonts w:ascii="Arial" w:cs="Arial" w:eastAsia="Arial" w:hAnsi="Arial"/>
                  <w:sz w:val="18"/>
                  <w:szCs w:val="18"/>
                  <w:color w:val="0000EE"/>
                  <w:w w:val="92"/>
                </w:rPr>
                <w:t>Amended and Restated Administration Agreement between Runway Growth Credit Fund Inc. and Runway Administrator</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tcBorders>
              <w:top w:val="single" w:sz="8" w:color="0000EE"/>
              <w:bottom w:val="single" w:sz="8" w:color="0000EE"/>
            </w:tcBorders>
            <w:gridSpan w:val="17"/>
            <w:vMerge w:val="restart"/>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Services, LLC, as the administrator</w:t>
              </w:r>
            </w:hyperlink>
          </w:p>
        </w:tc>
        <w:tc>
          <w:tcPr>
            <w:tcW w:w="240" w:type="dxa"/>
            <w:vAlign w:val="bottom"/>
            <w:tcBorders>
              <w:top w:val="single" w:sz="8" w:color="0000EE"/>
              <w:bottom w:val="single" w:sz="8" w:color="0000EE"/>
            </w:tcBorders>
            <w:gridSpan w:val="8"/>
          </w:tcPr>
          <w:p>
            <w:pPr>
              <w:jc w:val="right"/>
              <w:ind w:right="40"/>
              <w:spacing w:after="0" w:line="142" w:lineRule="exact"/>
              <w:rPr>
                <w:rFonts w:ascii="Arial" w:cs="Arial" w:eastAsia="Arial" w:hAnsi="Arial"/>
                <w:sz w:val="13"/>
                <w:szCs w:val="13"/>
                <w:color w:val="0000EE"/>
                <w:w w:val="77"/>
              </w:rPr>
            </w:pPr>
            <w:hyperlink r:id="rId182">
              <w:r>
                <w:rPr>
                  <w:rFonts w:ascii="Arial" w:cs="Arial" w:eastAsia="Arial" w:hAnsi="Arial"/>
                  <w:sz w:val="13"/>
                  <w:szCs w:val="13"/>
                  <w:color w:val="0000EE"/>
                  <w:w w:val="77"/>
                </w:rPr>
                <w:t>(14)</w:t>
              </w:r>
            </w:hyperlink>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gridSpan w:val="3"/>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800" w:type="dxa"/>
            <w:vAlign w:val="bottom"/>
            <w:tcBorders>
              <w:top w:val="single" w:sz="8" w:color="0000EE"/>
              <w:bottom w:val="single" w:sz="8" w:color="0000EE"/>
            </w:tcBorders>
            <w:gridSpan w:val="6"/>
            <w:vMerge w:val="restart"/>
          </w:tcPr>
          <w:p>
            <w:pPr>
              <w:spacing w:after="0"/>
              <w:rPr>
                <w:sz w:val="13"/>
                <w:szCs w:val="13"/>
                <w:color w:val="auto"/>
              </w:rPr>
            </w:pPr>
          </w:p>
        </w:tc>
        <w:tc>
          <w:tcPr>
            <w:tcW w:w="220" w:type="dxa"/>
            <w:vAlign w:val="bottom"/>
            <w:tcBorders>
              <w:top w:val="single" w:sz="8" w:color="0000EE"/>
              <w:bottom w:val="single" w:sz="8" w:color="0000EE"/>
            </w:tcBorders>
            <w:vMerge w:val="restart"/>
          </w:tcPr>
          <w:p>
            <w:pPr>
              <w:spacing w:after="0"/>
              <w:rPr>
                <w:sz w:val="13"/>
                <w:szCs w:val="13"/>
                <w:color w:val="auto"/>
              </w:rPr>
            </w:pPr>
          </w:p>
        </w:tc>
        <w:tc>
          <w:tcPr>
            <w:tcW w:w="36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188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gridSpan w:val="3"/>
            <w:vMerge w:val="restart"/>
          </w:tcPr>
          <w:p>
            <w:pPr>
              <w:spacing w:after="0"/>
              <w:rPr>
                <w:sz w:val="13"/>
                <w:szCs w:val="13"/>
                <w:color w:val="auto"/>
              </w:rPr>
            </w:pPr>
          </w:p>
        </w:tc>
        <w:tc>
          <w:tcPr>
            <w:tcW w:w="64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3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Borders>
              <w:bottom w:val="single" w:sz="8" w:color="0000EE"/>
            </w:tcBorders>
            <w:gridSpan w:val="17"/>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0" w:type="dxa"/>
            <w:vAlign w:val="bottom"/>
            <w:gridSpan w:val="6"/>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7320" w:type="dxa"/>
            <w:vAlign w:val="bottom"/>
            <w:gridSpan w:val="47"/>
            <w:vMerge w:val="restart"/>
          </w:tcPr>
          <w:p>
            <w:pP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Stockholder Agreement between Runway Growth Credit Fund Inc. and OCM Growth Holdings, LLC</w:t>
              </w:r>
            </w:hyperlink>
          </w:p>
        </w:tc>
        <w:tc>
          <w:tcPr>
            <w:tcW w:w="140" w:type="dxa"/>
            <w:vAlign w:val="bottom"/>
            <w:tcBorders>
              <w:bottom w:val="single" w:sz="8" w:color="0000EE"/>
            </w:tcBorders>
            <w:gridSpan w:val="2"/>
          </w:tcPr>
          <w:p>
            <w:pPr>
              <w:jc w:val="right"/>
              <w:spacing w:after="0"/>
              <w:rPr>
                <w:rFonts w:ascii="Arial" w:cs="Arial" w:eastAsia="Arial" w:hAnsi="Arial"/>
                <w:sz w:val="13"/>
                <w:szCs w:val="13"/>
                <w:color w:val="0000EE"/>
                <w:w w:val="75"/>
              </w:rPr>
            </w:pPr>
            <w:hyperlink r:id="rId183">
              <w:r>
                <w:rPr>
                  <w:rFonts w:ascii="Arial" w:cs="Arial" w:eastAsia="Arial" w:hAnsi="Arial"/>
                  <w:sz w:val="13"/>
                  <w:szCs w:val="13"/>
                  <w:color w:val="0000EE"/>
                  <w:w w:val="75"/>
                </w:rPr>
                <w:t>(1)</w:t>
              </w:r>
            </w:hyperlink>
          </w:p>
        </w:tc>
        <w:tc>
          <w:tcPr>
            <w:tcW w:w="3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60" w:type="dxa"/>
            <w:vAlign w:val="bottom"/>
            <w:gridSpan w:val="2"/>
            <w:vMerge w:val="restart"/>
          </w:tcPr>
          <w:p>
            <w:pPr>
              <w:spacing w:after="0"/>
              <w:rPr>
                <w:sz w:val="17"/>
                <w:szCs w:val="17"/>
                <w:color w:val="auto"/>
              </w:rPr>
            </w:pPr>
          </w:p>
        </w:tc>
        <w:tc>
          <w:tcPr>
            <w:tcW w:w="80" w:type="dxa"/>
            <w:vAlign w:val="bottom"/>
            <w:gridSpan w:val="2"/>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20" w:type="dxa"/>
            <w:vAlign w:val="bottom"/>
            <w:tcBorders>
              <w:bottom w:val="single" w:sz="8" w:color="0000EE"/>
            </w:tcBorders>
            <w:gridSpan w:val="47"/>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7"/>
                <w:szCs w:val="17"/>
                <w:color w:val="auto"/>
              </w:rPr>
            </w:pPr>
          </w:p>
        </w:tc>
        <w:tc>
          <w:tcPr>
            <w:tcW w:w="8460" w:type="dxa"/>
            <w:vAlign w:val="bottom"/>
            <w:gridSpan w:val="61"/>
            <w:vMerge w:val="restart"/>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Custody Agreement between Runway Growth Credit Fund Inc. and U.S. Bank National Association, as the custodian</w:t>
              </w:r>
            </w:hyperlink>
          </w:p>
        </w:tc>
        <w:tc>
          <w:tcPr>
            <w:tcW w:w="160" w:type="dxa"/>
            <w:vAlign w:val="bottom"/>
            <w:tcBorders>
              <w:bottom w:val="single" w:sz="8" w:color="0000EE"/>
            </w:tcBorders>
            <w:gridSpan w:val="3"/>
          </w:tcPr>
          <w:p>
            <w:pPr>
              <w:spacing w:after="0"/>
              <w:rPr>
                <w:rFonts w:ascii="Arial" w:cs="Arial" w:eastAsia="Arial" w:hAnsi="Arial"/>
                <w:sz w:val="13"/>
                <w:szCs w:val="13"/>
                <w:color w:val="0000EE"/>
                <w:w w:val="87"/>
              </w:rPr>
            </w:pPr>
            <w:hyperlink r:id="rId184">
              <w:r>
                <w:rPr>
                  <w:rFonts w:ascii="Arial" w:cs="Arial" w:eastAsia="Arial" w:hAnsi="Arial"/>
                  <w:sz w:val="13"/>
                  <w:szCs w:val="13"/>
                  <w:color w:val="0000EE"/>
                  <w:w w:val="87"/>
                </w:rPr>
                <w:t>(1)</w:t>
              </w:r>
            </w:hyperlink>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60" w:type="dxa"/>
            <w:vAlign w:val="bottom"/>
            <w:gridSpan w:val="2"/>
            <w:vMerge w:val="restart"/>
          </w:tcPr>
          <w:p>
            <w:pPr>
              <w:spacing w:after="0"/>
              <w:rPr>
                <w:sz w:val="17"/>
                <w:szCs w:val="17"/>
                <w:color w:val="auto"/>
              </w:rPr>
            </w:pPr>
          </w:p>
        </w:tc>
        <w:tc>
          <w:tcPr>
            <w:tcW w:w="80" w:type="dxa"/>
            <w:vAlign w:val="bottom"/>
            <w:gridSpan w:val="2"/>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60" w:type="dxa"/>
            <w:vAlign w:val="bottom"/>
            <w:tcBorders>
              <w:bottom w:val="single" w:sz="8" w:color="0000EE"/>
            </w:tcBorders>
            <w:gridSpan w:val="61"/>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3780" w:type="dxa"/>
            <w:vAlign w:val="bottom"/>
            <w:gridSpan w:val="36"/>
            <w:vMerge w:val="restart"/>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Amended and Restated Dividend Reinvestment Plan</w:t>
              </w:r>
            </w:hyperlink>
          </w:p>
        </w:tc>
        <w:tc>
          <w:tcPr>
            <w:tcW w:w="220" w:type="dxa"/>
            <w:vAlign w:val="bottom"/>
            <w:tcBorders>
              <w:bottom w:val="single" w:sz="8" w:color="0000EE"/>
            </w:tcBorders>
          </w:tcPr>
          <w:p>
            <w:pPr>
              <w:jc w:val="right"/>
              <w:spacing w:after="0"/>
              <w:rPr>
                <w:rFonts w:ascii="Arial" w:cs="Arial" w:eastAsia="Arial" w:hAnsi="Arial"/>
                <w:sz w:val="13"/>
                <w:szCs w:val="13"/>
                <w:color w:val="0000EE"/>
                <w:w w:val="86"/>
              </w:rPr>
            </w:pPr>
            <w:hyperlink r:id="rId185">
              <w:r>
                <w:rPr>
                  <w:rFonts w:ascii="Arial" w:cs="Arial" w:eastAsia="Arial" w:hAnsi="Arial"/>
                  <w:sz w:val="13"/>
                  <w:szCs w:val="13"/>
                  <w:color w:val="0000EE"/>
                  <w:w w:val="86"/>
                </w:rPr>
                <w:t>(16)</w:t>
              </w:r>
            </w:hyperlink>
          </w:p>
        </w:tc>
        <w:tc>
          <w:tcPr>
            <w:tcW w:w="3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8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gridSpan w:val="3"/>
            <w:vMerge w:val="restart"/>
          </w:tcPr>
          <w:p>
            <w:pPr>
              <w:spacing w:after="0"/>
              <w:rPr>
                <w:sz w:val="19"/>
                <w:szCs w:val="19"/>
                <w:color w:val="auto"/>
              </w:rPr>
            </w:pPr>
          </w:p>
        </w:tc>
        <w:tc>
          <w:tcPr>
            <w:tcW w:w="1120" w:type="dxa"/>
            <w:vAlign w:val="bottom"/>
            <w:gridSpan w:val="5"/>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8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tcBorders>
              <w:bottom w:val="single" w:sz="8" w:color="0000EE"/>
            </w:tcBorders>
            <w:gridSpan w:val="36"/>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0"/>
                <w:szCs w:val="20"/>
                <w:color w:val="auto"/>
              </w:rPr>
            </w:pPr>
          </w:p>
        </w:tc>
        <w:tc>
          <w:tcPr>
            <w:tcW w:w="2620" w:type="dxa"/>
            <w:vAlign w:val="bottom"/>
            <w:gridSpan w:val="19"/>
            <w:vMerge w:val="restart"/>
          </w:tcPr>
          <w:p>
            <w:pPr>
              <w:spacing w:after="0"/>
              <w:rPr>
                <w:rFonts w:ascii="Arial" w:cs="Arial" w:eastAsia="Arial" w:hAnsi="Arial"/>
                <w:sz w:val="18"/>
                <w:szCs w:val="18"/>
                <w:color w:val="0000EE"/>
                <w:w w:val="92"/>
              </w:rPr>
            </w:pPr>
            <w:hyperlink r:id="rId186">
              <w:r>
                <w:rPr>
                  <w:rFonts w:ascii="Arial" w:cs="Arial" w:eastAsia="Arial" w:hAnsi="Arial"/>
                  <w:sz w:val="18"/>
                  <w:szCs w:val="18"/>
                  <w:color w:val="0000EE"/>
                  <w:w w:val="92"/>
                </w:rPr>
                <w:t>Form of Indemnification Agreement</w:t>
              </w:r>
            </w:hyperlink>
          </w:p>
        </w:tc>
        <w:tc>
          <w:tcPr>
            <w:tcW w:w="200" w:type="dxa"/>
            <w:vAlign w:val="bottom"/>
            <w:tcBorders>
              <w:bottom w:val="single" w:sz="8" w:color="0000EE"/>
            </w:tcBorders>
            <w:gridSpan w:val="7"/>
          </w:tcPr>
          <w:p>
            <w:pPr>
              <w:jc w:val="right"/>
              <w:ind w:right="40"/>
              <w:spacing w:after="0"/>
              <w:rPr>
                <w:rFonts w:ascii="Arial" w:cs="Arial" w:eastAsia="Arial" w:hAnsi="Arial"/>
                <w:sz w:val="13"/>
                <w:szCs w:val="13"/>
                <w:color w:val="0000EE"/>
                <w:w w:val="87"/>
              </w:rPr>
            </w:pPr>
            <w:hyperlink r:id="rId186">
              <w:r>
                <w:rPr>
                  <w:rFonts w:ascii="Arial" w:cs="Arial" w:eastAsia="Arial" w:hAnsi="Arial"/>
                  <w:sz w:val="13"/>
                  <w:szCs w:val="13"/>
                  <w:color w:val="0000EE"/>
                  <w:w w:val="87"/>
                </w:rPr>
                <w:t>(6)</w:t>
              </w:r>
            </w:hyperlink>
          </w:p>
        </w:tc>
        <w:tc>
          <w:tcPr>
            <w:tcW w:w="14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380" w:type="dxa"/>
            <w:vAlign w:val="bottom"/>
            <w:gridSpan w:val="8"/>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18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gridSpan w:val="3"/>
            <w:vMerge w:val="restart"/>
          </w:tcPr>
          <w:p>
            <w:pPr>
              <w:spacing w:after="0"/>
              <w:rPr>
                <w:sz w:val="20"/>
                <w:szCs w:val="20"/>
                <w:color w:val="auto"/>
              </w:rPr>
            </w:pPr>
          </w:p>
        </w:tc>
        <w:tc>
          <w:tcPr>
            <w:tcW w:w="1120" w:type="dxa"/>
            <w:vAlign w:val="bottom"/>
            <w:gridSpan w:val="5"/>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40" w:type="dxa"/>
            <w:vAlign w:val="bottom"/>
            <w:gridSpan w:val="2"/>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4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gridSpan w:val="2"/>
            <w:vMerge w:val="restart"/>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Borders>
              <w:bottom w:val="single" w:sz="8" w:color="0000EE"/>
            </w:tcBorders>
            <w:gridSpan w:val="19"/>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0"/>
                <w:szCs w:val="20"/>
                <w:color w:val="auto"/>
              </w:rPr>
            </w:pPr>
          </w:p>
        </w:tc>
        <w:tc>
          <w:tcPr>
            <w:tcW w:w="8480" w:type="dxa"/>
            <w:vAlign w:val="bottom"/>
            <w:gridSpan w:val="62"/>
            <w:vMerge w:val="restart"/>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Trademark License Agreement by and between Runway Growth Capital LLC and the Runway Growth Finance Corp.</w:t>
              </w:r>
            </w:hyperlink>
          </w:p>
        </w:tc>
        <w:tc>
          <w:tcPr>
            <w:tcW w:w="200" w:type="dxa"/>
            <w:vAlign w:val="bottom"/>
            <w:tcBorders>
              <w:bottom w:val="single" w:sz="8" w:color="0000EE"/>
            </w:tcBorders>
            <w:gridSpan w:val="5"/>
          </w:tcPr>
          <w:p>
            <w:pPr>
              <w:spacing w:after="0"/>
              <w:rPr>
                <w:rFonts w:ascii="Arial" w:cs="Arial" w:eastAsia="Arial" w:hAnsi="Arial"/>
                <w:sz w:val="13"/>
                <w:szCs w:val="13"/>
                <w:color w:val="0000EE"/>
                <w:w w:val="77"/>
              </w:rPr>
            </w:pPr>
            <w:hyperlink r:id="rId187">
              <w:r>
                <w:rPr>
                  <w:rFonts w:ascii="Arial" w:cs="Arial" w:eastAsia="Arial" w:hAnsi="Arial"/>
                  <w:sz w:val="13"/>
                  <w:szCs w:val="13"/>
                  <w:color w:val="0000EE"/>
                  <w:w w:val="77"/>
                </w:rPr>
                <w:t>(19)</w:t>
              </w:r>
            </w:hyperlink>
          </w:p>
        </w:tc>
        <w:tc>
          <w:tcPr>
            <w:tcW w:w="60" w:type="dxa"/>
            <w:vAlign w:val="bottom"/>
            <w:gridSpan w:val="2"/>
            <w:vMerge w:val="restart"/>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80" w:type="dxa"/>
            <w:vAlign w:val="bottom"/>
            <w:tcBorders>
              <w:bottom w:val="single" w:sz="8" w:color="0000EE"/>
            </w:tcBorders>
            <w:gridSpan w:val="6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ind w:left="20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5"/>
                <w:szCs w:val="15"/>
                <w:color w:val="auto"/>
              </w:rPr>
            </w:pPr>
          </w:p>
        </w:tc>
        <w:tc>
          <w:tcPr>
            <w:tcW w:w="8080" w:type="dxa"/>
            <w:vAlign w:val="bottom"/>
            <w:gridSpan w:val="53"/>
            <w:vMerge w:val="restart"/>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Transfer Agent Agreement by and between American Stock Transfer &amp; Trust Company, LLC and the Registrant</w:t>
              </w:r>
            </w:hyperlink>
          </w:p>
        </w:tc>
        <w:tc>
          <w:tcPr>
            <w:tcW w:w="160" w:type="dxa"/>
            <w:vAlign w:val="bottom"/>
            <w:tcBorders>
              <w:bottom w:val="single" w:sz="8" w:color="0000EE"/>
            </w:tcBorders>
            <w:gridSpan w:val="3"/>
          </w:tcPr>
          <w:p>
            <w:pPr>
              <w:jc w:val="right"/>
              <w:spacing w:after="0"/>
              <w:rPr>
                <w:rFonts w:ascii="Arial" w:cs="Arial" w:eastAsia="Arial" w:hAnsi="Arial"/>
                <w:sz w:val="13"/>
                <w:szCs w:val="13"/>
                <w:color w:val="0000EE"/>
                <w:w w:val="87"/>
              </w:rPr>
            </w:pPr>
            <w:hyperlink r:id="rId188">
              <w:r>
                <w:rPr>
                  <w:rFonts w:ascii="Arial" w:cs="Arial" w:eastAsia="Arial" w:hAnsi="Arial"/>
                  <w:sz w:val="13"/>
                  <w:szCs w:val="13"/>
                  <w:color w:val="0000EE"/>
                  <w:w w:val="87"/>
                </w:rPr>
                <w:t>(8)</w:t>
              </w:r>
            </w:hyperlink>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160" w:type="dxa"/>
            <w:vAlign w:val="bottom"/>
            <w:gridSpan w:val="3"/>
            <w:vMerge w:val="restart"/>
          </w:tcPr>
          <w:p>
            <w:pPr>
              <w:spacing w:after="0"/>
              <w:rPr>
                <w:sz w:val="15"/>
                <w:szCs w:val="15"/>
                <w:color w:val="auto"/>
              </w:rPr>
            </w:pPr>
          </w:p>
        </w:tc>
        <w:tc>
          <w:tcPr>
            <w:tcW w:w="4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0" w:type="dxa"/>
            <w:vAlign w:val="bottom"/>
            <w:gridSpan w:val="3"/>
            <w:vMerge w:val="restart"/>
          </w:tcPr>
          <w:p>
            <w:pPr>
              <w:spacing w:after="0"/>
              <w:rPr>
                <w:sz w:val="15"/>
                <w:szCs w:val="15"/>
                <w:color w:val="auto"/>
              </w:rPr>
            </w:pPr>
          </w:p>
        </w:tc>
        <w:tc>
          <w:tcPr>
            <w:tcW w:w="8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80" w:type="dxa"/>
            <w:vAlign w:val="bottom"/>
            <w:tcBorders>
              <w:bottom w:val="single" w:sz="8" w:color="0000EE"/>
            </w:tcBorders>
            <w:gridSpan w:val="53"/>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8840" w:type="dxa"/>
            <w:vAlign w:val="bottom"/>
            <w:gridSpan w:val="72"/>
          </w:tcPr>
          <w:p>
            <w:pPr>
              <w:spacing w:after="0"/>
              <w:rPr>
                <w:rFonts w:ascii="Arial" w:cs="Arial" w:eastAsia="Arial" w:hAnsi="Arial"/>
                <w:sz w:val="18"/>
                <w:szCs w:val="18"/>
                <w:color w:val="0000EE"/>
                <w:w w:val="92"/>
              </w:rPr>
            </w:pPr>
            <w:hyperlink r:id="rId189">
              <w:r>
                <w:rPr>
                  <w:rFonts w:ascii="Arial" w:cs="Arial" w:eastAsia="Arial" w:hAnsi="Arial"/>
                  <w:sz w:val="18"/>
                  <w:szCs w:val="18"/>
                  <w:color w:val="0000EE"/>
                  <w:w w:val="92"/>
                </w:rPr>
                <w:t>Marketing and Consulting Agreement by and between Pickwick Capital Partners, LLC, Runway Growth Capital LLC and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0000EE"/>
              <w:bottom w:val="single" w:sz="8" w:color="0000EE"/>
            </w:tcBorders>
            <w:gridSpan w:val="4"/>
            <w:vMerge w:val="restart"/>
          </w:tcPr>
          <w:p>
            <w:pPr>
              <w:spacing w:after="0" w:line="196" w:lineRule="exact"/>
              <w:rPr>
                <w:rFonts w:ascii="Arial" w:cs="Arial" w:eastAsia="Arial" w:hAnsi="Arial"/>
                <w:sz w:val="18"/>
                <w:szCs w:val="18"/>
                <w:color w:val="0000EE"/>
                <w:w w:val="87"/>
              </w:rPr>
            </w:pPr>
            <w:hyperlink r:id="rId189">
              <w:r>
                <w:rPr>
                  <w:rFonts w:ascii="Arial" w:cs="Arial" w:eastAsia="Arial" w:hAnsi="Arial"/>
                  <w:sz w:val="18"/>
                  <w:szCs w:val="18"/>
                  <w:color w:val="0000EE"/>
                  <w:w w:val="87"/>
                </w:rPr>
                <w:t>the Registrant</w:t>
              </w:r>
            </w:hyperlink>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3"/>
                <w:szCs w:val="13"/>
                <w:color w:val="0000EE"/>
                <w:w w:val="87"/>
              </w:rPr>
            </w:pPr>
            <w:hyperlink r:id="rId189">
              <w:r>
                <w:rPr>
                  <w:rFonts w:ascii="Arial" w:cs="Arial" w:eastAsia="Arial" w:hAnsi="Arial"/>
                  <w:sz w:val="13"/>
                  <w:szCs w:val="13"/>
                  <w:color w:val="0000EE"/>
                  <w:w w:val="87"/>
                </w:rPr>
                <w:t>(9)</w:t>
              </w:r>
            </w:hyperlink>
          </w:p>
        </w:tc>
        <w:tc>
          <w:tcPr>
            <w:tcW w:w="880" w:type="dxa"/>
            <w:vAlign w:val="bottom"/>
            <w:tcBorders>
              <w:top w:val="single" w:sz="8" w:color="0000EE"/>
              <w:bottom w:val="single" w:sz="8" w:color="0000EE"/>
            </w:tcBorders>
            <w:gridSpan w:val="7"/>
            <w:vMerge w:val="restart"/>
          </w:tcPr>
          <w:p>
            <w:pPr>
              <w:spacing w:after="0"/>
              <w:rPr>
                <w:sz w:val="13"/>
                <w:szCs w:val="13"/>
                <w:color w:val="auto"/>
              </w:rPr>
            </w:pPr>
          </w:p>
        </w:tc>
        <w:tc>
          <w:tcPr>
            <w:tcW w:w="220" w:type="dxa"/>
            <w:vAlign w:val="bottom"/>
            <w:tcBorders>
              <w:top w:val="single" w:sz="8" w:color="0000EE"/>
              <w:bottom w:val="single" w:sz="8" w:color="0000EE"/>
            </w:tcBorders>
            <w:vMerge w:val="restart"/>
          </w:tcPr>
          <w:p>
            <w:pPr>
              <w:spacing w:after="0"/>
              <w:rPr>
                <w:sz w:val="13"/>
                <w:szCs w:val="13"/>
                <w:color w:val="auto"/>
              </w:rPr>
            </w:pPr>
          </w:p>
        </w:tc>
        <w:tc>
          <w:tcPr>
            <w:tcW w:w="460" w:type="dxa"/>
            <w:vAlign w:val="bottom"/>
            <w:tcBorders>
              <w:top w:val="single" w:sz="8" w:color="0000EE"/>
              <w:bottom w:val="single" w:sz="8" w:color="0000EE"/>
            </w:tcBorders>
            <w:gridSpan w:val="7"/>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80" w:type="dxa"/>
            <w:vAlign w:val="bottom"/>
            <w:tcBorders>
              <w:top w:val="single" w:sz="8" w:color="0000EE"/>
              <w:bottom w:val="single" w:sz="8" w:color="0000EE"/>
            </w:tcBorders>
            <w:gridSpan w:val="5"/>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380" w:type="dxa"/>
            <w:vAlign w:val="bottom"/>
            <w:tcBorders>
              <w:top w:val="single" w:sz="8" w:color="0000EE"/>
              <w:bottom w:val="single" w:sz="8" w:color="0000EE"/>
            </w:tcBorders>
            <w:gridSpan w:val="8"/>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188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gridSpan w:val="3"/>
            <w:vMerge w:val="restart"/>
          </w:tcPr>
          <w:p>
            <w:pPr>
              <w:spacing w:after="0"/>
              <w:rPr>
                <w:sz w:val="13"/>
                <w:szCs w:val="13"/>
                <w:color w:val="auto"/>
              </w:rPr>
            </w:pPr>
          </w:p>
        </w:tc>
        <w:tc>
          <w:tcPr>
            <w:tcW w:w="1120" w:type="dxa"/>
            <w:vAlign w:val="bottom"/>
            <w:tcBorders>
              <w:top w:val="single" w:sz="8" w:color="0000EE"/>
              <w:bottom w:val="single" w:sz="8" w:color="0000EE"/>
            </w:tcBorders>
            <w:gridSpan w:val="5"/>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180" w:type="dxa"/>
            <w:vAlign w:val="bottom"/>
            <w:tcBorders>
              <w:top w:val="single" w:sz="8" w:color="0000EE"/>
              <w:bottom w:val="single" w:sz="8" w:color="0000EE"/>
            </w:tcBorders>
            <w:gridSpan w:val="3"/>
            <w:vMerge w:val="restart"/>
          </w:tcPr>
          <w:p>
            <w:pPr>
              <w:spacing w:after="0"/>
              <w:rPr>
                <w:sz w:val="13"/>
                <w:szCs w:val="13"/>
                <w:color w:val="auto"/>
              </w:rPr>
            </w:pPr>
          </w:p>
        </w:tc>
        <w:tc>
          <w:tcPr>
            <w:tcW w:w="6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gridSpan w:val="3"/>
            <w:vMerge w:val="restart"/>
          </w:tcPr>
          <w:p>
            <w:pPr>
              <w:spacing w:after="0"/>
              <w:rPr>
                <w:sz w:val="13"/>
                <w:szCs w:val="13"/>
                <w:color w:val="auto"/>
              </w:rPr>
            </w:pPr>
          </w:p>
        </w:tc>
        <w:tc>
          <w:tcPr>
            <w:tcW w:w="4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gridSpan w:val="3"/>
            <w:vMerge w:val="restart"/>
          </w:tcPr>
          <w:p>
            <w:pPr>
              <w:spacing w:after="0"/>
              <w:rPr>
                <w:sz w:val="13"/>
                <w:szCs w:val="13"/>
                <w:color w:val="auto"/>
              </w:rPr>
            </w:pPr>
          </w:p>
        </w:tc>
        <w:tc>
          <w:tcPr>
            <w:tcW w:w="8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0000EE"/>
            </w:tcBorders>
            <w:gridSpan w:val="4"/>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7"/>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60" w:type="dxa"/>
            <w:vAlign w:val="bottom"/>
            <w:gridSpan w:val="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20"/>
                <w:szCs w:val="20"/>
                <w:color w:val="auto"/>
              </w:rPr>
            </w:pPr>
          </w:p>
        </w:tc>
        <w:tc>
          <w:tcPr>
            <w:tcW w:w="8840" w:type="dxa"/>
            <w:vAlign w:val="bottom"/>
            <w:gridSpan w:val="72"/>
          </w:tcPr>
          <w:p>
            <w:pPr>
              <w:spacing w:after="0"/>
              <w:rPr>
                <w:rFonts w:ascii="Arial" w:cs="Arial" w:eastAsia="Arial" w:hAnsi="Arial"/>
                <w:sz w:val="18"/>
                <w:szCs w:val="18"/>
                <w:color w:val="0000EE"/>
                <w:w w:val="97"/>
              </w:rPr>
            </w:pPr>
            <w:hyperlink r:id="rId190">
              <w:r>
                <w:rPr>
                  <w:rFonts w:ascii="Arial" w:cs="Arial" w:eastAsia="Arial" w:hAnsi="Arial"/>
                  <w:sz w:val="18"/>
                  <w:szCs w:val="18"/>
                  <w:color w:val="0000EE"/>
                  <w:w w:val="97"/>
                </w:rPr>
                <w:t>Marketing and Consulting Agreement by and between Peak Capital Limited, Runway Growth Capital LLC and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0000EE"/>
              <w:bottom w:val="single" w:sz="8" w:color="0000EE"/>
            </w:tcBorders>
            <w:vMerge w:val="restart"/>
          </w:tcPr>
          <w:p>
            <w:pPr>
              <w:spacing w:after="0" w:line="196" w:lineRule="exact"/>
              <w:rPr>
                <w:rFonts w:ascii="Arial" w:cs="Arial" w:eastAsia="Arial" w:hAnsi="Arial"/>
                <w:sz w:val="18"/>
                <w:szCs w:val="18"/>
                <w:color w:val="0000EE"/>
                <w:w w:val="87"/>
              </w:rPr>
            </w:pPr>
            <w:hyperlink r:id="rId190">
              <w:r>
                <w:rPr>
                  <w:rFonts w:ascii="Arial" w:cs="Arial" w:eastAsia="Arial" w:hAnsi="Arial"/>
                  <w:sz w:val="18"/>
                  <w:szCs w:val="18"/>
                  <w:color w:val="0000EE"/>
                  <w:w w:val="87"/>
                </w:rPr>
                <w:t>Registrant</w:t>
              </w:r>
            </w:hyperlink>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3"/>
                <w:szCs w:val="13"/>
                <w:color w:val="0000EE"/>
                <w:w w:val="87"/>
              </w:rPr>
            </w:pPr>
            <w:hyperlink r:id="rId190">
              <w:r>
                <w:rPr>
                  <w:rFonts w:ascii="Arial" w:cs="Arial" w:eastAsia="Arial" w:hAnsi="Arial"/>
                  <w:sz w:val="13"/>
                  <w:szCs w:val="13"/>
                  <w:color w:val="0000EE"/>
                  <w:w w:val="87"/>
                </w:rPr>
                <w:t>(9)</w:t>
              </w:r>
            </w:hyperlink>
          </w:p>
        </w:tc>
        <w:tc>
          <w:tcPr>
            <w:tcW w:w="1140" w:type="dxa"/>
            <w:vAlign w:val="bottom"/>
            <w:tcBorders>
              <w:top w:val="single" w:sz="8" w:color="0000EE"/>
              <w:bottom w:val="single" w:sz="8" w:color="0000EE"/>
            </w:tcBorders>
            <w:gridSpan w:val="10"/>
            <w:vMerge w:val="restart"/>
          </w:tcPr>
          <w:p>
            <w:pPr>
              <w:spacing w:after="0"/>
              <w:rPr>
                <w:sz w:val="13"/>
                <w:szCs w:val="13"/>
                <w:color w:val="auto"/>
              </w:rPr>
            </w:pPr>
          </w:p>
        </w:tc>
        <w:tc>
          <w:tcPr>
            <w:tcW w:w="220" w:type="dxa"/>
            <w:vAlign w:val="bottom"/>
            <w:tcBorders>
              <w:top w:val="single" w:sz="8" w:color="0000EE"/>
              <w:bottom w:val="single" w:sz="8" w:color="0000EE"/>
            </w:tcBorders>
            <w:vMerge w:val="restart"/>
          </w:tcPr>
          <w:p>
            <w:pPr>
              <w:spacing w:after="0"/>
              <w:rPr>
                <w:sz w:val="13"/>
                <w:szCs w:val="13"/>
                <w:color w:val="auto"/>
              </w:rPr>
            </w:pPr>
          </w:p>
        </w:tc>
        <w:tc>
          <w:tcPr>
            <w:tcW w:w="460" w:type="dxa"/>
            <w:vAlign w:val="bottom"/>
            <w:tcBorders>
              <w:top w:val="single" w:sz="8" w:color="0000EE"/>
              <w:bottom w:val="single" w:sz="8" w:color="0000EE"/>
            </w:tcBorders>
            <w:gridSpan w:val="7"/>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80" w:type="dxa"/>
            <w:vAlign w:val="bottom"/>
            <w:tcBorders>
              <w:top w:val="single" w:sz="8" w:color="0000EE"/>
              <w:bottom w:val="single" w:sz="8" w:color="0000EE"/>
            </w:tcBorders>
            <w:gridSpan w:val="5"/>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380" w:type="dxa"/>
            <w:vAlign w:val="bottom"/>
            <w:tcBorders>
              <w:top w:val="single" w:sz="8" w:color="0000EE"/>
              <w:bottom w:val="single" w:sz="8" w:color="0000EE"/>
            </w:tcBorders>
            <w:gridSpan w:val="8"/>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188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gridSpan w:val="3"/>
            <w:vMerge w:val="restart"/>
          </w:tcPr>
          <w:p>
            <w:pPr>
              <w:spacing w:after="0"/>
              <w:rPr>
                <w:sz w:val="13"/>
                <w:szCs w:val="13"/>
                <w:color w:val="auto"/>
              </w:rPr>
            </w:pPr>
          </w:p>
        </w:tc>
        <w:tc>
          <w:tcPr>
            <w:tcW w:w="1120" w:type="dxa"/>
            <w:vAlign w:val="bottom"/>
            <w:tcBorders>
              <w:top w:val="single" w:sz="8" w:color="0000EE"/>
              <w:bottom w:val="single" w:sz="8" w:color="0000EE"/>
            </w:tcBorders>
            <w:gridSpan w:val="5"/>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0" w:type="dxa"/>
            <w:vAlign w:val="bottom"/>
            <w:tcBorders>
              <w:top w:val="single" w:sz="8" w:color="0000EE"/>
              <w:bottom w:val="single" w:sz="8" w:color="0000EE"/>
            </w:tcBorders>
            <w:vMerge w:val="restart"/>
          </w:tcPr>
          <w:p>
            <w:pPr>
              <w:spacing w:after="0"/>
              <w:rPr>
                <w:sz w:val="13"/>
                <w:szCs w:val="13"/>
                <w:color w:val="auto"/>
              </w:rPr>
            </w:pPr>
          </w:p>
        </w:tc>
        <w:tc>
          <w:tcPr>
            <w:tcW w:w="180" w:type="dxa"/>
            <w:vAlign w:val="bottom"/>
            <w:tcBorders>
              <w:top w:val="single" w:sz="8" w:color="0000EE"/>
              <w:bottom w:val="single" w:sz="8" w:color="0000EE"/>
            </w:tcBorders>
            <w:gridSpan w:val="3"/>
            <w:vMerge w:val="restart"/>
          </w:tcPr>
          <w:p>
            <w:pPr>
              <w:spacing w:after="0"/>
              <w:rPr>
                <w:sz w:val="13"/>
                <w:szCs w:val="13"/>
                <w:color w:val="auto"/>
              </w:rPr>
            </w:pPr>
          </w:p>
        </w:tc>
        <w:tc>
          <w:tcPr>
            <w:tcW w:w="6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60" w:type="dxa"/>
            <w:vAlign w:val="bottom"/>
            <w:gridSpan w:val="3"/>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gridSpan w:val="3"/>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10"/>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60" w:type="dxa"/>
            <w:vAlign w:val="bottom"/>
            <w:gridSpan w:val="7"/>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0"/>
                <w:szCs w:val="20"/>
                <w:color w:val="auto"/>
              </w:rPr>
            </w:pPr>
          </w:p>
        </w:tc>
        <w:tc>
          <w:tcPr>
            <w:tcW w:w="8840" w:type="dxa"/>
            <w:vAlign w:val="bottom"/>
            <w:gridSpan w:val="72"/>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Credit Agreement, dated as of May 31, 2019, by and among the Company, as borrower, KeyBank National Association,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1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40" w:type="dxa"/>
            <w:vAlign w:val="bottom"/>
            <w:tcBorders>
              <w:bottom w:val="single" w:sz="8" w:color="0000EE"/>
            </w:tcBorders>
            <w:gridSpan w:val="72"/>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administrative agent and syndication agent, CIBC Bank USA, as documentation agent, U.S. Bank National Association, as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0" w:type="dxa"/>
            <w:vAlign w:val="bottom"/>
            <w:gridSpan w:val="50"/>
            <w:vMerge w:val="restart"/>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paying agent, the guarantors from time to time party thereto, and the lenders from time to time party thereto.</w:t>
              </w:r>
            </w:hyperlink>
          </w:p>
        </w:tc>
        <w:tc>
          <w:tcPr>
            <w:tcW w:w="220" w:type="dxa"/>
            <w:vAlign w:val="bottom"/>
            <w:tcBorders>
              <w:bottom w:val="single" w:sz="8" w:color="0000EE"/>
            </w:tcBorders>
            <w:gridSpan w:val="2"/>
          </w:tcPr>
          <w:p>
            <w:pPr>
              <w:jc w:val="right"/>
              <w:spacing w:after="0" w:line="142" w:lineRule="exact"/>
              <w:rPr>
                <w:rFonts w:ascii="Arial" w:cs="Arial" w:eastAsia="Arial" w:hAnsi="Arial"/>
                <w:sz w:val="13"/>
                <w:szCs w:val="13"/>
                <w:color w:val="0000EE"/>
                <w:w w:val="86"/>
              </w:rPr>
            </w:pPr>
            <w:hyperlink r:id="rId191">
              <w:r>
                <w:rPr>
                  <w:rFonts w:ascii="Arial" w:cs="Arial" w:eastAsia="Arial" w:hAnsi="Arial"/>
                  <w:sz w:val="13"/>
                  <w:szCs w:val="13"/>
                  <w:color w:val="0000EE"/>
                  <w:w w:val="86"/>
                </w:rPr>
                <w:t>(10)</w:t>
              </w:r>
            </w:hyperlink>
          </w:p>
        </w:tc>
        <w:tc>
          <w:tcPr>
            <w:tcW w:w="180" w:type="dxa"/>
            <w:vAlign w:val="bottom"/>
            <w:gridSpan w:val="3"/>
            <w:vMerge w:val="restart"/>
          </w:tcPr>
          <w:p>
            <w:pPr>
              <w:spacing w:after="0"/>
              <w:rPr>
                <w:sz w:val="13"/>
                <w:szCs w:val="13"/>
                <w:color w:val="auto"/>
              </w:rPr>
            </w:pPr>
          </w:p>
        </w:tc>
        <w:tc>
          <w:tcPr>
            <w:tcW w:w="60" w:type="dxa"/>
            <w:vAlign w:val="bottom"/>
            <w:gridSpan w:val="2"/>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60" w:type="dxa"/>
            <w:vAlign w:val="bottom"/>
            <w:gridSpan w:val="3"/>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gridSpan w:val="3"/>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0" w:type="dxa"/>
            <w:vAlign w:val="bottom"/>
            <w:tcBorders>
              <w:bottom w:val="single" w:sz="8" w:color="0000EE"/>
            </w:tcBorders>
            <w:gridSpan w:val="50"/>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20"/>
                <w:szCs w:val="20"/>
                <w:color w:val="auto"/>
              </w:rPr>
            </w:pPr>
          </w:p>
        </w:tc>
        <w:tc>
          <w:tcPr>
            <w:tcW w:w="8660" w:type="dxa"/>
            <w:vAlign w:val="bottom"/>
            <w:tcBorders>
              <w:bottom w:val="single" w:sz="8" w:color="0000EE"/>
            </w:tcBorders>
            <w:gridSpan w:val="66"/>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First Amendment to Credit Agreement, dated as of November 10, 2020, among the Company, as borrower; the financial</w:t>
              </w:r>
            </w:hyperlink>
          </w:p>
        </w:tc>
        <w:tc>
          <w:tcPr>
            <w:tcW w:w="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40" w:type="dxa"/>
            <w:vAlign w:val="bottom"/>
            <w:gridSpan w:val="72"/>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institutions party thereto as lenders; KeyBank National Association, as administrative agent and lender; CIBC Bank USA,</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60" w:type="dxa"/>
            <w:vAlign w:val="bottom"/>
            <w:tcBorders>
              <w:top w:val="single" w:sz="8" w:color="0000EE"/>
              <w:bottom w:val="single" w:sz="8" w:color="0000EE"/>
            </w:tcBorders>
            <w:gridSpan w:val="41"/>
            <w:vMerge w:val="restart"/>
          </w:tcPr>
          <w:p>
            <w:pPr>
              <w:spacing w:after="0" w:line="196" w:lineRule="exact"/>
              <w:rPr>
                <w:rFonts w:ascii="Arial" w:cs="Arial" w:eastAsia="Arial" w:hAnsi="Arial"/>
                <w:sz w:val="18"/>
                <w:szCs w:val="18"/>
                <w:color w:val="0000EE"/>
                <w:w w:val="89"/>
              </w:rPr>
            </w:pPr>
            <w:hyperlink r:id="rId192">
              <w:r>
                <w:rPr>
                  <w:rFonts w:ascii="Arial" w:cs="Arial" w:eastAsia="Arial" w:hAnsi="Arial"/>
                  <w:sz w:val="18"/>
                  <w:szCs w:val="18"/>
                  <w:color w:val="0000EE"/>
                  <w:w w:val="89"/>
                </w:rPr>
                <w:t>as documentation agent and lender; and U.S. Bank National Association, as paying agent.</w:t>
              </w:r>
            </w:hyperlink>
          </w:p>
        </w:tc>
        <w:tc>
          <w:tcPr>
            <w:tcW w:w="220" w:type="dxa"/>
            <w:vAlign w:val="bottom"/>
            <w:tcBorders>
              <w:top w:val="single" w:sz="8" w:color="0000EE"/>
              <w:bottom w:val="single" w:sz="8" w:color="0000EE"/>
            </w:tcBorders>
            <w:gridSpan w:val="4"/>
          </w:tcPr>
          <w:p>
            <w:pPr>
              <w:jc w:val="right"/>
              <w:spacing w:after="0" w:line="142" w:lineRule="exact"/>
              <w:rPr>
                <w:rFonts w:ascii="Arial" w:cs="Arial" w:eastAsia="Arial" w:hAnsi="Arial"/>
                <w:sz w:val="13"/>
                <w:szCs w:val="13"/>
                <w:color w:val="0000EE"/>
                <w:w w:val="86"/>
              </w:rPr>
            </w:pPr>
            <w:hyperlink r:id="rId192">
              <w:r>
                <w:rPr>
                  <w:rFonts w:ascii="Arial" w:cs="Arial" w:eastAsia="Arial" w:hAnsi="Arial"/>
                  <w:sz w:val="13"/>
                  <w:szCs w:val="13"/>
                  <w:color w:val="0000EE"/>
                  <w:w w:val="86"/>
                </w:rPr>
                <w:t>(12)</w:t>
              </w:r>
            </w:hyperlink>
          </w:p>
        </w:tc>
        <w:tc>
          <w:tcPr>
            <w:tcW w:w="1520" w:type="dxa"/>
            <w:vAlign w:val="bottom"/>
            <w:tcBorders>
              <w:top w:val="single" w:sz="8" w:color="0000EE"/>
              <w:bottom w:val="single" w:sz="8" w:color="0000EE"/>
            </w:tcBorders>
            <w:gridSpan w:val="10"/>
            <w:vMerge w:val="restart"/>
          </w:tcPr>
          <w:p>
            <w:pPr>
              <w:spacing w:after="0"/>
              <w:rPr>
                <w:sz w:val="13"/>
                <w:szCs w:val="13"/>
                <w:color w:val="auto"/>
              </w:rPr>
            </w:pPr>
          </w:p>
        </w:tc>
        <w:tc>
          <w:tcPr>
            <w:tcW w:w="60" w:type="dxa"/>
            <w:vAlign w:val="bottom"/>
            <w:tcBorders>
              <w:top w:val="single" w:sz="8" w:color="0000EE"/>
              <w:bottom w:val="single" w:sz="8" w:color="0000EE"/>
            </w:tcBorders>
            <w:gridSpan w:val="2"/>
            <w:vMerge w:val="restart"/>
          </w:tcPr>
          <w:p>
            <w:pPr>
              <w:spacing w:after="0"/>
              <w:rPr>
                <w:sz w:val="13"/>
                <w:szCs w:val="13"/>
                <w:color w:val="auto"/>
              </w:rPr>
            </w:pPr>
          </w:p>
        </w:tc>
        <w:tc>
          <w:tcPr>
            <w:tcW w:w="100" w:type="dxa"/>
            <w:vAlign w:val="bottom"/>
            <w:tcBorders>
              <w:top w:val="single" w:sz="8" w:color="0000EE"/>
              <w:bottom w:val="single" w:sz="8" w:color="0000EE"/>
            </w:tcBorders>
            <w:gridSpan w:val="2"/>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gridSpan w:val="3"/>
            <w:vMerge w:val="restart"/>
          </w:tcPr>
          <w:p>
            <w:pPr>
              <w:spacing w:after="0"/>
              <w:rPr>
                <w:sz w:val="13"/>
                <w:szCs w:val="13"/>
                <w:color w:val="auto"/>
              </w:rPr>
            </w:pPr>
          </w:p>
        </w:tc>
        <w:tc>
          <w:tcPr>
            <w:tcW w:w="40" w:type="dxa"/>
            <w:vAlign w:val="bottom"/>
            <w:tcBorders>
              <w:top w:val="single" w:sz="8" w:color="0000EE"/>
              <w:bottom w:val="single" w:sz="8" w:color="0000EE"/>
            </w:tcBorders>
            <w:gridSpan w:val="2"/>
            <w:vMerge w:val="restart"/>
          </w:tcPr>
          <w:p>
            <w:pPr>
              <w:spacing w:after="0"/>
              <w:rPr>
                <w:sz w:val="13"/>
                <w:szCs w:val="13"/>
                <w:color w:val="auto"/>
              </w:rPr>
            </w:pPr>
          </w:p>
        </w:tc>
        <w:tc>
          <w:tcPr>
            <w:tcW w:w="100" w:type="dxa"/>
            <w:vAlign w:val="bottom"/>
            <w:tcBorders>
              <w:top w:val="single" w:sz="8" w:color="0000EE"/>
              <w:bottom w:val="single" w:sz="8" w:color="0000EE"/>
            </w:tcBorders>
            <w:gridSpan w:val="4"/>
            <w:vMerge w:val="restart"/>
          </w:tcPr>
          <w:p>
            <w:pPr>
              <w:spacing w:after="0"/>
              <w:rPr>
                <w:sz w:val="13"/>
                <w:szCs w:val="13"/>
                <w:color w:val="auto"/>
              </w:rPr>
            </w:pPr>
          </w:p>
        </w:tc>
        <w:tc>
          <w:tcPr>
            <w:tcW w:w="8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60" w:type="dxa"/>
            <w:vAlign w:val="bottom"/>
            <w:tcBorders>
              <w:bottom w:val="single" w:sz="8" w:color="0000EE"/>
            </w:tcBorders>
            <w:gridSpan w:val="41"/>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520" w:type="dxa"/>
            <w:vAlign w:val="bottom"/>
            <w:gridSpan w:val="10"/>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100" w:type="dxa"/>
            <w:vAlign w:val="bottom"/>
            <w:gridSpan w:val="4"/>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0"/>
                <w:szCs w:val="20"/>
                <w:color w:val="auto"/>
              </w:rPr>
            </w:pPr>
          </w:p>
        </w:tc>
        <w:tc>
          <w:tcPr>
            <w:tcW w:w="8740" w:type="dxa"/>
            <w:vAlign w:val="bottom"/>
            <w:tcBorders>
              <w:bottom w:val="single" w:sz="8" w:color="0000EE"/>
            </w:tcBorders>
            <w:gridSpan w:val="69"/>
          </w:tcPr>
          <w:p>
            <w:pPr>
              <w:spacing w:after="0"/>
              <w:rPr>
                <w:rFonts w:ascii="Arial" w:cs="Arial" w:eastAsia="Arial" w:hAnsi="Arial"/>
                <w:sz w:val="18"/>
                <w:szCs w:val="18"/>
                <w:color w:val="0000EE"/>
                <w:w w:val="89"/>
              </w:rPr>
            </w:pPr>
            <w:hyperlink r:id="rId193">
              <w:r>
                <w:rPr>
                  <w:rFonts w:ascii="Arial" w:cs="Arial" w:eastAsia="Arial" w:hAnsi="Arial"/>
                  <w:sz w:val="18"/>
                  <w:szCs w:val="18"/>
                  <w:color w:val="0000EE"/>
                  <w:w w:val="89"/>
                </w:rPr>
                <w:t>Second Amendment to Credit Agreement, dated as of December 2, 2020, among the Company, as borrower; the financial</w:t>
              </w:r>
            </w:hyperlink>
          </w:p>
        </w:tc>
        <w:tc>
          <w:tcPr>
            <w:tcW w:w="1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40" w:type="dxa"/>
            <w:vAlign w:val="bottom"/>
            <w:gridSpan w:val="72"/>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institutions party thereto as lenders; KeyBank National Association, as administrative agent and lender; CIBC Bank USA,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60"/>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as documentation agent and lender; MUFG Union Bank, N.A., as co-documentation agent and lender; and U.S. Bank</w:t>
              </w:r>
            </w:hyperlink>
          </w:p>
        </w:tc>
        <w:tc>
          <w:tcPr>
            <w:tcW w:w="38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60" w:type="dxa"/>
            <w:vAlign w:val="bottom"/>
            <w:gridSpan w:val="23"/>
            <w:vMerge w:val="restart"/>
          </w:tcPr>
          <w:p>
            <w:pPr>
              <w:spacing w:after="0" w:line="19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National Association, as paying agent.</w:t>
              </w:r>
            </w:hyperlink>
          </w:p>
        </w:tc>
        <w:tc>
          <w:tcPr>
            <w:tcW w:w="220" w:type="dxa"/>
            <w:vAlign w:val="bottom"/>
            <w:tcBorders>
              <w:bottom w:val="single" w:sz="8" w:color="0000EE"/>
            </w:tcBorders>
            <w:gridSpan w:val="7"/>
          </w:tcPr>
          <w:p>
            <w:pPr>
              <w:jc w:val="right"/>
              <w:spacing w:after="0" w:line="142" w:lineRule="exact"/>
              <w:rPr>
                <w:rFonts w:ascii="Arial" w:cs="Arial" w:eastAsia="Arial" w:hAnsi="Arial"/>
                <w:sz w:val="13"/>
                <w:szCs w:val="13"/>
                <w:color w:val="0000EE"/>
                <w:w w:val="86"/>
              </w:rPr>
            </w:pPr>
            <w:hyperlink r:id="rId193">
              <w:r>
                <w:rPr>
                  <w:rFonts w:ascii="Arial" w:cs="Arial" w:eastAsia="Arial" w:hAnsi="Arial"/>
                  <w:sz w:val="13"/>
                  <w:szCs w:val="13"/>
                  <w:color w:val="0000EE"/>
                  <w:w w:val="86"/>
                </w:rPr>
                <w:t>(13)</w:t>
              </w:r>
            </w:hyperlink>
          </w:p>
        </w:tc>
        <w:tc>
          <w:tcPr>
            <w:tcW w:w="1380" w:type="dxa"/>
            <w:vAlign w:val="bottom"/>
            <w:gridSpan w:val="8"/>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3620" w:type="dxa"/>
            <w:vAlign w:val="bottom"/>
            <w:gridSpan w:val="15"/>
            <w:vMerge w:val="restart"/>
          </w:tcPr>
          <w:p>
            <w:pPr>
              <w:spacing w:after="0"/>
              <w:rPr>
                <w:sz w:val="13"/>
                <w:szCs w:val="13"/>
                <w:color w:val="auto"/>
              </w:rPr>
            </w:pPr>
          </w:p>
        </w:tc>
        <w:tc>
          <w:tcPr>
            <w:tcW w:w="60" w:type="dxa"/>
            <w:vAlign w:val="bottom"/>
            <w:gridSpan w:val="2"/>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240" w:type="dxa"/>
            <w:vAlign w:val="bottom"/>
            <w:gridSpan w:val="4"/>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00" w:type="dxa"/>
            <w:vAlign w:val="bottom"/>
            <w:gridSpan w:val="7"/>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Borders>
              <w:bottom w:val="single" w:sz="8" w:color="0000EE"/>
            </w:tcBorders>
            <w:gridSpan w:val="23"/>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620" w:type="dxa"/>
            <w:vAlign w:val="bottom"/>
            <w:gridSpan w:val="15"/>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40" w:type="dxa"/>
            <w:vAlign w:val="bottom"/>
            <w:gridSpan w:val="4"/>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0" w:type="dxa"/>
            <w:vAlign w:val="bottom"/>
            <w:gridSpan w:val="7"/>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20"/>
                <w:szCs w:val="20"/>
                <w:color w:val="auto"/>
              </w:rPr>
            </w:pPr>
          </w:p>
        </w:tc>
        <w:tc>
          <w:tcPr>
            <w:tcW w:w="8200" w:type="dxa"/>
            <w:vAlign w:val="bottom"/>
            <w:tcBorders>
              <w:bottom w:val="single" w:sz="8" w:color="0000EE"/>
            </w:tcBorders>
            <w:gridSpan w:val="55"/>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Third Amendment to Credit Agreement, dated as of June 1, 2021, among the Company, as borrower; the financial</w:t>
              </w:r>
            </w:hyperlink>
          </w:p>
        </w:tc>
        <w:tc>
          <w:tcPr>
            <w:tcW w:w="64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40" w:type="dxa"/>
            <w:vAlign w:val="bottom"/>
            <w:gridSpan w:val="72"/>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institutions party thereto as lenders; KeyBank National Association, as administrative agent and lender; CIBC Bank USA,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60"/>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as documentation agent and lender; MUFG Union Bank, N.A., as co-documentation agent and lender; and U.S. Bank</w:t>
              </w:r>
            </w:hyperlink>
          </w:p>
        </w:tc>
        <w:tc>
          <w:tcPr>
            <w:tcW w:w="38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gridSpan w:val="21"/>
            <w:vMerge w:val="restart"/>
          </w:tcPr>
          <w:p>
            <w:pPr>
              <w:spacing w:after="0" w:line="196"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National Association, as paying agent</w:t>
              </w:r>
            </w:hyperlink>
          </w:p>
        </w:tc>
        <w:tc>
          <w:tcPr>
            <w:tcW w:w="240" w:type="dxa"/>
            <w:vAlign w:val="bottom"/>
            <w:tcBorders>
              <w:bottom w:val="single" w:sz="8" w:color="0000EE"/>
            </w:tcBorders>
            <w:gridSpan w:val="8"/>
          </w:tcPr>
          <w:p>
            <w:pPr>
              <w:jc w:val="right"/>
              <w:spacing w:after="0" w:line="142" w:lineRule="exact"/>
              <w:rPr>
                <w:rFonts w:ascii="Arial" w:cs="Arial" w:eastAsia="Arial" w:hAnsi="Arial"/>
                <w:sz w:val="13"/>
                <w:szCs w:val="13"/>
                <w:color w:val="0000EE"/>
                <w:w w:val="86"/>
              </w:rPr>
            </w:pPr>
            <w:hyperlink r:id="rId194">
              <w:r>
                <w:rPr>
                  <w:rFonts w:ascii="Arial" w:cs="Arial" w:eastAsia="Arial" w:hAnsi="Arial"/>
                  <w:sz w:val="13"/>
                  <w:szCs w:val="13"/>
                  <w:color w:val="0000EE"/>
                  <w:w w:val="86"/>
                </w:rPr>
                <w:t>(17)</w:t>
              </w:r>
            </w:hyperlink>
          </w:p>
        </w:tc>
        <w:tc>
          <w:tcPr>
            <w:tcW w:w="1400" w:type="dxa"/>
            <w:vAlign w:val="bottom"/>
            <w:gridSpan w:val="9"/>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3680" w:type="dxa"/>
            <w:vAlign w:val="bottom"/>
            <w:gridSpan w:val="17"/>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240" w:type="dxa"/>
            <w:vAlign w:val="bottom"/>
            <w:gridSpan w:val="4"/>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00" w:type="dxa"/>
            <w:vAlign w:val="bottom"/>
            <w:gridSpan w:val="7"/>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Borders>
              <w:bottom w:val="single" w:sz="8" w:color="0000EE"/>
            </w:tcBorders>
            <w:gridSpan w:val="21"/>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40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680" w:type="dxa"/>
            <w:vAlign w:val="bottom"/>
            <w:gridSpan w:val="17"/>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40" w:type="dxa"/>
            <w:vAlign w:val="bottom"/>
            <w:gridSpan w:val="4"/>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0" w:type="dxa"/>
            <w:vAlign w:val="bottom"/>
            <w:gridSpan w:val="7"/>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20"/>
                <w:szCs w:val="20"/>
                <w:color w:val="auto"/>
              </w:rPr>
            </w:pPr>
          </w:p>
        </w:tc>
        <w:tc>
          <w:tcPr>
            <w:tcW w:w="8260" w:type="dxa"/>
            <w:vAlign w:val="bottom"/>
            <w:tcBorders>
              <w:bottom w:val="single" w:sz="8" w:color="0000EE"/>
            </w:tcBorders>
            <w:gridSpan w:val="57"/>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Fourth Amendment to Credit Agreement, dated as of August 3, 2021, among Runway Growth Credit Fund Inc., as</w:t>
              </w:r>
            </w:hyperlink>
          </w:p>
        </w:tc>
        <w:tc>
          <w:tcPr>
            <w:tcW w:w="58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tcBorders>
              <w:bottom w:val="single" w:sz="8" w:color="0000EE"/>
            </w:tcBorders>
            <w:gridSpan w:val="63"/>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borrower; the financial institutions party thereto as lenders; KeyBank National Association, as administrative agent and</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40" w:type="dxa"/>
            <w:vAlign w:val="bottom"/>
            <w:tcBorders>
              <w:bottom w:val="single" w:sz="8" w:color="0000EE"/>
            </w:tcBorders>
            <w:gridSpan w:val="65"/>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lender; CIBC Bank USA, as documentation agent and lender; MUFG Union Bank, N.A. as co-documentation agent and</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360" w:type="dxa"/>
            <w:vAlign w:val="bottom"/>
            <w:gridSpan w:val="38"/>
            <w:vMerge w:val="restart"/>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lender; and U.S. Bank National Association, as paying agent</w:t>
              </w:r>
            </w:hyperlink>
          </w:p>
        </w:tc>
        <w:tc>
          <w:tcPr>
            <w:tcW w:w="220" w:type="dxa"/>
            <w:vAlign w:val="bottom"/>
            <w:tcBorders>
              <w:bottom w:val="single" w:sz="8" w:color="0000EE"/>
            </w:tcBorders>
            <w:gridSpan w:val="2"/>
          </w:tcPr>
          <w:p>
            <w:pPr>
              <w:jc w:val="right"/>
              <w:spacing w:after="0" w:line="142" w:lineRule="exact"/>
              <w:rPr>
                <w:rFonts w:ascii="Arial" w:cs="Arial" w:eastAsia="Arial" w:hAnsi="Arial"/>
                <w:sz w:val="13"/>
                <w:szCs w:val="13"/>
                <w:color w:val="0000EE"/>
                <w:w w:val="86"/>
              </w:rPr>
            </w:pPr>
            <w:hyperlink r:id="rId195">
              <w:r>
                <w:rPr>
                  <w:rFonts w:ascii="Arial" w:cs="Arial" w:eastAsia="Arial" w:hAnsi="Arial"/>
                  <w:sz w:val="13"/>
                  <w:szCs w:val="13"/>
                  <w:color w:val="0000EE"/>
                  <w:w w:val="86"/>
                </w:rPr>
                <w:t>(14)</w:t>
              </w:r>
            </w:hyperlink>
          </w:p>
        </w:tc>
        <w:tc>
          <w:tcPr>
            <w:tcW w:w="3780" w:type="dxa"/>
            <w:vAlign w:val="bottom"/>
            <w:gridSpan w:val="19"/>
            <w:vMerge w:val="restart"/>
          </w:tcPr>
          <w:p>
            <w:pPr>
              <w:spacing w:after="0"/>
              <w:rPr>
                <w:sz w:val="13"/>
                <w:szCs w:val="13"/>
                <w:color w:val="auto"/>
              </w:rPr>
            </w:pPr>
          </w:p>
        </w:tc>
        <w:tc>
          <w:tcPr>
            <w:tcW w:w="480" w:type="dxa"/>
            <w:vAlign w:val="bottom"/>
            <w:gridSpan w:val="1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Borders>
              <w:bottom w:val="single" w:sz="8" w:color="0000EE"/>
            </w:tcBorders>
            <w:gridSpan w:val="38"/>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gridSpan w:val="19"/>
            <w:vMerge w:val="continue"/>
          </w:tcPr>
          <w:p>
            <w:pPr>
              <w:spacing w:after="0" w:line="20" w:lineRule="exact"/>
              <w:rPr>
                <w:sz w:val="1"/>
                <w:szCs w:val="1"/>
                <w:color w:val="auto"/>
              </w:rPr>
            </w:pPr>
          </w:p>
        </w:tc>
        <w:tc>
          <w:tcPr>
            <w:tcW w:w="480" w:type="dxa"/>
            <w:vAlign w:val="bottom"/>
            <w:gridSpan w:val="1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820" w:type="dxa"/>
            <w:vAlign w:val="bottom"/>
            <w:gridSpan w:val="2"/>
          </w:tcPr>
          <w:p>
            <w:pPr>
              <w:ind w:left="200"/>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20"/>
                <w:szCs w:val="20"/>
                <w:color w:val="auto"/>
              </w:rPr>
            </w:pPr>
          </w:p>
        </w:tc>
        <w:tc>
          <w:tcPr>
            <w:tcW w:w="8360" w:type="dxa"/>
            <w:vAlign w:val="bottom"/>
            <w:tcBorders>
              <w:bottom w:val="single" w:sz="8" w:color="0000EE"/>
            </w:tcBorders>
            <w:gridSpan w:val="59"/>
          </w:tcPr>
          <w:p>
            <w:pPr>
              <w:spacing w:after="0"/>
              <w:rPr>
                <w:rFonts w:ascii="Arial" w:cs="Arial" w:eastAsia="Arial" w:hAnsi="Arial"/>
                <w:sz w:val="18"/>
                <w:szCs w:val="18"/>
                <w:color w:val="0000EE"/>
                <w:w w:val="89"/>
              </w:rPr>
            </w:pPr>
            <w:hyperlink r:id="rId196">
              <w:r>
                <w:rPr>
                  <w:rFonts w:ascii="Arial" w:cs="Arial" w:eastAsia="Arial" w:hAnsi="Arial"/>
                  <w:sz w:val="18"/>
                  <w:szCs w:val="18"/>
                  <w:color w:val="0000EE"/>
                  <w:w w:val="89"/>
                </w:rPr>
                <w:t>Master Note Purchase Agreement, dated December 10, 2021, by and among Runway Growth Finance Corp. and the</w:t>
              </w:r>
            </w:hyperlink>
          </w:p>
        </w:tc>
        <w:tc>
          <w:tcPr>
            <w:tcW w:w="48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13"/>
            <w:vMerge w:val="restart"/>
          </w:tcPr>
          <w:p>
            <w:pPr>
              <w:spacing w:after="0" w:line="196" w:lineRule="exact"/>
              <w:rPr>
                <w:rFonts w:ascii="Arial" w:cs="Arial" w:eastAsia="Arial" w:hAnsi="Arial"/>
                <w:sz w:val="18"/>
                <w:szCs w:val="18"/>
                <w:color w:val="0000EE"/>
                <w:w w:val="87"/>
              </w:rPr>
            </w:pPr>
            <w:hyperlink r:id="rId196">
              <w:r>
                <w:rPr>
                  <w:rFonts w:ascii="Arial" w:cs="Arial" w:eastAsia="Arial" w:hAnsi="Arial"/>
                  <w:sz w:val="18"/>
                  <w:szCs w:val="18"/>
                  <w:color w:val="0000EE"/>
                  <w:w w:val="87"/>
                </w:rPr>
                <w:t>Purchasers signatory thereto</w:t>
              </w:r>
            </w:hyperlink>
          </w:p>
        </w:tc>
        <w:tc>
          <w:tcPr>
            <w:tcW w:w="220" w:type="dxa"/>
            <w:vAlign w:val="bottom"/>
            <w:tcBorders>
              <w:bottom w:val="single" w:sz="8" w:color="0000EE"/>
            </w:tcBorders>
          </w:tcPr>
          <w:p>
            <w:pPr>
              <w:jc w:val="right"/>
              <w:spacing w:after="0" w:line="142" w:lineRule="exact"/>
              <w:rPr>
                <w:rFonts w:ascii="Arial" w:cs="Arial" w:eastAsia="Arial" w:hAnsi="Arial"/>
                <w:sz w:val="13"/>
                <w:szCs w:val="13"/>
                <w:color w:val="0000EE"/>
                <w:w w:val="86"/>
              </w:rPr>
            </w:pPr>
            <w:hyperlink r:id="rId196">
              <w:r>
                <w:rPr>
                  <w:rFonts w:ascii="Arial" w:cs="Arial" w:eastAsia="Arial" w:hAnsi="Arial"/>
                  <w:sz w:val="13"/>
                  <w:szCs w:val="13"/>
                  <w:color w:val="0000EE"/>
                  <w:w w:val="86"/>
                </w:rPr>
                <w:t>(18)</w:t>
              </w:r>
            </w:hyperlink>
          </w:p>
        </w:tc>
        <w:tc>
          <w:tcPr>
            <w:tcW w:w="6580" w:type="dxa"/>
            <w:vAlign w:val="bottom"/>
            <w:gridSpan w:val="5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bottom w:val="single" w:sz="8" w:color="0000EE"/>
            </w:tcBorders>
            <w:gridSpan w:val="1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gridSpan w:val="5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gridSpan w:val="38"/>
          </w:tcPr>
          <w:p>
            <w:pPr>
              <w:jc w:val="right"/>
              <w:ind w:right="268"/>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9900" w:type="dxa"/>
            <w:vAlign w:val="bottom"/>
            <w:tcBorders>
              <w:bottom w:val="single" w:sz="8" w:color="auto"/>
            </w:tcBorders>
            <w:gridSpan w:val="74"/>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80" w:right="200" w:hanging="871"/>
        <w:spacing w:after="0" w:line="259"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w:anchor="page147">
        <w:r>
          <w:rPr>
            <w:rFonts w:ascii="Arial" w:cs="Arial" w:eastAsia="Arial" w:hAnsi="Arial"/>
            <w:sz w:val="18"/>
            <w:szCs w:val="18"/>
            <w:u w:val="single" w:color="auto"/>
            <w:color w:val="0000EE"/>
          </w:rPr>
          <w:t>Fifth Amendment to Credit Agreement, dated as of October 19, 2021, among Runway Growth Finance Corp., as</w:t>
        </w:r>
      </w:hyperlink>
      <w:r>
        <w:rPr>
          <w:rFonts w:ascii="Arial" w:cs="Arial" w:eastAsia="Arial" w:hAnsi="Arial"/>
          <w:sz w:val="18"/>
          <w:szCs w:val="18"/>
          <w:u w:val="single" w:color="auto"/>
          <w:color w:val="0000EE"/>
        </w:rPr>
        <w:t xml:space="preserve"> </w:t>
      </w:r>
      <w:hyperlink w:anchor="page147">
        <w:r>
          <w:rPr>
            <w:rFonts w:ascii="Arial" w:cs="Arial" w:eastAsia="Arial" w:hAnsi="Arial"/>
            <w:sz w:val="18"/>
            <w:szCs w:val="18"/>
            <w:u w:val="single" w:color="auto"/>
            <w:color w:val="0000EE"/>
          </w:rPr>
          <w:t>borrower; the financial institutions party thereto as lenders; KeyBank National Association, as administrative agent and</w:t>
        </w:r>
      </w:hyperlink>
      <w:r>
        <w:rPr>
          <w:rFonts w:ascii="Arial" w:cs="Arial" w:eastAsia="Arial" w:hAnsi="Arial"/>
          <w:sz w:val="18"/>
          <w:szCs w:val="18"/>
          <w:u w:val="single" w:color="auto"/>
          <w:color w:val="0000EE"/>
        </w:rPr>
        <w:t xml:space="preserve"> </w:t>
      </w:r>
      <w:hyperlink w:anchor="page147">
        <w:r>
          <w:rPr>
            <w:rFonts w:ascii="Arial" w:cs="Arial" w:eastAsia="Arial" w:hAnsi="Arial"/>
            <w:sz w:val="18"/>
            <w:szCs w:val="18"/>
            <w:u w:val="single" w:color="auto"/>
            <w:color w:val="0000EE"/>
          </w:rPr>
          <w:t>lender; CIBC Bank USA, as documentation agent and lender; MUFG Union Bank, N.A. as co-documentation agent and</w:t>
        </w:r>
      </w:hyperlink>
      <w:r>
        <w:rPr>
          <w:rFonts w:ascii="Arial" w:cs="Arial" w:eastAsia="Arial" w:hAnsi="Arial"/>
          <w:sz w:val="18"/>
          <w:szCs w:val="18"/>
          <w:u w:val="single" w:color="auto"/>
          <w:color w:val="0000EE"/>
        </w:rPr>
        <w:t xml:space="preserve"> </w:t>
      </w:r>
      <w:hyperlink w:anchor="page147">
        <w:r>
          <w:rPr>
            <w:rFonts w:ascii="Arial" w:cs="Arial" w:eastAsia="Arial" w:hAnsi="Arial"/>
            <w:sz w:val="18"/>
            <w:szCs w:val="18"/>
            <w:u w:val="single" w:color="auto"/>
            <w:color w:val="0000EE"/>
          </w:rPr>
          <w:t>lender; and U.S. Bank National Association, as paying agent*</w:t>
        </w:r>
      </w:hyperlink>
    </w:p>
    <w:p>
      <w:pPr>
        <w:spacing w:after="0" w:line="11" w:lineRule="exact"/>
        <w:rPr>
          <w:rFonts w:ascii="Arial" w:cs="Arial" w:eastAsia="Arial" w:hAnsi="Arial"/>
          <w:sz w:val="18"/>
          <w:szCs w:val="18"/>
          <w:u w:val="single" w:color="auto"/>
          <w:color w:val="0000EE"/>
        </w:rPr>
      </w:pPr>
    </w:p>
    <w:p>
      <w:pPr>
        <w:ind w:left="200"/>
        <w:spacing w:after="0"/>
        <w:tabs>
          <w:tab w:leader="none" w:pos="10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Computation of Per Share Earnings (Included in the notes to the financial statements contained in this report)</w:t>
      </w:r>
    </w:p>
    <w:p>
      <w:pPr>
        <w:spacing w:after="0" w:line="50" w:lineRule="exact"/>
        <w:rPr>
          <w:rFonts w:ascii="Arial" w:cs="Arial" w:eastAsia="Arial" w:hAnsi="Arial"/>
          <w:sz w:val="18"/>
          <w:szCs w:val="18"/>
          <w:u w:val="single" w:color="auto"/>
          <w:color w:val="0000EE"/>
        </w:rPr>
      </w:pPr>
    </w:p>
    <w:p>
      <w:pPr>
        <w:ind w:left="200"/>
        <w:spacing w:after="0"/>
        <w:tabs>
          <w:tab w:leader="none" w:pos="1060" w:val="left"/>
        </w:tabs>
        <w:rPr>
          <w:rFonts w:ascii="Arial" w:cs="Arial" w:eastAsia="Arial" w:hAnsi="Arial"/>
          <w:sz w:val="15"/>
          <w:szCs w:val="15"/>
          <w:u w:val="single" w:color="auto"/>
          <w:color w:val="0000EE"/>
        </w:rPr>
      </w:pPr>
      <w:r>
        <w:rPr>
          <w:rFonts w:ascii="Arial" w:cs="Arial" w:eastAsia="Arial" w:hAnsi="Arial"/>
          <w:sz w:val="18"/>
          <w:szCs w:val="18"/>
          <w:color w:val="auto"/>
        </w:rPr>
        <w:t>14.1</w:t>
      </w:r>
      <w:r>
        <w:rPr>
          <w:sz w:val="20"/>
          <w:szCs w:val="20"/>
          <w:color w:val="auto"/>
        </w:rPr>
        <w:tab/>
      </w:r>
      <w:hyperlink r:id="rId197">
        <w:r>
          <w:rPr>
            <w:rFonts w:ascii="Arial" w:cs="Arial" w:eastAsia="Arial" w:hAnsi="Arial"/>
            <w:sz w:val="15"/>
            <w:szCs w:val="15"/>
            <w:u w:val="single" w:color="auto"/>
            <w:color w:val="0000EE"/>
          </w:rPr>
          <w:t>Joint Code of Ethics</w:t>
        </w:r>
        <w:r>
          <w:rPr>
            <w:rFonts w:ascii="Arial" w:cs="Arial" w:eastAsia="Arial" w:hAnsi="Arial"/>
            <w:sz w:val="21"/>
            <w:szCs w:val="21"/>
            <w:u w:val="single" w:color="auto"/>
            <w:color w:val="0000EE"/>
            <w:vertAlign w:val="superscript"/>
          </w:rPr>
          <w:t>(14)</w:t>
        </w:r>
      </w:hyperlink>
    </w:p>
    <w:p>
      <w:pPr>
        <w:spacing w:after="0" w:line="58" w:lineRule="exact"/>
        <w:rPr>
          <w:rFonts w:ascii="Arial" w:cs="Arial" w:eastAsia="Arial" w:hAnsi="Arial"/>
          <w:sz w:val="18"/>
          <w:szCs w:val="18"/>
          <w:u w:val="single" w:color="auto"/>
          <w:color w:val="0000EE"/>
        </w:rPr>
      </w:pPr>
    </w:p>
    <w:p>
      <w:pPr>
        <w:ind w:left="20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RWAY IP Holdings LLC - Delaware</w:t>
      </w:r>
    </w:p>
    <w:p>
      <w:pPr>
        <w:spacing w:after="0" w:line="74" w:lineRule="exact"/>
        <w:rPr>
          <w:rFonts w:ascii="Arial" w:cs="Arial" w:eastAsia="Arial" w:hAnsi="Arial"/>
          <w:sz w:val="18"/>
          <w:szCs w:val="18"/>
          <w:u w:val="single" w:color="auto"/>
          <w:color w:val="0000EE"/>
        </w:rPr>
      </w:pPr>
    </w:p>
    <w:p>
      <w:pPr>
        <w:ind w:left="2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58">
        <w:r>
          <w:rPr>
            <w:rFonts w:ascii="Arial" w:cs="Arial" w:eastAsia="Arial" w:hAnsi="Arial"/>
            <w:sz w:val="16"/>
            <w:szCs w:val="16"/>
            <w:u w:val="single" w:color="auto"/>
            <w:color w:val="0000EE"/>
          </w:rPr>
          <w:t>Consent of RSM US LLP*</w:t>
        </w:r>
      </w:hyperlink>
    </w:p>
    <w:p>
      <w:pPr>
        <w:spacing w:after="0" w:line="63" w:lineRule="exact"/>
        <w:rPr>
          <w:rFonts w:ascii="Arial" w:cs="Arial" w:eastAsia="Arial" w:hAnsi="Arial"/>
          <w:sz w:val="18"/>
          <w:szCs w:val="18"/>
          <w:u w:val="single" w:color="auto"/>
          <w:color w:val="0000EE"/>
        </w:rPr>
      </w:pPr>
    </w:p>
    <w:p>
      <w:pPr>
        <w:ind w:left="2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59">
        <w:r>
          <w:rPr>
            <w:rFonts w:ascii="Arial" w:cs="Arial" w:eastAsia="Arial" w:hAnsi="Arial"/>
            <w:sz w:val="16"/>
            <w:szCs w:val="16"/>
            <w:u w:val="single" w:color="auto"/>
            <w:color w:val="0000EE"/>
          </w:rPr>
          <w:t>Certification of Chief Executive Officer pursuant to Rule 13a-14 of the Securities Exchange Act of 1934, as amended*</w:t>
        </w:r>
      </w:hyperlink>
    </w:p>
    <w:p>
      <w:pPr>
        <w:spacing w:after="0" w:line="50" w:lineRule="exact"/>
        <w:rPr>
          <w:rFonts w:ascii="Arial" w:cs="Arial" w:eastAsia="Arial" w:hAnsi="Arial"/>
          <w:sz w:val="18"/>
          <w:szCs w:val="18"/>
          <w:u w:val="single" w:color="auto"/>
          <w:color w:val="0000EE"/>
        </w:rPr>
      </w:pPr>
    </w:p>
    <w:p>
      <w:pPr>
        <w:ind w:left="2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60">
        <w:r>
          <w:rPr>
            <w:rFonts w:ascii="Arial" w:cs="Arial" w:eastAsia="Arial" w:hAnsi="Arial"/>
            <w:sz w:val="16"/>
            <w:szCs w:val="16"/>
            <w:u w:val="single" w:color="auto"/>
            <w:color w:val="0000EE"/>
          </w:rPr>
          <w:t>Certification of Chief Financial Officer pursuant to Rule 13a-14 of the Securities Exchange Act of 1934, as amended*</w:t>
        </w:r>
      </w:hyperlink>
    </w:p>
    <w:p>
      <w:pPr>
        <w:spacing w:after="0" w:line="50" w:lineRule="exact"/>
        <w:rPr>
          <w:rFonts w:ascii="Arial" w:cs="Arial" w:eastAsia="Arial" w:hAnsi="Arial"/>
          <w:sz w:val="18"/>
          <w:szCs w:val="18"/>
          <w:u w:val="single" w:color="auto"/>
          <w:color w:val="0000EE"/>
        </w:rPr>
      </w:pPr>
    </w:p>
    <w:p>
      <w:pPr>
        <w:ind w:left="2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61">
        <w:r>
          <w:rPr>
            <w:rFonts w:ascii="Arial" w:cs="Arial" w:eastAsia="Arial" w:hAnsi="Arial"/>
            <w:sz w:val="16"/>
            <w:szCs w:val="16"/>
            <w:u w:val="single" w:color="auto"/>
            <w:color w:val="0000EE"/>
          </w:rPr>
          <w:t>Certification of Chief Executive Officer pursuant to Section 906 of the Sarbanes-Oxley Act of 2002*</w:t>
        </w:r>
      </w:hyperlink>
    </w:p>
    <w:p>
      <w:pPr>
        <w:spacing w:after="0" w:line="50" w:lineRule="exact"/>
        <w:rPr>
          <w:rFonts w:ascii="Arial" w:cs="Arial" w:eastAsia="Arial" w:hAnsi="Arial"/>
          <w:sz w:val="18"/>
          <w:szCs w:val="18"/>
          <w:u w:val="single" w:color="auto"/>
          <w:color w:val="0000EE"/>
        </w:rPr>
      </w:pPr>
    </w:p>
    <w:p>
      <w:pPr>
        <w:ind w:left="2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62">
        <w:r>
          <w:rPr>
            <w:rFonts w:ascii="Arial" w:cs="Arial" w:eastAsia="Arial" w:hAnsi="Arial"/>
            <w:sz w:val="16"/>
            <w:szCs w:val="16"/>
            <w:u w:val="single" w:color="auto"/>
            <w:color w:val="0000EE"/>
          </w:rPr>
          <w:t>Certification of Chief Financial Officer pursuant to Section 906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92075</wp:posOffset>
            </wp:positionV>
            <wp:extent cx="15684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19" w:lineRule="exact"/>
        <w:rPr>
          <w:rFonts w:ascii="Arial" w:cs="Arial" w:eastAsia="Arial" w:hAnsi="Arial"/>
          <w:sz w:val="18"/>
          <w:szCs w:val="18"/>
          <w:u w:val="single" w:color="auto"/>
          <w:color w:val="0000EE"/>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u w:val="single" w:color="auto"/>
          <w:color w:val="0000EE"/>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December 19, 2016.</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June 14, 2017.</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Quarterly Report on Form 10-Q filed with the SEC on August 10, 2017.</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Annual Report on Form 10-K filed with the SEC on March 29, 2017.</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May 28, 2021.</w:t>
      </w:r>
    </w:p>
    <w:p>
      <w:pPr>
        <w:spacing w:after="0" w:line="184"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Registration Statement on Form 10 (File No. 000-55544) filed with the SEC on February 12, 2016.</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Quarterly Report on Form 10-Q filed with the SEC on November 9, 2017.</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December 28, 2018.</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Annual Report on Form 10-K filed with the SEC on March 28, 2019.</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June 6, 2019.</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Annual Report on Form 10-K filed with the SEC on March 20, 2020.</w:t>
      </w:r>
    </w:p>
    <w:p>
      <w:pPr>
        <w:spacing w:after="0" w:line="198" w:lineRule="exact"/>
        <w:rPr>
          <w:rFonts w:ascii="Arial" w:cs="Arial" w:eastAsia="Arial" w:hAnsi="Arial"/>
          <w:sz w:val="18"/>
          <w:szCs w:val="18"/>
          <w:color w:val="auto"/>
        </w:rPr>
      </w:pPr>
    </w:p>
    <w:p>
      <w:pPr>
        <w:ind w:left="360" w:hanging="352"/>
        <w:spacing w:after="0"/>
        <w:tabs>
          <w:tab w:leader="none" w:pos="3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with the SEC on November 12, 2020.</w:t>
      </w:r>
    </w:p>
    <w:p>
      <w:pPr>
        <w:spacing w:after="0" w:line="196" w:lineRule="exact"/>
        <w:rPr>
          <w:rFonts w:ascii="Arial" w:cs="Arial" w:eastAsia="Arial" w:hAnsi="Arial"/>
          <w:sz w:val="17"/>
          <w:szCs w:val="17"/>
          <w:color w:val="auto"/>
        </w:rPr>
      </w:pPr>
    </w:p>
    <w:p>
      <w:pPr>
        <w:ind w:left="360" w:hanging="35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December 4, 2020.</w:t>
      </w:r>
    </w:p>
    <w:p>
      <w:pPr>
        <w:spacing w:after="0" w:line="184" w:lineRule="exact"/>
        <w:rPr>
          <w:rFonts w:ascii="Arial" w:cs="Arial" w:eastAsia="Arial" w:hAnsi="Arial"/>
          <w:sz w:val="18"/>
          <w:szCs w:val="18"/>
          <w:color w:val="auto"/>
        </w:rPr>
      </w:pPr>
    </w:p>
    <w:p>
      <w:pPr>
        <w:ind w:left="360" w:hanging="35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Quarterly Report on Form 10-Q filed with the SEC on August 5, 2021.</w:t>
      </w:r>
    </w:p>
    <w:p>
      <w:pPr>
        <w:spacing w:after="0" w:line="198" w:lineRule="exact"/>
        <w:rPr>
          <w:rFonts w:ascii="Arial" w:cs="Arial" w:eastAsia="Arial" w:hAnsi="Arial"/>
          <w:sz w:val="18"/>
          <w:szCs w:val="18"/>
          <w:color w:val="auto"/>
        </w:rPr>
      </w:pPr>
    </w:p>
    <w:p>
      <w:pPr>
        <w:ind w:left="360" w:hanging="35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August 19, 2021.</w:t>
      </w:r>
    </w:p>
    <w:p>
      <w:pPr>
        <w:spacing w:after="0" w:line="184" w:lineRule="exact"/>
        <w:rPr>
          <w:rFonts w:ascii="Arial" w:cs="Arial" w:eastAsia="Arial" w:hAnsi="Arial"/>
          <w:sz w:val="18"/>
          <w:szCs w:val="18"/>
          <w:color w:val="auto"/>
        </w:rPr>
      </w:pPr>
    </w:p>
    <w:p>
      <w:pPr>
        <w:ind w:left="360" w:hanging="35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October 27, 2021.</w:t>
      </w:r>
    </w:p>
    <w:p>
      <w:pPr>
        <w:spacing w:after="0" w:line="184" w:lineRule="exact"/>
        <w:rPr>
          <w:rFonts w:ascii="Arial" w:cs="Arial" w:eastAsia="Arial" w:hAnsi="Arial"/>
          <w:sz w:val="18"/>
          <w:szCs w:val="18"/>
          <w:color w:val="auto"/>
        </w:rPr>
      </w:pPr>
    </w:p>
    <w:p>
      <w:pPr>
        <w:ind w:left="340" w:hanging="332"/>
        <w:spacing w:after="0" w:line="277" w:lineRule="auto"/>
        <w:tabs>
          <w:tab w:leader="none" w:pos="37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Registration Statement on Form N-2 (File No. 333-259824) filed with the SEC on September 27, 2021.</w:t>
      </w:r>
    </w:p>
    <w:p>
      <w:pPr>
        <w:spacing w:after="0" w:line="143" w:lineRule="exact"/>
        <w:rPr>
          <w:rFonts w:ascii="Arial" w:cs="Arial" w:eastAsia="Arial" w:hAnsi="Arial"/>
          <w:sz w:val="18"/>
          <w:szCs w:val="18"/>
          <w:color w:val="auto"/>
        </w:rPr>
      </w:pPr>
    </w:p>
    <w:p>
      <w:pPr>
        <w:ind w:left="360" w:hanging="35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with the SEC on December 13, 2021.</w:t>
      </w:r>
    </w:p>
    <w:p>
      <w:pPr>
        <w:spacing w:after="0" w:line="184" w:lineRule="exact"/>
        <w:rPr>
          <w:rFonts w:ascii="Arial" w:cs="Arial" w:eastAsia="Arial" w:hAnsi="Arial"/>
          <w:sz w:val="18"/>
          <w:szCs w:val="18"/>
          <w:color w:val="auto"/>
        </w:rPr>
      </w:pPr>
    </w:p>
    <w:p>
      <w:pPr>
        <w:ind w:left="360" w:hanging="35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as an exhibit otto the Company’s Current report on Form 8-K filed with the SEC on September 23, 2021.</w:t>
      </w:r>
    </w:p>
    <w:p>
      <w:pPr>
        <w:sectPr>
          <w:pgSz w:w="11900" w:h="16838" w:orient="portrait"/>
          <w:cols w:equalWidth="0" w:num="1">
            <w:col w:w="9920"/>
          </w:cols>
          <w:pgMar w:left="980" w:top="517" w:right="999" w:bottom="1440" w:gutter="0" w:footer="0" w:header="0"/>
        </w:sectPr>
      </w:pPr>
    </w:p>
    <w:p>
      <w:pPr>
        <w:spacing w:after="0" w:line="200" w:lineRule="exact"/>
        <w:rPr>
          <w:rFonts w:ascii="Arial" w:cs="Arial" w:eastAsia="Arial" w:hAnsi="Arial"/>
          <w:sz w:val="18"/>
          <w:szCs w:val="18"/>
          <w:u w:val="single" w:color="auto"/>
          <w:color w:val="0000EE"/>
        </w:rPr>
      </w:pPr>
    </w:p>
    <w:p>
      <w:pPr>
        <w:spacing w:after="0" w:line="336"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FINANCE CORP.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4"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Gary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Gary Kovacs</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Brian Laibow</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Julie Persily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Julie Persily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By: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Lewis W. Solimene,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5715</wp:posOffset>
            </wp:positionV>
            <wp:extent cx="29057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Lewis W. Solimene, Jr.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6" w:name="page147"/>
    <w:bookmarkEnd w:id="146"/>
    <w:p>
      <w:pPr>
        <w:jc w:val="right"/>
        <w:ind w:right="219"/>
        <w:spacing w:after="0"/>
        <w:rPr>
          <w:sz w:val="20"/>
          <w:szCs w:val="20"/>
          <w:color w:val="auto"/>
        </w:rPr>
      </w:pPr>
      <w:r>
        <w:rPr>
          <w:rFonts w:ascii="Arial" w:cs="Arial" w:eastAsia="Arial" w:hAnsi="Arial"/>
          <w:sz w:val="22"/>
          <w:szCs w:val="22"/>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IFTH</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MENDMENT TO</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AIVER</w:t>
      </w:r>
    </w:p>
    <w:p>
      <w:pPr>
        <w:spacing w:after="0" w:line="253"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HIS</w:t>
      </w:r>
      <w:r>
        <w:rPr>
          <w:rFonts w:ascii="Arial" w:cs="Arial" w:eastAsia="Arial" w:hAnsi="Arial"/>
          <w:sz w:val="20"/>
          <w:szCs w:val="20"/>
          <w:color w:val="auto"/>
        </w:rPr>
        <w:t xml:space="preserve"> F</w:t>
      </w:r>
      <w:r>
        <w:rPr>
          <w:rFonts w:ascii="Arial" w:cs="Arial" w:eastAsia="Arial" w:hAnsi="Arial"/>
          <w:sz w:val="13"/>
          <w:szCs w:val="13"/>
          <w:color w:val="auto"/>
        </w:rPr>
        <w:t>IFTH TO</w:t>
      </w:r>
      <w:r>
        <w:rPr>
          <w:rFonts w:ascii="Arial" w:cs="Arial" w:eastAsia="Arial" w:hAnsi="Arial"/>
          <w:sz w:val="20"/>
          <w:szCs w:val="20"/>
          <w:color w:val="auto"/>
        </w:rPr>
        <w:t xml:space="preserve"> C</w:t>
      </w:r>
      <w:r>
        <w:rPr>
          <w:rFonts w:ascii="Arial" w:cs="Arial" w:eastAsia="Arial" w:hAnsi="Arial"/>
          <w:sz w:val="13"/>
          <w:szCs w:val="13"/>
          <w:color w:val="auto"/>
        </w:rPr>
        <w:t>REDIT</w:t>
      </w:r>
      <w:r>
        <w:rPr>
          <w:rFonts w:ascii="Arial" w:cs="Arial" w:eastAsia="Arial" w:hAnsi="Arial"/>
          <w:sz w:val="20"/>
          <w:szCs w:val="20"/>
          <w:color w:val="auto"/>
        </w:rPr>
        <w:t xml:space="preserve"> A</w:t>
      </w:r>
      <w:r>
        <w:rPr>
          <w:rFonts w:ascii="Arial" w:cs="Arial" w:eastAsia="Arial" w:hAnsi="Arial"/>
          <w:sz w:val="13"/>
          <w:szCs w:val="13"/>
          <w:color w:val="auto"/>
        </w:rPr>
        <w:t>GREEMENT AND</w:t>
      </w:r>
      <w:r>
        <w:rPr>
          <w:rFonts w:ascii="Arial" w:cs="Arial" w:eastAsia="Arial" w:hAnsi="Arial"/>
          <w:sz w:val="20"/>
          <w:szCs w:val="20"/>
          <w:color w:val="auto"/>
        </w:rPr>
        <w:t xml:space="preserve"> W</w:t>
      </w:r>
      <w:r>
        <w:rPr>
          <w:rFonts w:ascii="Arial" w:cs="Arial" w:eastAsia="Arial" w:hAnsi="Arial"/>
          <w:sz w:val="13"/>
          <w:szCs w:val="13"/>
          <w:color w:val="auto"/>
        </w:rPr>
        <w:t>AIVER</w:t>
      </w:r>
      <w:r>
        <w:rPr>
          <w:rFonts w:ascii="Arial" w:cs="Arial" w:eastAsia="Arial" w:hAnsi="Arial"/>
          <w:sz w:val="20"/>
          <w:szCs w:val="20"/>
          <w:color w:val="auto"/>
        </w:rPr>
        <w:t xml:space="preserve">, dated as of October 19, 2021 (the </w:t>
      </w:r>
      <w:r>
        <w:rPr>
          <w:rFonts w:ascii="Arial" w:cs="Arial" w:eastAsia="Arial" w:hAnsi="Arial"/>
          <w:sz w:val="20"/>
          <w:szCs w:val="20"/>
          <w:i w:val="1"/>
          <w:iCs w:val="1"/>
          <w:color w:val="auto"/>
        </w:rPr>
        <w:t>“Amendment”</w:t>
      </w:r>
      <w:r>
        <w:rPr>
          <w:rFonts w:ascii="Arial" w:cs="Arial" w:eastAsia="Arial" w:hAnsi="Arial"/>
          <w:sz w:val="20"/>
          <w:szCs w:val="20"/>
          <w:color w:val="auto"/>
        </w:rPr>
        <w:t>), is made pursuant to that certain Credit Agreement dated as of May 31, 2019 (as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amended, restated, modified or supplemented from time to time, the </w:t>
      </w:r>
      <w:r>
        <w:rPr>
          <w:rFonts w:ascii="Arial" w:cs="Arial" w:eastAsia="Arial" w:hAnsi="Arial"/>
          <w:sz w:val="20"/>
          <w:szCs w:val="20"/>
          <w:i w:val="1"/>
          <w:iCs w:val="1"/>
          <w:color w:val="auto"/>
        </w:rPr>
        <w:t>“Credit Agreement”</w:t>
      </w:r>
      <w:r>
        <w:rPr>
          <w:rFonts w:ascii="Arial" w:cs="Arial" w:eastAsia="Arial" w:hAnsi="Arial"/>
          <w:sz w:val="20"/>
          <w:szCs w:val="20"/>
          <w:color w:val="auto"/>
        </w:rPr>
        <w:t>), among R</w:t>
      </w:r>
      <w:r>
        <w:rPr>
          <w:rFonts w:ascii="Arial" w:cs="Arial" w:eastAsia="Arial" w:hAnsi="Arial"/>
          <w:sz w:val="13"/>
          <w:szCs w:val="13"/>
          <w:color w:val="auto"/>
        </w:rPr>
        <w:t>UNWAY</w:t>
      </w:r>
      <w:r>
        <w:rPr>
          <w:rFonts w:ascii="Arial" w:cs="Arial" w:eastAsia="Arial" w:hAnsi="Arial"/>
          <w:sz w:val="20"/>
          <w:szCs w:val="20"/>
          <w:color w:val="auto"/>
        </w:rPr>
        <w:t xml:space="preserve"> G</w:t>
      </w:r>
      <w:r>
        <w:rPr>
          <w:rFonts w:ascii="Arial" w:cs="Arial" w:eastAsia="Arial" w:hAnsi="Arial"/>
          <w:sz w:val="13"/>
          <w:szCs w:val="13"/>
          <w:color w:val="auto"/>
        </w:rPr>
        <w:t>ROWTH</w:t>
      </w:r>
      <w:r>
        <w:rPr>
          <w:rFonts w:ascii="Arial" w:cs="Arial" w:eastAsia="Arial" w:hAnsi="Arial"/>
          <w:sz w:val="20"/>
          <w:szCs w:val="20"/>
          <w:color w:val="auto"/>
        </w:rPr>
        <w:t xml:space="preserve"> F</w:t>
      </w:r>
      <w:r>
        <w:rPr>
          <w:rFonts w:ascii="Arial" w:cs="Arial" w:eastAsia="Arial" w:hAnsi="Arial"/>
          <w:sz w:val="13"/>
          <w:szCs w:val="13"/>
          <w:color w:val="auto"/>
        </w:rPr>
        <w:t>INANCE</w:t>
      </w:r>
      <w:r>
        <w:rPr>
          <w:rFonts w:ascii="Arial" w:cs="Arial" w:eastAsia="Arial" w:hAnsi="Arial"/>
          <w:sz w:val="20"/>
          <w:szCs w:val="20"/>
          <w:color w:val="auto"/>
        </w:rPr>
        <w:t xml:space="preserve"> C</w:t>
      </w:r>
      <w:r>
        <w:rPr>
          <w:rFonts w:ascii="Arial" w:cs="Arial" w:eastAsia="Arial" w:hAnsi="Arial"/>
          <w:sz w:val="13"/>
          <w:szCs w:val="13"/>
          <w:color w:val="auto"/>
        </w:rPr>
        <w:t>ORP</w:t>
      </w:r>
      <w:r>
        <w:rPr>
          <w:rFonts w:ascii="Arial" w:cs="Arial" w:eastAsia="Arial" w:hAnsi="Arial"/>
          <w:sz w:val="20"/>
          <w:szCs w:val="20"/>
          <w:color w:val="auto"/>
        </w:rPr>
        <w:t>. (f/k/a R</w:t>
      </w:r>
      <w:r>
        <w:rPr>
          <w:rFonts w:ascii="Arial" w:cs="Arial" w:eastAsia="Arial" w:hAnsi="Arial"/>
          <w:sz w:val="13"/>
          <w:szCs w:val="13"/>
          <w:color w:val="auto"/>
        </w:rPr>
        <w:t>UNWAY</w:t>
      </w:r>
      <w:r>
        <w:rPr>
          <w:rFonts w:ascii="Arial" w:cs="Arial" w:eastAsia="Arial" w:hAnsi="Arial"/>
          <w:sz w:val="20"/>
          <w:szCs w:val="20"/>
          <w:color w:val="auto"/>
        </w:rPr>
        <w:t xml:space="preserve"> G</w:t>
      </w:r>
      <w:r>
        <w:rPr>
          <w:rFonts w:ascii="Arial" w:cs="Arial" w:eastAsia="Arial" w:hAnsi="Arial"/>
          <w:sz w:val="13"/>
          <w:szCs w:val="13"/>
          <w:color w:val="auto"/>
        </w:rPr>
        <w:t>ROWTH</w:t>
      </w:r>
      <w:r>
        <w:rPr>
          <w:rFonts w:ascii="Arial" w:cs="Arial" w:eastAsia="Arial" w:hAnsi="Arial"/>
          <w:sz w:val="20"/>
          <w:szCs w:val="20"/>
          <w:color w:val="auto"/>
        </w:rPr>
        <w:t xml:space="preserve"> C</w:t>
      </w:r>
      <w:r>
        <w:rPr>
          <w:rFonts w:ascii="Arial" w:cs="Arial" w:eastAsia="Arial" w:hAnsi="Arial"/>
          <w:sz w:val="13"/>
          <w:szCs w:val="13"/>
          <w:color w:val="auto"/>
        </w:rPr>
        <w:t>REDIT</w:t>
      </w:r>
      <w:r>
        <w:rPr>
          <w:rFonts w:ascii="Arial" w:cs="Arial" w:eastAsia="Arial" w:hAnsi="Arial"/>
          <w:sz w:val="20"/>
          <w:szCs w:val="20"/>
          <w:color w:val="auto"/>
        </w:rPr>
        <w:t xml:space="preserve"> F</w:t>
      </w:r>
      <w:r>
        <w:rPr>
          <w:rFonts w:ascii="Arial" w:cs="Arial" w:eastAsia="Arial" w:hAnsi="Arial"/>
          <w:sz w:val="13"/>
          <w:szCs w:val="13"/>
          <w:color w:val="auto"/>
        </w:rPr>
        <w:t>UND</w:t>
      </w:r>
      <w:r>
        <w:rPr>
          <w:rFonts w:ascii="Arial" w:cs="Arial" w:eastAsia="Arial" w:hAnsi="Arial"/>
          <w:sz w:val="20"/>
          <w:szCs w:val="20"/>
          <w:color w:val="auto"/>
        </w:rPr>
        <w:t xml:space="preserve"> I</w:t>
      </w:r>
      <w:r>
        <w:rPr>
          <w:rFonts w:ascii="Arial" w:cs="Arial" w:eastAsia="Arial" w:hAnsi="Arial"/>
          <w:sz w:val="13"/>
          <w:szCs w:val="13"/>
          <w:color w:val="auto"/>
        </w:rPr>
        <w:t>NC</w:t>
      </w:r>
      <w:r>
        <w:rPr>
          <w:rFonts w:ascii="Arial" w:cs="Arial" w:eastAsia="Arial" w:hAnsi="Arial"/>
          <w:sz w:val="20"/>
          <w:szCs w:val="20"/>
          <w:color w:val="auto"/>
        </w:rPr>
        <w:t xml:space="preserve">.), a Maryland corporation, as borrower (the </w:t>
      </w:r>
      <w:r>
        <w:rPr>
          <w:rFonts w:ascii="Arial" w:cs="Arial" w:eastAsia="Arial" w:hAnsi="Arial"/>
          <w:sz w:val="20"/>
          <w:szCs w:val="20"/>
          <w:i w:val="1"/>
          <w:iCs w:val="1"/>
          <w:color w:val="auto"/>
        </w:rPr>
        <w:t>“Borrower”</w:t>
      </w:r>
      <w:r>
        <w:rPr>
          <w:rFonts w:ascii="Arial" w:cs="Arial" w:eastAsia="Arial" w:hAnsi="Arial"/>
          <w:sz w:val="20"/>
          <w:szCs w:val="20"/>
          <w:color w:val="auto"/>
        </w:rPr>
        <w:t xml:space="preserve">); each Guarantor party thereto; the financial institutions currently party thereto as lenders (the </w:t>
      </w:r>
      <w:r>
        <w:rPr>
          <w:rFonts w:ascii="Arial" w:cs="Arial" w:eastAsia="Arial" w:hAnsi="Arial"/>
          <w:sz w:val="20"/>
          <w:szCs w:val="20"/>
          <w:i w:val="1"/>
          <w:iCs w:val="1"/>
          <w:color w:val="auto"/>
        </w:rPr>
        <w:t>“Lenders”</w:t>
      </w:r>
      <w:r>
        <w:rPr>
          <w:rFonts w:ascii="Arial" w:cs="Arial" w:eastAsia="Arial" w:hAnsi="Arial"/>
          <w:sz w:val="20"/>
          <w:szCs w:val="20"/>
          <w:color w:val="auto"/>
        </w:rPr>
        <w:t>); K</w:t>
      </w:r>
      <w:r>
        <w:rPr>
          <w:rFonts w:ascii="Arial" w:cs="Arial" w:eastAsia="Arial" w:hAnsi="Arial"/>
          <w:sz w:val="13"/>
          <w:szCs w:val="13"/>
          <w:color w:val="auto"/>
        </w:rPr>
        <w:t>EY</w:t>
      </w:r>
      <w:r>
        <w:rPr>
          <w:rFonts w:ascii="Arial" w:cs="Arial" w:eastAsia="Arial" w:hAnsi="Arial"/>
          <w:sz w:val="20"/>
          <w:szCs w:val="20"/>
          <w:color w:val="auto"/>
        </w:rPr>
        <w:t>B</w:t>
      </w:r>
      <w:r>
        <w:rPr>
          <w:rFonts w:ascii="Arial" w:cs="Arial" w:eastAsia="Arial" w:hAnsi="Arial"/>
          <w:sz w:val="13"/>
          <w:szCs w:val="13"/>
          <w:color w:val="auto"/>
        </w:rPr>
        <w:t>ANK</w:t>
      </w:r>
      <w:r>
        <w:rPr>
          <w:rFonts w:ascii="Arial" w:cs="Arial" w:eastAsia="Arial" w:hAnsi="Arial"/>
          <w:sz w:val="20"/>
          <w:szCs w:val="20"/>
          <w:color w:val="auto"/>
        </w:rPr>
        <w:t xml:space="preserve"> N</w:t>
      </w:r>
      <w:r>
        <w:rPr>
          <w:rFonts w:ascii="Arial" w:cs="Arial" w:eastAsia="Arial" w:hAnsi="Arial"/>
          <w:sz w:val="13"/>
          <w:szCs w:val="13"/>
          <w:color w:val="auto"/>
        </w:rPr>
        <w:t>ATIONAL</w:t>
      </w:r>
      <w:r>
        <w:rPr>
          <w:rFonts w:ascii="Arial" w:cs="Arial" w:eastAsia="Arial" w:hAnsi="Arial"/>
          <w:sz w:val="20"/>
          <w:szCs w:val="20"/>
          <w:color w:val="auto"/>
        </w:rPr>
        <w:t xml:space="preserve"> A</w:t>
      </w:r>
      <w:r>
        <w:rPr>
          <w:rFonts w:ascii="Arial" w:cs="Arial" w:eastAsia="Arial" w:hAnsi="Arial"/>
          <w:sz w:val="13"/>
          <w:szCs w:val="13"/>
          <w:color w:val="auto"/>
        </w:rPr>
        <w:t>SSOCIATION</w:t>
      </w:r>
      <w:r>
        <w:rPr>
          <w:rFonts w:ascii="Arial" w:cs="Arial" w:eastAsia="Arial" w:hAnsi="Arial"/>
          <w:sz w:val="20"/>
          <w:szCs w:val="20"/>
          <w:color w:val="auto"/>
        </w:rPr>
        <w:t xml:space="preserve">, as administrative agent for the Lenders (in such capacity, together with its successors and assigns, the </w:t>
      </w:r>
      <w:r>
        <w:rPr>
          <w:rFonts w:ascii="Arial" w:cs="Arial" w:eastAsia="Arial" w:hAnsi="Arial"/>
          <w:sz w:val="20"/>
          <w:szCs w:val="20"/>
          <w:i w:val="1"/>
          <w:iCs w:val="1"/>
          <w:color w:val="auto"/>
        </w:rPr>
        <w:t>“Administrative</w:t>
      </w:r>
      <w:r>
        <w:rPr>
          <w:rFonts w:ascii="Arial" w:cs="Arial" w:eastAsia="Arial" w:hAnsi="Arial"/>
          <w:sz w:val="20"/>
          <w:szCs w:val="20"/>
          <w:color w:val="auto"/>
        </w:rPr>
        <w:t xml:space="preserve"> </w:t>
      </w:r>
      <w:r>
        <w:rPr>
          <w:rFonts w:ascii="Arial" w:cs="Arial" w:eastAsia="Arial" w:hAnsi="Arial"/>
          <w:sz w:val="20"/>
          <w:szCs w:val="20"/>
          <w:i w:val="1"/>
          <w:iCs w:val="1"/>
          <w:color w:val="auto"/>
        </w:rPr>
        <w:t>Agent”</w:t>
      </w:r>
      <w:r>
        <w:rPr>
          <w:rFonts w:ascii="Arial" w:cs="Arial" w:eastAsia="Arial" w:hAnsi="Arial"/>
          <w:sz w:val="20"/>
          <w:szCs w:val="20"/>
          <w:color w:val="auto"/>
        </w:rPr>
        <w:t>); CIBC Bank USA, as documentation agent (together with its successors and assigns, the</w:t>
      </w:r>
      <w:r>
        <w:rPr>
          <w:rFonts w:ascii="Arial" w:cs="Arial" w:eastAsia="Arial" w:hAnsi="Arial"/>
          <w:sz w:val="20"/>
          <w:szCs w:val="20"/>
          <w:i w:val="1"/>
          <w:iCs w:val="1"/>
          <w:color w:val="auto"/>
        </w:rPr>
        <w:t xml:space="preserve"> “Documentation Agent”</w:t>
      </w:r>
      <w:r>
        <w:rPr>
          <w:rFonts w:ascii="Arial" w:cs="Arial" w:eastAsia="Arial" w:hAnsi="Arial"/>
          <w:sz w:val="20"/>
          <w:szCs w:val="20"/>
          <w:color w:val="auto"/>
        </w:rPr>
        <w:t>); MUFG Union Bank, N.A., as co-documentation agent (together with its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successors and assigns, the </w:t>
      </w:r>
      <w:r>
        <w:rPr>
          <w:rFonts w:ascii="Arial" w:cs="Arial" w:eastAsia="Arial" w:hAnsi="Arial"/>
          <w:sz w:val="20"/>
          <w:szCs w:val="20"/>
          <w:i w:val="1"/>
          <w:iCs w:val="1"/>
          <w:color w:val="auto"/>
        </w:rPr>
        <w:t>“Co-Documentation Agent”</w:t>
      </w:r>
      <w:r>
        <w:rPr>
          <w:rFonts w:ascii="Arial" w:cs="Arial" w:eastAsia="Arial" w:hAnsi="Arial"/>
          <w:sz w:val="20"/>
          <w:szCs w:val="20"/>
          <w:color w:val="auto"/>
        </w:rPr>
        <w:t xml:space="preserve">); and U.S. Bank National Association, not in its individual capacity but as the paying agent (together with its successors and assigns, the </w:t>
      </w:r>
      <w:r>
        <w:rPr>
          <w:rFonts w:ascii="Arial" w:cs="Arial" w:eastAsia="Arial" w:hAnsi="Arial"/>
          <w:sz w:val="20"/>
          <w:szCs w:val="20"/>
          <w:i w:val="1"/>
          <w:iCs w:val="1"/>
          <w:color w:val="auto"/>
        </w:rPr>
        <w:t>“Paying Agent”</w:t>
      </w:r>
      <w:r>
        <w:rPr>
          <w:rFonts w:ascii="Arial" w:cs="Arial" w:eastAsia="Arial" w:hAnsi="Arial"/>
          <w:sz w:val="20"/>
          <w:szCs w:val="20"/>
          <w:color w:val="auto"/>
        </w:rPr>
        <w: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W </w:t>
      </w:r>
      <w:r>
        <w:rPr>
          <w:rFonts w:ascii="Arial" w:cs="Arial" w:eastAsia="Arial" w:hAnsi="Arial"/>
          <w:sz w:val="14"/>
          <w:szCs w:val="14"/>
          <w:b w:val="1"/>
          <w:bCs w:val="1"/>
          <w:color w:val="auto"/>
        </w:rPr>
        <w:t>I T N E S S E T H</w:t>
      </w:r>
      <w:r>
        <w:rPr>
          <w:rFonts w:ascii="Arial" w:cs="Arial" w:eastAsia="Arial" w:hAnsi="Arial"/>
          <w:sz w:val="22"/>
          <w:szCs w:val="22"/>
          <w:b w:val="1"/>
          <w:bCs w:val="1"/>
          <w:color w:val="auto"/>
        </w:rPr>
        <w:t xml:space="preserve"> :</w:t>
      </w:r>
    </w:p>
    <w:p>
      <w:pPr>
        <w:spacing w:after="0" w:line="239" w:lineRule="exact"/>
        <w:rPr>
          <w:sz w:val="20"/>
          <w:szCs w:val="20"/>
          <w:color w:val="auto"/>
        </w:rPr>
      </w:pPr>
    </w:p>
    <w:p>
      <w:pPr>
        <w:jc w:val="both"/>
        <w:ind w:left="200" w:right="239" w:firstLine="648"/>
        <w:spacing w:after="0"/>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HEREAS</w:t>
      </w:r>
      <w:r>
        <w:rPr>
          <w:rFonts w:ascii="Arial" w:cs="Arial" w:eastAsia="Arial" w:hAnsi="Arial"/>
          <w:sz w:val="22"/>
          <w:szCs w:val="22"/>
          <w:color w:val="auto"/>
        </w:rPr>
        <w:t>, the Borrower, the Lenders, the Guarantors, the Documentation Agent, the Co-Documentation Agent, the Paying Agent and the Administrative Agent have previously entered into and are currently party to the Credit Agreement; and</w:t>
      </w:r>
    </w:p>
    <w:p>
      <w:pPr>
        <w:spacing w:after="0" w:line="227"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20"/>
          <w:szCs w:val="20"/>
          <w:color w:val="auto"/>
        </w:rPr>
        <w:t>W</w:t>
      </w:r>
      <w:r>
        <w:rPr>
          <w:rFonts w:ascii="Arial" w:cs="Arial" w:eastAsia="Arial" w:hAnsi="Arial"/>
          <w:sz w:val="13"/>
          <w:szCs w:val="13"/>
          <w:color w:val="auto"/>
        </w:rPr>
        <w:t>HEREAS</w:t>
      </w:r>
      <w:r>
        <w:rPr>
          <w:rFonts w:ascii="Arial" w:cs="Arial" w:eastAsia="Arial" w:hAnsi="Arial"/>
          <w:sz w:val="20"/>
          <w:szCs w:val="20"/>
          <w:color w:val="auto"/>
        </w:rPr>
        <w:t xml:space="preserve">, the parties hereto desire to make certain amendments to the Credit Agreement and waive the Subject Default (as defined below) that have occurred, as permitted by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of the Credit Agreement, pursuant to the terms and conditions set forth herein.</w:t>
      </w:r>
    </w:p>
    <w:p>
      <w:pPr>
        <w:spacing w:after="0" w:line="192" w:lineRule="exact"/>
        <w:rPr>
          <w:sz w:val="20"/>
          <w:szCs w:val="20"/>
          <w:color w:val="auto"/>
        </w:rPr>
      </w:pPr>
    </w:p>
    <w:p>
      <w:pPr>
        <w:jc w:val="both"/>
        <w:ind w:left="200" w:right="219" w:firstLine="648"/>
        <w:spacing w:after="0" w:line="300" w:lineRule="auto"/>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OW</w:t>
      </w:r>
      <w:r>
        <w:rPr>
          <w:rFonts w:ascii="Arial" w:cs="Arial" w:eastAsia="Arial" w:hAnsi="Arial"/>
          <w:sz w:val="20"/>
          <w:szCs w:val="20"/>
          <w:color w:val="auto"/>
        </w:rPr>
        <w:t>, T</w:t>
      </w:r>
      <w:r>
        <w:rPr>
          <w:rFonts w:ascii="Arial" w:cs="Arial" w:eastAsia="Arial" w:hAnsi="Arial"/>
          <w:sz w:val="13"/>
          <w:szCs w:val="13"/>
          <w:color w:val="auto"/>
        </w:rPr>
        <w:t>HEREFORE</w:t>
      </w:r>
      <w:r>
        <w:rPr>
          <w:rFonts w:ascii="Arial" w:cs="Arial" w:eastAsia="Arial" w:hAnsi="Arial"/>
          <w:sz w:val="20"/>
          <w:szCs w:val="20"/>
          <w:color w:val="auto"/>
        </w:rPr>
        <w:t>, for good and valuable consideration, the receipt and sufficiency of which are hereby acknowledged, the parties hereto, intending to be legally bound, agree as follows:</w:t>
      </w:r>
    </w:p>
    <w:p>
      <w:pPr>
        <w:spacing w:after="0" w:line="154" w:lineRule="exact"/>
        <w:rPr>
          <w:sz w:val="20"/>
          <w:szCs w:val="20"/>
          <w:color w:val="auto"/>
        </w:rPr>
      </w:pPr>
    </w:p>
    <w:p>
      <w:pPr>
        <w:jc w:val="both"/>
        <w:ind w:left="200" w:right="219" w:firstLine="677"/>
        <w:spacing w:after="0" w:line="328" w:lineRule="auto"/>
        <w:rPr>
          <w:sz w:val="20"/>
          <w:szCs w:val="20"/>
          <w:color w:val="auto"/>
        </w:rPr>
      </w:pPr>
      <w:r>
        <w:rPr>
          <w:rFonts w:ascii="Arial" w:cs="Arial" w:eastAsia="Arial" w:hAnsi="Arial"/>
          <w:sz w:val="19"/>
          <w:szCs w:val="19"/>
          <w:i w:val="1"/>
          <w:iCs w:val="1"/>
          <w:color w:val="auto"/>
        </w:rPr>
        <w:t xml:space="preserve">Section 1. Defined Terms. </w:t>
      </w:r>
      <w:r>
        <w:rPr>
          <w:rFonts w:ascii="Arial" w:cs="Arial" w:eastAsia="Arial" w:hAnsi="Arial"/>
          <w:sz w:val="19"/>
          <w:szCs w:val="19"/>
          <w:color w:val="auto"/>
        </w:rPr>
        <w:t>Unless otherwise amended by the terms of this Amendment,</w:t>
      </w:r>
      <w:r>
        <w:rPr>
          <w:rFonts w:ascii="Arial" w:cs="Arial" w:eastAsia="Arial" w:hAnsi="Arial"/>
          <w:sz w:val="19"/>
          <w:szCs w:val="19"/>
          <w:i w:val="1"/>
          <w:iCs w:val="1"/>
          <w:color w:val="auto"/>
        </w:rPr>
        <w:t xml:space="preserve"> </w:t>
      </w:r>
      <w:r>
        <w:rPr>
          <w:rFonts w:ascii="Arial" w:cs="Arial" w:eastAsia="Arial" w:hAnsi="Arial"/>
          <w:sz w:val="19"/>
          <w:szCs w:val="19"/>
          <w:color w:val="auto"/>
        </w:rPr>
        <w:t>terms used in this Amendment shall have the meanings assigned in the Credit Agreement.</w:t>
      </w:r>
    </w:p>
    <w:p>
      <w:pPr>
        <w:spacing w:after="0" w:line="145" w:lineRule="exact"/>
        <w:rPr>
          <w:sz w:val="20"/>
          <w:szCs w:val="20"/>
          <w:color w:val="auto"/>
        </w:rPr>
      </w:pPr>
    </w:p>
    <w:p>
      <w:pPr>
        <w:jc w:val="both"/>
        <w:ind w:left="200" w:right="239" w:firstLine="677"/>
        <w:spacing w:after="0"/>
        <w:rPr>
          <w:sz w:val="20"/>
          <w:szCs w:val="20"/>
          <w:color w:val="auto"/>
        </w:rPr>
      </w:pPr>
      <w:r>
        <w:rPr>
          <w:rFonts w:ascii="Arial" w:cs="Arial" w:eastAsia="Arial" w:hAnsi="Arial"/>
          <w:sz w:val="22"/>
          <w:szCs w:val="22"/>
          <w:i w:val="1"/>
          <w:iCs w:val="1"/>
          <w:color w:val="auto"/>
        </w:rPr>
        <w:t>Section 2. W</w:t>
      </w:r>
      <w:r>
        <w:rPr>
          <w:rFonts w:ascii="Arial" w:cs="Arial" w:eastAsia="Arial" w:hAnsi="Arial"/>
          <w:sz w:val="14"/>
          <w:szCs w:val="14"/>
          <w:i w:val="1"/>
          <w:iCs w:val="1"/>
          <w:color w:val="auto"/>
        </w:rPr>
        <w:t>AIVER</w:t>
      </w:r>
      <w:r>
        <w:rPr>
          <w:rFonts w:ascii="Arial" w:cs="Arial" w:eastAsia="Arial" w:hAnsi="Arial"/>
          <w:sz w:val="22"/>
          <w:szCs w:val="22"/>
          <w:color w:val="auto"/>
        </w:rPr>
        <w:t>. Pursuant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5.1(m)</w:t>
      </w:r>
      <w:r>
        <w:rPr>
          <w:rFonts w:ascii="Arial" w:cs="Arial" w:eastAsia="Arial" w:hAnsi="Arial"/>
          <w:sz w:val="22"/>
          <w:szCs w:val="22"/>
          <w:i w:val="1"/>
          <w:iCs w:val="1"/>
          <w:color w:val="auto"/>
        </w:rPr>
        <w:t xml:space="preserve"> </w:t>
      </w:r>
      <w:r>
        <w:rPr>
          <w:rFonts w:ascii="Arial" w:cs="Arial" w:eastAsia="Arial" w:hAnsi="Arial"/>
          <w:sz w:val="22"/>
          <w:szCs w:val="22"/>
          <w:color w:val="auto"/>
        </w:rPr>
        <w:t>of the Credit Agreement, the Borrower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shall not change its name or jurisdiction or organization, without 30 days’ prior written notice to the Administrative Agent (the </w:t>
      </w:r>
      <w:r>
        <w:rPr>
          <w:rFonts w:ascii="Arial" w:cs="Arial" w:eastAsia="Arial" w:hAnsi="Arial"/>
          <w:sz w:val="22"/>
          <w:szCs w:val="22"/>
          <w:i w:val="1"/>
          <w:iCs w:val="1"/>
          <w:color w:val="auto"/>
        </w:rPr>
        <w:t>“Change of Name Event”</w:t>
      </w:r>
      <w:r>
        <w:rPr>
          <w:rFonts w:ascii="Arial" w:cs="Arial" w:eastAsia="Arial" w:hAnsi="Arial"/>
          <w:sz w:val="22"/>
          <w:szCs w:val="22"/>
          <w:color w:val="auto"/>
        </w:rPr>
        <w:t>).</w:t>
      </w:r>
    </w:p>
    <w:p>
      <w:pPr>
        <w:spacing w:after="0" w:line="227"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color w:val="auto"/>
        </w:rPr>
        <w:t xml:space="preserve">The Borrower has informed the Administrative Agent and the Lenders that the Borrower was not in compliance with the Change of Name Event (the </w:t>
      </w:r>
      <w:r>
        <w:rPr>
          <w:rFonts w:ascii="Arial" w:cs="Arial" w:eastAsia="Arial" w:hAnsi="Arial"/>
          <w:sz w:val="21"/>
          <w:szCs w:val="21"/>
          <w:i w:val="1"/>
          <w:iCs w:val="1"/>
          <w:color w:val="auto"/>
        </w:rPr>
        <w:t>“Subject Default”</w:t>
      </w:r>
      <w:r>
        <w:rPr>
          <w:rFonts w:ascii="Arial" w:cs="Arial" w:eastAsia="Arial" w:hAnsi="Arial"/>
          <w:sz w:val="21"/>
          <w:szCs w:val="21"/>
          <w:color w:val="auto"/>
        </w:rPr>
        <w:t>). The Borrower has requested that the Administrative Agent and the Lenders waive the Subject Default, and by their execution hereof, the Administrative Agent and the Lenders hereby waive the Subject Default and any other Unmatured Event of Default or Event of Default arising out of such Subject Default solely as they relate to the period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7" w:name="page148"/>
    <w:bookmarkEnd w:id="147"/>
    <w:p>
      <w:pPr>
        <w:jc w:val="both"/>
        <w:ind w:left="200" w:right="219" w:firstLine="648"/>
        <w:spacing w:after="0"/>
        <w:rPr>
          <w:sz w:val="20"/>
          <w:szCs w:val="20"/>
          <w:color w:val="auto"/>
        </w:rPr>
      </w:pPr>
      <w:r>
        <w:rPr>
          <w:rFonts w:ascii="Arial" w:cs="Arial" w:eastAsia="Arial" w:hAnsi="Arial"/>
          <w:sz w:val="22"/>
          <w:szCs w:val="22"/>
          <w:color w:val="auto"/>
        </w:rPr>
        <w:t>The waiver set forth above is limited to the matters expressly set forth above and all other terms and conditions of the Credit Agreement and the other Transaction Documents shall stand and remain unchanged and in full force and effect.</w:t>
      </w:r>
    </w:p>
    <w:p>
      <w:pPr>
        <w:spacing w:after="0" w:line="227" w:lineRule="exact"/>
        <w:rPr>
          <w:sz w:val="20"/>
          <w:szCs w:val="20"/>
          <w:color w:val="auto"/>
        </w:rPr>
      </w:pPr>
    </w:p>
    <w:p>
      <w:pPr>
        <w:jc w:val="both"/>
        <w:ind w:left="200" w:right="219" w:firstLine="677"/>
        <w:spacing w:after="0"/>
        <w:rPr>
          <w:sz w:val="20"/>
          <w:szCs w:val="20"/>
          <w:color w:val="auto"/>
        </w:rPr>
      </w:pPr>
      <w:r>
        <w:rPr>
          <w:rFonts w:ascii="Arial" w:cs="Arial" w:eastAsia="Arial" w:hAnsi="Arial"/>
          <w:sz w:val="22"/>
          <w:szCs w:val="22"/>
          <w:i w:val="1"/>
          <w:iCs w:val="1"/>
          <w:color w:val="auto"/>
        </w:rPr>
        <w:t>Section 3. A</w:t>
      </w:r>
      <w:r>
        <w:rPr>
          <w:rFonts w:ascii="Arial" w:cs="Arial" w:eastAsia="Arial" w:hAnsi="Arial"/>
          <w:sz w:val="14"/>
          <w:szCs w:val="14"/>
          <w:i w:val="1"/>
          <w:iCs w:val="1"/>
          <w:color w:val="auto"/>
        </w:rPr>
        <w:t>MENDMENT</w:t>
      </w:r>
      <w:r>
        <w:rPr>
          <w:rFonts w:ascii="Arial" w:cs="Arial" w:eastAsia="Arial" w:hAnsi="Arial"/>
          <w:sz w:val="22"/>
          <w:szCs w:val="22"/>
          <w:color w:val="auto"/>
        </w:rPr>
        <w:t>. The defined term</w:t>
      </w:r>
      <w:r>
        <w:rPr>
          <w:rFonts w:ascii="Arial" w:cs="Arial" w:eastAsia="Arial" w:hAnsi="Arial"/>
          <w:sz w:val="22"/>
          <w:szCs w:val="22"/>
          <w:i w:val="1"/>
          <w:iCs w:val="1"/>
          <w:color w:val="auto"/>
        </w:rPr>
        <w:t xml:space="preserve"> “Change of Control” </w:t>
      </w:r>
      <w:r>
        <w:rPr>
          <w:rFonts w:ascii="Arial" w:cs="Arial" w:eastAsia="Arial" w:hAnsi="Arial"/>
          <w:sz w:val="22"/>
          <w:szCs w:val="22"/>
          <w:color w:val="auto"/>
        </w:rPr>
        <w:t>appearing in Section 1.1</w:t>
      </w:r>
      <w:r>
        <w:rPr>
          <w:rFonts w:ascii="Arial" w:cs="Arial" w:eastAsia="Arial" w:hAnsi="Arial"/>
          <w:sz w:val="22"/>
          <w:szCs w:val="22"/>
          <w:i w:val="1"/>
          <w:iCs w:val="1"/>
          <w:color w:val="auto"/>
        </w:rPr>
        <w:t xml:space="preserve"> </w:t>
      </w:r>
      <w:r>
        <w:rPr>
          <w:rFonts w:ascii="Arial" w:cs="Arial" w:eastAsia="Arial" w:hAnsi="Arial"/>
          <w:sz w:val="22"/>
          <w:szCs w:val="22"/>
          <w:color w:val="auto"/>
        </w:rPr>
        <w:t>of the Credit Agreement is hereby amended and restated in its entirety and as so amended and restated shall read as follows:</w:t>
      </w:r>
    </w:p>
    <w:p>
      <w:pPr>
        <w:spacing w:after="0" w:line="213" w:lineRule="exact"/>
        <w:rPr>
          <w:sz w:val="20"/>
          <w:szCs w:val="20"/>
          <w:color w:val="auto"/>
        </w:rPr>
      </w:pPr>
    </w:p>
    <w:p>
      <w:pPr>
        <w:jc w:val="both"/>
        <w:ind w:left="1500" w:right="1519" w:firstLine="648"/>
        <w:spacing w:after="0" w:line="243" w:lineRule="auto"/>
        <w:rPr>
          <w:sz w:val="20"/>
          <w:szCs w:val="20"/>
          <w:color w:val="auto"/>
        </w:rPr>
      </w:pPr>
      <w:r>
        <w:rPr>
          <w:rFonts w:ascii="Arial" w:cs="Arial" w:eastAsia="Arial" w:hAnsi="Arial"/>
          <w:sz w:val="21"/>
          <w:szCs w:val="21"/>
          <w:i w:val="1"/>
          <w:iCs w:val="1"/>
          <w:color w:val="auto"/>
        </w:rPr>
        <w:t xml:space="preserve">“Change of Control” </w:t>
      </w:r>
      <w:r>
        <w:rPr>
          <w:rFonts w:ascii="Arial" w:cs="Arial" w:eastAsia="Arial" w:hAnsi="Arial"/>
          <w:sz w:val="21"/>
          <w:szCs w:val="21"/>
          <w:color w:val="auto"/>
        </w:rPr>
        <w:t>shall mean (a) that the acquisition of</w:t>
      </w:r>
      <w:r>
        <w:rPr>
          <w:rFonts w:ascii="Arial" w:cs="Arial" w:eastAsia="Arial" w:hAnsi="Arial"/>
          <w:sz w:val="21"/>
          <w:szCs w:val="21"/>
          <w:i w:val="1"/>
          <w:iCs w:val="1"/>
          <w:color w:val="auto"/>
        </w:rPr>
        <w:t xml:space="preserve"> </w:t>
      </w:r>
      <w:r>
        <w:rPr>
          <w:rFonts w:ascii="Arial" w:cs="Arial" w:eastAsia="Arial" w:hAnsi="Arial"/>
          <w:sz w:val="21"/>
          <w:szCs w:val="21"/>
          <w:color w:val="auto"/>
        </w:rPr>
        <w:t>ownership, directly or indirectly, beneficially or of record, by any Person or group (within the meaning of the Securities Exchange Act of 1934 and the rules of the SEC thereunder as in effect on the date hereof), other than OCM Growth Holdings, LLC, of shares representing more than 30% of the aggregate ordinary voting power represented by the issued and outstanding capital stock of the Borrower; (b) the occupation of a majority of the seats (other than vacant seats) on the board of directors of the Borrower by Persons who were neither (y) nominated by the requisite members of the board of directors of the Borrower nor (z) appointed by a majority of the directors so nominated or (c) David Spreng, the executive management of the Investment Adviser, OCM Growth Holdings, LLC, and their respective Affiliates shall cease to own and control in the aggregate at least 50% of the Voting Stock of the Investment Adviser</w:t>
      </w:r>
      <w:r>
        <w:rPr>
          <w:rFonts w:ascii="Arial" w:cs="Arial" w:eastAsia="Arial" w:hAnsi="Arial"/>
          <w:sz w:val="18"/>
          <w:szCs w:val="18"/>
          <w:color w:val="auto"/>
        </w:rPr>
        <w:t>.</w:t>
      </w:r>
    </w:p>
    <w:p>
      <w:pPr>
        <w:spacing w:after="0" w:line="232" w:lineRule="exact"/>
        <w:rPr>
          <w:sz w:val="20"/>
          <w:szCs w:val="20"/>
          <w:color w:val="auto"/>
        </w:rPr>
      </w:pPr>
    </w:p>
    <w:p>
      <w:pPr>
        <w:jc w:val="both"/>
        <w:ind w:left="200" w:right="239" w:firstLine="677"/>
        <w:spacing w:after="0" w:line="274" w:lineRule="auto"/>
        <w:rPr>
          <w:sz w:val="20"/>
          <w:szCs w:val="20"/>
          <w:color w:val="auto"/>
        </w:rPr>
      </w:pPr>
      <w:r>
        <w:rPr>
          <w:rFonts w:ascii="Arial" w:cs="Arial" w:eastAsia="Arial" w:hAnsi="Arial"/>
          <w:sz w:val="21"/>
          <w:szCs w:val="21"/>
          <w:i w:val="1"/>
          <w:iCs w:val="1"/>
          <w:color w:val="auto"/>
        </w:rPr>
        <w:t xml:space="preserve">Section 4. Conditions Precedent. </w:t>
      </w:r>
      <w:r>
        <w:rPr>
          <w:rFonts w:ascii="Arial" w:cs="Arial" w:eastAsia="Arial" w:hAnsi="Arial"/>
          <w:sz w:val="21"/>
          <w:szCs w:val="21"/>
          <w:color w:val="auto"/>
        </w:rPr>
        <w:t>This Amendment shall become effective as of the date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w:t>
      </w:r>
      <w:r>
        <w:rPr>
          <w:rFonts w:ascii="Arial" w:cs="Arial" w:eastAsia="Arial" w:hAnsi="Arial"/>
          <w:sz w:val="21"/>
          <w:szCs w:val="21"/>
          <w:i w:val="1"/>
          <w:iCs w:val="1"/>
          <w:color w:val="auto"/>
        </w:rPr>
        <w:t>“Effective Date”</w:t>
      </w:r>
      <w:r>
        <w:rPr>
          <w:rFonts w:ascii="Arial" w:cs="Arial" w:eastAsia="Arial" w:hAnsi="Arial"/>
          <w:sz w:val="21"/>
          <w:szCs w:val="21"/>
          <w:color w:val="auto"/>
        </w:rPr>
        <w:t>) of the satisfaction of all of the following conditions precedent:</w:t>
      </w:r>
    </w:p>
    <w:p>
      <w:pPr>
        <w:spacing w:after="0" w:line="191" w:lineRule="exact"/>
        <w:rPr>
          <w:sz w:val="20"/>
          <w:szCs w:val="20"/>
          <w:color w:val="auto"/>
        </w:rPr>
      </w:pPr>
    </w:p>
    <w:p>
      <w:pPr>
        <w:ind w:left="860" w:right="219" w:firstLine="648"/>
        <w:spacing w:after="0" w:line="250" w:lineRule="auto"/>
        <w:rPr>
          <w:sz w:val="20"/>
          <w:szCs w:val="20"/>
          <w:color w:val="auto"/>
        </w:rPr>
      </w:pPr>
      <w:r>
        <w:rPr>
          <w:rFonts w:ascii="Arial" w:cs="Arial" w:eastAsia="Arial" w:hAnsi="Arial"/>
          <w:sz w:val="22"/>
          <w:szCs w:val="22"/>
          <w:color w:val="auto"/>
        </w:rPr>
        <w:t>4.1. The Administrative Agent, the Borrower, and the Lenders shall have executed and delivered this Amendment.</w:t>
      </w:r>
    </w:p>
    <w:p>
      <w:pPr>
        <w:spacing w:after="0" w:line="202" w:lineRule="exact"/>
        <w:rPr>
          <w:sz w:val="20"/>
          <w:szCs w:val="20"/>
          <w:color w:val="auto"/>
        </w:rPr>
      </w:pPr>
    </w:p>
    <w:p>
      <w:pPr>
        <w:ind w:left="860" w:right="219" w:firstLine="648"/>
        <w:spacing w:after="0" w:line="250" w:lineRule="auto"/>
        <w:rPr>
          <w:sz w:val="20"/>
          <w:szCs w:val="20"/>
          <w:color w:val="auto"/>
        </w:rPr>
      </w:pPr>
      <w:r>
        <w:rPr>
          <w:rFonts w:ascii="Arial" w:cs="Arial" w:eastAsia="Arial" w:hAnsi="Arial"/>
          <w:sz w:val="22"/>
          <w:szCs w:val="22"/>
          <w:color w:val="auto"/>
        </w:rPr>
        <w:t>4.2. Legal matters incident to the execution and delivery of this Amendment shall be satisfactory to the Administrative Agent and its counsel.</w:t>
      </w:r>
    </w:p>
    <w:p>
      <w:pPr>
        <w:spacing w:after="0" w:line="215" w:lineRule="exact"/>
        <w:rPr>
          <w:sz w:val="20"/>
          <w:szCs w:val="20"/>
          <w:color w:val="auto"/>
        </w:rPr>
      </w:pPr>
    </w:p>
    <w:p>
      <w:pPr>
        <w:ind w:left="860" w:right="239" w:firstLine="702"/>
        <w:spacing w:after="0" w:line="250" w:lineRule="auto"/>
        <w:rPr>
          <w:sz w:val="20"/>
          <w:szCs w:val="20"/>
          <w:color w:val="auto"/>
        </w:rPr>
      </w:pPr>
      <w:r>
        <w:rPr>
          <w:rFonts w:ascii="Arial" w:cs="Arial" w:eastAsia="Arial" w:hAnsi="Arial"/>
          <w:sz w:val="22"/>
          <w:szCs w:val="22"/>
          <w:color w:val="auto"/>
        </w:rPr>
        <w:t>4.3 No Unmatured Event of Default or Event of Default shall have occurred and be continuing (after giving effect to this Amendment).</w:t>
      </w:r>
    </w:p>
    <w:p>
      <w:pPr>
        <w:spacing w:after="0" w:line="215" w:lineRule="exact"/>
        <w:rPr>
          <w:sz w:val="20"/>
          <w:szCs w:val="20"/>
          <w:color w:val="auto"/>
        </w:rPr>
      </w:pPr>
    </w:p>
    <w:p>
      <w:pPr>
        <w:jc w:val="both"/>
        <w:ind w:left="200" w:right="219" w:firstLine="677"/>
        <w:spacing w:after="0" w:line="279" w:lineRule="auto"/>
        <w:rPr>
          <w:sz w:val="20"/>
          <w:szCs w:val="20"/>
          <w:color w:val="auto"/>
        </w:rPr>
      </w:pPr>
      <w:r>
        <w:rPr>
          <w:rFonts w:ascii="Arial" w:cs="Arial" w:eastAsia="Arial" w:hAnsi="Arial"/>
          <w:sz w:val="19"/>
          <w:szCs w:val="19"/>
          <w:i w:val="1"/>
          <w:iCs w:val="1"/>
          <w:color w:val="auto"/>
        </w:rPr>
        <w:t xml:space="preserve">Section 5. Representations of the Borrower. </w:t>
      </w:r>
      <w:r>
        <w:rPr>
          <w:rFonts w:ascii="Arial" w:cs="Arial" w:eastAsia="Arial" w:hAnsi="Arial"/>
          <w:sz w:val="19"/>
          <w:szCs w:val="19"/>
          <w:color w:val="auto"/>
        </w:rPr>
        <w:t>The Borrower hereby represents and</w:t>
      </w:r>
      <w:r>
        <w:rPr>
          <w:rFonts w:ascii="Arial" w:cs="Arial" w:eastAsia="Arial" w:hAnsi="Arial"/>
          <w:sz w:val="19"/>
          <w:szCs w:val="19"/>
          <w:i w:val="1"/>
          <w:iCs w:val="1"/>
          <w:color w:val="auto"/>
        </w:rPr>
        <w:t xml:space="preserve"> </w:t>
      </w:r>
      <w:r>
        <w:rPr>
          <w:rFonts w:ascii="Arial" w:cs="Arial" w:eastAsia="Arial" w:hAnsi="Arial"/>
          <w:sz w:val="19"/>
          <w:szCs w:val="19"/>
          <w:color w:val="auto"/>
        </w:rPr>
        <w:t>warrants to the parties hereto that as of the date hereof its representations and warranties contained in Article IV of the Credit Agreement and any other Transaction Documents to which it is a party are true and correct in all material respects as of the date hereof and after giving effect to this Amendment (except to the extent that such representations and warranties relate solely to an earlier date, and then are true and correct as of such earlier date).</w:t>
      </w:r>
    </w:p>
    <w:p>
      <w:pPr>
        <w:spacing w:after="0" w:line="177" w:lineRule="exact"/>
        <w:rPr>
          <w:sz w:val="20"/>
          <w:szCs w:val="20"/>
          <w:color w:val="auto"/>
        </w:rPr>
      </w:pPr>
    </w:p>
    <w:p>
      <w:pPr>
        <w:jc w:val="both"/>
        <w:ind w:left="200" w:right="219" w:firstLine="677"/>
        <w:spacing w:after="0" w:line="328" w:lineRule="auto"/>
        <w:rPr>
          <w:sz w:val="20"/>
          <w:szCs w:val="20"/>
          <w:color w:val="auto"/>
        </w:rPr>
      </w:pPr>
      <w:r>
        <w:rPr>
          <w:rFonts w:ascii="Arial" w:cs="Arial" w:eastAsia="Arial" w:hAnsi="Arial"/>
          <w:sz w:val="19"/>
          <w:szCs w:val="19"/>
          <w:i w:val="1"/>
          <w:iCs w:val="1"/>
          <w:color w:val="auto"/>
        </w:rPr>
        <w:t xml:space="preserve">Section 6. Execution in Counterparts. </w:t>
      </w:r>
      <w:r>
        <w:rPr>
          <w:rFonts w:ascii="Arial" w:cs="Arial" w:eastAsia="Arial" w:hAnsi="Arial"/>
          <w:sz w:val="19"/>
          <w:szCs w:val="19"/>
          <w:color w:val="auto"/>
        </w:rPr>
        <w:t>This Amendment may be executed in any number</w:t>
      </w:r>
      <w:r>
        <w:rPr>
          <w:rFonts w:ascii="Arial" w:cs="Arial" w:eastAsia="Arial" w:hAnsi="Arial"/>
          <w:sz w:val="19"/>
          <w:szCs w:val="19"/>
          <w:i w:val="1"/>
          <w:iCs w:val="1"/>
          <w:color w:val="auto"/>
        </w:rPr>
        <w:t xml:space="preserve"> </w:t>
      </w:r>
      <w:r>
        <w:rPr>
          <w:rFonts w:ascii="Arial" w:cs="Arial" w:eastAsia="Arial" w:hAnsi="Arial"/>
          <w:sz w:val="19"/>
          <w:szCs w:val="19"/>
          <w:color w:val="auto"/>
        </w:rPr>
        <w:t>of counterparts, and by the different parties on different counterpart signature pages, all of</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523875</wp:posOffset>
            </wp:positionV>
            <wp:extent cx="545211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8" w:name="page149"/>
    <w:bookmarkEnd w:id="148"/>
    <w:p>
      <w:pPr>
        <w:jc w:val="both"/>
        <w:ind w:left="200" w:right="219"/>
        <w:spacing w:after="0" w:line="282" w:lineRule="auto"/>
        <w:rPr>
          <w:sz w:val="20"/>
          <w:szCs w:val="20"/>
          <w:color w:val="auto"/>
        </w:rPr>
      </w:pPr>
      <w:r>
        <w:rPr>
          <w:rFonts w:ascii="Arial" w:cs="Arial" w:eastAsia="Arial" w:hAnsi="Arial"/>
          <w:sz w:val="19"/>
          <w:szCs w:val="19"/>
          <w:color w:val="auto"/>
        </w:rPr>
        <w:t xml:space="preserve">which 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e-mail transmission of an Adobe Portable Document Format File (also known as an </w:t>
      </w:r>
      <w:r>
        <w:rPr>
          <w:rFonts w:ascii="Arial" w:cs="Arial" w:eastAsia="Arial" w:hAnsi="Arial"/>
          <w:sz w:val="19"/>
          <w:szCs w:val="19"/>
          <w:i w:val="1"/>
          <w:iCs w:val="1"/>
          <w:color w:val="auto"/>
        </w:rPr>
        <w:t>“PDF”</w:t>
      </w:r>
      <w:r>
        <w:rPr>
          <w:rFonts w:ascii="Arial" w:cs="Arial" w:eastAsia="Arial" w:hAnsi="Arial"/>
          <w:sz w:val="19"/>
          <w:szCs w:val="19"/>
          <w:color w:val="auto"/>
        </w:rPr>
        <w:t xml:space="preserve"> file) shall be effective as delivery of a manually executed counterpart hereof.</w:t>
      </w:r>
    </w:p>
    <w:p>
      <w:pPr>
        <w:spacing w:after="0" w:line="188" w:lineRule="exact"/>
        <w:rPr>
          <w:sz w:val="20"/>
          <w:szCs w:val="20"/>
          <w:color w:val="auto"/>
        </w:rPr>
      </w:pPr>
    </w:p>
    <w:p>
      <w:pPr>
        <w:jc w:val="both"/>
        <w:ind w:left="200" w:right="219" w:firstLine="677"/>
        <w:spacing w:after="0" w:line="244" w:lineRule="auto"/>
        <w:rPr>
          <w:sz w:val="20"/>
          <w:szCs w:val="20"/>
          <w:color w:val="auto"/>
        </w:rPr>
      </w:pPr>
      <w:r>
        <w:rPr>
          <w:rFonts w:ascii="Arial" w:cs="Arial" w:eastAsia="Arial" w:hAnsi="Arial"/>
          <w:sz w:val="22"/>
          <w:szCs w:val="22"/>
          <w:i w:val="1"/>
          <w:iCs w:val="1"/>
          <w:color w:val="auto"/>
        </w:rPr>
        <w:t xml:space="preserve">Section 7. Governing Law. </w:t>
      </w:r>
      <w:r>
        <w:rPr>
          <w:rFonts w:ascii="Arial" w:cs="Arial" w:eastAsia="Arial" w:hAnsi="Arial"/>
          <w:sz w:val="22"/>
          <w:szCs w:val="22"/>
          <w:color w:val="auto"/>
        </w:rPr>
        <w:t>T</w:t>
      </w:r>
      <w:r>
        <w:rPr>
          <w:rFonts w:ascii="Arial" w:cs="Arial" w:eastAsia="Arial" w:hAnsi="Arial"/>
          <w:sz w:val="14"/>
          <w:szCs w:val="14"/>
          <w:color w:val="auto"/>
        </w:rPr>
        <w:t>HIS</w:t>
      </w:r>
      <w:r>
        <w:rPr>
          <w:rFonts w:ascii="Arial" w:cs="Arial" w:eastAsia="Arial" w:hAnsi="Arial"/>
          <w:sz w:val="22"/>
          <w:szCs w:val="22"/>
          <w:i w:val="1"/>
          <w:iCs w:val="1"/>
          <w:color w:val="auto"/>
        </w:rPr>
        <w:t xml:space="preserve"> </w:t>
      </w:r>
      <w:r>
        <w:rPr>
          <w:rFonts w:ascii="Arial" w:cs="Arial" w:eastAsia="Arial" w:hAnsi="Arial"/>
          <w:sz w:val="22"/>
          <w:szCs w:val="22"/>
          <w:color w:val="auto"/>
        </w:rPr>
        <w:t>A</w:t>
      </w:r>
      <w:r>
        <w:rPr>
          <w:rFonts w:ascii="Arial" w:cs="Arial" w:eastAsia="Arial" w:hAnsi="Arial"/>
          <w:sz w:val="14"/>
          <w:szCs w:val="14"/>
          <w:color w:val="auto"/>
        </w:rPr>
        <w:t>MENDMENT SHALL BE CONSTRUED IN ACCORDANCE WITH THE</w:t>
      </w:r>
      <w:r>
        <w:rPr>
          <w:rFonts w:ascii="Arial" w:cs="Arial" w:eastAsia="Arial" w:hAnsi="Arial"/>
          <w:sz w:val="22"/>
          <w:szCs w:val="22"/>
          <w:i w:val="1"/>
          <w:iCs w:val="1"/>
          <w:color w:val="auto"/>
        </w:rPr>
        <w:t xml:space="preserve"> </w:t>
      </w:r>
      <w:r>
        <w:rPr>
          <w:rFonts w:ascii="Arial" w:cs="Arial" w:eastAsia="Arial" w:hAnsi="Arial"/>
          <w:sz w:val="14"/>
          <w:szCs w:val="14"/>
          <w:color w:val="auto"/>
        </w:rPr>
        <w:t xml:space="preserve">INTERNAL LAWS OF THE </w:t>
      </w:r>
      <w:r>
        <w:rPr>
          <w:rFonts w:ascii="Arial" w:cs="Arial" w:eastAsia="Arial" w:hAnsi="Arial"/>
          <w:sz w:val="21"/>
          <w:szCs w:val="21"/>
          <w:color w:val="auto"/>
        </w:rPr>
        <w:t>S</w:t>
      </w:r>
      <w:r>
        <w:rPr>
          <w:rFonts w:ascii="Arial" w:cs="Arial" w:eastAsia="Arial" w:hAnsi="Arial"/>
          <w:sz w:val="14"/>
          <w:szCs w:val="14"/>
          <w:color w:val="auto"/>
        </w:rPr>
        <w:t xml:space="preserve">TATE OF </w:t>
      </w:r>
      <w:r>
        <w:rPr>
          <w:rFonts w:ascii="Arial" w:cs="Arial" w:eastAsia="Arial" w:hAnsi="Arial"/>
          <w:sz w:val="21"/>
          <w:szCs w:val="21"/>
          <w:color w:val="auto"/>
        </w:rPr>
        <w:t>N</w:t>
      </w:r>
      <w:r>
        <w:rPr>
          <w:rFonts w:ascii="Arial" w:cs="Arial" w:eastAsia="Arial" w:hAnsi="Arial"/>
          <w:sz w:val="14"/>
          <w:szCs w:val="14"/>
          <w:color w:val="auto"/>
        </w:rPr>
        <w:t xml:space="preserve">EW </w:t>
      </w:r>
      <w:r>
        <w:rPr>
          <w:rFonts w:ascii="Arial" w:cs="Arial" w:eastAsia="Arial" w:hAnsi="Arial"/>
          <w:sz w:val="21"/>
          <w:szCs w:val="21"/>
          <w:color w:val="auto"/>
        </w:rPr>
        <w:t>Y</w:t>
      </w:r>
      <w:r>
        <w:rPr>
          <w:rFonts w:ascii="Arial" w:cs="Arial" w:eastAsia="Arial" w:hAnsi="Arial"/>
          <w:sz w:val="14"/>
          <w:szCs w:val="14"/>
          <w:color w:val="auto"/>
        </w:rPr>
        <w:t>ORK</w:t>
      </w:r>
      <w:r>
        <w:rPr>
          <w:rFonts w:ascii="Arial" w:cs="Arial" w:eastAsia="Arial" w:hAnsi="Arial"/>
          <w:sz w:val="21"/>
          <w:szCs w:val="21"/>
          <w:color w:val="auto"/>
        </w:rPr>
        <w:t>,</w:t>
      </w:r>
      <w:r>
        <w:rPr>
          <w:rFonts w:ascii="Arial" w:cs="Arial" w:eastAsia="Arial" w:hAnsi="Arial"/>
          <w:sz w:val="14"/>
          <w:szCs w:val="14"/>
          <w:color w:val="auto"/>
        </w:rPr>
        <w:t xml:space="preserve"> WITHOUT REFERENCE TO CONFLICT OF LAW PRINCIPLES</w:t>
      </w:r>
      <w:r>
        <w:rPr>
          <w:rFonts w:ascii="Arial" w:cs="Arial" w:eastAsia="Arial" w:hAnsi="Arial"/>
          <w:sz w:val="21"/>
          <w:szCs w:val="21"/>
          <w:color w:val="auto"/>
        </w:rPr>
        <w:t>,</w:t>
      </w:r>
      <w:r>
        <w:rPr>
          <w:rFonts w:ascii="Arial" w:cs="Arial" w:eastAsia="Arial" w:hAnsi="Arial"/>
          <w:sz w:val="14"/>
          <w:szCs w:val="14"/>
          <w:color w:val="auto"/>
        </w:rPr>
        <w:t xml:space="preserve"> AND THE OBLIGATIONS</w:t>
      </w:r>
      <w:r>
        <w:rPr>
          <w:rFonts w:ascii="Arial" w:cs="Arial" w:eastAsia="Arial" w:hAnsi="Arial"/>
          <w:sz w:val="21"/>
          <w:szCs w:val="21"/>
          <w:color w:val="auto"/>
        </w:rPr>
        <w:t>,</w:t>
      </w:r>
      <w:r>
        <w:rPr>
          <w:rFonts w:ascii="Arial" w:cs="Arial" w:eastAsia="Arial" w:hAnsi="Arial"/>
          <w:sz w:val="14"/>
          <w:szCs w:val="14"/>
          <w:color w:val="auto"/>
        </w:rPr>
        <w:t xml:space="preserve"> RIGHTS AND REMEDIES OF THE PARTIES HEREUNDER SHALL BE DETERMINED IN ACCORDANCE WITH THE INTERNAL LAWS OF THE </w:t>
      </w:r>
      <w:r>
        <w:rPr>
          <w:rFonts w:ascii="Arial" w:cs="Arial" w:eastAsia="Arial" w:hAnsi="Arial"/>
          <w:sz w:val="21"/>
          <w:szCs w:val="21"/>
          <w:color w:val="auto"/>
        </w:rPr>
        <w:t>S</w:t>
      </w:r>
      <w:r>
        <w:rPr>
          <w:rFonts w:ascii="Arial" w:cs="Arial" w:eastAsia="Arial" w:hAnsi="Arial"/>
          <w:sz w:val="14"/>
          <w:szCs w:val="14"/>
          <w:color w:val="auto"/>
        </w:rPr>
        <w:t xml:space="preserve">TATE OF </w:t>
      </w:r>
      <w:r>
        <w:rPr>
          <w:rFonts w:ascii="Arial" w:cs="Arial" w:eastAsia="Arial" w:hAnsi="Arial"/>
          <w:sz w:val="21"/>
          <w:szCs w:val="21"/>
          <w:color w:val="auto"/>
        </w:rPr>
        <w:t>N</w:t>
      </w:r>
      <w:r>
        <w:rPr>
          <w:rFonts w:ascii="Arial" w:cs="Arial" w:eastAsia="Arial" w:hAnsi="Arial"/>
          <w:sz w:val="14"/>
          <w:szCs w:val="14"/>
          <w:color w:val="auto"/>
        </w:rPr>
        <w:t xml:space="preserve">EW </w:t>
      </w:r>
      <w:r>
        <w:rPr>
          <w:rFonts w:ascii="Arial" w:cs="Arial" w:eastAsia="Arial" w:hAnsi="Arial"/>
          <w:sz w:val="21"/>
          <w:szCs w:val="21"/>
          <w:color w:val="auto"/>
        </w:rPr>
        <w:t>Y</w:t>
      </w:r>
      <w:r>
        <w:rPr>
          <w:rFonts w:ascii="Arial" w:cs="Arial" w:eastAsia="Arial" w:hAnsi="Arial"/>
          <w:sz w:val="14"/>
          <w:szCs w:val="14"/>
          <w:color w:val="auto"/>
        </w:rPr>
        <w:t>ORK</w:t>
      </w:r>
      <w:r>
        <w:rPr>
          <w:rFonts w:ascii="Arial" w:cs="Arial" w:eastAsia="Arial" w:hAnsi="Arial"/>
          <w:sz w:val="21"/>
          <w:szCs w:val="21"/>
          <w:color w:val="auto"/>
        </w:rPr>
        <w:t>.</w:t>
      </w:r>
    </w:p>
    <w:p>
      <w:pPr>
        <w:sectPr>
          <w:pgSz w:w="11900" w:h="16838" w:orient="portrait"/>
          <w:cols w:equalWidth="0" w:num="1">
            <w:col w:w="9019"/>
          </w:cols>
          <w:pgMar w:left="1440" w:top="901" w:right="1440" w:bottom="1440" w:gutter="0" w:footer="0" w:header="0"/>
        </w:sectPr>
      </w:pPr>
    </w:p>
    <w:p>
      <w:pPr>
        <w:spacing w:after="0" w:line="210" w:lineRule="exact"/>
        <w:rPr>
          <w:sz w:val="20"/>
          <w:szCs w:val="20"/>
          <w:color w:val="auto"/>
        </w:rPr>
      </w:pPr>
    </w:p>
    <w:p>
      <w:pPr>
        <w:jc w:val="both"/>
        <w:ind w:left="200" w:firstLine="677"/>
        <w:spacing w:after="0"/>
        <w:rPr>
          <w:sz w:val="20"/>
          <w:szCs w:val="20"/>
          <w:color w:val="auto"/>
        </w:rPr>
      </w:pPr>
      <w:r>
        <w:rPr>
          <w:rFonts w:ascii="Arial" w:cs="Arial" w:eastAsia="Arial" w:hAnsi="Arial"/>
          <w:sz w:val="22"/>
          <w:szCs w:val="22"/>
          <w:i w:val="1"/>
          <w:iCs w:val="1"/>
          <w:color w:val="auto"/>
        </w:rPr>
        <w:t xml:space="preserve">Section 8. Authorization of Paying Agent. </w:t>
      </w:r>
      <w:r>
        <w:rPr>
          <w:rFonts w:ascii="Arial" w:cs="Arial" w:eastAsia="Arial" w:hAnsi="Arial"/>
          <w:sz w:val="22"/>
          <w:szCs w:val="22"/>
          <w:color w:val="auto"/>
        </w:rPr>
        <w:t>the Lenders and the Administrative Agent hereby acknowledge this Amendment.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right"/>
        <w:ind w:right="219"/>
        <w:spacing w:after="0" w:line="328" w:lineRule="auto"/>
        <w:rPr>
          <w:sz w:val="20"/>
          <w:szCs w:val="20"/>
          <w:color w:val="auto"/>
        </w:rPr>
      </w:pPr>
      <w:r>
        <w:rPr>
          <w:rFonts w:ascii="Arial" w:cs="Arial" w:eastAsia="Arial" w:hAnsi="Arial"/>
          <w:sz w:val="19"/>
          <w:szCs w:val="19"/>
          <w:color w:val="auto"/>
        </w:rPr>
        <w:t>By its execution of this Amendment, each of authorize and direct the Paying Agent to</w:t>
      </w:r>
    </w:p>
    <w:p>
      <w:pPr>
        <w:spacing w:after="0" w:line="361" w:lineRule="exact"/>
        <w:rPr>
          <w:sz w:val="20"/>
          <w:szCs w:val="20"/>
          <w:color w:val="auto"/>
        </w:rPr>
      </w:pPr>
    </w:p>
    <w:p>
      <w:pPr>
        <w:sectPr>
          <w:pgSz w:w="11900" w:h="16838" w:orient="portrait"/>
          <w:cols w:equalWidth="0" w:num="2">
            <w:col w:w="4840" w:space="20"/>
            <w:col w:w="4159"/>
          </w:cols>
          <w:pgMar w:left="1440" w:top="901" w:right="1440" w:bottom="1440" w:gutter="0" w:footer="0" w:header="0"/>
          <w:type w:val="continuous"/>
        </w:sectPr>
      </w:pP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IGNATURE</w:t>
      </w:r>
      <w:r>
        <w:rPr>
          <w:rFonts w:ascii="Arial" w:cs="Arial" w:eastAsia="Arial" w:hAnsi="Arial"/>
          <w:sz w:val="20"/>
          <w:szCs w:val="20"/>
          <w:color w:val="auto"/>
        </w:rPr>
        <w:t xml:space="preserve"> P</w:t>
      </w:r>
      <w:r>
        <w:rPr>
          <w:rFonts w:ascii="Arial" w:cs="Arial" w:eastAsia="Arial" w:hAnsi="Arial"/>
          <w:sz w:val="13"/>
          <w:szCs w:val="13"/>
          <w:color w:val="auto"/>
        </w:rPr>
        <w:t>AGES</w:t>
      </w:r>
      <w:r>
        <w:rPr>
          <w:rFonts w:ascii="Arial" w:cs="Arial" w:eastAsia="Arial" w:hAnsi="Arial"/>
          <w:sz w:val="20"/>
          <w:szCs w:val="20"/>
          <w:color w:val="auto"/>
        </w:rPr>
        <w:t xml:space="preserve"> T</w:t>
      </w:r>
      <w:r>
        <w:rPr>
          <w:rFonts w:ascii="Arial" w:cs="Arial" w:eastAsia="Arial" w:hAnsi="Arial"/>
          <w:sz w:val="13"/>
          <w:szCs w:val="13"/>
          <w:color w:val="auto"/>
        </w:rPr>
        <w:t>O</w:t>
      </w:r>
      <w:r>
        <w:rPr>
          <w:rFonts w:ascii="Arial" w:cs="Arial" w:eastAsia="Arial" w:hAnsi="Arial"/>
          <w:sz w:val="20"/>
          <w:szCs w:val="20"/>
          <w:color w:val="auto"/>
        </w:rPr>
        <w:t xml:space="preserve"> F</w:t>
      </w:r>
      <w:r>
        <w:rPr>
          <w:rFonts w:ascii="Arial" w:cs="Arial" w:eastAsia="Arial" w:hAnsi="Arial"/>
          <w:sz w:val="13"/>
          <w:szCs w:val="13"/>
          <w:color w:val="auto"/>
        </w:rPr>
        <w:t>OLLOW</w:t>
      </w:r>
      <w:r>
        <w:rPr>
          <w:rFonts w:ascii="Arial" w:cs="Arial" w:eastAsia="Arial" w:hAnsi="Arial"/>
          <w:sz w:val="20"/>
          <w:szCs w:val="20"/>
          <w:color w:val="auto"/>
        </w:rPr>
        <w: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523875</wp:posOffset>
            </wp:positionV>
            <wp:extent cx="545211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type w:val="continuous"/>
        </w:sectPr>
      </w:pPr>
    </w:p>
    <w:bookmarkStart w:id="149" w:name="page150"/>
    <w:bookmarkEnd w:id="149"/>
    <w:p>
      <w:pPr>
        <w:ind w:left="200" w:right="219" w:firstLine="648"/>
        <w:spacing w:after="0" w:line="300" w:lineRule="auto"/>
        <w:rPr>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N</w:t>
      </w:r>
      <w:r>
        <w:rPr>
          <w:rFonts w:ascii="Arial" w:cs="Arial" w:eastAsia="Arial" w:hAnsi="Arial"/>
          <w:sz w:val="20"/>
          <w:szCs w:val="20"/>
          <w:color w:val="auto"/>
        </w:rPr>
        <w:t xml:space="preserve"> W</w:t>
      </w:r>
      <w:r>
        <w:rPr>
          <w:rFonts w:ascii="Arial" w:cs="Arial" w:eastAsia="Arial" w:hAnsi="Arial"/>
          <w:sz w:val="13"/>
          <w:szCs w:val="13"/>
          <w:color w:val="auto"/>
        </w:rPr>
        <w:t>ITNESS</w:t>
      </w:r>
      <w:r>
        <w:rPr>
          <w:rFonts w:ascii="Arial" w:cs="Arial" w:eastAsia="Arial" w:hAnsi="Arial"/>
          <w:sz w:val="20"/>
          <w:szCs w:val="20"/>
          <w:color w:val="auto"/>
        </w:rPr>
        <w:t xml:space="preserve"> W</w:t>
      </w:r>
      <w:r>
        <w:rPr>
          <w:rFonts w:ascii="Arial" w:cs="Arial" w:eastAsia="Arial" w:hAnsi="Arial"/>
          <w:sz w:val="13"/>
          <w:szCs w:val="13"/>
          <w:color w:val="auto"/>
        </w:rPr>
        <w:t>HEREOF</w:t>
      </w:r>
      <w:r>
        <w:rPr>
          <w:rFonts w:ascii="Arial" w:cs="Arial" w:eastAsia="Arial" w:hAnsi="Arial"/>
          <w:sz w:val="20"/>
          <w:szCs w:val="20"/>
          <w:color w:val="auto"/>
        </w:rPr>
        <w:t>, the parties hereto have caused this Amendment to Credit Agreement to be executed and delivered by their duly authorized officers as of the date hereof.</w:t>
      </w:r>
    </w:p>
    <w:p>
      <w:pPr>
        <w:spacing w:after="0" w:line="27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ORROWER</w:t>
      </w:r>
      <w:r>
        <w:rPr>
          <w:rFonts w:ascii="Arial" w:cs="Arial" w:eastAsia="Arial" w:hAnsi="Arial"/>
          <w:sz w:val="22"/>
          <w:szCs w:val="22"/>
          <w:color w:val="auto"/>
        </w:rPr>
        <w:t>:</w:t>
      </w:r>
    </w:p>
    <w:p>
      <w:pPr>
        <w:spacing w:after="0" w:line="23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UNWAY</w:t>
      </w:r>
      <w:r>
        <w:rPr>
          <w:rFonts w:ascii="Arial" w:cs="Arial" w:eastAsia="Arial" w:hAnsi="Arial"/>
          <w:sz w:val="22"/>
          <w:szCs w:val="22"/>
          <w:color w:val="auto"/>
        </w:rPr>
        <w:t xml:space="preserve"> G</w:t>
      </w:r>
      <w:r>
        <w:rPr>
          <w:rFonts w:ascii="Arial" w:cs="Arial" w:eastAsia="Arial" w:hAnsi="Arial"/>
          <w:sz w:val="14"/>
          <w:szCs w:val="14"/>
          <w:color w:val="auto"/>
        </w:rPr>
        <w:t>ROWTH</w:t>
      </w:r>
      <w:r>
        <w:rPr>
          <w:rFonts w:ascii="Arial" w:cs="Arial" w:eastAsia="Arial" w:hAnsi="Arial"/>
          <w:sz w:val="22"/>
          <w:szCs w:val="22"/>
          <w:color w:val="auto"/>
        </w:rPr>
        <w:t xml:space="preserve"> F</w:t>
      </w:r>
      <w:r>
        <w:rPr>
          <w:rFonts w:ascii="Arial" w:cs="Arial" w:eastAsia="Arial" w:hAnsi="Arial"/>
          <w:sz w:val="14"/>
          <w:szCs w:val="14"/>
          <w:color w:val="auto"/>
        </w:rPr>
        <w:t>INANCE</w:t>
      </w:r>
      <w:r>
        <w:rPr>
          <w:rFonts w:ascii="Arial" w:cs="Arial" w:eastAsia="Arial" w:hAnsi="Arial"/>
          <w:sz w:val="22"/>
          <w:szCs w:val="22"/>
          <w:color w:val="auto"/>
        </w:rPr>
        <w:t xml:space="preserve"> C</w:t>
      </w:r>
      <w:r>
        <w:rPr>
          <w:rFonts w:ascii="Arial" w:cs="Arial" w:eastAsia="Arial" w:hAnsi="Arial"/>
          <w:sz w:val="14"/>
          <w:szCs w:val="14"/>
          <w:color w:val="auto"/>
        </w:rPr>
        <w:t>ORP</w:t>
      </w:r>
      <w:r>
        <w:rPr>
          <w:rFonts w:ascii="Arial" w:cs="Arial" w:eastAsia="Arial" w:hAnsi="Arial"/>
          <w:sz w:val="22"/>
          <w:szCs w:val="22"/>
          <w:color w:val="auto"/>
        </w:rPr>
        <w:t>. (</w:t>
      </w:r>
      <w:r>
        <w:rPr>
          <w:rFonts w:ascii="Arial" w:cs="Arial" w:eastAsia="Arial" w:hAnsi="Arial"/>
          <w:sz w:val="14"/>
          <w:szCs w:val="14"/>
          <w:color w:val="auto"/>
        </w:rPr>
        <w:t>F</w:t>
      </w:r>
      <w:r>
        <w:rPr>
          <w:rFonts w:ascii="Arial" w:cs="Arial" w:eastAsia="Arial" w:hAnsi="Arial"/>
          <w:sz w:val="22"/>
          <w:szCs w:val="22"/>
          <w:color w:val="auto"/>
        </w:rPr>
        <w:t>/</w:t>
      </w:r>
      <w:r>
        <w:rPr>
          <w:rFonts w:ascii="Arial" w:cs="Arial" w:eastAsia="Arial" w:hAnsi="Arial"/>
          <w:sz w:val="14"/>
          <w:szCs w:val="14"/>
          <w:color w:val="auto"/>
        </w:rPr>
        <w:t>K</w:t>
      </w:r>
      <w:r>
        <w:rPr>
          <w:rFonts w:ascii="Arial" w:cs="Arial" w:eastAsia="Arial" w:hAnsi="Arial"/>
          <w:sz w:val="22"/>
          <w:szCs w:val="22"/>
          <w:color w:val="auto"/>
        </w:rPr>
        <w:t>/</w:t>
      </w:r>
      <w:r>
        <w:rPr>
          <w:rFonts w:ascii="Arial" w:cs="Arial" w:eastAsia="Arial" w:hAnsi="Arial"/>
          <w:sz w:val="14"/>
          <w:szCs w:val="14"/>
          <w:color w:val="auto"/>
        </w:rPr>
        <w:t>A</w:t>
      </w:r>
      <w:r>
        <w:rPr>
          <w:rFonts w:ascii="Arial" w:cs="Arial" w:eastAsia="Arial" w:hAnsi="Arial"/>
          <w:sz w:val="22"/>
          <w:szCs w:val="22"/>
          <w:color w:val="auto"/>
        </w:rPr>
        <w:t xml:space="preserve"> R</w:t>
      </w:r>
      <w:r>
        <w:rPr>
          <w:rFonts w:ascii="Arial" w:cs="Arial" w:eastAsia="Arial" w:hAnsi="Arial"/>
          <w:sz w:val="14"/>
          <w:szCs w:val="14"/>
          <w:color w:val="auto"/>
        </w:rPr>
        <w:t>UNWAY</w:t>
      </w:r>
    </w:p>
    <w:p>
      <w:pPr>
        <w:spacing w:after="0" w:line="8"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ROWTH</w:t>
      </w:r>
      <w:r>
        <w:rPr>
          <w:rFonts w:ascii="Arial" w:cs="Arial" w:eastAsia="Arial" w:hAnsi="Arial"/>
          <w:sz w:val="22"/>
          <w:szCs w:val="22"/>
          <w:color w:val="auto"/>
        </w:rPr>
        <w:t xml:space="preserve"> C</w:t>
      </w:r>
      <w:r>
        <w:rPr>
          <w:rFonts w:ascii="Arial" w:cs="Arial" w:eastAsia="Arial" w:hAnsi="Arial"/>
          <w:sz w:val="14"/>
          <w:szCs w:val="14"/>
          <w:color w:val="auto"/>
        </w:rPr>
        <w:t>REDIT</w:t>
      </w:r>
      <w:r>
        <w:rPr>
          <w:rFonts w:ascii="Arial" w:cs="Arial" w:eastAsia="Arial" w:hAnsi="Arial"/>
          <w:sz w:val="22"/>
          <w:szCs w:val="22"/>
          <w:color w:val="auto"/>
        </w:rPr>
        <w:t xml:space="preserve"> F</w:t>
      </w:r>
      <w:r>
        <w:rPr>
          <w:rFonts w:ascii="Arial" w:cs="Arial" w:eastAsia="Arial" w:hAnsi="Arial"/>
          <w:sz w:val="14"/>
          <w:szCs w:val="14"/>
          <w:color w:val="auto"/>
        </w:rPr>
        <w:t>UND</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w:t>
      </w:r>
      <w:r>
        <w:rPr>
          <w:rFonts w:ascii="Arial" w:cs="Arial" w:eastAsia="Arial" w:hAnsi="Arial"/>
          <w:sz w:val="22"/>
          <w:szCs w:val="22"/>
          <w:u w:val="single" w:color="auto"/>
          <w:color w:val="auto"/>
        </w:rPr>
        <w:t>s/ Thomas B. Raterman</w:t>
      </w:r>
    </w:p>
    <w:p>
      <w:pPr>
        <w:ind w:left="4680"/>
        <w:spacing w:after="0" w:line="238" w:lineRule="auto"/>
        <w:rPr>
          <w:sz w:val="20"/>
          <w:szCs w:val="20"/>
          <w:color w:val="auto"/>
        </w:rPr>
      </w:pPr>
      <w:r>
        <w:rPr>
          <w:rFonts w:ascii="Arial" w:cs="Arial" w:eastAsia="Arial" w:hAnsi="Arial"/>
          <w:sz w:val="22"/>
          <w:szCs w:val="22"/>
          <w:color w:val="auto"/>
        </w:rPr>
        <w:t>Name: Thomas B. Raterman</w:t>
      </w:r>
    </w:p>
    <w:p>
      <w:pPr>
        <w:ind w:left="468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Fifth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523875</wp:posOffset>
            </wp:positionV>
            <wp:extent cx="54521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0" w:name="page151"/>
    <w:bookmarkEnd w:id="150"/>
    <w:p>
      <w:pPr>
        <w:ind w:left="4420"/>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ANAGING</w:t>
      </w:r>
      <w:r>
        <w:rPr>
          <w:rFonts w:ascii="Arial" w:cs="Arial" w:eastAsia="Arial" w:hAnsi="Arial"/>
          <w:sz w:val="20"/>
          <w:szCs w:val="20"/>
          <w:color w:val="auto"/>
        </w:rPr>
        <w:t xml:space="preserve"> A</w:t>
      </w:r>
      <w:r>
        <w:rPr>
          <w:rFonts w:ascii="Arial" w:cs="Arial" w:eastAsia="Arial" w:hAnsi="Arial"/>
          <w:sz w:val="13"/>
          <w:szCs w:val="13"/>
          <w:color w:val="auto"/>
        </w:rPr>
        <w:t>GENT</w:t>
      </w:r>
      <w:r>
        <w:rPr>
          <w:rFonts w:ascii="Arial" w:cs="Arial" w:eastAsia="Arial" w:hAnsi="Arial"/>
          <w:sz w:val="20"/>
          <w:szCs w:val="20"/>
          <w:color w:val="auto"/>
        </w:rPr>
        <w:t xml:space="preserve"> for the KeyBank Lender Group:</w:t>
      </w:r>
    </w:p>
    <w:p>
      <w:pPr>
        <w:spacing w:after="0" w:line="27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Richard Andersen</w:t>
      </w:r>
    </w:p>
    <w:p>
      <w:pPr>
        <w:ind w:left="4680"/>
        <w:spacing w:after="0" w:line="238" w:lineRule="auto"/>
        <w:rPr>
          <w:sz w:val="20"/>
          <w:szCs w:val="20"/>
          <w:color w:val="auto"/>
        </w:rPr>
      </w:pPr>
      <w:r>
        <w:rPr>
          <w:rFonts w:ascii="Arial" w:cs="Arial" w:eastAsia="Arial" w:hAnsi="Arial"/>
          <w:sz w:val="22"/>
          <w:szCs w:val="22"/>
          <w:color w:val="auto"/>
        </w:rPr>
        <w:t>Name: Richard Andersen</w:t>
      </w:r>
    </w:p>
    <w:p>
      <w:pPr>
        <w:ind w:left="4680"/>
        <w:spacing w:after="0"/>
        <w:rPr>
          <w:sz w:val="20"/>
          <w:szCs w:val="20"/>
          <w:color w:val="auto"/>
        </w:rPr>
      </w:pPr>
      <w:r>
        <w:rPr>
          <w:rFonts w:ascii="Arial" w:cs="Arial" w:eastAsia="Arial" w:hAnsi="Arial"/>
          <w:sz w:val="22"/>
          <w:szCs w:val="22"/>
          <w:color w:val="auto"/>
        </w:rPr>
        <w:t>Title: Senior Vice President</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w:t>
      </w:r>
      <w:r>
        <w:rPr>
          <w:rFonts w:ascii="Arial" w:cs="Arial" w:eastAsia="Arial" w:hAnsi="Arial"/>
          <w:sz w:val="14"/>
          <w:szCs w:val="14"/>
          <w:color w:val="auto"/>
        </w:rPr>
        <w:t>ENDER</w:t>
      </w:r>
      <w:r>
        <w:rPr>
          <w:rFonts w:ascii="Arial" w:cs="Arial" w:eastAsia="Arial" w:hAnsi="Arial"/>
          <w:sz w:val="22"/>
          <w:szCs w:val="22"/>
          <w:color w:val="auto"/>
        </w:rPr>
        <w:t xml:space="preserve"> for the KeyBank Lender Group:</w:t>
      </w:r>
    </w:p>
    <w:p>
      <w:pPr>
        <w:spacing w:after="0" w:line="24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Richard Andersen</w:t>
      </w:r>
    </w:p>
    <w:p>
      <w:pPr>
        <w:ind w:left="4680"/>
        <w:spacing w:after="0" w:line="238" w:lineRule="auto"/>
        <w:rPr>
          <w:sz w:val="20"/>
          <w:szCs w:val="20"/>
          <w:color w:val="auto"/>
        </w:rPr>
      </w:pPr>
      <w:r>
        <w:rPr>
          <w:rFonts w:ascii="Arial" w:cs="Arial" w:eastAsia="Arial" w:hAnsi="Arial"/>
          <w:sz w:val="22"/>
          <w:szCs w:val="22"/>
          <w:color w:val="auto"/>
        </w:rPr>
        <w:t>Name: Richard Andersen</w:t>
      </w:r>
    </w:p>
    <w:p>
      <w:pPr>
        <w:ind w:left="468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Fifth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1" w:name="page152"/>
    <w:bookmarkEnd w:id="151"/>
    <w:p>
      <w:pPr>
        <w:ind w:left="442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DMINISTRATIVE</w:t>
      </w:r>
      <w:r>
        <w:rPr>
          <w:rFonts w:ascii="Arial" w:cs="Arial" w:eastAsia="Arial" w:hAnsi="Arial"/>
          <w:sz w:val="22"/>
          <w:szCs w:val="22"/>
          <w:color w:val="auto"/>
        </w:rPr>
        <w:t xml:space="preserve"> A</w:t>
      </w:r>
      <w:r>
        <w:rPr>
          <w:rFonts w:ascii="Arial" w:cs="Arial" w:eastAsia="Arial" w:hAnsi="Arial"/>
          <w:sz w:val="14"/>
          <w:szCs w:val="14"/>
          <w:color w:val="auto"/>
        </w:rPr>
        <w:t>GENT</w:t>
      </w:r>
      <w:r>
        <w:rPr>
          <w:rFonts w:ascii="Arial" w:cs="Arial" w:eastAsia="Arial" w:hAnsi="Arial"/>
          <w:sz w:val="22"/>
          <w:szCs w:val="22"/>
          <w:color w:val="auto"/>
        </w:rPr>
        <w:t>:</w:t>
      </w:r>
    </w:p>
    <w:p>
      <w:pPr>
        <w:spacing w:after="0" w:line="247" w:lineRule="exact"/>
        <w:rPr>
          <w:sz w:val="20"/>
          <w:szCs w:val="20"/>
          <w:color w:val="auto"/>
        </w:rPr>
      </w:pPr>
    </w:p>
    <w:p>
      <w:pPr>
        <w:jc w:val="right"/>
        <w:ind w:right="1839"/>
        <w:spacing w:after="0"/>
        <w:rPr>
          <w:sz w:val="20"/>
          <w:szCs w:val="20"/>
          <w:color w:val="auto"/>
        </w:rPr>
      </w:pPr>
      <w:r>
        <w:rPr>
          <w:rFonts w:ascii="Arial" w:cs="Arial" w:eastAsia="Arial" w:hAnsi="Arial"/>
          <w:sz w:val="22"/>
          <w:szCs w:val="22"/>
          <w:color w:val="auto"/>
        </w:rPr>
        <w:t>K</w:t>
      </w:r>
      <w:r>
        <w:rPr>
          <w:rFonts w:ascii="Arial" w:cs="Arial" w:eastAsia="Arial" w:hAnsi="Arial"/>
          <w:sz w:val="14"/>
          <w:szCs w:val="14"/>
          <w:color w:val="auto"/>
        </w:rPr>
        <w:t>EY</w:t>
      </w:r>
      <w:r>
        <w:rPr>
          <w:rFonts w:ascii="Arial" w:cs="Arial" w:eastAsia="Arial" w:hAnsi="Arial"/>
          <w:sz w:val="22"/>
          <w:szCs w:val="22"/>
          <w:color w:val="auto"/>
        </w:rPr>
        <w:t>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w:t>
      </w:r>
      <w:r>
        <w:rPr>
          <w:rFonts w:ascii="Arial" w:cs="Arial" w:eastAsia="Arial" w:hAnsi="Arial"/>
          <w:sz w:val="22"/>
          <w:szCs w:val="22"/>
          <w:u w:val="single" w:color="auto"/>
          <w:color w:val="auto"/>
        </w:rPr>
        <w:t>s/ Richard Andersen</w:t>
      </w:r>
    </w:p>
    <w:p>
      <w:pPr>
        <w:ind w:left="4680"/>
        <w:spacing w:after="0" w:line="238" w:lineRule="auto"/>
        <w:rPr>
          <w:sz w:val="20"/>
          <w:szCs w:val="20"/>
          <w:color w:val="auto"/>
        </w:rPr>
      </w:pPr>
      <w:r>
        <w:rPr>
          <w:rFonts w:ascii="Arial" w:cs="Arial" w:eastAsia="Arial" w:hAnsi="Arial"/>
          <w:sz w:val="22"/>
          <w:szCs w:val="22"/>
          <w:color w:val="auto"/>
        </w:rPr>
        <w:t>Name: Richard Andersen</w:t>
      </w:r>
    </w:p>
    <w:p>
      <w:pPr>
        <w:ind w:left="4680"/>
        <w:spacing w:after="0"/>
        <w:rPr>
          <w:sz w:val="20"/>
          <w:szCs w:val="20"/>
          <w:color w:val="auto"/>
        </w:rPr>
      </w:pPr>
      <w:r>
        <w:rPr>
          <w:rFonts w:ascii="Arial" w:cs="Arial" w:eastAsia="Arial" w:hAnsi="Arial"/>
          <w:sz w:val="19"/>
          <w:szCs w:val="19"/>
          <w:color w:val="auto"/>
        </w:rPr>
        <w:t>Title: Senior Vice President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Fifth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2" w:name="page153"/>
    <w:bookmarkEnd w:id="152"/>
    <w:p>
      <w:pPr>
        <w:jc w:val="right"/>
        <w:ind w:right="579"/>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ANAGING</w:t>
      </w:r>
      <w:r>
        <w:rPr>
          <w:rFonts w:ascii="Arial" w:cs="Arial" w:eastAsia="Arial" w:hAnsi="Arial"/>
          <w:sz w:val="22"/>
          <w:szCs w:val="22"/>
          <w:color w:val="auto"/>
        </w:rPr>
        <w:t xml:space="preserve"> A</w:t>
      </w:r>
      <w:r>
        <w:rPr>
          <w:rFonts w:ascii="Arial" w:cs="Arial" w:eastAsia="Arial" w:hAnsi="Arial"/>
          <w:sz w:val="14"/>
          <w:szCs w:val="14"/>
          <w:color w:val="auto"/>
        </w:rPr>
        <w:t>GENT</w:t>
      </w:r>
      <w:r>
        <w:rPr>
          <w:rFonts w:ascii="Arial" w:cs="Arial" w:eastAsia="Arial" w:hAnsi="Arial"/>
          <w:sz w:val="22"/>
          <w:szCs w:val="22"/>
          <w:color w:val="auto"/>
        </w:rPr>
        <w:t xml:space="preserve"> for the CIBC Bank USA Lender</w:t>
      </w:r>
    </w:p>
    <w:p>
      <w:pPr>
        <w:spacing w:after="0" w:line="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Group:</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CIBC B</w:t>
      </w:r>
      <w:r>
        <w:rPr>
          <w:rFonts w:ascii="Arial" w:cs="Arial" w:eastAsia="Arial" w:hAnsi="Arial"/>
          <w:sz w:val="14"/>
          <w:szCs w:val="14"/>
          <w:color w:val="auto"/>
        </w:rPr>
        <w:t>ANK</w:t>
      </w:r>
      <w:r>
        <w:rPr>
          <w:rFonts w:ascii="Arial" w:cs="Arial" w:eastAsia="Arial" w:hAnsi="Arial"/>
          <w:sz w:val="22"/>
          <w:szCs w:val="22"/>
          <w:color w:val="auto"/>
        </w:rPr>
        <w:t xml:space="preserve"> USA</w:t>
      </w:r>
    </w:p>
    <w:p>
      <w:pPr>
        <w:spacing w:after="0" w:line="200" w:lineRule="exact"/>
        <w:rPr>
          <w:sz w:val="20"/>
          <w:szCs w:val="20"/>
          <w:color w:val="auto"/>
        </w:rPr>
      </w:pPr>
    </w:p>
    <w:p>
      <w:pPr>
        <w:spacing w:after="0" w:line="30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Ehsan Ali</w:t>
      </w:r>
    </w:p>
    <w:p>
      <w:pPr>
        <w:ind w:left="4420"/>
        <w:spacing w:after="0" w:line="238" w:lineRule="auto"/>
        <w:rPr>
          <w:sz w:val="20"/>
          <w:szCs w:val="20"/>
          <w:color w:val="auto"/>
        </w:rPr>
      </w:pPr>
      <w:r>
        <w:rPr>
          <w:rFonts w:ascii="Arial" w:cs="Arial" w:eastAsia="Arial" w:hAnsi="Arial"/>
          <w:sz w:val="22"/>
          <w:szCs w:val="22"/>
          <w:color w:val="auto"/>
        </w:rPr>
        <w:t>Name: Ehsan Ali</w:t>
      </w:r>
    </w:p>
    <w:p>
      <w:pPr>
        <w:ind w:left="4420"/>
        <w:spacing w:after="0"/>
        <w:rPr>
          <w:sz w:val="20"/>
          <w:szCs w:val="20"/>
          <w:color w:val="auto"/>
        </w:rPr>
      </w:pPr>
      <w:r>
        <w:rPr>
          <w:rFonts w:ascii="Arial" w:cs="Arial" w:eastAsia="Arial" w:hAnsi="Arial"/>
          <w:sz w:val="22"/>
          <w:szCs w:val="22"/>
          <w:color w:val="auto"/>
        </w:rPr>
        <w:t>Title:  Officer</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ENDER</w:t>
      </w:r>
      <w:r>
        <w:rPr>
          <w:rFonts w:ascii="Arial" w:cs="Arial" w:eastAsia="Arial" w:hAnsi="Arial"/>
          <w:sz w:val="20"/>
          <w:szCs w:val="20"/>
          <w:color w:val="auto"/>
        </w:rPr>
        <w:t xml:space="preserve"> for the CIBC BANK USA Lender Group:</w:t>
      </w:r>
    </w:p>
    <w:p>
      <w:pPr>
        <w:spacing w:after="0" w:line="27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CIBC B</w:t>
      </w:r>
      <w:r>
        <w:rPr>
          <w:rFonts w:ascii="Arial" w:cs="Arial" w:eastAsia="Arial" w:hAnsi="Arial"/>
          <w:sz w:val="14"/>
          <w:szCs w:val="14"/>
          <w:color w:val="auto"/>
        </w:rPr>
        <w:t>ANK</w:t>
      </w:r>
      <w:r>
        <w:rPr>
          <w:rFonts w:ascii="Arial" w:cs="Arial" w:eastAsia="Arial" w:hAnsi="Arial"/>
          <w:sz w:val="22"/>
          <w:szCs w:val="22"/>
          <w:color w:val="auto"/>
        </w:rPr>
        <w:t xml:space="preserve"> USA</w:t>
      </w:r>
    </w:p>
    <w:p>
      <w:pPr>
        <w:spacing w:after="0" w:line="200" w:lineRule="exact"/>
        <w:rPr>
          <w:sz w:val="20"/>
          <w:szCs w:val="20"/>
          <w:color w:val="auto"/>
        </w:rPr>
      </w:pPr>
    </w:p>
    <w:p>
      <w:pPr>
        <w:spacing w:after="0" w:line="29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Ehsan Ali</w:t>
      </w:r>
    </w:p>
    <w:p>
      <w:pPr>
        <w:ind w:left="4340"/>
        <w:spacing w:after="0" w:line="238" w:lineRule="auto"/>
        <w:rPr>
          <w:sz w:val="20"/>
          <w:szCs w:val="20"/>
          <w:color w:val="auto"/>
        </w:rPr>
      </w:pPr>
      <w:r>
        <w:rPr>
          <w:rFonts w:ascii="Arial" w:cs="Arial" w:eastAsia="Arial" w:hAnsi="Arial"/>
          <w:sz w:val="22"/>
          <w:szCs w:val="22"/>
          <w:color w:val="auto"/>
        </w:rPr>
        <w:t>Name: Ehsan Ali</w:t>
      </w:r>
    </w:p>
    <w:p>
      <w:pPr>
        <w:ind w:left="4340"/>
        <w:spacing w:after="0"/>
        <w:rPr>
          <w:sz w:val="20"/>
          <w:szCs w:val="20"/>
          <w:color w:val="auto"/>
        </w:rPr>
      </w:pPr>
      <w:r>
        <w:rPr>
          <w:rFonts w:ascii="Arial" w:cs="Arial" w:eastAsia="Arial" w:hAnsi="Arial"/>
          <w:sz w:val="22"/>
          <w:szCs w:val="22"/>
          <w:color w:val="auto"/>
        </w:rPr>
        <w:t>Title:  Officer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Fifth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53" w:name="page154"/>
    <w:bookmarkEnd w:id="153"/>
    <w:p>
      <w:pPr>
        <w:ind w:left="4100"/>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ANAGING</w:t>
      </w:r>
      <w:r>
        <w:rPr>
          <w:rFonts w:ascii="Arial" w:cs="Arial" w:eastAsia="Arial" w:hAnsi="Arial"/>
          <w:sz w:val="20"/>
          <w:szCs w:val="20"/>
          <w:color w:val="auto"/>
        </w:rPr>
        <w:t xml:space="preserve"> A</w:t>
      </w:r>
      <w:r>
        <w:rPr>
          <w:rFonts w:ascii="Arial" w:cs="Arial" w:eastAsia="Arial" w:hAnsi="Arial"/>
          <w:sz w:val="13"/>
          <w:szCs w:val="13"/>
          <w:color w:val="auto"/>
        </w:rPr>
        <w:t>GENT</w:t>
      </w:r>
      <w:r>
        <w:rPr>
          <w:rFonts w:ascii="Arial" w:cs="Arial" w:eastAsia="Arial" w:hAnsi="Arial"/>
          <w:sz w:val="20"/>
          <w:szCs w:val="20"/>
          <w:color w:val="auto"/>
        </w:rPr>
        <w:t xml:space="preserve"> for the MUFG Union Bank, N.A.</w:t>
      </w:r>
    </w:p>
    <w:p>
      <w:pPr>
        <w:spacing w:after="0" w:line="3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Lender Group:</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MUFG U</w:t>
      </w:r>
      <w:r>
        <w:rPr>
          <w:rFonts w:ascii="Arial" w:cs="Arial" w:eastAsia="Arial" w:hAnsi="Arial"/>
          <w:sz w:val="14"/>
          <w:szCs w:val="14"/>
          <w:color w:val="auto"/>
        </w:rPr>
        <w:t>NION</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N.A.</w:t>
      </w:r>
    </w:p>
    <w:p>
      <w:pPr>
        <w:spacing w:after="0" w:line="200" w:lineRule="exact"/>
        <w:rPr>
          <w:sz w:val="20"/>
          <w:szCs w:val="20"/>
          <w:color w:val="auto"/>
        </w:rPr>
      </w:pPr>
    </w:p>
    <w:p>
      <w:pPr>
        <w:spacing w:after="0" w:line="30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 /</w:t>
      </w:r>
      <w:r>
        <w:rPr>
          <w:rFonts w:ascii="Arial" w:cs="Arial" w:eastAsia="Arial" w:hAnsi="Arial"/>
          <w:sz w:val="22"/>
          <w:szCs w:val="22"/>
          <w:u w:val="single" w:color="auto"/>
          <w:color w:val="auto"/>
        </w:rPr>
        <w:t>s/ Kenneth J. Beck</w:t>
      </w:r>
    </w:p>
    <w:p>
      <w:pPr>
        <w:ind w:left="4420"/>
        <w:spacing w:after="0" w:line="238" w:lineRule="auto"/>
        <w:rPr>
          <w:sz w:val="20"/>
          <w:szCs w:val="20"/>
          <w:color w:val="auto"/>
        </w:rPr>
      </w:pPr>
      <w:r>
        <w:rPr>
          <w:rFonts w:ascii="Arial" w:cs="Arial" w:eastAsia="Arial" w:hAnsi="Arial"/>
          <w:sz w:val="22"/>
          <w:szCs w:val="22"/>
          <w:color w:val="auto"/>
        </w:rPr>
        <w:t>Name: Kenneth J. Beck</w:t>
      </w:r>
    </w:p>
    <w:p>
      <w:pPr>
        <w:ind w:left="4420"/>
        <w:spacing w:after="0"/>
        <w:rPr>
          <w:sz w:val="20"/>
          <w:szCs w:val="20"/>
          <w:color w:val="auto"/>
        </w:rPr>
      </w:pPr>
      <w:r>
        <w:rPr>
          <w:rFonts w:ascii="Arial" w:cs="Arial" w:eastAsia="Arial" w:hAnsi="Arial"/>
          <w:sz w:val="22"/>
          <w:szCs w:val="22"/>
          <w:color w:val="auto"/>
        </w:rPr>
        <w:t>Title: Director</w:t>
      </w:r>
    </w:p>
    <w:p>
      <w:pPr>
        <w:spacing w:after="0" w:line="215"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ENDER</w:t>
      </w:r>
      <w:r>
        <w:rPr>
          <w:rFonts w:ascii="Arial" w:cs="Arial" w:eastAsia="Arial" w:hAnsi="Arial"/>
          <w:sz w:val="20"/>
          <w:szCs w:val="20"/>
          <w:color w:val="auto"/>
        </w:rPr>
        <w:t xml:space="preserve"> for the MUFG Union Bank, N.A. Lender</w:t>
      </w:r>
    </w:p>
    <w:p>
      <w:pPr>
        <w:spacing w:after="0" w:line="3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Group:</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MUFG U</w:t>
      </w:r>
      <w:r>
        <w:rPr>
          <w:rFonts w:ascii="Arial" w:cs="Arial" w:eastAsia="Arial" w:hAnsi="Arial"/>
          <w:sz w:val="14"/>
          <w:szCs w:val="14"/>
          <w:color w:val="auto"/>
        </w:rPr>
        <w:t>NION</w:t>
      </w:r>
      <w:r>
        <w:rPr>
          <w:rFonts w:ascii="Arial" w:cs="Arial" w:eastAsia="Arial" w:hAnsi="Arial"/>
          <w:sz w:val="22"/>
          <w:szCs w:val="22"/>
          <w:color w:val="auto"/>
        </w:rPr>
        <w:t xml:space="preserve"> B</w:t>
      </w:r>
      <w:r>
        <w:rPr>
          <w:rFonts w:ascii="Arial" w:cs="Arial" w:eastAsia="Arial" w:hAnsi="Arial"/>
          <w:sz w:val="14"/>
          <w:szCs w:val="14"/>
          <w:color w:val="auto"/>
        </w:rPr>
        <w:t>ANK</w:t>
      </w:r>
      <w:r>
        <w:rPr>
          <w:rFonts w:ascii="Arial" w:cs="Arial" w:eastAsia="Arial" w:hAnsi="Arial"/>
          <w:sz w:val="22"/>
          <w:szCs w:val="22"/>
          <w:color w:val="auto"/>
        </w:rPr>
        <w:t>, N.A.</w:t>
      </w:r>
    </w:p>
    <w:p>
      <w:pPr>
        <w:spacing w:after="0" w:line="200" w:lineRule="exact"/>
        <w:rPr>
          <w:sz w:val="20"/>
          <w:szCs w:val="20"/>
          <w:color w:val="auto"/>
        </w:rPr>
      </w:pPr>
    </w:p>
    <w:p>
      <w:pPr>
        <w:spacing w:after="0" w:line="29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Kenneth J. Beck</w:t>
      </w:r>
    </w:p>
    <w:p>
      <w:pPr>
        <w:ind w:left="4420"/>
        <w:spacing w:after="0" w:line="238" w:lineRule="auto"/>
        <w:rPr>
          <w:sz w:val="20"/>
          <w:szCs w:val="20"/>
          <w:color w:val="auto"/>
        </w:rPr>
      </w:pPr>
      <w:r>
        <w:rPr>
          <w:rFonts w:ascii="Arial" w:cs="Arial" w:eastAsia="Arial" w:hAnsi="Arial"/>
          <w:sz w:val="22"/>
          <w:szCs w:val="22"/>
          <w:color w:val="auto"/>
        </w:rPr>
        <w:t>Name: Kenneth J. Beck</w:t>
      </w:r>
    </w:p>
    <w:p>
      <w:pPr>
        <w:ind w:left="44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Fifth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54" w:name="page155"/>
    <w:bookmarkEnd w:id="154"/>
    <w:p>
      <w:pPr>
        <w:ind w:left="4420"/>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ANAGING</w:t>
      </w:r>
      <w:r>
        <w:rPr>
          <w:rFonts w:ascii="Arial" w:cs="Arial" w:eastAsia="Arial" w:hAnsi="Arial"/>
          <w:sz w:val="20"/>
          <w:szCs w:val="20"/>
          <w:color w:val="auto"/>
        </w:rPr>
        <w:t xml:space="preserve"> A</w:t>
      </w:r>
      <w:r>
        <w:rPr>
          <w:rFonts w:ascii="Arial" w:cs="Arial" w:eastAsia="Arial" w:hAnsi="Arial"/>
          <w:sz w:val="13"/>
          <w:szCs w:val="13"/>
          <w:color w:val="auto"/>
        </w:rPr>
        <w:t>GENT</w:t>
      </w:r>
      <w:r>
        <w:rPr>
          <w:rFonts w:ascii="Arial" w:cs="Arial" w:eastAsia="Arial" w:hAnsi="Arial"/>
          <w:sz w:val="20"/>
          <w:szCs w:val="20"/>
          <w:color w:val="auto"/>
        </w:rPr>
        <w:t xml:space="preserve"> for the Bank of Hope Lender</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Group:</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H</w:t>
      </w:r>
      <w:r>
        <w:rPr>
          <w:rFonts w:ascii="Arial" w:cs="Arial" w:eastAsia="Arial" w:hAnsi="Arial"/>
          <w:sz w:val="14"/>
          <w:szCs w:val="14"/>
          <w:color w:val="auto"/>
        </w:rPr>
        <w:t>OPE</w:t>
      </w: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Hennessy</w:t>
      </w:r>
    </w:p>
    <w:p>
      <w:pPr>
        <w:ind w:left="4680"/>
        <w:spacing w:after="0" w:line="238" w:lineRule="auto"/>
        <w:rPr>
          <w:sz w:val="20"/>
          <w:szCs w:val="20"/>
          <w:color w:val="auto"/>
        </w:rPr>
      </w:pPr>
      <w:r>
        <w:rPr>
          <w:rFonts w:ascii="Arial" w:cs="Arial" w:eastAsia="Arial" w:hAnsi="Arial"/>
          <w:sz w:val="22"/>
          <w:szCs w:val="22"/>
          <w:color w:val="auto"/>
        </w:rPr>
        <w:t>Name: Peter Hennessy</w:t>
      </w:r>
    </w:p>
    <w:p>
      <w:pPr>
        <w:ind w:left="4680"/>
        <w:spacing w:after="0"/>
        <w:rPr>
          <w:sz w:val="20"/>
          <w:szCs w:val="20"/>
          <w:color w:val="auto"/>
        </w:rPr>
      </w:pPr>
      <w:r>
        <w:rPr>
          <w:rFonts w:ascii="Arial" w:cs="Arial" w:eastAsia="Arial" w:hAnsi="Arial"/>
          <w:sz w:val="21"/>
          <w:szCs w:val="21"/>
          <w:color w:val="auto"/>
        </w:rPr>
        <w:t>Title: SVP, Senior Relationship Manager</w:t>
      </w:r>
    </w:p>
    <w:p>
      <w:pPr>
        <w:spacing w:after="0" w:line="200" w:lineRule="exact"/>
        <w:rPr>
          <w:sz w:val="20"/>
          <w:szCs w:val="20"/>
          <w:color w:val="auto"/>
        </w:rPr>
      </w:pPr>
    </w:p>
    <w:p>
      <w:pPr>
        <w:spacing w:after="0" w:line="27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ENDER</w:t>
      </w:r>
      <w:r>
        <w:rPr>
          <w:rFonts w:ascii="Arial" w:cs="Arial" w:eastAsia="Arial" w:hAnsi="Arial"/>
          <w:sz w:val="20"/>
          <w:szCs w:val="20"/>
          <w:color w:val="auto"/>
        </w:rPr>
        <w:t xml:space="preserve"> for the Bank of Hope Lender Group:</w:t>
      </w:r>
    </w:p>
    <w:p>
      <w:pPr>
        <w:spacing w:after="0" w:line="27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ANK OF</w:t>
      </w:r>
      <w:r>
        <w:rPr>
          <w:rFonts w:ascii="Arial" w:cs="Arial" w:eastAsia="Arial" w:hAnsi="Arial"/>
          <w:sz w:val="22"/>
          <w:szCs w:val="22"/>
          <w:color w:val="auto"/>
        </w:rPr>
        <w:t xml:space="preserve"> H</w:t>
      </w:r>
      <w:r>
        <w:rPr>
          <w:rFonts w:ascii="Arial" w:cs="Arial" w:eastAsia="Arial" w:hAnsi="Arial"/>
          <w:sz w:val="14"/>
          <w:szCs w:val="14"/>
          <w:color w:val="auto"/>
        </w:rPr>
        <w:t>OPE</w:t>
      </w: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Hennessy</w:t>
      </w:r>
    </w:p>
    <w:p>
      <w:pPr>
        <w:ind w:left="4680"/>
        <w:spacing w:after="0" w:line="238" w:lineRule="auto"/>
        <w:rPr>
          <w:sz w:val="20"/>
          <w:szCs w:val="20"/>
          <w:color w:val="auto"/>
        </w:rPr>
      </w:pPr>
      <w:r>
        <w:rPr>
          <w:rFonts w:ascii="Arial" w:cs="Arial" w:eastAsia="Arial" w:hAnsi="Arial"/>
          <w:sz w:val="22"/>
          <w:szCs w:val="22"/>
          <w:color w:val="auto"/>
        </w:rPr>
        <w:t>Name: Peter Hennessy</w:t>
      </w:r>
    </w:p>
    <w:p>
      <w:pPr>
        <w:ind w:left="4680"/>
        <w:spacing w:after="0"/>
        <w:rPr>
          <w:sz w:val="20"/>
          <w:szCs w:val="20"/>
          <w:color w:val="auto"/>
        </w:rPr>
      </w:pPr>
      <w:r>
        <w:rPr>
          <w:rFonts w:ascii="Arial" w:cs="Arial" w:eastAsia="Arial" w:hAnsi="Arial"/>
          <w:sz w:val="21"/>
          <w:szCs w:val="21"/>
          <w:color w:val="auto"/>
        </w:rPr>
        <w:t>Title: SVP, Senior Relationship Manager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Fifth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55" w:name="page156"/>
    <w:bookmarkEnd w:id="155"/>
    <w:p>
      <w:pPr>
        <w:ind w:left="4420"/>
        <w:spacing w:after="0"/>
        <w:rPr>
          <w:sz w:val="20"/>
          <w:szCs w:val="20"/>
          <w:color w:val="auto"/>
        </w:rPr>
      </w:pPr>
      <w:r>
        <w:rPr>
          <w:rFonts w:ascii="Arial" w:cs="Arial" w:eastAsia="Arial" w:hAnsi="Arial"/>
          <w:sz w:val="20"/>
          <w:szCs w:val="20"/>
          <w:color w:val="auto"/>
        </w:rPr>
        <w:t>M</w:t>
      </w:r>
      <w:r>
        <w:rPr>
          <w:rFonts w:ascii="Arial" w:cs="Arial" w:eastAsia="Arial" w:hAnsi="Arial"/>
          <w:sz w:val="13"/>
          <w:szCs w:val="13"/>
          <w:color w:val="auto"/>
        </w:rPr>
        <w:t>ANAGING</w:t>
      </w:r>
      <w:r>
        <w:rPr>
          <w:rFonts w:ascii="Arial" w:cs="Arial" w:eastAsia="Arial" w:hAnsi="Arial"/>
          <w:sz w:val="20"/>
          <w:szCs w:val="20"/>
          <w:color w:val="auto"/>
        </w:rPr>
        <w:t xml:space="preserve"> A</w:t>
      </w:r>
      <w:r>
        <w:rPr>
          <w:rFonts w:ascii="Arial" w:cs="Arial" w:eastAsia="Arial" w:hAnsi="Arial"/>
          <w:sz w:val="13"/>
          <w:szCs w:val="13"/>
          <w:color w:val="auto"/>
        </w:rPr>
        <w:t>GENT</w:t>
      </w:r>
      <w:r>
        <w:rPr>
          <w:rFonts w:ascii="Arial" w:cs="Arial" w:eastAsia="Arial" w:hAnsi="Arial"/>
          <w:sz w:val="20"/>
          <w:szCs w:val="20"/>
          <w:color w:val="auto"/>
        </w:rPr>
        <w:t xml:space="preserve"> for the First Foundation Bank</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Lender Group:</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F</w:t>
      </w:r>
      <w:r>
        <w:rPr>
          <w:rFonts w:ascii="Arial" w:cs="Arial" w:eastAsia="Arial" w:hAnsi="Arial"/>
          <w:sz w:val="14"/>
          <w:szCs w:val="14"/>
          <w:color w:val="auto"/>
        </w:rPr>
        <w:t>IRST</w:t>
      </w:r>
      <w:r>
        <w:rPr>
          <w:rFonts w:ascii="Arial" w:cs="Arial" w:eastAsia="Arial" w:hAnsi="Arial"/>
          <w:sz w:val="22"/>
          <w:szCs w:val="22"/>
          <w:color w:val="auto"/>
        </w:rPr>
        <w:t xml:space="preserve"> F</w:t>
      </w:r>
      <w:r>
        <w:rPr>
          <w:rFonts w:ascii="Arial" w:cs="Arial" w:eastAsia="Arial" w:hAnsi="Arial"/>
          <w:sz w:val="14"/>
          <w:szCs w:val="14"/>
          <w:color w:val="auto"/>
        </w:rPr>
        <w:t>OUNDATION</w:t>
      </w:r>
      <w:r>
        <w:rPr>
          <w:rFonts w:ascii="Arial" w:cs="Arial" w:eastAsia="Arial" w:hAnsi="Arial"/>
          <w:sz w:val="22"/>
          <w:szCs w:val="22"/>
          <w:color w:val="auto"/>
        </w:rPr>
        <w:t xml:space="preserve"> B</w:t>
      </w:r>
      <w:r>
        <w:rPr>
          <w:rFonts w:ascii="Arial" w:cs="Arial" w:eastAsia="Arial" w:hAnsi="Arial"/>
          <w:sz w:val="14"/>
          <w:szCs w:val="14"/>
          <w:color w:val="auto"/>
        </w:rPr>
        <w:t>ANK</w:t>
      </w:r>
    </w:p>
    <w:p>
      <w:pPr>
        <w:spacing w:after="0" w:line="200" w:lineRule="exact"/>
        <w:rPr>
          <w:sz w:val="20"/>
          <w:szCs w:val="20"/>
          <w:color w:val="auto"/>
        </w:rPr>
      </w:pPr>
    </w:p>
    <w:p>
      <w:pPr>
        <w:spacing w:after="0" w:line="303"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By: /</w:t>
      </w:r>
      <w:r>
        <w:rPr>
          <w:rFonts w:ascii="Arial" w:cs="Arial" w:eastAsia="Arial" w:hAnsi="Arial"/>
          <w:sz w:val="22"/>
          <w:szCs w:val="22"/>
          <w:u w:val="single" w:color="auto"/>
          <w:color w:val="auto"/>
        </w:rPr>
        <w:t>s/ Aric C. Graham</w:t>
      </w:r>
    </w:p>
    <w:p>
      <w:pPr>
        <w:ind w:left="4680"/>
        <w:spacing w:after="0" w:line="238" w:lineRule="auto"/>
        <w:rPr>
          <w:sz w:val="20"/>
          <w:szCs w:val="20"/>
          <w:color w:val="auto"/>
        </w:rPr>
      </w:pPr>
      <w:r>
        <w:rPr>
          <w:rFonts w:ascii="Arial" w:cs="Arial" w:eastAsia="Arial" w:hAnsi="Arial"/>
          <w:sz w:val="22"/>
          <w:szCs w:val="22"/>
          <w:color w:val="auto"/>
        </w:rPr>
        <w:t>Name: Aric C. Graham</w:t>
      </w:r>
    </w:p>
    <w:p>
      <w:pPr>
        <w:ind w:left="4680"/>
        <w:spacing w:after="0"/>
        <w:rPr>
          <w:sz w:val="20"/>
          <w:szCs w:val="20"/>
          <w:color w:val="auto"/>
        </w:rPr>
      </w:pPr>
      <w:r>
        <w:rPr>
          <w:rFonts w:ascii="Arial" w:cs="Arial" w:eastAsia="Arial" w:hAnsi="Arial"/>
          <w:sz w:val="22"/>
          <w:szCs w:val="22"/>
          <w:color w:val="auto"/>
        </w:rPr>
        <w:t>Title: SVP</w:t>
      </w:r>
    </w:p>
    <w:p>
      <w:pPr>
        <w:spacing w:after="0" w:line="21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ENDER</w:t>
      </w:r>
      <w:r>
        <w:rPr>
          <w:rFonts w:ascii="Arial" w:cs="Arial" w:eastAsia="Arial" w:hAnsi="Arial"/>
          <w:sz w:val="20"/>
          <w:szCs w:val="20"/>
          <w:color w:val="auto"/>
        </w:rPr>
        <w:t xml:space="preserve"> for the First Foundation Bank Lender</w:t>
      </w:r>
    </w:p>
    <w:p>
      <w:pPr>
        <w:spacing w:after="0" w:line="3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Group:</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F</w:t>
      </w:r>
      <w:r>
        <w:rPr>
          <w:rFonts w:ascii="Arial" w:cs="Arial" w:eastAsia="Arial" w:hAnsi="Arial"/>
          <w:sz w:val="14"/>
          <w:szCs w:val="14"/>
          <w:color w:val="auto"/>
        </w:rPr>
        <w:t>IRST</w:t>
      </w:r>
      <w:r>
        <w:rPr>
          <w:rFonts w:ascii="Arial" w:cs="Arial" w:eastAsia="Arial" w:hAnsi="Arial"/>
          <w:sz w:val="22"/>
          <w:szCs w:val="22"/>
          <w:color w:val="auto"/>
        </w:rPr>
        <w:t xml:space="preserve"> F</w:t>
      </w:r>
      <w:r>
        <w:rPr>
          <w:rFonts w:ascii="Arial" w:cs="Arial" w:eastAsia="Arial" w:hAnsi="Arial"/>
          <w:sz w:val="14"/>
          <w:szCs w:val="14"/>
          <w:color w:val="auto"/>
        </w:rPr>
        <w:t>OUNDATION</w:t>
      </w:r>
      <w:r>
        <w:rPr>
          <w:rFonts w:ascii="Arial" w:cs="Arial" w:eastAsia="Arial" w:hAnsi="Arial"/>
          <w:sz w:val="22"/>
          <w:szCs w:val="22"/>
          <w:color w:val="auto"/>
        </w:rPr>
        <w:t xml:space="preserve"> B</w:t>
      </w:r>
      <w:r>
        <w:rPr>
          <w:rFonts w:ascii="Arial" w:cs="Arial" w:eastAsia="Arial" w:hAnsi="Arial"/>
          <w:sz w:val="14"/>
          <w:szCs w:val="14"/>
          <w:color w:val="auto"/>
        </w:rPr>
        <w:t>ANK</w:t>
      </w: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Aric C. Graham</w:t>
      </w:r>
    </w:p>
    <w:p>
      <w:pPr>
        <w:ind w:left="4680"/>
        <w:spacing w:after="0" w:line="238" w:lineRule="auto"/>
        <w:rPr>
          <w:sz w:val="20"/>
          <w:szCs w:val="20"/>
          <w:color w:val="auto"/>
        </w:rPr>
      </w:pPr>
      <w:r>
        <w:rPr>
          <w:rFonts w:ascii="Arial" w:cs="Arial" w:eastAsia="Arial" w:hAnsi="Arial"/>
          <w:sz w:val="22"/>
          <w:szCs w:val="22"/>
          <w:color w:val="auto"/>
        </w:rPr>
        <w:t>Name: Aric C. Graham</w:t>
      </w:r>
    </w:p>
    <w:p>
      <w:pPr>
        <w:ind w:left="468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Fifth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56" w:name="page157"/>
    <w:bookmarkEnd w:id="156"/>
    <w:p>
      <w:pPr>
        <w:ind w:left="20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CKNOWLEDGED AND AGREED</w:t>
      </w:r>
      <w:r>
        <w:rPr>
          <w:rFonts w:ascii="Arial" w:cs="Arial" w:eastAsia="Arial" w:hAnsi="Arial"/>
          <w:sz w:val="22"/>
          <w:szCs w:val="22"/>
          <w:color w:val="auto"/>
        </w:rPr>
        <w:t>:</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AYING</w:t>
      </w:r>
      <w:r>
        <w:rPr>
          <w:rFonts w:ascii="Arial" w:cs="Arial" w:eastAsia="Arial" w:hAnsi="Arial"/>
          <w:sz w:val="22"/>
          <w:szCs w:val="22"/>
          <w:color w:val="auto"/>
        </w:rPr>
        <w:t xml:space="preserve"> A</w:t>
      </w:r>
      <w:r>
        <w:rPr>
          <w:rFonts w:ascii="Arial" w:cs="Arial" w:eastAsia="Arial" w:hAnsi="Arial"/>
          <w:sz w:val="14"/>
          <w:szCs w:val="14"/>
          <w:color w:val="auto"/>
        </w:rPr>
        <w:t>GENT</w:t>
      </w:r>
      <w:r>
        <w:rPr>
          <w:rFonts w:ascii="Arial" w:cs="Arial" w:eastAsia="Arial" w:hAnsi="Arial"/>
          <w:sz w:val="22"/>
          <w:szCs w:val="22"/>
          <w:color w:val="auto"/>
        </w:rPr>
        <w:t>:</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U.S. B</w:t>
      </w:r>
      <w:r>
        <w:rPr>
          <w:rFonts w:ascii="Arial" w:cs="Arial" w:eastAsia="Arial" w:hAnsi="Arial"/>
          <w:sz w:val="14"/>
          <w:szCs w:val="14"/>
          <w:color w:val="auto"/>
        </w:rPr>
        <w:t>ANK</w:t>
      </w:r>
      <w:r>
        <w:rPr>
          <w:rFonts w:ascii="Arial" w:cs="Arial" w:eastAsia="Arial" w:hAnsi="Arial"/>
          <w:sz w:val="22"/>
          <w:szCs w:val="22"/>
          <w:color w:val="auto"/>
        </w:rPr>
        <w:t xml:space="preserve"> N</w:t>
      </w:r>
      <w:r>
        <w:rPr>
          <w:rFonts w:ascii="Arial" w:cs="Arial" w:eastAsia="Arial" w:hAnsi="Arial"/>
          <w:sz w:val="14"/>
          <w:szCs w:val="14"/>
          <w:color w:val="auto"/>
        </w:rPr>
        <w:t>ATIONAL</w:t>
      </w:r>
      <w:r>
        <w:rPr>
          <w:rFonts w:ascii="Arial" w:cs="Arial" w:eastAsia="Arial" w:hAnsi="Arial"/>
          <w:sz w:val="22"/>
          <w:szCs w:val="22"/>
          <w:color w:val="auto"/>
        </w:rPr>
        <w:t xml:space="preserve"> A</w:t>
      </w:r>
      <w:r>
        <w:rPr>
          <w:rFonts w:ascii="Arial" w:cs="Arial" w:eastAsia="Arial" w:hAnsi="Arial"/>
          <w:sz w:val="14"/>
          <w:szCs w:val="14"/>
          <w:color w:val="auto"/>
        </w:rPr>
        <w:t>SSOCIATION</w:t>
      </w: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Ralph J. Creasia, Jr.</w:t>
      </w:r>
    </w:p>
    <w:p>
      <w:pPr>
        <w:ind w:left="200"/>
        <w:spacing w:after="0" w:line="238" w:lineRule="auto"/>
        <w:rPr>
          <w:sz w:val="20"/>
          <w:szCs w:val="20"/>
          <w:color w:val="auto"/>
        </w:rPr>
      </w:pPr>
      <w:r>
        <w:rPr>
          <w:rFonts w:ascii="Arial" w:cs="Arial" w:eastAsia="Arial" w:hAnsi="Arial"/>
          <w:sz w:val="22"/>
          <w:szCs w:val="22"/>
          <w:color w:val="auto"/>
        </w:rPr>
        <w:t>Name: Ralph J. Creasia, Jr.</w:t>
      </w:r>
    </w:p>
    <w:p>
      <w:pPr>
        <w:ind w:left="200"/>
        <w:spacing w:after="0"/>
        <w:rPr>
          <w:sz w:val="20"/>
          <w:szCs w:val="20"/>
          <w:color w:val="auto"/>
        </w:rPr>
      </w:pPr>
      <w:r>
        <w:rPr>
          <w:rFonts w:ascii="Arial" w:cs="Arial" w:eastAsia="Arial" w:hAnsi="Arial"/>
          <w:sz w:val="22"/>
          <w:szCs w:val="22"/>
          <w:color w:val="auto"/>
        </w:rPr>
        <w:t>Title:  Senior Vice President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Fifth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538480</wp:posOffset>
            </wp:positionV>
            <wp:extent cx="545211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7" w:name="page158"/>
    <w:bookmarkEnd w:id="157"/>
    <w:p>
      <w:pPr>
        <w:jc w:val="right"/>
        <w:ind w:right="2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200" w:right="239"/>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 on Form N-2 of Runway Growth Finance Corp. of our report dated March 3, 2022, relating to the consolidated financial statements, including the senior securities table, of Runway Growth Finance Corp., appearing in the Annual Report on Form 10-K of Runway Growth Finance Corp. for the year ended December 31, 2021.</w:t>
      </w: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ind w:left="200"/>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231F20"/>
        </w:rPr>
        <w:t>Exhibit 31.1</w:t>
      </w:r>
    </w:p>
    <w:p>
      <w:pPr>
        <w:spacing w:after="0" w:line="225" w:lineRule="exact"/>
        <w:rPr>
          <w:sz w:val="20"/>
          <w:szCs w:val="20"/>
          <w:color w:val="auto"/>
        </w:rPr>
      </w:pPr>
    </w:p>
    <w:p>
      <w:pPr>
        <w:jc w:val="center"/>
        <w:ind w:left="1000" w:right="2100"/>
        <w:spacing w:after="0" w:line="289" w:lineRule="auto"/>
        <w:rPr>
          <w:sz w:val="20"/>
          <w:szCs w:val="20"/>
          <w:color w:val="auto"/>
        </w:rPr>
      </w:pPr>
      <w:r>
        <w:rPr>
          <w:rFonts w:ascii="Arial" w:cs="Arial" w:eastAsia="Arial" w:hAnsi="Arial"/>
          <w:sz w:val="17"/>
          <w:szCs w:val="17"/>
          <w:b w:val="1"/>
          <w:bCs w:val="1"/>
          <w:color w:val="231F20"/>
        </w:rPr>
        <w:t>Certification of Chief Executive Officer of Runway Growth Finance Corp. pursuant to Rule 13a-14(a) under the Exchange Act,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231F20"/>
        </w:rPr>
        <w:t>I, R. David Spreng, as Chief Executive Officer, certify that:</w:t>
      </w:r>
    </w:p>
    <w:p>
      <w:pPr>
        <w:spacing w:after="0" w:line="18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7"/>
          <w:szCs w:val="17"/>
          <w:color w:val="231F20"/>
        </w:rPr>
      </w:pPr>
      <w:r>
        <w:rPr>
          <w:rFonts w:ascii="Arial" w:cs="Arial" w:eastAsia="Arial" w:hAnsi="Arial"/>
          <w:sz w:val="17"/>
          <w:szCs w:val="17"/>
          <w:color w:val="231F20"/>
        </w:rPr>
        <w:t>I have reviewed this annual report on Form 10-K of Runway Growth Finance Corp. for the year ended December 31, 2021;</w:t>
      </w:r>
    </w:p>
    <w:p>
      <w:pPr>
        <w:spacing w:after="0" w:line="196" w:lineRule="exact"/>
        <w:rPr>
          <w:rFonts w:ascii="Arial" w:cs="Arial" w:eastAsia="Arial" w:hAnsi="Arial"/>
          <w:sz w:val="17"/>
          <w:szCs w:val="17"/>
          <w:color w:val="231F20"/>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85"/>
        </w:numPr>
        <w:rPr>
          <w:rFonts w:ascii="Arial" w:cs="Arial" w:eastAsia="Arial" w:hAnsi="Arial"/>
          <w:sz w:val="16"/>
          <w:szCs w:val="16"/>
          <w:color w:val="231F20"/>
        </w:rPr>
      </w:pPr>
      <w:r>
        <w:rPr>
          <w:rFonts w:ascii="Arial" w:cs="Arial" w:eastAsia="Arial" w:hAnsi="Arial"/>
          <w:sz w:val="16"/>
          <w:szCs w:val="16"/>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231F20"/>
        </w:rPr>
      </w:pPr>
    </w:p>
    <w:p>
      <w:pPr>
        <w:jc w:val="both"/>
        <w:ind w:left="980" w:right="20" w:hanging="324"/>
        <w:spacing w:after="0" w:line="286" w:lineRule="auto"/>
        <w:tabs>
          <w:tab w:leader="none" w:pos="980" w:val="left"/>
        </w:tabs>
        <w:numPr>
          <w:ilvl w:val="1"/>
          <w:numId w:val="85"/>
        </w:numPr>
        <w:rPr>
          <w:rFonts w:ascii="Arial" w:cs="Arial" w:eastAsia="Arial" w:hAnsi="Arial"/>
          <w:sz w:val="17"/>
          <w:szCs w:val="17"/>
          <w:color w:val="231F20"/>
        </w:rPr>
      </w:pPr>
      <w:r>
        <w:rPr>
          <w:rFonts w:ascii="Arial" w:cs="Arial" w:eastAsia="Arial" w:hAnsi="Arial"/>
          <w:sz w:val="17"/>
          <w:szCs w:val="17"/>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231F20"/>
        </w:rPr>
      </w:pPr>
    </w:p>
    <w:p>
      <w:pPr>
        <w:jc w:val="both"/>
        <w:ind w:left="980" w:hanging="324"/>
        <w:spacing w:after="0" w:line="263" w:lineRule="auto"/>
        <w:tabs>
          <w:tab w:leader="none" w:pos="980" w:val="left"/>
        </w:tabs>
        <w:numPr>
          <w:ilvl w:val="1"/>
          <w:numId w:val="85"/>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85"/>
        </w:numPr>
        <w:rPr>
          <w:rFonts w:ascii="Arial" w:cs="Arial" w:eastAsia="Arial" w:hAnsi="Arial"/>
          <w:sz w:val="16"/>
          <w:szCs w:val="16"/>
          <w:color w:val="231F20"/>
        </w:rPr>
      </w:pPr>
      <w:r>
        <w:rPr>
          <w:rFonts w:ascii="Arial" w:cs="Arial" w:eastAsia="Arial" w:hAnsi="Arial"/>
          <w:sz w:val="16"/>
          <w:szCs w:val="16"/>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231F20"/>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jc w:val="both"/>
        <w:ind w:left="980" w:hanging="324"/>
        <w:spacing w:after="0" w:line="263" w:lineRule="auto"/>
        <w:tabs>
          <w:tab w:leader="none" w:pos="980" w:val="left"/>
        </w:tabs>
        <w:numPr>
          <w:ilvl w:val="1"/>
          <w:numId w:val="85"/>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980" w:hanging="324"/>
        <w:spacing w:after="0" w:line="277" w:lineRule="auto"/>
        <w:tabs>
          <w:tab w:leader="none" w:pos="980" w:val="left"/>
        </w:tabs>
        <w:numPr>
          <w:ilvl w:val="1"/>
          <w:numId w:val="85"/>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31F20"/>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231F20"/>
        </w:rPr>
        <w:t>Exhibit 31.2</w:t>
      </w:r>
    </w:p>
    <w:p>
      <w:pPr>
        <w:spacing w:after="0" w:line="225" w:lineRule="exact"/>
        <w:rPr>
          <w:sz w:val="20"/>
          <w:szCs w:val="20"/>
          <w:color w:val="auto"/>
        </w:rPr>
      </w:pPr>
    </w:p>
    <w:p>
      <w:pPr>
        <w:jc w:val="center"/>
        <w:ind w:left="1000" w:right="2120"/>
        <w:spacing w:after="0" w:line="289" w:lineRule="auto"/>
        <w:rPr>
          <w:sz w:val="20"/>
          <w:szCs w:val="20"/>
          <w:color w:val="auto"/>
        </w:rPr>
      </w:pPr>
      <w:r>
        <w:rPr>
          <w:rFonts w:ascii="Arial" w:cs="Arial" w:eastAsia="Arial" w:hAnsi="Arial"/>
          <w:sz w:val="17"/>
          <w:szCs w:val="17"/>
          <w:b w:val="1"/>
          <w:bCs w:val="1"/>
          <w:color w:val="231F20"/>
        </w:rPr>
        <w:t>Certification of Chief Financial Officer of Runway Growth Finance Corp. pursuant to Rule 13a-14(a) under the Exchange Act,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231F20"/>
        </w:rPr>
        <w:t>I, Thomas B. Raterman, as Financial Officer, certify that:</w:t>
      </w:r>
    </w:p>
    <w:p>
      <w:pPr>
        <w:spacing w:after="0" w:line="185"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7"/>
          <w:szCs w:val="17"/>
          <w:color w:val="231F20"/>
        </w:rPr>
      </w:pPr>
      <w:r>
        <w:rPr>
          <w:rFonts w:ascii="Arial" w:cs="Arial" w:eastAsia="Arial" w:hAnsi="Arial"/>
          <w:sz w:val="17"/>
          <w:szCs w:val="17"/>
          <w:color w:val="231F20"/>
        </w:rPr>
        <w:t>I have reviewed this annual report on Form 10-K of Runway Growth Finance Corp. for the year ended December 31, 2021;</w:t>
      </w:r>
    </w:p>
    <w:p>
      <w:pPr>
        <w:spacing w:after="0" w:line="196" w:lineRule="exact"/>
        <w:rPr>
          <w:rFonts w:ascii="Arial" w:cs="Arial" w:eastAsia="Arial" w:hAnsi="Arial"/>
          <w:sz w:val="17"/>
          <w:szCs w:val="17"/>
          <w:color w:val="231F20"/>
        </w:rPr>
      </w:pPr>
    </w:p>
    <w:p>
      <w:pPr>
        <w:jc w:val="both"/>
        <w:ind w:left="660" w:hanging="328"/>
        <w:spacing w:after="0" w:line="263" w:lineRule="auto"/>
        <w:tabs>
          <w:tab w:leader="none" w:pos="660" w:val="left"/>
        </w:tabs>
        <w:numPr>
          <w:ilvl w:val="0"/>
          <w:numId w:val="86"/>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86"/>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jc w:val="both"/>
        <w:ind w:left="660" w:hanging="328"/>
        <w:spacing w:after="0" w:line="263" w:lineRule="auto"/>
        <w:tabs>
          <w:tab w:leader="none" w:pos="660" w:val="left"/>
        </w:tabs>
        <w:numPr>
          <w:ilvl w:val="0"/>
          <w:numId w:val="86"/>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86"/>
        </w:numPr>
        <w:rPr>
          <w:rFonts w:ascii="Arial" w:cs="Arial" w:eastAsia="Arial" w:hAnsi="Arial"/>
          <w:sz w:val="16"/>
          <w:szCs w:val="16"/>
          <w:color w:val="231F20"/>
        </w:rPr>
      </w:pPr>
      <w:r>
        <w:rPr>
          <w:rFonts w:ascii="Arial" w:cs="Arial" w:eastAsia="Arial" w:hAnsi="Arial"/>
          <w:sz w:val="16"/>
          <w:szCs w:val="16"/>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231F20"/>
        </w:rPr>
      </w:pPr>
    </w:p>
    <w:p>
      <w:pPr>
        <w:jc w:val="both"/>
        <w:ind w:left="980" w:right="20" w:hanging="324"/>
        <w:spacing w:after="0" w:line="286" w:lineRule="auto"/>
        <w:tabs>
          <w:tab w:leader="none" w:pos="980" w:val="left"/>
        </w:tabs>
        <w:numPr>
          <w:ilvl w:val="1"/>
          <w:numId w:val="86"/>
        </w:numPr>
        <w:rPr>
          <w:rFonts w:ascii="Arial" w:cs="Arial" w:eastAsia="Arial" w:hAnsi="Arial"/>
          <w:sz w:val="17"/>
          <w:szCs w:val="17"/>
          <w:color w:val="231F20"/>
        </w:rPr>
      </w:pPr>
      <w:r>
        <w:rPr>
          <w:rFonts w:ascii="Arial" w:cs="Arial" w:eastAsia="Arial" w:hAnsi="Arial"/>
          <w:sz w:val="17"/>
          <w:szCs w:val="17"/>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231F20"/>
        </w:rPr>
      </w:pPr>
    </w:p>
    <w:p>
      <w:pPr>
        <w:jc w:val="both"/>
        <w:ind w:left="980" w:hanging="324"/>
        <w:spacing w:after="0" w:line="263" w:lineRule="auto"/>
        <w:tabs>
          <w:tab w:leader="none" w:pos="980" w:val="left"/>
        </w:tabs>
        <w:numPr>
          <w:ilvl w:val="1"/>
          <w:numId w:val="86"/>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jc w:val="both"/>
        <w:ind w:left="980" w:hanging="324"/>
        <w:spacing w:after="0" w:line="311" w:lineRule="auto"/>
        <w:tabs>
          <w:tab w:leader="none" w:pos="980" w:val="left"/>
        </w:tabs>
        <w:numPr>
          <w:ilvl w:val="1"/>
          <w:numId w:val="86"/>
        </w:numPr>
        <w:rPr>
          <w:rFonts w:ascii="Arial" w:cs="Arial" w:eastAsia="Arial" w:hAnsi="Arial"/>
          <w:sz w:val="16"/>
          <w:szCs w:val="16"/>
          <w:color w:val="231F20"/>
        </w:rPr>
      </w:pPr>
      <w:r>
        <w:rPr>
          <w:rFonts w:ascii="Arial" w:cs="Arial" w:eastAsia="Arial" w:hAnsi="Arial"/>
          <w:sz w:val="16"/>
          <w:szCs w:val="16"/>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231F20"/>
        </w:rPr>
      </w:pPr>
    </w:p>
    <w:p>
      <w:pPr>
        <w:jc w:val="both"/>
        <w:ind w:left="660" w:hanging="328"/>
        <w:spacing w:after="0" w:line="263" w:lineRule="auto"/>
        <w:tabs>
          <w:tab w:leader="none" w:pos="660" w:val="left"/>
        </w:tabs>
        <w:numPr>
          <w:ilvl w:val="0"/>
          <w:numId w:val="86"/>
        </w:numPr>
        <w:rPr>
          <w:rFonts w:ascii="Arial" w:cs="Arial" w:eastAsia="Arial" w:hAnsi="Arial"/>
          <w:sz w:val="18"/>
          <w:szCs w:val="18"/>
          <w:color w:val="231F20"/>
        </w:rPr>
      </w:pPr>
      <w:r>
        <w:rPr>
          <w:rFonts w:ascii="Arial" w:cs="Arial" w:eastAsia="Arial" w:hAnsi="Arial"/>
          <w:sz w:val="18"/>
          <w:szCs w:val="18"/>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jc w:val="both"/>
        <w:ind w:left="980" w:hanging="324"/>
        <w:spacing w:after="0" w:line="263" w:lineRule="auto"/>
        <w:tabs>
          <w:tab w:leader="none" w:pos="980" w:val="left"/>
        </w:tabs>
        <w:numPr>
          <w:ilvl w:val="1"/>
          <w:numId w:val="86"/>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980" w:hanging="324"/>
        <w:spacing w:after="0" w:line="277" w:lineRule="auto"/>
        <w:tabs>
          <w:tab w:leader="none" w:pos="980" w:val="left"/>
        </w:tabs>
        <w:numPr>
          <w:ilvl w:val="1"/>
          <w:numId w:val="86"/>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31F20"/>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Thomas B. Raterman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231F20"/>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Section 906 of the Sarbanes-Oxley Act of 2002 (18 U.S.C. 1350)</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231F20"/>
        </w:rPr>
        <w:t>In connection with the annual report on Form 10-K for the year ended December 31, 2021 (the “Report”) of Runway Growth Finance Corp. (the “Registrant”), as filed with the Securities and Exchange Commission on the date hereof, I, R. David Spreng, the Chief Executive Officer of the Registrant, hereby certify, to the best of my knowledge, that:</w:t>
      </w:r>
    </w:p>
    <w:p>
      <w:pPr>
        <w:spacing w:after="0" w:line="157" w:lineRule="exact"/>
        <w:rPr>
          <w:sz w:val="20"/>
          <w:szCs w:val="20"/>
          <w:color w:val="auto"/>
        </w:rPr>
      </w:pPr>
    </w:p>
    <w:p>
      <w:pPr>
        <w:ind w:left="660" w:right="120" w:hanging="328"/>
        <w:spacing w:after="0" w:line="277" w:lineRule="auto"/>
        <w:tabs>
          <w:tab w:leader="none" w:pos="660" w:val="left"/>
        </w:tabs>
        <w:numPr>
          <w:ilvl w:val="0"/>
          <w:numId w:val="87"/>
        </w:numPr>
        <w:rPr>
          <w:rFonts w:ascii="Arial" w:cs="Arial" w:eastAsia="Arial" w:hAnsi="Arial"/>
          <w:sz w:val="18"/>
          <w:szCs w:val="18"/>
          <w:color w:val="231F20"/>
        </w:rPr>
      </w:pPr>
      <w:r>
        <w:rPr>
          <w:rFonts w:ascii="Arial" w:cs="Arial" w:eastAsia="Arial" w:hAnsi="Arial"/>
          <w:sz w:val="18"/>
          <w:szCs w:val="18"/>
          <w:color w:val="231F20"/>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231F20"/>
        </w:rPr>
      </w:pPr>
    </w:p>
    <w:p>
      <w:pPr>
        <w:ind w:left="660" w:right="120" w:hanging="328"/>
        <w:spacing w:after="0" w:line="277" w:lineRule="auto"/>
        <w:tabs>
          <w:tab w:leader="none" w:pos="660" w:val="left"/>
        </w:tabs>
        <w:numPr>
          <w:ilvl w:val="0"/>
          <w:numId w:val="87"/>
        </w:numPr>
        <w:rPr>
          <w:rFonts w:ascii="Arial" w:cs="Arial" w:eastAsia="Arial" w:hAnsi="Arial"/>
          <w:sz w:val="18"/>
          <w:szCs w:val="18"/>
          <w:color w:val="231F20"/>
        </w:rPr>
      </w:pPr>
      <w:r>
        <w:rPr>
          <w:rFonts w:ascii="Arial" w:cs="Arial" w:eastAsia="Arial" w:hAnsi="Arial"/>
          <w:sz w:val="18"/>
          <w:szCs w:val="18"/>
          <w:color w:val="231F20"/>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R. David Spreng</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231F20"/>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Section 906 of the Sarbanes-Oxley Act of 2002 (18 U.S.C. 1350)</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connection with the annual report on Form 10-K for the year ended December 31, 2021 (the “Report”) of Runway Growth Finance Corp. (the “Registrant”), as filed with the Securities and Exchange Commission on the date hereof, I, Thomas B. Raterman, the Chief Financial Officer of the Registrant, hereby certify, to the best of my knowledge, that:</w:t>
      </w:r>
    </w:p>
    <w:p>
      <w:pPr>
        <w:spacing w:after="0" w:line="157" w:lineRule="exact"/>
        <w:rPr>
          <w:sz w:val="20"/>
          <w:szCs w:val="20"/>
          <w:color w:val="auto"/>
        </w:rPr>
      </w:pPr>
    </w:p>
    <w:p>
      <w:pPr>
        <w:ind w:left="660" w:right="120" w:hanging="328"/>
        <w:spacing w:after="0" w:line="277" w:lineRule="auto"/>
        <w:tabs>
          <w:tab w:leader="none" w:pos="660" w:val="left"/>
        </w:tabs>
        <w:numPr>
          <w:ilvl w:val="0"/>
          <w:numId w:val="88"/>
        </w:numPr>
        <w:rPr>
          <w:rFonts w:ascii="Arial" w:cs="Arial" w:eastAsia="Arial" w:hAnsi="Arial"/>
          <w:sz w:val="18"/>
          <w:szCs w:val="18"/>
          <w:color w:val="231F20"/>
        </w:rPr>
      </w:pPr>
      <w:r>
        <w:rPr>
          <w:rFonts w:ascii="Arial" w:cs="Arial" w:eastAsia="Arial" w:hAnsi="Arial"/>
          <w:sz w:val="18"/>
          <w:szCs w:val="18"/>
          <w:color w:val="231F20"/>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231F20"/>
        </w:rPr>
      </w:pPr>
    </w:p>
    <w:p>
      <w:pPr>
        <w:ind w:left="660" w:right="120" w:hanging="328"/>
        <w:spacing w:after="0" w:line="277" w:lineRule="auto"/>
        <w:tabs>
          <w:tab w:leader="none" w:pos="660" w:val="left"/>
        </w:tabs>
        <w:numPr>
          <w:ilvl w:val="0"/>
          <w:numId w:val="88"/>
        </w:numPr>
        <w:rPr>
          <w:rFonts w:ascii="Arial" w:cs="Arial" w:eastAsia="Arial" w:hAnsi="Arial"/>
          <w:sz w:val="18"/>
          <w:szCs w:val="18"/>
          <w:color w:val="231F20"/>
        </w:rPr>
      </w:pPr>
      <w:r>
        <w:rPr>
          <w:rFonts w:ascii="Arial" w:cs="Arial" w:eastAsia="Arial" w:hAnsi="Arial"/>
          <w:sz w:val="18"/>
          <w:szCs w:val="18"/>
          <w:color w:val="231F20"/>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color w:val="231F20"/>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231F20"/>
        </w:rPr>
        <w:t>Thomas B. Raterman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1"/>
    </w:lvl>
    <w:lvl w:ilvl="1">
      <w:lvlJc w:val="left"/>
      <w:lvlText w:val="(%2)"/>
      <w:numFmt w:val="lowerLetter"/>
      <w:start w:val="2"/>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1)"/>
      <w:numFmt w:val="lowerRoman"/>
      <w:start w:val="2"/>
    </w:lvl>
  </w:abstractNum>
  <w:abstractNum w:abstractNumId="17">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520EEDD1"/>
    <w:multiLevelType w:val="hybridMultilevel"/>
    <w:lvl w:ilvl="0">
      <w:lvlJc w:val="left"/>
      <w:lvlText w:val="(%1)"/>
      <w:numFmt w:val="decimal"/>
      <w:start w:val="4"/>
    </w:lvl>
  </w:abstractNum>
  <w:abstractNum w:abstractNumId="19">
    <w:nsid w:val="374A3FE6"/>
    <w:multiLevelType w:val="hybridMultilevel"/>
    <w:lvl w:ilvl="0">
      <w:lvlJc w:val="left"/>
      <w:lvlText w:val="(%1)"/>
      <w:numFmt w:val="lowerRoman"/>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lowerRoman"/>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3"/>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1)"/>
      <w:numFmt w:val="lowerRoman"/>
      <w:start w:val="1"/>
    </w:lvl>
  </w:abstractNum>
  <w:abstractNum w:abstractNumId="43">
    <w:nsid w:val="1DBABF00"/>
    <w:multiLevelType w:val="hybridMultilevel"/>
    <w:lvl w:ilvl="0">
      <w:lvlJc w:val="left"/>
      <w:lvlText w:val="(%1)"/>
      <w:numFmt w:val="decimal"/>
      <w:start w:val="1"/>
    </w:lvl>
    <w:lvl w:ilvl="1">
      <w:lvlJc w:val="left"/>
      <w:lvlText w:val="(%2)"/>
      <w:numFmt w:val="lowerLetter"/>
      <w:start w:val="2"/>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bullet"/>
      <w:start w:val="1"/>
    </w:lvl>
  </w:abstractNum>
  <w:abstractNum w:abstractNumId="46">
    <w:nsid w:val="1381823A"/>
    <w:multiLevelType w:val="hybridMultilevel"/>
    <w:lvl w:ilvl="0">
      <w:lvlJc w:val="left"/>
      <w:lvlText w:val="2"/>
      <w:numFmt w:val="bullet"/>
      <w:start w:val="1"/>
    </w:lvl>
  </w:abstractNum>
  <w:abstractNum w:abstractNumId="47">
    <w:nsid w:val="5DB70AE5"/>
    <w:multiLevelType w:val="hybridMultilevel"/>
    <w:lvl w:ilvl="0">
      <w:lvlJc w:val="left"/>
      <w:lvlText w:val="3"/>
      <w:numFmt w:val="bullet"/>
      <w:start w:val="1"/>
    </w:lvl>
  </w:abstractNum>
  <w:abstractNum w:abstractNumId="48">
    <w:nsid w:val="100F8FCA"/>
    <w:multiLevelType w:val="hybridMultilevel"/>
    <w:lvl w:ilvl="0">
      <w:lvlJc w:val="left"/>
      <w:lvlText w:val="4"/>
      <w:numFmt w:val="bullet"/>
      <w:start w:val="1"/>
    </w:lvl>
  </w:abstractNum>
  <w:abstractNum w:abstractNumId="49">
    <w:nsid w:val="6590700B"/>
    <w:multiLevelType w:val="hybridMultilevel"/>
    <w:lvl w:ilvl="0">
      <w:lvlJc w:val="left"/>
      <w:lvlText w:val="5"/>
      <w:numFmt w:val="bullet"/>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lowerRoman"/>
      <w:start w:val="2"/>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16"/>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1)"/>
      <w:numFmt w:val="decimal"/>
      <w:start w:val="1"/>
    </w:lvl>
  </w:abstractNum>
  <w:abstractNum w:abstractNumId="76">
    <w:nsid w:val="7FFFCA11"/>
    <w:multiLevelType w:val="hybridMultilevel"/>
    <w:lvl w:ilvl="0">
      <w:lvlJc w:val="left"/>
      <w:lvlText w:val="(%1)"/>
      <w:numFmt w:val="lowerRoman"/>
      <w:start w:val="1"/>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decimal"/>
      <w:start w:val="6"/>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175" Type="http://schemas.openxmlformats.org/officeDocument/2006/relationships/hyperlink" Target="https://www.sec.gov/Archives/edgar/data/1653384/000114420416140270/v454968_ex3-1.htm" TargetMode="External"/><Relationship Id="rId176" Type="http://schemas.openxmlformats.org/officeDocument/2006/relationships/hyperlink" Target="https://www.sec.gov/Archives/edgar/data/0001653384/000165338421000016/rgc-20210819ex31cb84ffa.htm" TargetMode="External"/><Relationship Id="rId177" Type="http://schemas.openxmlformats.org/officeDocument/2006/relationships/hyperlink" Target="https://www.sec.gov/Archives/edgar/data/0001653384/000165338421000016/rgc-20210819ex32804659c.htm" TargetMode="External"/><Relationship Id="rId178" Type="http://schemas.openxmlformats.org/officeDocument/2006/relationships/hyperlink" Target="https://www.sec.gov/Archives/edgar/data/1653384/000114420417042059/v472784_ex4-1.htm" TargetMode="External"/><Relationship Id="rId179" Type="http://schemas.openxmlformats.org/officeDocument/2006/relationships/hyperlink" Target="https://www.sec.gov/Archives/edgar/data/1653384/000110465920036153/tm2013025-2_ex4x2.htm" TargetMode="External"/><Relationship Id="rId180" Type="http://schemas.openxmlformats.org/officeDocument/2006/relationships/hyperlink" Target="https://www.sec.gov/Archives/edgar/data/1653384/000114420417017282/v462699_ex9-1.htm" TargetMode="External"/><Relationship Id="rId181" Type="http://schemas.openxmlformats.org/officeDocument/2006/relationships/hyperlink" Target="https://www.sec.gov/Archives/edgar/data/0001653384/000110465921074326/tm2118010_ex10-1.htm" TargetMode="External"/><Relationship Id="rId182" Type="http://schemas.openxmlformats.org/officeDocument/2006/relationships/hyperlink" Target="https://www.sec.gov/Archives/edgar/data/0001653384/000155837021010525/rgc-20210630ex1036bb6e0.htm" TargetMode="External"/><Relationship Id="rId183" Type="http://schemas.openxmlformats.org/officeDocument/2006/relationships/hyperlink" Target="https://www.sec.gov/Archives/edgar/data/1653384/000114420416140270/v454968_ex10-3.htm" TargetMode="External"/><Relationship Id="rId184" Type="http://schemas.openxmlformats.org/officeDocument/2006/relationships/hyperlink" Target="https://www.sec.gov/Archives/edgar/data/1653384/000114420416140270/v454968_ex10-4.htm" TargetMode="External"/><Relationship Id="rId185" Type="http://schemas.openxmlformats.org/officeDocument/2006/relationships/hyperlink" Target="https://www.sec.gov/Archives/edgar/data/0001653384/000165338421000025/rgc-20211027xex10.htm" TargetMode="External"/><Relationship Id="rId186" Type="http://schemas.openxmlformats.org/officeDocument/2006/relationships/hyperlink" Target="https://www.sec.gov/Archives/edgar/data/1653384/000114420416081404/v428811_ex10-5.htm" TargetMode="External"/><Relationship Id="rId187" Type="http://schemas.openxmlformats.org/officeDocument/2006/relationships/hyperlink" Target="https://www.sec.gov/Archives/edgar/data/0001653384/000165338421000019/rgc-20210923xex10.htm" TargetMode="External"/><Relationship Id="rId188" Type="http://schemas.openxmlformats.org/officeDocument/2006/relationships/hyperlink" Target="https://www.sec.gov/Archives/edgar/data/1653384/000114420418066500/tv509942_ex10-1.htm" TargetMode="External"/><Relationship Id="rId189" Type="http://schemas.openxmlformats.org/officeDocument/2006/relationships/hyperlink" Target="https://www.sec.gov/Archives/edgar/data/1653384/000114420419016757/tv517233_ex10x9.htm" TargetMode="External"/><Relationship Id="rId190" Type="http://schemas.openxmlformats.org/officeDocument/2006/relationships/hyperlink" Target="https://www.sec.gov/Archives/edgar/data/1653384/000114420419016757/tv517233_ex10x10.htm" TargetMode="External"/><Relationship Id="rId191" Type="http://schemas.openxmlformats.org/officeDocument/2006/relationships/hyperlink" Target="https://www.sec.gov/Archives/edgar/data/1653384/000114420419030106/tv523088_ex10-1.htm" TargetMode="External"/><Relationship Id="rId192" Type="http://schemas.openxmlformats.org/officeDocument/2006/relationships/hyperlink" Target="https://www.sec.gov/Archives/edgar/data/1653384/000155837020013679/rgc-20200930xex10d1.htm" TargetMode="External"/><Relationship Id="rId193" Type="http://schemas.openxmlformats.org/officeDocument/2006/relationships/hyperlink" Target="https://www.sec.gov/Archives/edgar/data/1653384/000165338420000004/rgc-20201202ex1019c880b.htm" TargetMode="External"/><Relationship Id="rId194" Type="http://schemas.openxmlformats.org/officeDocument/2006/relationships/hyperlink" Target="https://www.sec.gov/Archives/edgar/data/0001653384/000110465921119827/tm2120547d5_ex99-k11.htm" TargetMode="External"/><Relationship Id="rId195" Type="http://schemas.openxmlformats.org/officeDocument/2006/relationships/hyperlink" Target="https://www.sec.gov/Archives/edgar/data/0001653384/000155837021010525/rgc-20210630ex102799fdc.htm" TargetMode="External"/><Relationship Id="rId196" Type="http://schemas.openxmlformats.org/officeDocument/2006/relationships/hyperlink" Target="https://www.sec.gov/Archives/edgar/data/0001653384/000165338421000028/rgc-20211213xex10.htm" TargetMode="External"/><Relationship Id="rId197" Type="http://schemas.openxmlformats.org/officeDocument/2006/relationships/hyperlink" Target="https://www.sec.gov/Archives/edgar/data/0001653384/000155837021010525/rgc-20210630ex14128472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2022-03-03T15:26:24Z</dcterms:created>
  <dcterms:modified xsi:type="dcterms:W3CDTF">2022-03-03T15:26:24Z</dcterms:modified>
</cp:coreProperties>
</file>