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 dated May 27, 2026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Relating to Prospectus dated March 19, 2025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333-284781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7.00% Notes Due 2029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27, 2026</w:t>
      </w:r>
    </w:p>
    <w:p>
      <w:pPr>
        <w:spacing w:after="0" w:line="205" w:lineRule="exact"/>
        <w:rPr>
          <w:sz w:val="24"/>
          <w:szCs w:val="24"/>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following sets forth the final terms of the 7.00% Notes due 2029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and should only be read together with the prospectus dated March 19, 2025, relating to these securities. All references to dollar amounts are references to U.S. dollars.</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Runway Growth Finance Corp. (the “Company”)</w:t>
            </w: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the Securities:</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7.00% Notes due 2029</w:t>
            </w:r>
          </w:p>
        </w:tc>
      </w:tr>
      <w:tr>
        <w:trPr>
          <w:trHeight w:val="410"/>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Aggregate Principal</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$50,000,000</w:t>
            </w:r>
          </w:p>
        </w:tc>
      </w:tr>
      <w:tr>
        <w:trPr>
          <w:trHeight w:val="23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 Being Offered:</w:t>
            </w:r>
          </w:p>
        </w:tc>
        <w:tc>
          <w:tcPr>
            <w:tcW w:w="9100" w:type="dxa"/>
            <w:vAlign w:val="bottom"/>
          </w:tcPr>
          <w:p>
            <w:pPr>
              <w:spacing w:after="0"/>
              <w:rPr>
                <w:sz w:val="20"/>
                <w:szCs w:val="20"/>
                <w:color w:val="auto"/>
              </w:rPr>
            </w:pP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Price:</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98.859%</w:t>
            </w:r>
          </w:p>
        </w:tc>
      </w:tr>
      <w:tr>
        <w:trPr>
          <w:trHeight w:val="410"/>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Payable at</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100% of the aggregate principal amount.</w:t>
            </w:r>
          </w:p>
        </w:tc>
      </w:tr>
      <w:tr>
        <w:trPr>
          <w:trHeight w:val="23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9100" w:type="dxa"/>
            <w:vAlign w:val="bottom"/>
          </w:tcPr>
          <w:p>
            <w:pPr>
              <w:spacing w:after="0"/>
              <w:rPr>
                <w:sz w:val="20"/>
                <w:szCs w:val="20"/>
                <w:color w:val="auto"/>
              </w:rPr>
            </w:pP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 of Note:</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Fixed-rate note</w:t>
            </w:r>
          </w:p>
        </w:tc>
      </w:tr>
      <w:tr>
        <w:trPr>
          <w:trHeight w:val="410"/>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 Established Trading</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Company does not intend to list the Notes on any securities exchange or automated dealer quotation system. We cannot</w:t>
            </w:r>
          </w:p>
        </w:tc>
      </w:tr>
      <w:tr>
        <w:trPr>
          <w:trHeight w:val="23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assure you that a liquid market for the Notes will develop or be maintained.</w:t>
            </w: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Stated Maturity Date:</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1, 2029</w:t>
            </w: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7.00% per year, payable semi-annually in arrears</w:t>
            </w: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Underwriting Discount:</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1.50%</w:t>
            </w:r>
          </w:p>
        </w:tc>
      </w:tr>
      <w:tr>
        <w:trPr>
          <w:trHeight w:val="410"/>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Proceeds to the Issuer,</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97.359%</w:t>
            </w:r>
          </w:p>
        </w:tc>
      </w:tr>
      <w:tr>
        <w:trPr>
          <w:trHeight w:val="23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before Expenses:</w:t>
            </w:r>
          </w:p>
        </w:tc>
        <w:tc>
          <w:tcPr>
            <w:tcW w:w="9100" w:type="dxa"/>
            <w:vAlign w:val="bottom"/>
          </w:tcPr>
          <w:p>
            <w:pPr>
              <w:spacing w:after="0"/>
              <w:rPr>
                <w:sz w:val="20"/>
                <w:szCs w:val="20"/>
                <w:color w:val="auto"/>
              </w:rPr>
            </w:pP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Day Count Basis:</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360-day year of twelve 30-day months</w:t>
            </w: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27, 2026</w:t>
            </w: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Date:**</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29, 2026 (T+2)</w:t>
            </w:r>
          </w:p>
        </w:tc>
      </w:tr>
      <w:tr>
        <w:trPr>
          <w:trHeight w:val="410"/>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Interest Starts</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29, 2026</w:t>
            </w:r>
          </w:p>
        </w:tc>
      </w:tr>
      <w:tr>
        <w:trPr>
          <w:trHeight w:val="23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Accruing:</w:t>
            </w:r>
          </w:p>
        </w:tc>
        <w:tc>
          <w:tcPr>
            <w:tcW w:w="9100" w:type="dxa"/>
            <w:vAlign w:val="bottom"/>
          </w:tcPr>
          <w:p>
            <w:pPr>
              <w:spacing w:after="0"/>
              <w:rPr>
                <w:sz w:val="20"/>
                <w:szCs w:val="20"/>
                <w:color w:val="auto"/>
              </w:rPr>
            </w:pPr>
          </w:p>
        </w:tc>
      </w:tr>
      <w:tr>
        <w:trPr>
          <w:trHeight w:val="702"/>
        </w:trPr>
        <w:tc>
          <w:tcPr>
            <w:tcW w:w="214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1" w:name="page2"/>
    <w:bookmarkEnd w:id="1"/>
    <w:p>
      <w:pPr>
        <w:jc w:val="both"/>
        <w:ind w:left="2260" w:hanging="2253"/>
        <w:spacing w:after="0" w:line="266" w:lineRule="auto"/>
        <w:tabs>
          <w:tab w:leader="none" w:pos="2240" w:val="left"/>
        </w:tabs>
        <w:rPr>
          <w:sz w:val="20"/>
          <w:szCs w:val="20"/>
          <w:color w:val="auto"/>
        </w:rPr>
      </w:pPr>
      <w:r>
        <w:rPr>
          <w:rFonts w:ascii="Times New Roman" w:cs="Times New Roman" w:eastAsia="Times New Roman" w:hAnsi="Times New Roman"/>
          <w:sz w:val="18"/>
          <w:szCs w:val="18"/>
          <w:b w:val="1"/>
          <w:bCs w:val="1"/>
          <w:color w:val="auto"/>
        </w:rPr>
        <w:t>Interest Payment Dates:</w:t>
      </w:r>
      <w:r>
        <w:rPr>
          <w:sz w:val="20"/>
          <w:szCs w:val="20"/>
          <w:color w:val="auto"/>
        </w:rPr>
        <w:tab/>
      </w:r>
      <w:r>
        <w:rPr>
          <w:rFonts w:ascii="Times New Roman" w:cs="Times New Roman" w:eastAsia="Times New Roman" w:hAnsi="Times New Roman"/>
          <w:sz w:val="18"/>
          <w:szCs w:val="18"/>
          <w:color w:val="auto"/>
        </w:rPr>
        <w:t>June 1 and December 1 of each year, commencing on December 1, 2026. If an interest payment date falls on a non-business day, the applicable interest payment will be made on the next business day and no additional interest will accrue as a result of such delayed payment.</w:t>
      </w:r>
    </w:p>
    <w:p>
      <w:pPr>
        <w:spacing w:after="0" w:line="176" w:lineRule="exact"/>
        <w:rPr>
          <w:sz w:val="20"/>
          <w:szCs w:val="20"/>
          <w:color w:val="auto"/>
        </w:rPr>
      </w:pPr>
    </w:p>
    <w:p>
      <w:pPr>
        <w:jc w:val="both"/>
        <w:ind w:left="2260" w:hanging="2253"/>
        <w:spacing w:after="0" w:line="266" w:lineRule="auto"/>
        <w:tabs>
          <w:tab w:leader="none" w:pos="2240" w:val="left"/>
        </w:tabs>
        <w:rPr>
          <w:sz w:val="20"/>
          <w:szCs w:val="20"/>
          <w:color w:val="auto"/>
        </w:rPr>
      </w:pPr>
      <w:r>
        <w:rPr>
          <w:rFonts w:ascii="Times New Roman" w:cs="Times New Roman" w:eastAsia="Times New Roman" w:hAnsi="Times New Roman"/>
          <w:sz w:val="18"/>
          <w:szCs w:val="18"/>
          <w:b w:val="1"/>
          <w:bCs w:val="1"/>
          <w:color w:val="auto"/>
        </w:rPr>
        <w:t>Interest Periods:</w:t>
      </w:r>
      <w:r>
        <w:rPr>
          <w:sz w:val="20"/>
          <w:szCs w:val="20"/>
          <w:color w:val="auto"/>
        </w:rPr>
        <w:tab/>
      </w:r>
      <w:r>
        <w:rPr>
          <w:rFonts w:ascii="Times New Roman" w:cs="Times New Roman" w:eastAsia="Times New Roman" w:hAnsi="Times New Roman"/>
          <w:sz w:val="18"/>
          <w:szCs w:val="18"/>
          <w:color w:val="auto"/>
        </w:rPr>
        <w:t>The initial interest period will be the period from and including May 29, 2026, to, but excluding, the initial interest payment date, and the subsequent interest periods will be the periods from and including an interest payment date to, but excluding, the next interest payment date or the stated maturity date, as the case may be.</w:t>
      </w:r>
    </w:p>
    <w:p>
      <w:pPr>
        <w:sectPr>
          <w:pgSz w:w="11900" w:h="16838" w:orient="portrait"/>
          <w:cols w:equalWidth="0" w:num="1">
            <w:col w:w="11240"/>
          </w:cols>
          <w:pgMar w:left="320" w:top="927"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Specified Currency: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Denominations: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Day: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Offer to Purchase upon a Change of Control Repurchase Event:</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CUSIP/ISIN</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Sole Book-Running Manager: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Trustee, Paying Agent and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Registrar: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issue the Notes in denominations of $2,000 and integral multiples of $1,000 in excess thereof.</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Monday, Tuesday, Wednesday, Thursday and Friday that is not a day on which banking institutions in New York City or the place of payment are authorized or required by law or executive order to close.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June 1, 2029 (six months prior to the maturity date of the Notes) (the “Par Call Date”), the Company may redeem the Notes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thereon discounted to the redemption date (assuming the Notes matured on the Par Call Date) on a semi-annual basis at the Treasury Rate plus 50 basis points less (b) interest accrued to the date of redemption, and (2) 100% of the principal amount of the Notes to be redeemed, plus, in either case, accrued and unpaid interest thereon, but not including the redemption date.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Notes, in whole or in part, at any time and from time to time, at a redemption price equal to 100% of the principal amount of the Notes being redeemed plus accrued and unpaid interest, if any, to but excluding, the redemption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Change of Control Repurchase Event occurs prior to maturity, unless the Company has exercised its right to redeem the Notes in full, holders will have the right, at their option, to require the Company to repurchase for cash some or all of the Notes at a repurchase price equal to 100% of the principal amount of the Notes being repurchased, plus accrued and unpaid interest to, but not including, the repurchase date.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from this offering to repay indebtedness, including the repayment of its Credit Facility and for the Company’s general corporate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78163D AB6 / US78163DAB64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 Partners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434" w:lineRule="exact"/>
        <w:rPr>
          <w:sz w:val="20"/>
          <w:szCs w:val="20"/>
          <w:color w:val="auto"/>
        </w:rPr>
      </w:pPr>
    </w:p>
    <w:p>
      <w:pPr>
        <w:sectPr>
          <w:pgSz w:w="11900" w:h="16838" w:orient="portrait"/>
          <w:cols w:equalWidth="0" w:num="2">
            <w:col w:w="2040" w:space="220"/>
            <w:col w:w="8980"/>
          </w:cols>
          <w:pgMar w:left="320" w:top="927" w:right="339" w:bottom="1440" w:gutter="0" w:footer="0" w:header="0"/>
          <w:type w:val="continuous"/>
        </w:sectPr>
      </w:pPr>
    </w:p>
    <w:p>
      <w:pPr>
        <w:spacing w:after="0" w:line="7"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securities rating is not a recommendation to buy, sell or hold securities and may be subject to revision or withdrawal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 w:name="page3"/>
    <w:bookmarkEnd w:id="2"/>
    <w:p>
      <w:pPr>
        <w:jc w:val="both"/>
        <w:ind w:left="340" w:hanging="332"/>
        <w:spacing w:after="0" w:line="25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Rule 15c6-1 of the Securities Exchange Act of 1934, as amended, trades in the secondary market generally are required to settle in one business day, unless the parties to any such trade expressly agree otherwise. Accordingly, purchasers who wish to trade the Notes on any date prior to the business day before delivery thereof will be required, by virtue of the fact that the Notes initially will settle T+2, to specify an alternate settlement cycle at the time of any such trade to prevent a failed settlement. Purchasers of the Notes who wish to trade should consult their own advisor prior to the closing.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are advised to carefully consider the investment objectives, risks, charges and expenses of the Company before investing.</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pricing term sheet is not an offer to sell or the solicitation of offers to buy, nor will there be any sale of the Notes referred to in this pricing term sheet, in any jurisdiction where such offer, solicitation or sale would be unlawful prior to the registration or qualification under the securities laws of such jurisdiction.</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 shelf registration statement (including a prospectus) relating to these securities is on file with, and has been declared effective by, the SEC. Before you invest, you should read the prospectus in that registration statement and other documents the Company has filed with the SEC for more complete information about the Company and this offering. You may obtain these documents for free by visiting EDGAR on the SEC’s website at </w:t>
      </w:r>
      <w:r>
        <w:rPr>
          <w:rFonts w:ascii="Times New Roman" w:cs="Times New Roman" w:eastAsia="Times New Roman" w:hAnsi="Times New Roman"/>
          <w:sz w:val="18"/>
          <w:szCs w:val="18"/>
          <w:b w:val="1"/>
          <w:bCs w:val="1"/>
          <w:i w:val="1"/>
          <w:iCs w:val="1"/>
          <w:u w:val="single" w:color="auto"/>
          <w:color w:val="auto"/>
        </w:rPr>
        <w:t>www.sec.gov</w:t>
      </w:r>
      <w:r>
        <w:rPr>
          <w:rFonts w:ascii="Times New Roman" w:cs="Times New Roman" w:eastAsia="Times New Roman" w:hAnsi="Times New Roman"/>
          <w:sz w:val="18"/>
          <w:szCs w:val="18"/>
          <w:b w:val="1"/>
          <w:bCs w:val="1"/>
          <w:color w:val="auto"/>
        </w:rPr>
        <w:t>. Alternatively, the Company, the underwriter or any dealer participating in the offering will arrange to send you the prospectus if you request it from Oppenheimer &amp; Co. Inc., 85 Broad Street, 23rd Floor, New York, NY 10004 or by calling (800) 966 1559.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2026-05-27T17:35:19Z</dcterms:created>
  <dcterms:modified xsi:type="dcterms:W3CDTF">2026-05-27T17:35:19Z</dcterms:modified>
</cp:coreProperties>
</file>