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548005</wp:posOffset>
            </wp:positionV>
            <wp:extent cx="6707505"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3048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608965</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17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6" w:lineRule="exact"/>
        <w:rPr>
          <w:sz w:val="24"/>
          <w:szCs w:val="24"/>
          <w:color w:val="auto"/>
        </w:rPr>
      </w:pPr>
    </w:p>
    <w:p>
      <w:pPr>
        <w:ind w:left="3780" w:right="520" w:hanging="2790"/>
        <w:spacing w:after="0" w:line="345" w:lineRule="auto"/>
        <w:tabs>
          <w:tab w:leader="none" w:pos="2118"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75" w:lineRule="exact"/>
        <w:rPr>
          <w:sz w:val="24"/>
          <w:szCs w:val="24"/>
          <w:color w:val="auto"/>
        </w:rPr>
      </w:pPr>
    </w:p>
    <w:p>
      <w:pPr>
        <w:ind w:left="4060" w:right="520" w:hanging="3070"/>
        <w:spacing w:after="0" w:line="334" w:lineRule="auto"/>
        <w:tabs>
          <w:tab w:leader="none" w:pos="2127" w:val="left"/>
        </w:tabs>
        <w:numPr>
          <w:ilvl w:val="0"/>
          <w:numId w:val="2"/>
        </w:numPr>
        <w:rPr>
          <w:rFonts w:ascii="MS PGothic" w:cs="MS PGothic" w:eastAsia="MS PGothic" w:hAnsi="MS PGothic"/>
          <w:sz w:val="16"/>
          <w:szCs w:val="16"/>
          <w:b w:val="1"/>
          <w:bCs w:val="1"/>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Commission File Number: 814-01180</w:t>
      </w:r>
    </w:p>
    <w:p>
      <w:pPr>
        <w:jc w:val="center"/>
        <w:spacing w:after="0"/>
        <w:rPr>
          <w:sz w:val="20"/>
          <w:szCs w:val="20"/>
          <w:color w:val="auto"/>
        </w:rPr>
      </w:pPr>
      <w:r>
        <w:rPr>
          <w:rFonts w:ascii="Times New Roman" w:cs="Times New Roman" w:eastAsia="Times New Roman" w:hAnsi="Times New Roman"/>
          <w:sz w:val="29"/>
          <w:szCs w:val="29"/>
          <w:b w:val="1"/>
          <w:bCs w:val="1"/>
          <w:color w:val="auto"/>
        </w:rPr>
        <w:t>Runway Growth Finance Corp.</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54" w:lineRule="exact"/>
        <w:rPr>
          <w:sz w:val="24"/>
          <w:szCs w:val="24"/>
          <w:color w:val="auto"/>
        </w:rPr>
      </w:pPr>
    </w:p>
    <w:tbl>
      <w:tblPr>
        <w:tblLayout w:type="fixed"/>
        <w:tblInd w:w="1440" w:type="dxa"/>
        <w:tblCellMar>
          <w:top w:w="0" w:type="dxa"/>
          <w:left w:w="0" w:type="dxa"/>
          <w:bottom w:w="0" w:type="dxa"/>
          <w:right w:w="0" w:type="dxa"/>
        </w:tblCellMar>
      </w:tblPr>
      <w:tr>
        <w:trPr>
          <w:trHeight w:val="184"/>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b w:val="1"/>
                <w:bCs w:val="1"/>
                <w:color w:val="auto"/>
                <w:w w:val="96"/>
              </w:rPr>
              <w:t>Maryland</w:t>
            </w:r>
          </w:p>
        </w:tc>
        <w:tc>
          <w:tcPr>
            <w:tcW w:w="3700" w:type="dxa"/>
            <w:vAlign w:val="bottom"/>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47-5049745</w:t>
            </w:r>
          </w:p>
        </w:tc>
      </w:tr>
      <w:tr>
        <w:trPr>
          <w:trHeight w:val="203"/>
        </w:trPr>
        <w:tc>
          <w:tcPr>
            <w:tcW w:w="3940" w:type="dxa"/>
            <w:vAlign w:val="bottom"/>
          </w:tcPr>
          <w:p>
            <w:pPr>
              <w:jc w:val="center"/>
              <w:ind w:right="1402"/>
              <w:spacing w:after="0"/>
              <w:rPr>
                <w:sz w:val="20"/>
                <w:szCs w:val="20"/>
                <w:color w:val="auto"/>
              </w:rPr>
            </w:pPr>
            <w:r>
              <w:rPr>
                <w:rFonts w:ascii="Times New Roman" w:cs="Times New Roman" w:eastAsia="Times New Roman" w:hAnsi="Times New Roman"/>
                <w:sz w:val="16"/>
                <w:szCs w:val="16"/>
                <w:color w:val="auto"/>
                <w:w w:val="97"/>
              </w:rPr>
              <w:t>(State of incorporation)</w:t>
            </w:r>
          </w:p>
        </w:tc>
        <w:tc>
          <w:tcPr>
            <w:tcW w:w="3700" w:type="dxa"/>
            <w:vAlign w:val="bottom"/>
          </w:tcPr>
          <w:p>
            <w:pPr>
              <w:jc w:val="center"/>
              <w:ind w:left="1362"/>
              <w:spacing w:after="0"/>
              <w:rPr>
                <w:sz w:val="20"/>
                <w:szCs w:val="20"/>
                <w:color w:val="auto"/>
              </w:rPr>
            </w:pPr>
            <w:r>
              <w:rPr>
                <w:rFonts w:ascii="Times New Roman" w:cs="Times New Roman" w:eastAsia="Times New Roman" w:hAnsi="Times New Roman"/>
                <w:sz w:val="16"/>
                <w:szCs w:val="16"/>
                <w:color w:val="auto"/>
                <w:w w:val="97"/>
              </w:rPr>
              <w:t>(I.R.S. Employer Identification No.)</w:t>
            </w:r>
          </w:p>
        </w:tc>
      </w:tr>
      <w:tr>
        <w:trPr>
          <w:trHeight w:val="335"/>
        </w:trPr>
        <w:tc>
          <w:tcPr>
            <w:tcW w:w="3940" w:type="dxa"/>
            <w:vAlign w:val="bottom"/>
          </w:tcPr>
          <w:p>
            <w:pPr>
              <w:jc w:val="center"/>
              <w:ind w:right="1382"/>
              <w:spacing w:after="0"/>
              <w:rPr>
                <w:sz w:val="20"/>
                <w:szCs w:val="20"/>
                <w:color w:val="auto"/>
              </w:rPr>
            </w:pPr>
            <w:r>
              <w:rPr>
                <w:rFonts w:ascii="Times New Roman" w:cs="Times New Roman" w:eastAsia="Times New Roman" w:hAnsi="Times New Roman"/>
                <w:sz w:val="16"/>
                <w:szCs w:val="16"/>
                <w:b w:val="1"/>
                <w:bCs w:val="1"/>
                <w:color w:val="auto"/>
                <w:w w:val="97"/>
              </w:rPr>
              <w:t>205 N. Michigan Ave., Suite 4200</w:t>
            </w:r>
          </w:p>
        </w:tc>
        <w:tc>
          <w:tcPr>
            <w:tcW w:w="3700" w:type="dxa"/>
            <w:vAlign w:val="bottom"/>
          </w:tcPr>
          <w:p>
            <w:pPr>
              <w:spacing w:after="0"/>
              <w:rPr>
                <w:sz w:val="24"/>
                <w:szCs w:val="24"/>
                <w:color w:val="auto"/>
              </w:rPr>
            </w:pPr>
          </w:p>
        </w:tc>
      </w:tr>
      <w:tr>
        <w:trPr>
          <w:trHeight w:val="182"/>
        </w:trPr>
        <w:tc>
          <w:tcPr>
            <w:tcW w:w="3940" w:type="dxa"/>
            <w:vAlign w:val="bottom"/>
          </w:tcPr>
          <w:p>
            <w:pPr>
              <w:jc w:val="center"/>
              <w:ind w:right="1402"/>
              <w:spacing w:after="0" w:line="182" w:lineRule="exact"/>
              <w:rPr>
                <w:sz w:val="20"/>
                <w:szCs w:val="20"/>
                <w:color w:val="auto"/>
              </w:rPr>
            </w:pPr>
            <w:r>
              <w:rPr>
                <w:rFonts w:ascii="Times New Roman" w:cs="Times New Roman" w:eastAsia="Times New Roman" w:hAnsi="Times New Roman"/>
                <w:sz w:val="16"/>
                <w:szCs w:val="16"/>
                <w:b w:val="1"/>
                <w:bCs w:val="1"/>
                <w:color w:val="auto"/>
                <w:w w:val="96"/>
              </w:rPr>
              <w:t>Chicago, IL</w:t>
            </w:r>
          </w:p>
        </w:tc>
        <w:tc>
          <w:tcPr>
            <w:tcW w:w="3700" w:type="dxa"/>
            <w:vAlign w:val="bottom"/>
          </w:tcPr>
          <w:p>
            <w:pPr>
              <w:jc w:val="right"/>
              <w:ind w:right="862"/>
              <w:spacing w:after="0" w:line="182" w:lineRule="exact"/>
              <w:rPr>
                <w:sz w:val="20"/>
                <w:szCs w:val="20"/>
                <w:color w:val="auto"/>
              </w:rPr>
            </w:pPr>
            <w:r>
              <w:rPr>
                <w:rFonts w:ascii="Times New Roman" w:cs="Times New Roman" w:eastAsia="Times New Roman" w:hAnsi="Times New Roman"/>
                <w:sz w:val="16"/>
                <w:szCs w:val="16"/>
                <w:b w:val="1"/>
                <w:bCs w:val="1"/>
                <w:color w:val="auto"/>
              </w:rPr>
              <w:t>60601</w:t>
            </w:r>
          </w:p>
        </w:tc>
      </w:tr>
      <w:tr>
        <w:trPr>
          <w:trHeight w:val="203"/>
        </w:trPr>
        <w:tc>
          <w:tcPr>
            <w:tcW w:w="3940" w:type="dxa"/>
            <w:vAlign w:val="bottom"/>
          </w:tcPr>
          <w:p>
            <w:pPr>
              <w:jc w:val="center"/>
              <w:ind w:right="1382"/>
              <w:spacing w:after="0"/>
              <w:rPr>
                <w:sz w:val="20"/>
                <w:szCs w:val="20"/>
                <w:color w:val="auto"/>
              </w:rPr>
            </w:pPr>
            <w:r>
              <w:rPr>
                <w:rFonts w:ascii="Times New Roman" w:cs="Times New Roman" w:eastAsia="Times New Roman" w:hAnsi="Times New Roman"/>
                <w:sz w:val="16"/>
                <w:szCs w:val="16"/>
                <w:color w:val="auto"/>
                <w:w w:val="97"/>
              </w:rPr>
              <w:t>(Address of principal executive offices)</w:t>
            </w:r>
          </w:p>
        </w:tc>
        <w:tc>
          <w:tcPr>
            <w:tcW w:w="3700" w:type="dxa"/>
            <w:vAlign w:val="bottom"/>
          </w:tcPr>
          <w:p>
            <w:pPr>
              <w:jc w:val="center"/>
              <w:ind w:left="1382"/>
              <w:spacing w:after="0"/>
              <w:rPr>
                <w:sz w:val="20"/>
                <w:szCs w:val="20"/>
                <w:color w:val="auto"/>
              </w:rPr>
            </w:pPr>
            <w:r>
              <w:rPr>
                <w:rFonts w:ascii="Times New Roman" w:cs="Times New Roman" w:eastAsia="Times New Roman" w:hAnsi="Times New Roman"/>
                <w:sz w:val="16"/>
                <w:szCs w:val="16"/>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(312) 698-6902</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2"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320" w:type="dxa"/>
            <w:vAlign w:val="bottom"/>
          </w:tcPr>
          <w:p>
            <w:pPr>
              <w:spacing w:after="0"/>
              <w:rPr>
                <w:sz w:val="17"/>
                <w:szCs w:val="17"/>
                <w:color w:val="auto"/>
              </w:rPr>
            </w:pPr>
          </w:p>
        </w:tc>
        <w:tc>
          <w:tcPr>
            <w:tcW w:w="3480" w:type="dxa"/>
            <w:vAlign w:val="bottom"/>
          </w:tcPr>
          <w:p>
            <w:pPr>
              <w:spacing w:after="0"/>
              <w:rPr>
                <w:sz w:val="17"/>
                <w:szCs w:val="17"/>
                <w:color w:val="auto"/>
              </w:rPr>
            </w:pPr>
          </w:p>
        </w:tc>
      </w:tr>
      <w:tr>
        <w:trPr>
          <w:trHeight w:val="265"/>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2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480" w:type="dxa"/>
            <w:vAlign w:val="bottom"/>
          </w:tcPr>
          <w:p>
            <w:pPr>
              <w:jc w:val="center"/>
              <w:ind w:left="502"/>
              <w:spacing w:after="0"/>
              <w:rPr>
                <w:sz w:val="20"/>
                <w:szCs w:val="20"/>
                <w:color w:val="auto"/>
              </w:rPr>
            </w:pPr>
            <w:r>
              <w:rPr>
                <w:rFonts w:ascii="Times New Roman" w:cs="Times New Roman" w:eastAsia="Times New Roman" w:hAnsi="Times New Roman"/>
                <w:sz w:val="16"/>
                <w:szCs w:val="16"/>
                <w:b w:val="1"/>
                <w:bCs w:val="1"/>
                <w:color w:val="auto"/>
                <w:w w:val="97"/>
              </w:rPr>
              <w:t>Name of each exchange on which registered</w:t>
            </w:r>
          </w:p>
        </w:tc>
      </w:tr>
      <w:tr>
        <w:trPr>
          <w:trHeight w:val="180"/>
        </w:trPr>
        <w:tc>
          <w:tcPr>
            <w:tcW w:w="4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Common Stock, par value $0.01 per share</w:t>
            </w:r>
          </w:p>
        </w:tc>
        <w:tc>
          <w:tcPr>
            <w:tcW w:w="23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8"/>
              </w:rPr>
              <w:t>RWAY</w:t>
            </w:r>
          </w:p>
        </w:tc>
        <w:tc>
          <w:tcPr>
            <w:tcW w:w="348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color w:val="auto"/>
                <w:w w:val="96"/>
              </w:rPr>
              <w:t>Nasdaq Global Select Market LLC</w:t>
            </w:r>
          </w:p>
        </w:tc>
      </w:tr>
      <w:tr>
        <w:trPr>
          <w:trHeight w:val="180"/>
        </w:trPr>
        <w:tc>
          <w:tcPr>
            <w:tcW w:w="4180" w:type="dxa"/>
            <w:vAlign w:val="bottom"/>
          </w:tcPr>
          <w:p>
            <w:pPr>
              <w:jc w:val="center"/>
              <w:spacing w:after="0" w:line="180" w:lineRule="exact"/>
              <w:rPr>
                <w:sz w:val="20"/>
                <w:szCs w:val="20"/>
                <w:color w:val="auto"/>
              </w:rPr>
            </w:pPr>
            <w:r>
              <w:rPr>
                <w:rFonts w:ascii="Times New Roman" w:cs="Times New Roman" w:eastAsia="Times New Roman" w:hAnsi="Times New Roman"/>
                <w:sz w:val="16"/>
                <w:szCs w:val="16"/>
                <w:color w:val="auto"/>
                <w:w w:val="97"/>
              </w:rPr>
              <w:t>7.50% Notes due 2027</w:t>
            </w:r>
          </w:p>
        </w:tc>
        <w:tc>
          <w:tcPr>
            <w:tcW w:w="2320" w:type="dxa"/>
            <w:vAlign w:val="bottom"/>
          </w:tcPr>
          <w:p>
            <w:pPr>
              <w:jc w:val="center"/>
              <w:ind w:right="2"/>
              <w:spacing w:after="0" w:line="180" w:lineRule="exact"/>
              <w:rPr>
                <w:sz w:val="20"/>
                <w:szCs w:val="20"/>
                <w:color w:val="auto"/>
              </w:rPr>
            </w:pPr>
            <w:r>
              <w:rPr>
                <w:rFonts w:ascii="Times New Roman" w:cs="Times New Roman" w:eastAsia="Times New Roman" w:hAnsi="Times New Roman"/>
                <w:sz w:val="16"/>
                <w:szCs w:val="16"/>
                <w:color w:val="auto"/>
                <w:w w:val="95"/>
              </w:rPr>
              <w:t>RWAYL</w:t>
            </w:r>
          </w:p>
        </w:tc>
        <w:tc>
          <w:tcPr>
            <w:tcW w:w="3480" w:type="dxa"/>
            <w:vAlign w:val="bottom"/>
          </w:tcPr>
          <w:p>
            <w:pPr>
              <w:jc w:val="center"/>
              <w:ind w:left="482"/>
              <w:spacing w:after="0" w:line="180" w:lineRule="exact"/>
              <w:rPr>
                <w:sz w:val="20"/>
                <w:szCs w:val="20"/>
                <w:color w:val="auto"/>
              </w:rPr>
            </w:pPr>
            <w:r>
              <w:rPr>
                <w:rFonts w:ascii="Times New Roman" w:cs="Times New Roman" w:eastAsia="Times New Roman" w:hAnsi="Times New Roman"/>
                <w:sz w:val="16"/>
                <w:szCs w:val="16"/>
                <w:color w:val="auto"/>
                <w:w w:val="96"/>
              </w:rPr>
              <w:t>Nasdaq Global Select Market LLC</w:t>
            </w:r>
          </w:p>
        </w:tc>
      </w:tr>
      <w:tr>
        <w:trPr>
          <w:trHeight w:val="203"/>
        </w:trPr>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8.00% Notes due 2027</w:t>
            </w:r>
          </w:p>
        </w:tc>
        <w:tc>
          <w:tcPr>
            <w:tcW w:w="23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5"/>
              </w:rPr>
              <w:t>RWAYZ</w:t>
            </w:r>
          </w:p>
        </w:tc>
        <w:tc>
          <w:tcPr>
            <w:tcW w:w="3480" w:type="dxa"/>
            <w:vAlign w:val="bottom"/>
          </w:tcPr>
          <w:p>
            <w:pPr>
              <w:jc w:val="center"/>
              <w:ind w:left="482"/>
              <w:spacing w:after="0"/>
              <w:rPr>
                <w:sz w:val="20"/>
                <w:szCs w:val="20"/>
                <w:color w:val="auto"/>
              </w:rPr>
            </w:pPr>
            <w:r>
              <w:rPr>
                <w:rFonts w:ascii="Times New Roman" w:cs="Times New Roman" w:eastAsia="Times New Roman" w:hAnsi="Times New Roman"/>
                <w:sz w:val="16"/>
                <w:szCs w:val="16"/>
                <w:color w:val="auto"/>
                <w:w w:val="96"/>
              </w:rPr>
              <w:t>Nasdaq Global Select Market LLC</w:t>
            </w:r>
          </w:p>
        </w:tc>
      </w:tr>
    </w:tbl>
    <w:p>
      <w:pPr>
        <w:spacing w:after="0" w:line="133" w:lineRule="exact"/>
        <w:rPr>
          <w:sz w:val="24"/>
          <w:szCs w:val="24"/>
          <w:color w:val="auto"/>
        </w:rPr>
      </w:pPr>
    </w:p>
    <w:p>
      <w:pPr>
        <w:jc w:val="both"/>
        <w:ind w:right="60" w:firstLine="348"/>
        <w:spacing w:after="0" w:line="1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7" w:lineRule="exact"/>
        <w:rPr>
          <w:sz w:val="24"/>
          <w:szCs w:val="24"/>
          <w:color w:val="auto"/>
        </w:rPr>
      </w:pPr>
    </w:p>
    <w:p>
      <w:pPr>
        <w:jc w:val="both"/>
        <w:ind w:right="80" w:firstLine="348"/>
        <w:spacing w:after="0" w:line="20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08" w:lineRule="exact"/>
        <w:rPr>
          <w:sz w:val="24"/>
          <w:szCs w:val="24"/>
          <w:color w:val="auto"/>
        </w:rPr>
      </w:pPr>
    </w:p>
    <w:p>
      <w:pPr>
        <w:ind w:firstLine="348"/>
        <w:spacing w:after="0" w:line="18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Refer to the definitions of "large accelerated filer," "accelerated filer," "smaller reporting company," and "emerging growth company"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2 of the Exchange Act.</w:t>
      </w:r>
    </w:p>
    <w:p>
      <w:pPr>
        <w:sectPr>
          <w:pgSz w:w="11900" w:h="16840" w:orient="portrait"/>
          <w:cols w:equalWidth="0" w:num="1">
            <w:col w:w="10580"/>
          </w:cols>
          <w:pgMar w:left="660" w:top="555" w:right="660" w:bottom="1440" w:gutter="0" w:footer="0" w:header="0"/>
        </w:sectPr>
      </w:pPr>
    </w:p>
    <w:p>
      <w:pPr>
        <w:spacing w:after="0" w:line="12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44"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14"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p>
    <w:p>
      <w:pPr>
        <w:spacing w:after="0" w:line="337" w:lineRule="exact"/>
        <w:rPr>
          <w:sz w:val="24"/>
          <w:szCs w:val="24"/>
          <w:color w:val="auto"/>
        </w:rPr>
      </w:pPr>
    </w:p>
    <w:p>
      <w:pPr>
        <w:sectPr>
          <w:pgSz w:w="11900" w:h="16840" w:orient="portrait"/>
          <w:cols w:equalWidth="0" w:num="2">
            <w:col w:w="4560" w:space="720"/>
            <w:col w:w="5300"/>
          </w:cols>
          <w:pgMar w:left="660" w:top="555" w:right="660" w:bottom="1440" w:gutter="0" w:footer="0" w:header="0"/>
          <w:type w:val="continuous"/>
        </w:sectPr>
      </w:pPr>
    </w:p>
    <w:p>
      <w:pPr>
        <w:ind w:right="440" w:firstLine="348"/>
        <w:spacing w:after="0" w:line="204"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360" w:right="2280"/>
        <w:spacing w:after="0" w:line="251" w:lineRule="exact"/>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issuer had 36,216,632 shares of common stock, $0.01 par value per share, outstanding as of August 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911225</wp:posOffset>
            </wp:positionV>
            <wp:extent cx="673290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93345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230505</wp:posOffset>
            </wp:positionV>
            <wp:extent cx="6707505" cy="30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7505" cy="3048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type w:val="continuous"/>
        </w:sectPr>
      </w:pPr>
    </w:p>
    <w:bookmarkStart w:id="1" w:name="page2"/>
    <w:bookmarkEnd w:id="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9" w:lineRule="exact"/>
        <w:rPr>
          <w:sz w:val="20"/>
          <w:szCs w:val="20"/>
          <w:color w:val="auto"/>
        </w:rPr>
      </w:pPr>
    </w:p>
    <w:p>
      <w:pPr>
        <w:jc w:val="center"/>
        <w:ind w:right="-19"/>
        <w:spacing w:after="0" w:line="184" w:lineRule="exact"/>
        <w:rPr>
          <w:sz w:val="20"/>
          <w:szCs w:val="20"/>
          <w:color w:val="auto"/>
        </w:rPr>
      </w:pPr>
      <w:r>
        <w:rPr>
          <w:rFonts w:ascii="Times New Roman" w:cs="Times New Roman" w:eastAsia="Times New Roman" w:hAnsi="Times New Roman"/>
          <w:sz w:val="16"/>
          <w:szCs w:val="16"/>
          <w:b w:val="1"/>
          <w:bCs w:val="1"/>
          <w:color w:val="auto"/>
        </w:rPr>
        <w:t>FORM 10</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Q FOR THE QUARTER ENDED June 30,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2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40" w:type="dxa"/>
            <w:vAlign w:val="bottom"/>
            <w:gridSpan w:val="6"/>
          </w:tcPr>
          <w:p>
            <w:pPr>
              <w:ind w:left="200"/>
              <w:spacing w:after="0"/>
              <w:rPr>
                <w:sz w:val="20"/>
                <w:szCs w:val="20"/>
                <w:color w:val="auto"/>
              </w:rPr>
            </w:pPr>
            <w:r>
              <w:rPr>
                <w:rFonts w:ascii="Times New Roman" w:cs="Times New Roman" w:eastAsia="Times New Roman" w:hAnsi="Times New Roman"/>
                <w:sz w:val="13"/>
                <w:szCs w:val="13"/>
                <w:b w:val="1"/>
                <w:bCs w:val="1"/>
                <w:color w:val="auto"/>
              </w:rPr>
              <w:t>INDEX</w:t>
            </w:r>
          </w:p>
        </w:tc>
        <w:tc>
          <w:tcPr>
            <w:tcW w:w="1820" w:type="dxa"/>
            <w:vAlign w:val="bottom"/>
          </w:tcPr>
          <w:p>
            <w:pPr>
              <w:jc w:val="right"/>
              <w:ind w:right="63"/>
              <w:spacing w:after="0"/>
              <w:rPr>
                <w:sz w:val="20"/>
                <w:szCs w:val="20"/>
                <w:color w:val="auto"/>
              </w:rPr>
            </w:pPr>
            <w:r>
              <w:rPr>
                <w:rFonts w:ascii="Times New Roman" w:cs="Times New Roman" w:eastAsia="Times New Roman" w:hAnsi="Times New Roman"/>
                <w:sz w:val="13"/>
                <w:szCs w:val="13"/>
                <w:b w:val="1"/>
                <w:bCs w:val="1"/>
                <w:color w:val="auto"/>
              </w:rPr>
              <w:t>NO.</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560" w:type="dxa"/>
            <w:vAlign w:val="bottom"/>
            <w:tcBorders>
              <w:bottom w:val="single" w:sz="8" w:color="0000EE"/>
            </w:tcBorders>
            <w:gridSpan w:val="3"/>
            <w:shd w:val="clear" w:color="auto" w:fill="CCEEFF"/>
          </w:tcPr>
          <w:p>
            <w:pPr>
              <w:spacing w:after="0" w:line="156" w:lineRule="exact"/>
              <w:rPr>
                <w:rFonts w:ascii="Times New Roman" w:cs="Times New Roman" w:eastAsia="Times New Roman" w:hAnsi="Times New Roman"/>
                <w:sz w:val="16"/>
                <w:szCs w:val="16"/>
                <w:b w:val="1"/>
                <w:bCs w:val="1"/>
                <w:color w:val="auto"/>
                <w:w w:val="93"/>
              </w:rPr>
            </w:pPr>
            <w:hyperlink w:anchor="page3">
              <w:r>
                <w:rPr>
                  <w:rFonts w:ascii="Times New Roman" w:cs="Times New Roman" w:eastAsia="Times New Roman" w:hAnsi="Times New Roman"/>
                  <w:sz w:val="16"/>
                  <w:szCs w:val="16"/>
                  <w:b w:val="1"/>
                  <w:bCs w:val="1"/>
                  <w:color w:val="auto"/>
                  <w:w w:val="93"/>
                </w:rPr>
                <w:t>PART I.</w:t>
              </w:r>
            </w:hyperlink>
          </w:p>
        </w:tc>
        <w:tc>
          <w:tcPr>
            <w:tcW w:w="520" w:type="dxa"/>
            <w:vAlign w:val="bottom"/>
            <w:tcBorders>
              <w:bottom w:val="single" w:sz="8" w:color="CCEEFF"/>
            </w:tcBorders>
            <w:gridSpan w:val="4"/>
            <w:shd w:val="clear" w:color="auto" w:fill="CCEEFF"/>
          </w:tcPr>
          <w:p>
            <w:pPr>
              <w:spacing w:after="0"/>
              <w:rPr>
                <w:sz w:val="13"/>
                <w:szCs w:val="13"/>
                <w:color w:val="auto"/>
              </w:rPr>
            </w:pPr>
          </w:p>
        </w:tc>
        <w:tc>
          <w:tcPr>
            <w:tcW w:w="2080" w:type="dxa"/>
            <w:vAlign w:val="bottom"/>
            <w:tcBorders>
              <w:bottom w:val="single" w:sz="8" w:color="0000EE"/>
            </w:tcBorders>
            <w:gridSpan w:val="8"/>
            <w:shd w:val="clear" w:color="auto" w:fill="CCEEFF"/>
          </w:tcPr>
          <w:p>
            <w:pPr>
              <w:spacing w:after="0" w:line="156" w:lineRule="exact"/>
              <w:rPr>
                <w:rFonts w:ascii="Times New Roman" w:cs="Times New Roman" w:eastAsia="Times New Roman" w:hAnsi="Times New Roman"/>
                <w:sz w:val="16"/>
                <w:szCs w:val="16"/>
                <w:b w:val="1"/>
                <w:bCs w:val="1"/>
                <w:color w:val="auto"/>
                <w:w w:val="96"/>
              </w:rPr>
            </w:pPr>
            <w:hyperlink w:anchor="page3">
              <w:r>
                <w:rPr>
                  <w:rFonts w:ascii="Times New Roman" w:cs="Times New Roman" w:eastAsia="Times New Roman" w:hAnsi="Times New Roman"/>
                  <w:sz w:val="16"/>
                  <w:szCs w:val="16"/>
                  <w:b w:val="1"/>
                  <w:bCs w:val="1"/>
                  <w:color w:val="auto"/>
                  <w:w w:val="96"/>
                </w:rPr>
                <w:t>FINANCIAL INFORMATION</w:t>
              </w:r>
            </w:hyperlink>
          </w:p>
        </w:tc>
        <w:tc>
          <w:tcPr>
            <w:tcW w:w="5560" w:type="dxa"/>
            <w:vAlign w:val="bottom"/>
            <w:tcBorders>
              <w:bottom w:val="single" w:sz="8" w:color="CCEEFF"/>
            </w:tcBorders>
            <w:gridSpan w:val="11"/>
            <w:shd w:val="clear" w:color="auto" w:fill="CCEEFF"/>
          </w:tcPr>
          <w:p>
            <w:pPr>
              <w:spacing w:after="0"/>
              <w:rPr>
                <w:sz w:val="13"/>
                <w:szCs w:val="13"/>
                <w:color w:val="auto"/>
              </w:rPr>
            </w:pPr>
          </w:p>
        </w:tc>
        <w:tc>
          <w:tcPr>
            <w:tcW w:w="18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3">
              <w:r>
                <w:rPr>
                  <w:rFonts w:ascii="Times New Roman" w:cs="Times New Roman" w:eastAsia="Times New Roman" w:hAnsi="Times New Roman"/>
                  <w:sz w:val="16"/>
                  <w:szCs w:val="16"/>
                  <w:color w:val="auto"/>
                </w:rPr>
                <w:t xml:space="preserve">Item 1.  </w:t>
              </w:r>
              <w:r>
                <w:rPr>
                  <w:rFonts w:ascii="Times New Roman" w:cs="Times New Roman" w:eastAsia="Times New Roman" w:hAnsi="Times New Roman"/>
                  <w:sz w:val="16"/>
                  <w:szCs w:val="16"/>
                  <w:color w:val="0000FF"/>
                </w:rPr>
                <w:t>Consolidated Financial Statements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Consolidated Statements of Assets and Liabilities as of June 30, 2025 (unaudited) and December 31, 2024</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4">
              <w:r>
                <w:rPr>
                  <w:rFonts w:ascii="Times New Roman" w:cs="Times New Roman" w:eastAsia="Times New Roman" w:hAnsi="Times New Roman"/>
                  <w:sz w:val="16"/>
                  <w:szCs w:val="16"/>
                  <w:color w:val="0000FF"/>
                </w:rPr>
                <w:t>Statements of Operations for the three and six months ended June 30, 2025 and 2024 (unaudited)</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7640" w:type="dxa"/>
            <w:vAlign w:val="bottom"/>
            <w:tcBorders>
              <w:bottom w:val="single" w:sz="8" w:color="0000EE"/>
            </w:tcBorders>
            <w:gridSpan w:val="19"/>
            <w:shd w:val="clear" w:color="auto" w:fill="CCEEFF"/>
          </w:tcPr>
          <w:p>
            <w:pPr>
              <w:spacing w:after="0" w:line="156" w:lineRule="exact"/>
              <w:rPr>
                <w:rFonts w:ascii="Times New Roman" w:cs="Times New Roman" w:eastAsia="Times New Roman" w:hAnsi="Times New Roman"/>
                <w:sz w:val="16"/>
                <w:szCs w:val="16"/>
                <w:color w:val="0000FF"/>
                <w:w w:val="97"/>
              </w:rPr>
            </w:pPr>
            <w:hyperlink w:anchor="page3">
              <w:r>
                <w:rPr>
                  <w:rFonts w:ascii="Times New Roman" w:cs="Times New Roman" w:eastAsia="Times New Roman" w:hAnsi="Times New Roman"/>
                  <w:sz w:val="16"/>
                  <w:szCs w:val="16"/>
                  <w:color w:val="0000FF"/>
                  <w:w w:val="97"/>
                </w:rPr>
                <w:t xml:space="preserve">Consolidated </w:t>
              </w:r>
            </w:hyperlink>
            <w:hyperlink w:anchor="page5">
              <w:r>
                <w:rPr>
                  <w:rFonts w:ascii="Times New Roman" w:cs="Times New Roman" w:eastAsia="Times New Roman" w:hAnsi="Times New Roman"/>
                  <w:sz w:val="16"/>
                  <w:szCs w:val="16"/>
                  <w:color w:val="0000FF"/>
                  <w:w w:val="97"/>
                </w:rPr>
                <w:t>Statements of Changes in Net Assets for the three and six months ended June 30, 2025 and 2024 (unaudited)</w:t>
              </w:r>
            </w:hyperlink>
          </w:p>
        </w:tc>
        <w:tc>
          <w:tcPr>
            <w:tcW w:w="1820" w:type="dxa"/>
            <w:vAlign w:val="bottom"/>
            <w:tcBorders>
              <w:bottom w:val="single" w:sz="8" w:color="CCEEFF"/>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6">
              <w:r>
                <w:rPr>
                  <w:rFonts w:ascii="Times New Roman" w:cs="Times New Roman" w:eastAsia="Times New Roman" w:hAnsi="Times New Roman"/>
                  <w:sz w:val="16"/>
                  <w:szCs w:val="16"/>
                  <w:color w:val="0000FF"/>
                </w:rPr>
                <w:t>Statements of Cash Flows for the six months ended June 30, 2025 and 2024 (unaudited)</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7">
              <w:r>
                <w:rPr>
                  <w:rFonts w:ascii="Times New Roman" w:cs="Times New Roman" w:eastAsia="Times New Roman" w:hAnsi="Times New Roman"/>
                  <w:sz w:val="16"/>
                  <w:szCs w:val="16"/>
                  <w:color w:val="0000FF"/>
                </w:rPr>
                <w:t>Schedule of Investments as of June 30, 2025 (unaudited)</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 xml:space="preserve">Consolidated </w:t>
              </w:r>
            </w:hyperlink>
            <w:hyperlink w:anchor="page15">
              <w:r>
                <w:rPr>
                  <w:rFonts w:ascii="Times New Roman" w:cs="Times New Roman" w:eastAsia="Times New Roman" w:hAnsi="Times New Roman"/>
                  <w:sz w:val="16"/>
                  <w:szCs w:val="16"/>
                  <w:color w:val="0000FF"/>
                </w:rPr>
                <w:t>Schedule of Investments as of December 31, 2024</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22">
              <w:r>
                <w:rPr>
                  <w:rFonts w:ascii="Times New Roman" w:cs="Times New Roman" w:eastAsia="Times New Roman" w:hAnsi="Times New Roman"/>
                  <w:sz w:val="16"/>
                  <w:szCs w:val="16"/>
                  <w:color w:val="0000FF"/>
                </w:rPr>
                <w:t>Notes to Consolidated Financial Statements (unaudited)</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57">
              <w:r>
                <w:rPr>
                  <w:rFonts w:ascii="Times New Roman" w:cs="Times New Roman" w:eastAsia="Times New Roman" w:hAnsi="Times New Roman"/>
                  <w:sz w:val="16"/>
                  <w:szCs w:val="16"/>
                  <w:color w:val="auto"/>
                </w:rPr>
                <w:t xml:space="preserve">Item 2.  </w:t>
              </w:r>
              <w:r>
                <w:rPr>
                  <w:rFonts w:ascii="Times New Roman" w:cs="Times New Roman" w:eastAsia="Times New Roman" w:hAnsi="Times New Roman"/>
                  <w:sz w:val="16"/>
                  <w:szCs w:val="16"/>
                  <w:color w:val="0000FF"/>
                </w:rPr>
                <w:t>Management’s Discussion and Analysis of Financial Condition and Results of Operations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68">
              <w:r>
                <w:rPr>
                  <w:rFonts w:ascii="Times New Roman" w:cs="Times New Roman" w:eastAsia="Times New Roman" w:hAnsi="Times New Roman"/>
                  <w:sz w:val="16"/>
                  <w:szCs w:val="16"/>
                  <w:color w:val="auto"/>
                </w:rPr>
                <w:t xml:space="preserve">Item 3.  </w:t>
              </w:r>
              <w:r>
                <w:rPr>
                  <w:rFonts w:ascii="Times New Roman" w:cs="Times New Roman" w:eastAsia="Times New Roman" w:hAnsi="Times New Roman"/>
                  <w:sz w:val="16"/>
                  <w:szCs w:val="16"/>
                  <w:color w:val="0000FF"/>
                </w:rPr>
                <w:t>Quantitative and Qualitative Disclosures About Market Risk</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69">
              <w:r>
                <w:rPr>
                  <w:rFonts w:ascii="Times New Roman" w:cs="Times New Roman" w:eastAsia="Times New Roman" w:hAnsi="Times New Roman"/>
                  <w:sz w:val="16"/>
                  <w:szCs w:val="16"/>
                  <w:color w:val="auto"/>
                </w:rPr>
                <w:t xml:space="preserve">Item 4.  </w:t>
              </w:r>
              <w:r>
                <w:rPr>
                  <w:rFonts w:ascii="Times New Roman" w:cs="Times New Roman" w:eastAsia="Times New Roman" w:hAnsi="Times New Roman"/>
                  <w:sz w:val="16"/>
                  <w:szCs w:val="16"/>
                  <w:color w:val="0000FF"/>
                </w:rPr>
                <w:t>Controls and Procedures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0" w:type="dxa"/>
            <w:vAlign w:val="bottom"/>
            <w:gridSpan w:val="7"/>
            <w:shd w:val="clear" w:color="auto" w:fill="CCEEFF"/>
          </w:tcPr>
          <w:p>
            <w:pPr>
              <w:spacing w:after="0" w:line="156" w:lineRule="exact"/>
              <w:rPr>
                <w:rFonts w:ascii="Times New Roman" w:cs="Times New Roman" w:eastAsia="Times New Roman" w:hAnsi="Times New Roman"/>
                <w:sz w:val="16"/>
                <w:szCs w:val="16"/>
                <w:b w:val="1"/>
                <w:bCs w:val="1"/>
                <w:color w:val="auto"/>
              </w:rPr>
            </w:pPr>
            <w:hyperlink w:anchor="page70">
              <w:r>
                <w:rPr>
                  <w:rFonts w:ascii="Times New Roman" w:cs="Times New Roman" w:eastAsia="Times New Roman" w:hAnsi="Times New Roman"/>
                  <w:sz w:val="16"/>
                  <w:szCs w:val="16"/>
                  <w:b w:val="1"/>
                  <w:bCs w:val="1"/>
                  <w:color w:val="auto"/>
                </w:rPr>
                <w:t>PART II.</w:t>
              </w:r>
            </w:hyperlink>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b w:val="1"/>
                <w:bCs w:val="1"/>
                <w:color w:val="auto"/>
              </w:rPr>
            </w:pPr>
            <w:hyperlink w:anchor="page70">
              <w:r>
                <w:rPr>
                  <w:rFonts w:ascii="Times New Roman" w:cs="Times New Roman" w:eastAsia="Times New Roman" w:hAnsi="Times New Roman"/>
                  <w:sz w:val="16"/>
                  <w:szCs w:val="16"/>
                  <w:b w:val="1"/>
                  <w:bCs w:val="1"/>
                  <w:color w:val="auto"/>
                </w:rPr>
                <w:t>OTHER INFORMATION</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5"/>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Item 1.</w:t>
              </w:r>
            </w:hyperlink>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Legal Proceedings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gridSpan w:val="6"/>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Item 1A.</w:t>
              </w:r>
            </w:hyperlink>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Risk Factors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 xml:space="preserve">Item 2.  </w:t>
              </w:r>
              <w:r>
                <w:rPr>
                  <w:rFonts w:ascii="Times New Roman" w:cs="Times New Roman" w:eastAsia="Times New Roman" w:hAnsi="Times New Roman"/>
                  <w:sz w:val="16"/>
                  <w:szCs w:val="16"/>
                  <w:color w:val="0000FF"/>
                </w:rPr>
                <w:t>Unregistered Sales of Equity Securities and Use of Proceeds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3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 xml:space="preserve">Item 3.  </w:t>
              </w:r>
              <w:r>
                <w:rPr>
                  <w:rFonts w:ascii="Times New Roman" w:cs="Times New Roman" w:eastAsia="Times New Roman" w:hAnsi="Times New Roman"/>
                  <w:sz w:val="16"/>
                  <w:szCs w:val="16"/>
                  <w:color w:val="0000FF"/>
                </w:rPr>
                <w:t>Defaults Upon Senior Securities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0" w:type="dxa"/>
            <w:vAlign w:val="bottom"/>
            <w:gridSpan w:val="24"/>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 xml:space="preserve">Item 4.  </w:t>
              </w:r>
              <w:r>
                <w:rPr>
                  <w:rFonts w:ascii="Times New Roman" w:cs="Times New Roman" w:eastAsia="Times New Roman" w:hAnsi="Times New Roman"/>
                  <w:sz w:val="16"/>
                  <w:szCs w:val="16"/>
                  <w:color w:val="0000FF"/>
                </w:rPr>
                <w:t>Mine Safety Disclosures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5"/>
            <w:shd w:val="clear" w:color="auto" w:fill="CCEEFF"/>
          </w:tcPr>
          <w:p>
            <w:pPr>
              <w:spacing w:after="0" w:line="156" w:lineRule="exact"/>
              <w:rPr>
                <w:rFonts w:ascii="Times New Roman" w:cs="Times New Roman" w:eastAsia="Times New Roman" w:hAnsi="Times New Roman"/>
                <w:sz w:val="16"/>
                <w:szCs w:val="16"/>
                <w:color w:val="auto"/>
              </w:rPr>
            </w:pPr>
            <w:hyperlink w:anchor="page70">
              <w:r>
                <w:rPr>
                  <w:rFonts w:ascii="Times New Roman" w:cs="Times New Roman" w:eastAsia="Times New Roman" w:hAnsi="Times New Roman"/>
                  <w:sz w:val="16"/>
                  <w:szCs w:val="16"/>
                  <w:color w:val="auto"/>
                </w:rPr>
                <w:t>Item 5.</w:t>
              </w:r>
            </w:hyperlink>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70">
              <w:r>
                <w:rPr>
                  <w:rFonts w:ascii="Times New Roman" w:cs="Times New Roman" w:eastAsia="Times New Roman" w:hAnsi="Times New Roman"/>
                  <w:sz w:val="16"/>
                  <w:szCs w:val="16"/>
                  <w:color w:val="0000FF"/>
                </w:rPr>
                <w:t>Other Information</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5"/>
            <w:shd w:val="clear" w:color="auto" w:fill="CCEEFF"/>
          </w:tcPr>
          <w:p>
            <w:pPr>
              <w:spacing w:after="0" w:line="156" w:lineRule="exact"/>
              <w:rPr>
                <w:rFonts w:ascii="Times New Roman" w:cs="Times New Roman" w:eastAsia="Times New Roman" w:hAnsi="Times New Roman"/>
                <w:sz w:val="16"/>
                <w:szCs w:val="16"/>
                <w:color w:val="auto"/>
              </w:rPr>
            </w:pPr>
            <w:hyperlink w:anchor="page71">
              <w:r>
                <w:rPr>
                  <w:rFonts w:ascii="Times New Roman" w:cs="Times New Roman" w:eastAsia="Times New Roman" w:hAnsi="Times New Roman"/>
                  <w:sz w:val="16"/>
                  <w:szCs w:val="16"/>
                  <w:color w:val="auto"/>
                </w:rPr>
                <w:t>Item 6.</w:t>
              </w:r>
            </w:hyperlink>
          </w:p>
        </w:tc>
        <w:tc>
          <w:tcPr>
            <w:tcW w:w="7640" w:type="dxa"/>
            <w:vAlign w:val="bottom"/>
            <w:gridSpan w:val="19"/>
            <w:shd w:val="clear" w:color="auto" w:fill="CCEEFF"/>
          </w:tcPr>
          <w:p>
            <w:pPr>
              <w:spacing w:after="0" w:line="156" w:lineRule="exact"/>
              <w:rPr>
                <w:rFonts w:ascii="Times New Roman" w:cs="Times New Roman" w:eastAsia="Times New Roman" w:hAnsi="Times New Roman"/>
                <w:sz w:val="16"/>
                <w:szCs w:val="16"/>
                <w:color w:val="0000FF"/>
              </w:rPr>
            </w:pPr>
            <w:hyperlink w:anchor="page71">
              <w:r>
                <w:rPr>
                  <w:rFonts w:ascii="Times New Roman" w:cs="Times New Roman" w:eastAsia="Times New Roman" w:hAnsi="Times New Roman"/>
                  <w:sz w:val="16"/>
                  <w:szCs w:val="16"/>
                  <w:color w:val="0000FF"/>
                </w:rPr>
                <w:t>Exhibits</w:t>
              </w:r>
            </w:hyperlink>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1200" w:type="dxa"/>
            <w:vAlign w:val="bottom"/>
            <w:tcBorders>
              <w:top w:val="single" w:sz="8" w:color="CCEEFF"/>
            </w:tcBorders>
          </w:tcPr>
          <w:p>
            <w:pPr>
              <w:spacing w:after="0"/>
              <w:rPr>
                <w:sz w:val="15"/>
                <w:szCs w:val="15"/>
                <w:color w:val="auto"/>
              </w:rPr>
            </w:pPr>
          </w:p>
        </w:tc>
        <w:tc>
          <w:tcPr>
            <w:tcW w:w="7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1080" w:type="dxa"/>
            <w:vAlign w:val="bottom"/>
            <w:gridSpan w:val="7"/>
            <w:shd w:val="clear" w:color="auto" w:fill="CCEEFF"/>
          </w:tcPr>
          <w:p>
            <w:pPr>
              <w:spacing w:after="0" w:line="156" w:lineRule="exact"/>
              <w:rPr>
                <w:rFonts w:ascii="Times New Roman" w:cs="Times New Roman" w:eastAsia="Times New Roman" w:hAnsi="Times New Roman"/>
                <w:sz w:val="16"/>
                <w:szCs w:val="16"/>
                <w:b w:val="1"/>
                <w:bCs w:val="1"/>
                <w:color w:val="auto"/>
              </w:rPr>
            </w:pPr>
            <w:hyperlink w:anchor="page72">
              <w:r>
                <w:rPr>
                  <w:rFonts w:ascii="Times New Roman" w:cs="Times New Roman" w:eastAsia="Times New Roman" w:hAnsi="Times New Roman"/>
                  <w:sz w:val="16"/>
                  <w:szCs w:val="16"/>
                  <w:b w:val="1"/>
                  <w:bCs w:val="1"/>
                  <w:color w:val="auto"/>
                </w:rPr>
                <w:t>SIGNATURES</w:t>
              </w:r>
            </w:hyperlink>
          </w:p>
        </w:tc>
        <w:tc>
          <w:tcPr>
            <w:tcW w:w="5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1260"/>
        </w:trPr>
        <w:tc>
          <w:tcPr>
            <w:tcW w:w="20" w:type="dxa"/>
            <w:vAlign w:val="bottom"/>
            <w:tcBorders>
              <w:bottom w:val="single" w:sz="8" w:color="EEEEEE"/>
            </w:tcBorders>
          </w:tcPr>
          <w:p>
            <w:pPr>
              <w:spacing w:after="0"/>
              <w:rPr>
                <w:sz w:val="24"/>
                <w:szCs w:val="24"/>
                <w:color w:val="auto"/>
              </w:rPr>
            </w:pPr>
          </w:p>
        </w:tc>
        <w:tc>
          <w:tcPr>
            <w:tcW w:w="400" w:type="dxa"/>
            <w:vAlign w:val="bottom"/>
            <w:tcBorders>
              <w:top w:val="single" w:sz="8" w:color="0000EE"/>
              <w:bottom w:val="single" w:sz="8" w:color="EEEEEE"/>
            </w:tcBorders>
          </w:tcPr>
          <w:p>
            <w:pPr>
              <w:spacing w:after="0"/>
              <w:rPr>
                <w:sz w:val="24"/>
                <w:szCs w:val="24"/>
                <w:color w:val="auto"/>
              </w:rPr>
            </w:pPr>
          </w:p>
        </w:tc>
        <w:tc>
          <w:tcPr>
            <w:tcW w:w="12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0000EE"/>
              <w:bottom w:val="single" w:sz="8" w:color="EEEEEE"/>
            </w:tcBorders>
          </w:tcPr>
          <w:p>
            <w:pPr>
              <w:spacing w:after="0"/>
              <w:rPr>
                <w:sz w:val="24"/>
                <w:szCs w:val="24"/>
                <w:color w:val="auto"/>
              </w:rPr>
            </w:pPr>
          </w:p>
        </w:tc>
        <w:tc>
          <w:tcPr>
            <w:tcW w:w="60" w:type="dxa"/>
            <w:vAlign w:val="bottom"/>
            <w:tcBorders>
              <w:top w:val="single" w:sz="8" w:color="0000EE"/>
              <w:bottom w:val="single" w:sz="8" w:color="EEEEEE"/>
            </w:tcBorders>
          </w:tcPr>
          <w:p>
            <w:pPr>
              <w:spacing w:after="0"/>
              <w:rPr>
                <w:sz w:val="24"/>
                <w:szCs w:val="24"/>
                <w:color w:val="auto"/>
              </w:rPr>
            </w:pPr>
          </w:p>
        </w:tc>
        <w:tc>
          <w:tcPr>
            <w:tcW w:w="340" w:type="dxa"/>
            <w:vAlign w:val="bottom"/>
            <w:tcBorders>
              <w:top w:val="single" w:sz="8" w:color="0000EE"/>
              <w:bottom w:val="single" w:sz="8" w:color="EEEEEE"/>
            </w:tcBorders>
          </w:tcPr>
          <w:p>
            <w:pPr>
              <w:spacing w:after="0"/>
              <w:rPr>
                <w:sz w:val="24"/>
                <w:szCs w:val="24"/>
                <w:color w:val="auto"/>
              </w:rPr>
            </w:pPr>
          </w:p>
        </w:tc>
        <w:tc>
          <w:tcPr>
            <w:tcW w:w="80" w:type="dxa"/>
            <w:vAlign w:val="bottom"/>
            <w:tcBorders>
              <w:top w:val="single" w:sz="8" w:color="0000EE"/>
              <w:bottom w:val="single" w:sz="8" w:color="EEEEEE"/>
            </w:tcBorders>
          </w:tcPr>
          <w:p>
            <w:pPr>
              <w:spacing w:after="0"/>
              <w:rPr>
                <w:sz w:val="24"/>
                <w:szCs w:val="24"/>
                <w:color w:val="auto"/>
              </w:rPr>
            </w:pPr>
          </w:p>
        </w:tc>
        <w:tc>
          <w:tcPr>
            <w:tcW w:w="40" w:type="dxa"/>
            <w:vAlign w:val="bottom"/>
            <w:tcBorders>
              <w:top w:val="single" w:sz="8" w:color="CCEEFF"/>
              <w:bottom w:val="single" w:sz="8" w:color="EEEEEE"/>
            </w:tcBorders>
          </w:tcPr>
          <w:p>
            <w:pPr>
              <w:spacing w:after="0"/>
              <w:rPr>
                <w:sz w:val="24"/>
                <w:szCs w:val="24"/>
                <w:color w:val="auto"/>
              </w:rPr>
            </w:pPr>
          </w:p>
        </w:tc>
        <w:tc>
          <w:tcPr>
            <w:tcW w:w="520" w:type="dxa"/>
            <w:vAlign w:val="bottom"/>
            <w:tcBorders>
              <w:top w:val="single" w:sz="8" w:color="CCEEFF"/>
              <w:bottom w:val="single" w:sz="8" w:color="EEEEEE"/>
            </w:tcBorders>
          </w:tcPr>
          <w:p>
            <w:pPr>
              <w:spacing w:after="0"/>
              <w:rPr>
                <w:sz w:val="24"/>
                <w:szCs w:val="24"/>
                <w:color w:val="auto"/>
              </w:rPr>
            </w:pPr>
          </w:p>
        </w:tc>
        <w:tc>
          <w:tcPr>
            <w:tcW w:w="260" w:type="dxa"/>
            <w:vAlign w:val="bottom"/>
            <w:tcBorders>
              <w:top w:val="single" w:sz="8" w:color="CCEEFF"/>
              <w:bottom w:val="single" w:sz="8" w:color="EEEEEE"/>
            </w:tcBorders>
          </w:tcPr>
          <w:p>
            <w:pPr>
              <w:spacing w:after="0"/>
              <w:rPr>
                <w:sz w:val="24"/>
                <w:szCs w:val="24"/>
                <w:color w:val="auto"/>
              </w:rPr>
            </w:pPr>
          </w:p>
        </w:tc>
        <w:tc>
          <w:tcPr>
            <w:tcW w:w="360" w:type="dxa"/>
            <w:vAlign w:val="bottom"/>
            <w:tcBorders>
              <w:top w:val="single" w:sz="8" w:color="CCEEFF"/>
              <w:bottom w:val="single" w:sz="8" w:color="EEEEEE"/>
            </w:tcBorders>
          </w:tcPr>
          <w:p>
            <w:pPr>
              <w:spacing w:after="0"/>
              <w:rPr>
                <w:sz w:val="24"/>
                <w:szCs w:val="24"/>
                <w:color w:val="auto"/>
              </w:rPr>
            </w:pPr>
          </w:p>
        </w:tc>
        <w:tc>
          <w:tcPr>
            <w:tcW w:w="20" w:type="dxa"/>
            <w:vAlign w:val="bottom"/>
            <w:tcBorders>
              <w:top w:val="single" w:sz="8" w:color="CCEEFF"/>
              <w:bottom w:val="single" w:sz="8" w:color="EEEEEE"/>
            </w:tcBorders>
          </w:tcPr>
          <w:p>
            <w:pPr>
              <w:spacing w:after="0"/>
              <w:rPr>
                <w:sz w:val="24"/>
                <w:szCs w:val="24"/>
                <w:color w:val="auto"/>
              </w:rPr>
            </w:pPr>
          </w:p>
        </w:tc>
        <w:tc>
          <w:tcPr>
            <w:tcW w:w="38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260" w:type="dxa"/>
            <w:vAlign w:val="bottom"/>
            <w:tcBorders>
              <w:top w:val="single" w:sz="8" w:color="CCEEFF"/>
              <w:bottom w:val="single" w:sz="8" w:color="EEEEEE"/>
            </w:tcBorders>
          </w:tcPr>
          <w:p>
            <w:pPr>
              <w:spacing w:after="0"/>
              <w:rPr>
                <w:sz w:val="24"/>
                <w:szCs w:val="24"/>
                <w:color w:val="auto"/>
              </w:rPr>
            </w:pPr>
          </w:p>
        </w:tc>
        <w:tc>
          <w:tcPr>
            <w:tcW w:w="60" w:type="dxa"/>
            <w:vAlign w:val="bottom"/>
            <w:tcBorders>
              <w:top w:val="single" w:sz="8" w:color="CCEEFF"/>
              <w:bottom w:val="single" w:sz="8" w:color="EEEEEE"/>
            </w:tcBorders>
          </w:tcPr>
          <w:p>
            <w:pPr>
              <w:spacing w:after="0"/>
              <w:rPr>
                <w:sz w:val="24"/>
                <w:szCs w:val="24"/>
                <w:color w:val="auto"/>
              </w:rPr>
            </w:pPr>
          </w:p>
        </w:tc>
        <w:tc>
          <w:tcPr>
            <w:tcW w:w="80" w:type="dxa"/>
            <w:vAlign w:val="bottom"/>
            <w:tcBorders>
              <w:top w:val="single" w:sz="8" w:color="CCEEFF"/>
              <w:bottom w:val="single" w:sz="8" w:color="EEEEEE"/>
            </w:tcBorders>
          </w:tcPr>
          <w:p>
            <w:pPr>
              <w:spacing w:after="0"/>
              <w:rPr>
                <w:sz w:val="24"/>
                <w:szCs w:val="24"/>
                <w:color w:val="auto"/>
              </w:rPr>
            </w:pPr>
          </w:p>
        </w:tc>
        <w:tc>
          <w:tcPr>
            <w:tcW w:w="1320" w:type="dxa"/>
            <w:vAlign w:val="bottom"/>
            <w:tcBorders>
              <w:top w:val="single" w:sz="8" w:color="CCEEFF"/>
              <w:bottom w:val="single" w:sz="8" w:color="EEEEEE"/>
            </w:tcBorders>
          </w:tcPr>
          <w:p>
            <w:pPr>
              <w:spacing w:after="0"/>
              <w:rPr>
                <w:sz w:val="24"/>
                <w:szCs w:val="24"/>
                <w:color w:val="auto"/>
              </w:rPr>
            </w:pPr>
          </w:p>
        </w:tc>
        <w:tc>
          <w:tcPr>
            <w:tcW w:w="280" w:type="dxa"/>
            <w:vAlign w:val="bottom"/>
            <w:tcBorders>
              <w:top w:val="single" w:sz="8" w:color="CCEEFF"/>
              <w:bottom w:val="single" w:sz="8" w:color="EEEEEE"/>
            </w:tcBorders>
          </w:tcPr>
          <w:p>
            <w:pPr>
              <w:spacing w:after="0"/>
              <w:rPr>
                <w:sz w:val="24"/>
                <w:szCs w:val="24"/>
                <w:color w:val="auto"/>
              </w:rPr>
            </w:pPr>
          </w:p>
        </w:tc>
        <w:tc>
          <w:tcPr>
            <w:tcW w:w="20" w:type="dxa"/>
            <w:vAlign w:val="bottom"/>
            <w:tcBorders>
              <w:top w:val="single" w:sz="8" w:color="CCEEFF"/>
              <w:bottom w:val="single" w:sz="8" w:color="EEEEEE"/>
            </w:tcBorders>
          </w:tcPr>
          <w:p>
            <w:pPr>
              <w:spacing w:after="0"/>
              <w:rPr>
                <w:sz w:val="24"/>
                <w:szCs w:val="24"/>
                <w:color w:val="auto"/>
              </w:rPr>
            </w:pPr>
          </w:p>
        </w:tc>
        <w:tc>
          <w:tcPr>
            <w:tcW w:w="220" w:type="dxa"/>
            <w:vAlign w:val="bottom"/>
            <w:tcBorders>
              <w:top w:val="single" w:sz="8" w:color="CCEEFF"/>
              <w:bottom w:val="single" w:sz="8" w:color="EEEEEE"/>
            </w:tcBorders>
          </w:tcPr>
          <w:p>
            <w:pPr>
              <w:spacing w:after="0"/>
              <w:rPr>
                <w:sz w:val="24"/>
                <w:szCs w:val="24"/>
                <w:color w:val="auto"/>
              </w:rPr>
            </w:pPr>
          </w:p>
        </w:tc>
        <w:tc>
          <w:tcPr>
            <w:tcW w:w="400" w:type="dxa"/>
            <w:vAlign w:val="bottom"/>
            <w:tcBorders>
              <w:top w:val="single" w:sz="8" w:color="CCEEFF"/>
              <w:bottom w:val="single" w:sz="8" w:color="EEEEEE"/>
            </w:tcBorders>
          </w:tcPr>
          <w:p>
            <w:pPr>
              <w:spacing w:after="0"/>
              <w:rPr>
                <w:sz w:val="24"/>
                <w:szCs w:val="24"/>
                <w:color w:val="auto"/>
              </w:rPr>
            </w:pPr>
          </w:p>
        </w:tc>
        <w:tc>
          <w:tcPr>
            <w:tcW w:w="1200" w:type="dxa"/>
            <w:vAlign w:val="bottom"/>
            <w:tcBorders>
              <w:top w:val="single" w:sz="8" w:color="CCEEFF"/>
              <w:bottom w:val="single" w:sz="8" w:color="EEEEEE"/>
            </w:tcBorders>
          </w:tcPr>
          <w:p>
            <w:pPr>
              <w:spacing w:after="0"/>
              <w:rPr>
                <w:sz w:val="24"/>
                <w:szCs w:val="24"/>
                <w:color w:val="auto"/>
              </w:rPr>
            </w:pPr>
          </w:p>
        </w:tc>
        <w:tc>
          <w:tcPr>
            <w:tcW w:w="740" w:type="dxa"/>
            <w:vAlign w:val="bottom"/>
            <w:tcBorders>
              <w:top w:val="single" w:sz="8" w:color="CCEEFF"/>
              <w:bottom w:val="single" w:sz="8" w:color="EEEEEE"/>
            </w:tcBorders>
          </w:tcPr>
          <w:p>
            <w:pPr>
              <w:spacing w:after="0"/>
              <w:rPr>
                <w:sz w:val="24"/>
                <w:szCs w:val="24"/>
                <w:color w:val="auto"/>
              </w:rPr>
            </w:pPr>
          </w:p>
        </w:tc>
        <w:tc>
          <w:tcPr>
            <w:tcW w:w="280" w:type="dxa"/>
            <w:vAlign w:val="bottom"/>
            <w:tcBorders>
              <w:top w:val="single" w:sz="8" w:color="CCEEFF"/>
              <w:bottom w:val="single" w:sz="8" w:color="EEEEEE"/>
            </w:tcBorders>
          </w:tcPr>
          <w:p>
            <w:pPr>
              <w:spacing w:after="0"/>
              <w:rPr>
                <w:sz w:val="24"/>
                <w:szCs w:val="24"/>
                <w:color w:val="auto"/>
              </w:rPr>
            </w:pPr>
          </w:p>
        </w:tc>
        <w:tc>
          <w:tcPr>
            <w:tcW w:w="300" w:type="dxa"/>
            <w:vAlign w:val="bottom"/>
            <w:tcBorders>
              <w:top w:val="single" w:sz="8" w:color="CCEEFF"/>
              <w:bottom w:val="single" w:sz="8" w:color="EEEEEE"/>
            </w:tcBorders>
          </w:tcPr>
          <w:p>
            <w:pPr>
              <w:spacing w:after="0"/>
              <w:rPr>
                <w:sz w:val="24"/>
                <w:szCs w:val="24"/>
                <w:color w:val="auto"/>
              </w:rPr>
            </w:pPr>
          </w:p>
        </w:tc>
        <w:tc>
          <w:tcPr>
            <w:tcW w:w="720" w:type="dxa"/>
            <w:vAlign w:val="bottom"/>
            <w:tcBorders>
              <w:top w:val="single" w:sz="8" w:color="CCEEFF"/>
              <w:bottom w:val="single" w:sz="8" w:color="EEEEEE"/>
            </w:tcBorders>
          </w:tcPr>
          <w:p>
            <w:pPr>
              <w:spacing w:after="0"/>
              <w:rPr>
                <w:sz w:val="24"/>
                <w:szCs w:val="24"/>
                <w:color w:val="auto"/>
              </w:rPr>
            </w:pPr>
          </w:p>
        </w:tc>
        <w:tc>
          <w:tcPr>
            <w:tcW w:w="1820" w:type="dxa"/>
            <w:vAlign w:val="bottom"/>
            <w:tcBorders>
              <w:top w:val="single" w:sz="8" w:color="CCEEFF"/>
              <w:bottom w:val="single" w:sz="8" w:color="EEEEEE"/>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 w:name="page3"/>
    <w:bookmarkEnd w:id="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PART I.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6"/>
          <w:szCs w:val="16"/>
          <w:b w:val="1"/>
          <w:bCs w:val="1"/>
          <w:color w:val="auto"/>
        </w:rPr>
        <w:t>Consolidated Statements of Assets and Liabilities</w:t>
      </w:r>
    </w:p>
    <w:p>
      <w:pPr>
        <w:ind w:left="3700"/>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Investments at fair value:</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Non-control/non-affiliate investments at fair value (cost of $1,054,963 and $1,038,135, respectively)</w:t>
            </w:r>
          </w:p>
        </w:tc>
        <w:tc>
          <w:tcPr>
            <w:tcW w:w="220" w:type="dxa"/>
            <w:vAlign w:val="bottom"/>
            <w:tcBorders>
              <w:bottom w:val="single" w:sz="8" w:color="CFF0FC"/>
            </w:tcBorders>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1,017,952</w:t>
            </w:r>
          </w:p>
        </w:tc>
        <w:tc>
          <w:tcPr>
            <w:tcW w:w="14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1,005,328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Affiliate investments at fair value (cost of $4,551 and $59,198, respectively)</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64,572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Control investments at fair value (cost of $6,550 and $6,550, respectively)</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investments at fair value (cost of $1,066,064 and $1,103,883, respectively)</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1,024,951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5,960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Interest and fees receivable</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1,473</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assets</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1,041,257</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1,091,355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7040" w:type="dxa"/>
            <w:vAlign w:val="bottom"/>
            <w:shd w:val="clear" w:color="auto" w:fill="CFF0FC"/>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Liabilities</w:t>
            </w:r>
          </w:p>
        </w:tc>
        <w:tc>
          <w:tcPr>
            <w:tcW w:w="22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Debt:</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Credit facility</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259,000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2026 Notes</w:t>
            </w:r>
          </w:p>
        </w:tc>
        <w:tc>
          <w:tcPr>
            <w:tcW w:w="22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2027 Notes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2028 Notes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Unamortized deferred financing costs</w:t>
            </w:r>
          </w:p>
        </w:tc>
        <w:tc>
          <w:tcPr>
            <w:tcW w:w="2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(7,302)</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(5,918)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Total debt, less unamortized deferred financing costs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515,948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552,332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Incentive fees payable</w:t>
            </w:r>
          </w:p>
        </w:tc>
        <w:tc>
          <w:tcPr>
            <w:tcW w:w="2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14,491</w:t>
            </w: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14,106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Interest payable</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Borders>
              <w:bottom w:val="single" w:sz="8" w:color="CFF0FC"/>
            </w:tcBorders>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3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542,383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576,486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Commitments and contingencies (Note 8)</w:t>
            </w: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Common stock, par value</w:t>
            </w:r>
          </w:p>
        </w:tc>
        <w:tc>
          <w:tcPr>
            <w:tcW w:w="2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549,859</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Accumulated undistributed (overdistributed) earnings</w:t>
            </w:r>
          </w:p>
        </w:tc>
        <w:tc>
          <w:tcPr>
            <w:tcW w:w="220" w:type="dxa"/>
            <w:vAlign w:val="bottom"/>
          </w:tcPr>
          <w:p>
            <w:pPr>
              <w:spacing w:after="0"/>
              <w:rPr>
                <w:sz w:val="13"/>
                <w:szCs w:val="13"/>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(51,350)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(43,496)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net assets</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498,874</w:t>
            </w:r>
          </w:p>
        </w:tc>
        <w:tc>
          <w:tcPr>
            <w:tcW w:w="140" w:type="dxa"/>
            <w:vAlign w:val="bottom"/>
            <w:shd w:val="clear" w:color="auto" w:fill="CFF0FC"/>
          </w:tcPr>
          <w:p>
            <w:pPr>
              <w:spacing w:after="0"/>
              <w:rPr>
                <w:sz w:val="17"/>
                <w:szCs w:val="17"/>
                <w:color w:val="auto"/>
              </w:rPr>
            </w:pPr>
          </w:p>
        </w:tc>
        <w:tc>
          <w:tcPr>
            <w:tcW w:w="260" w:type="dxa"/>
            <w:vAlign w:val="bottom"/>
            <w:gridSpan w:val="2"/>
            <w:shd w:val="clear" w:color="auto" w:fill="CFF0FC"/>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514,869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70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7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of common stock outstanding ($0.01 par value, 100,000,000 shares authorized)</w:t>
            </w:r>
          </w:p>
        </w:tc>
        <w:tc>
          <w:tcPr>
            <w:tcW w:w="220" w:type="dxa"/>
            <w:vAlign w:val="bottom"/>
            <w:shd w:val="clear" w:color="auto" w:fill="CFF0FC"/>
          </w:tcPr>
          <w:p>
            <w:pPr>
              <w:spacing w:after="0"/>
              <w:rPr>
                <w:sz w:val="13"/>
                <w:szCs w:val="13"/>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36,532,020</w:t>
            </w:r>
          </w:p>
        </w:tc>
        <w:tc>
          <w:tcPr>
            <w:tcW w:w="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40" w:type="dxa"/>
            <w:vAlign w:val="bottom"/>
          </w:tcPr>
          <w:p>
            <w:pPr>
              <w:spacing w:after="0"/>
              <w:rPr>
                <w:sz w:val="20"/>
                <w:szCs w:val="20"/>
                <w:color w:val="auto"/>
              </w:rPr>
            </w:pPr>
            <w:r>
              <w:rPr>
                <w:rFonts w:ascii="Times New Roman" w:cs="Times New Roman" w:eastAsia="Times New Roman" w:hAnsi="Times New Roman"/>
                <w:sz w:val="13"/>
                <w:szCs w:val="13"/>
                <w:color w:val="auto"/>
              </w:rPr>
              <w:t>Net asset value per share</w:t>
            </w:r>
          </w:p>
        </w:tc>
        <w:tc>
          <w:tcPr>
            <w:tcW w:w="220" w:type="dxa"/>
            <w:vAlign w:val="bottom"/>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13.66</w:t>
            </w:r>
          </w:p>
        </w:tc>
        <w:tc>
          <w:tcPr>
            <w:tcW w:w="14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 w:name="page4"/>
    <w:bookmarkEnd w:id="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40" w:type="dxa"/>
            <w:vAlign w:val="bottom"/>
            <w:gridSpan w:val="5"/>
          </w:tcPr>
          <w:p>
            <w:pPr>
              <w:jc w:val="right"/>
              <w:ind w:right="70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80" w:type="dxa"/>
            <w:vAlign w:val="bottom"/>
          </w:tcPr>
          <w:p>
            <w:pPr>
              <w:spacing w:after="0"/>
              <w:rPr>
                <w:sz w:val="13"/>
                <w:szCs w:val="13"/>
                <w:color w:val="auto"/>
              </w:rPr>
            </w:pPr>
          </w:p>
        </w:tc>
        <w:tc>
          <w:tcPr>
            <w:tcW w:w="220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ind w:right="3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From non-control/non-affiliate investments: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30,490</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30,935</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60,599</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65,390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Payment-in-kind interest income</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3,987</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Dividend income</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Fee income</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From affiliate investments: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income</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Fee income</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Total investment income</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35,147</w:t>
            </w: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34,193</w:t>
            </w: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70,545</w:t>
            </w:r>
          </w:p>
        </w:tc>
        <w:tc>
          <w:tcPr>
            <w:tcW w:w="2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74,202</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Management fees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Incentive fees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3,523</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3,649</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7,452</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2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11,764</w:t>
            </w:r>
          </w:p>
        </w:tc>
        <w:tc>
          <w:tcPr>
            <w:tcW w:w="2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10,867</w:t>
            </w:r>
          </w:p>
        </w:tc>
        <w:tc>
          <w:tcPr>
            <w:tcW w:w="2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22,051</w:t>
            </w:r>
          </w:p>
        </w:tc>
        <w:tc>
          <w:tcPr>
            <w:tcW w:w="2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21,727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Professional fees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Administration agreement expenses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Insurance expense</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 expense</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Pr>
          <w:p>
            <w:pPr>
              <w:spacing w:after="0"/>
              <w:rPr>
                <w:sz w:val="13"/>
                <w:szCs w:val="13"/>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21,199</w:t>
            </w:r>
          </w:p>
        </w:tc>
        <w:tc>
          <w:tcPr>
            <w:tcW w:w="24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19,602</w:t>
            </w:r>
          </w:p>
        </w:tc>
        <w:tc>
          <w:tcPr>
            <w:tcW w:w="280" w:type="dxa"/>
            <w:vAlign w:val="bottom"/>
          </w:tcPr>
          <w:p>
            <w:pPr>
              <w:spacing w:after="0"/>
              <w:rPr>
                <w:sz w:val="13"/>
                <w:szCs w:val="1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40,998</w:t>
            </w:r>
          </w:p>
        </w:tc>
        <w:tc>
          <w:tcPr>
            <w:tcW w:w="260" w:type="dxa"/>
            <w:vAlign w:val="bottom"/>
          </w:tcPr>
          <w:p>
            <w:pPr>
              <w:spacing w:after="0"/>
              <w:rPr>
                <w:sz w:val="13"/>
                <w:szCs w:val="13"/>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40,947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13,948</w:t>
            </w: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14,591</w:t>
            </w: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29,547</w:t>
            </w:r>
          </w:p>
        </w:tc>
        <w:tc>
          <w:tcPr>
            <w:tcW w:w="2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33,255</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realized and net change in unrealized gain (loss)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(1,501)</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(4,387)</w:t>
            </w: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Affiliate investments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220" w:type="dxa"/>
            <w:vAlign w:val="bottom"/>
            <w:shd w:val="clear" w:color="auto" w:fill="CFF0FC"/>
          </w:tcPr>
          <w:p>
            <w:pPr>
              <w:spacing w:after="0"/>
              <w:rPr>
                <w:sz w:val="13"/>
                <w:szCs w:val="13"/>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(1,501)</w:t>
            </w: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realized gain (loss) on forward contracts and foreign currency transactions</w:t>
            </w:r>
          </w:p>
        </w:tc>
        <w:tc>
          <w:tcPr>
            <w:tcW w:w="22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30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realized gain (loss)</w:t>
            </w:r>
          </w:p>
        </w:tc>
        <w:tc>
          <w:tcPr>
            <w:tcW w:w="220" w:type="dxa"/>
            <w:vAlign w:val="bottom"/>
            <w:shd w:val="clear" w:color="auto" w:fill="CFF0FC"/>
          </w:tcPr>
          <w:p>
            <w:pPr>
              <w:spacing w:after="0"/>
              <w:rPr>
                <w:sz w:val="10"/>
                <w:szCs w:val="10"/>
                <w:color w:val="auto"/>
              </w:rPr>
            </w:pPr>
          </w:p>
        </w:tc>
        <w:tc>
          <w:tcPr>
            <w:tcW w:w="880" w:type="dxa"/>
            <w:vAlign w:val="bottom"/>
            <w:shd w:val="clear" w:color="auto" w:fill="CFF0FC"/>
          </w:tcPr>
          <w:p>
            <w:pPr>
              <w:jc w:val="right"/>
              <w:spacing w:after="0" w:line="121" w:lineRule="exact"/>
              <w:rPr>
                <w:sz w:val="20"/>
                <w:szCs w:val="20"/>
                <w:color w:val="auto"/>
              </w:rPr>
            </w:pPr>
            <w:r>
              <w:rPr>
                <w:rFonts w:ascii="Times New Roman" w:cs="Times New Roman" w:eastAsia="Times New Roman" w:hAnsi="Times New Roman"/>
                <w:sz w:val="13"/>
                <w:szCs w:val="13"/>
                <w:color w:val="auto"/>
              </w:rPr>
              <w:t>(1,512</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Non-control/non-affiliate investments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5,595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(6,484)</w:t>
            </w:r>
          </w:p>
        </w:tc>
        <w:tc>
          <w:tcPr>
            <w:tcW w:w="28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(4,204)</w:t>
            </w:r>
          </w:p>
        </w:tc>
        <w:tc>
          <w:tcPr>
            <w:tcW w:w="26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(11,549)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Affiliate investments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305</w:t>
            </w:r>
          </w:p>
        </w:tc>
        <w:tc>
          <w:tcPr>
            <w:tcW w:w="34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(9,925)</w:t>
            </w:r>
          </w:p>
        </w:tc>
        <w:tc>
          <w:tcPr>
            <w:tcW w:w="2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(1,247)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Control investments</w:t>
            </w:r>
          </w:p>
        </w:tc>
        <w:tc>
          <w:tcPr>
            <w:tcW w:w="22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(121)</w:t>
            </w: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5,720</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(6,300)</w:t>
            </w: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(14,070)</w:t>
            </w:r>
          </w:p>
        </w:tc>
        <w:tc>
          <w:tcPr>
            <w:tcW w:w="2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change in unrealized gain (loss) on forward contracts and foreign currency transactions</w:t>
            </w:r>
          </w:p>
        </w:tc>
        <w:tc>
          <w:tcPr>
            <w:tcW w:w="220" w:type="dxa"/>
            <w:vAlign w:val="bottom"/>
          </w:tcPr>
          <w:p>
            <w:pPr>
              <w:spacing w:after="0"/>
              <w:rPr>
                <w:sz w:val="13"/>
                <w:szCs w:val="13"/>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(1,359)</w:t>
            </w: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(1,359)</w:t>
            </w:r>
          </w:p>
        </w:tc>
        <w:tc>
          <w:tcPr>
            <w:tcW w:w="2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4,361</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(6,300)</w:t>
            </w: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(15,429)</w:t>
            </w:r>
          </w:p>
        </w:tc>
        <w:tc>
          <w:tcPr>
            <w:tcW w:w="2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(12,917)</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Net realized and unrealized gain (loss)</w:t>
            </w:r>
          </w:p>
        </w:tc>
        <w:tc>
          <w:tcPr>
            <w:tcW w:w="220" w:type="dxa"/>
            <w:vAlign w:val="bottom"/>
            <w:shd w:val="clear" w:color="auto" w:fill="CFF0FC"/>
          </w:tcPr>
          <w:p>
            <w:pPr>
              <w:spacing w:after="0"/>
              <w:rPr>
                <w:sz w:val="13"/>
                <w:szCs w:val="13"/>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2,849</w:t>
            </w:r>
          </w:p>
        </w:tc>
        <w:tc>
          <w:tcPr>
            <w:tcW w:w="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(6,300)</w:t>
            </w:r>
          </w:p>
        </w:tc>
        <w:tc>
          <w:tcPr>
            <w:tcW w:w="28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(10,884)</w:t>
            </w:r>
          </w:p>
        </w:tc>
        <w:tc>
          <w:tcPr>
            <w:tcW w:w="2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(12,917)</w:t>
            </w:r>
          </w:p>
        </w:tc>
        <w:tc>
          <w:tcPr>
            <w:tcW w:w="0" w:type="dxa"/>
            <w:vAlign w:val="bottom"/>
          </w:tcPr>
          <w:p>
            <w:pPr>
              <w:spacing w:after="0"/>
              <w:rPr>
                <w:sz w:val="1"/>
                <w:szCs w:val="1"/>
                <w:color w:val="auto"/>
              </w:rPr>
            </w:pPr>
          </w:p>
        </w:tc>
      </w:tr>
      <w:tr>
        <w:trPr>
          <w:trHeight w:val="156"/>
        </w:trPr>
        <w:tc>
          <w:tcPr>
            <w:tcW w:w="5320" w:type="dxa"/>
            <w:vAlign w:val="bottom"/>
            <w:gridSpan w:val="2"/>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0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 from operations</w:t>
            </w:r>
          </w:p>
        </w:tc>
        <w:tc>
          <w:tcPr>
            <w:tcW w:w="22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16,797</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8,291</w:t>
            </w:r>
          </w:p>
        </w:tc>
        <w:tc>
          <w:tcPr>
            <w:tcW w:w="3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18,663</w:t>
            </w:r>
          </w:p>
        </w:tc>
        <w:tc>
          <w:tcPr>
            <w:tcW w:w="260" w:type="dxa"/>
            <w:vAlign w:val="bottom"/>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20,338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53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investment income per common share (basic and diluted)</w:t>
            </w:r>
          </w:p>
        </w:tc>
        <w:tc>
          <w:tcPr>
            <w:tcW w:w="220" w:type="dxa"/>
            <w:vAlign w:val="bottom"/>
          </w:tcPr>
          <w:p>
            <w:pPr>
              <w:jc w:val="right"/>
              <w:ind w:right="7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0.38</w:t>
            </w:r>
          </w:p>
        </w:tc>
        <w:tc>
          <w:tcPr>
            <w:tcW w:w="220" w:type="dxa"/>
            <w:vAlign w:val="bottom"/>
          </w:tcPr>
          <w:p>
            <w:pPr>
              <w:spacing w:after="0"/>
              <w:rPr>
                <w:sz w:val="11"/>
                <w:szCs w:val="11"/>
                <w:color w:val="auto"/>
              </w:rPr>
            </w:pPr>
          </w:p>
        </w:tc>
        <w:tc>
          <w:tcPr>
            <w:tcW w:w="240" w:type="dxa"/>
            <w:vAlign w:val="bottom"/>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tcPr>
          <w:p>
            <w:pPr>
              <w:jc w:val="right"/>
              <w:ind w:right="320"/>
              <w:spacing w:after="0" w:line="133" w:lineRule="exact"/>
              <w:rPr>
                <w:sz w:val="20"/>
                <w:szCs w:val="20"/>
                <w:color w:val="auto"/>
              </w:rPr>
            </w:pPr>
            <w:r>
              <w:rPr>
                <w:rFonts w:ascii="Times New Roman" w:cs="Times New Roman" w:eastAsia="Times New Roman" w:hAnsi="Times New Roman"/>
                <w:sz w:val="13"/>
                <w:szCs w:val="13"/>
                <w:color w:val="auto"/>
              </w:rPr>
              <w:t>0.37</w:t>
            </w:r>
          </w:p>
        </w:tc>
        <w:tc>
          <w:tcPr>
            <w:tcW w:w="280" w:type="dxa"/>
            <w:vAlign w:val="bottom"/>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200"/>
              <w:spacing w:after="0" w:line="133" w:lineRule="exact"/>
              <w:rPr>
                <w:sz w:val="20"/>
                <w:szCs w:val="20"/>
                <w:color w:val="auto"/>
              </w:rPr>
            </w:pPr>
            <w:r>
              <w:rPr>
                <w:rFonts w:ascii="Times New Roman" w:cs="Times New Roman" w:eastAsia="Times New Roman" w:hAnsi="Times New Roman"/>
                <w:sz w:val="13"/>
                <w:szCs w:val="13"/>
                <w:color w:val="auto"/>
              </w:rPr>
              <w:t>0.79</w:t>
            </w:r>
          </w:p>
        </w:tc>
        <w:tc>
          <w:tcPr>
            <w:tcW w:w="260" w:type="dxa"/>
            <w:vAlign w:val="bottom"/>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0.84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Net increase (decrease) in net assets resulting from operations per common share (basic and</w:t>
            </w:r>
          </w:p>
        </w:tc>
        <w:tc>
          <w:tcPr>
            <w:tcW w:w="22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0.45</w:t>
            </w:r>
          </w:p>
        </w:tc>
        <w:tc>
          <w:tcPr>
            <w:tcW w:w="2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w w:val="91"/>
              </w:rPr>
              <w:t>$</w:t>
            </w:r>
          </w:p>
        </w:tc>
        <w:tc>
          <w:tcPr>
            <w:tcW w:w="1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0.21</w:t>
            </w:r>
          </w:p>
        </w:tc>
        <w:tc>
          <w:tcPr>
            <w:tcW w:w="2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0.50</w:t>
            </w:r>
          </w:p>
        </w:tc>
        <w:tc>
          <w:tcPr>
            <w:tcW w:w="2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Weighted average shares outstanding (basic and diluted)</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37,103,061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39,180,767</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37,224,569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39,786,511</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 w:name="page5"/>
    <w:bookmarkEnd w:id="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Net Assets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22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 Shares</w:t>
            </w: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(Overdistributed)</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44"/>
        </w:trPr>
        <w:tc>
          <w:tcPr>
            <w:tcW w:w="346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Ended June 30, 2025</w:t>
            </w: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3"/>
                <w:szCs w:val="13"/>
                <w:b w:val="1"/>
                <w:bCs w:val="1"/>
                <w:color w:val="auto"/>
                <w:w w:val="89"/>
              </w:rPr>
              <w:t xml:space="preserve">Stock </w:t>
            </w:r>
            <w:r>
              <w:rPr>
                <w:rFonts w:ascii="Times New Roman" w:cs="Times New Roman" w:eastAsia="Times New Roman" w:hAnsi="Times New Roman"/>
                <w:sz w:val="16"/>
                <w:szCs w:val="16"/>
                <w:b w:val="1"/>
                <w:bCs w:val="1"/>
                <w:color w:val="auto"/>
                <w:w w:val="89"/>
                <w:vertAlign w:val="superscript"/>
              </w:rPr>
              <w:t>(2)</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March 31,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(55,075)</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503,290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13,948</w:t>
            </w:r>
          </w:p>
        </w:tc>
        <w:tc>
          <w:tcPr>
            <w:tcW w:w="3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13,948</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realized gain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(1,512)</w:t>
            </w:r>
          </w:p>
        </w:tc>
        <w:tc>
          <w:tcPr>
            <w:tcW w:w="3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(1,512)</w:t>
            </w: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(815,408)</w:t>
            </w:r>
          </w:p>
        </w:tc>
        <w:tc>
          <w:tcPr>
            <w:tcW w:w="2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(8,133)</w:t>
            </w: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(8,141)</w:t>
            </w: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(13,072)</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(13,072)</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Shares retired</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20"/>
                <w:szCs w:val="20"/>
                <w:color w:val="auto"/>
              </w:rPr>
            </w:pPr>
            <w:r>
              <w:rPr>
                <w:rFonts w:ascii="Times New Roman" w:cs="Times New Roman" w:eastAsia="Times New Roman" w:hAnsi="Times New Roman"/>
                <w:sz w:val="13"/>
                <w:szCs w:val="13"/>
                <w:color w:val="auto"/>
              </w:rPr>
              <w:t>Tax reclassification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Balances at June 30, 2025</w:t>
            </w:r>
          </w:p>
        </w:tc>
        <w:tc>
          <w:tcPr>
            <w:tcW w:w="12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36,532,020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365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549,859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(51,350</w:t>
            </w:r>
            <w:r>
              <w:rPr>
                <w:rFonts w:ascii="Times New Roman" w:cs="Times New Roman" w:eastAsia="Times New Roman" w:hAnsi="Times New Roman"/>
                <w:sz w:val="15"/>
                <w:szCs w:val="15"/>
                <w:color w:val="auto"/>
                <w:vertAlign w:val="subscript"/>
              </w:rPr>
              <w:t>)</w:t>
            </w:r>
          </w:p>
        </w:tc>
        <w:tc>
          <w:tcPr>
            <w:tcW w:w="3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498,874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460" w:type="dxa"/>
            <w:vAlign w:val="bottom"/>
            <w:tcBorders>
              <w:top w:val="single" w:sz="8" w:color="CFF0FC"/>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8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22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2025</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 Shares</w:t>
            </w: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(Overdistributed)</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44"/>
        </w:trPr>
        <w:tc>
          <w:tcPr>
            <w:tcW w:w="3460" w:type="dxa"/>
            <w:vAlign w:val="bottom"/>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3"/>
                <w:szCs w:val="13"/>
                <w:b w:val="1"/>
                <w:bCs w:val="1"/>
                <w:color w:val="auto"/>
                <w:w w:val="89"/>
              </w:rPr>
              <w:t xml:space="preserve">Stock </w:t>
            </w:r>
            <w:r>
              <w:rPr>
                <w:rFonts w:ascii="Times New Roman" w:cs="Times New Roman" w:eastAsia="Times New Roman" w:hAnsi="Times New Roman"/>
                <w:sz w:val="16"/>
                <w:szCs w:val="16"/>
                <w:b w:val="1"/>
                <w:bCs w:val="1"/>
                <w:color w:val="auto"/>
                <w:w w:val="89"/>
                <w:vertAlign w:val="superscript"/>
              </w:rPr>
              <w:t>(2)</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37,347,428</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373</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557,992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(43,496)</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514,869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29,547</w:t>
            </w:r>
          </w:p>
        </w:tc>
        <w:tc>
          <w:tcPr>
            <w:tcW w:w="3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29,547</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realized gain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(15,429)</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(15,429)</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(815,408)</w:t>
            </w:r>
          </w:p>
        </w:tc>
        <w:tc>
          <w:tcPr>
            <w:tcW w:w="280" w:type="dxa"/>
            <w:vAlign w:val="bottom"/>
            <w:shd w:val="clear" w:color="auto" w:fill="CFF0FC"/>
          </w:tcPr>
          <w:p>
            <w:pPr>
              <w:spacing w:after="0"/>
              <w:rPr>
                <w:sz w:val="13"/>
                <w:szCs w:val="13"/>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(8,133)</w:t>
            </w: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(8,141)</w:t>
            </w: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(26,517)</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(26,517)</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Balances at June 30, 2025</w:t>
            </w:r>
          </w:p>
        </w:tc>
        <w:tc>
          <w:tcPr>
            <w:tcW w:w="12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36,532,020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365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549,859</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(51,350</w:t>
            </w:r>
            <w:r>
              <w:rPr>
                <w:rFonts w:ascii="Times New Roman" w:cs="Times New Roman" w:eastAsia="Times New Roman" w:hAnsi="Times New Roman"/>
                <w:sz w:val="15"/>
                <w:szCs w:val="15"/>
                <w:color w:val="auto"/>
                <w:vertAlign w:val="subscript"/>
              </w:rPr>
              <w:t>)</w:t>
            </w:r>
          </w:p>
        </w:tc>
        <w:tc>
          <w:tcPr>
            <w:tcW w:w="3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498,874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3460" w:type="dxa"/>
            <w:vAlign w:val="bottom"/>
            <w:tcBorders>
              <w:top w:val="single" w:sz="8" w:color="CFF0FC"/>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8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200" w:type="dxa"/>
            <w:vAlign w:val="bottom"/>
            <w:tcBorders>
              <w:top w:val="single" w:sz="8" w:color="CFF0FC"/>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20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200" w:type="dxa"/>
            <w:vAlign w:val="bottom"/>
            <w:tcBorders>
              <w:top w:val="single" w:sz="8" w:color="CFF0FC"/>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jc w:val="center"/>
              <w:ind w:right="55"/>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Borders>
              <w:top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22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 the Three Months</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 Shares</w:t>
            </w: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(Overdistributed)</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44"/>
        </w:trPr>
        <w:tc>
          <w:tcPr>
            <w:tcW w:w="3460" w:type="dxa"/>
            <w:vAlign w:val="bottom"/>
          </w:tcPr>
          <w:p>
            <w:pPr>
              <w:spacing w:after="0" w:line="144" w:lineRule="exact"/>
              <w:rPr>
                <w:sz w:val="20"/>
                <w:szCs w:val="20"/>
                <w:color w:val="auto"/>
              </w:rPr>
            </w:pPr>
            <w:r>
              <w:rPr>
                <w:rFonts w:ascii="Times New Roman" w:cs="Times New Roman" w:eastAsia="Times New Roman" w:hAnsi="Times New Roman"/>
                <w:sz w:val="13"/>
                <w:szCs w:val="13"/>
                <w:b w:val="1"/>
                <w:bCs w:val="1"/>
                <w:color w:val="auto"/>
              </w:rPr>
              <w:t>Ended June 30, 2024</w:t>
            </w: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3"/>
                <w:szCs w:val="13"/>
                <w:b w:val="1"/>
                <w:bCs w:val="1"/>
                <w:color w:val="auto"/>
                <w:w w:val="89"/>
              </w:rPr>
              <w:t xml:space="preserve">Stock </w:t>
            </w:r>
            <w:r>
              <w:rPr>
                <w:rFonts w:ascii="Times New Roman" w:cs="Times New Roman" w:eastAsia="Times New Roman" w:hAnsi="Times New Roman"/>
                <w:sz w:val="16"/>
                <w:szCs w:val="16"/>
                <w:b w:val="1"/>
                <w:bCs w:val="1"/>
                <w:color w:val="auto"/>
                <w:w w:val="89"/>
                <w:vertAlign w:val="superscript"/>
              </w:rPr>
              <w:t>(2)</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March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39,622,162</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(21,425)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605,108</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(54,628)</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529,469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14,591</w:t>
            </w:r>
          </w:p>
        </w:tc>
        <w:tc>
          <w:tcPr>
            <w:tcW w:w="3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14,591</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realized gain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(6,300)</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(6,300)</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Acquisition of treasury stock </w:t>
            </w:r>
            <w:r>
              <w:rPr>
                <w:rFonts w:ascii="Times New Roman" w:cs="Times New Roman" w:eastAsia="Times New Roman" w:hAnsi="Times New Roman"/>
                <w:sz w:val="16"/>
                <w:szCs w:val="16"/>
                <w:color w:val="auto"/>
                <w:vertAlign w:val="superscript"/>
              </w:rPr>
              <w:t>(2)</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(1,074,842)</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(12,841)</w:t>
            </w: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(12,841)</w:t>
            </w: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(18,535)</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(18,535)</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Shares retired</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(25)</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Balances at June 30, 2024</w:t>
            </w:r>
          </w:p>
        </w:tc>
        <w:tc>
          <w:tcPr>
            <w:tcW w:w="12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38,547,295</w:t>
            </w:r>
          </w:p>
        </w:tc>
        <w:tc>
          <w:tcPr>
            <w:tcW w:w="180" w:type="dxa"/>
            <w:vAlign w:val="bottom"/>
          </w:tcPr>
          <w:p>
            <w:pPr>
              <w:spacing w:after="0"/>
              <w:rPr>
                <w:sz w:val="13"/>
                <w:szCs w:val="13"/>
                <w:color w:val="auto"/>
              </w:rPr>
            </w:pPr>
          </w:p>
        </w:tc>
        <w:tc>
          <w:tcPr>
            <w:tcW w:w="280" w:type="dxa"/>
            <w:vAlign w:val="bottom"/>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414</w:t>
            </w:r>
          </w:p>
        </w:tc>
        <w:tc>
          <w:tcPr>
            <w:tcW w:w="200" w:type="dxa"/>
            <w:vAlign w:val="bottom"/>
          </w:tcPr>
          <w:p>
            <w:pPr>
              <w:spacing w:after="0"/>
              <w:rPr>
                <w:sz w:val="13"/>
                <w:szCs w:val="13"/>
                <w:color w:val="auto"/>
              </w:rPr>
            </w:pPr>
          </w:p>
        </w:tc>
        <w:tc>
          <w:tcPr>
            <w:tcW w:w="16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(34,266</w:t>
            </w:r>
            <w:r>
              <w:rPr>
                <w:rFonts w:ascii="Times New Roman" w:cs="Times New Roman" w:eastAsia="Times New Roman" w:hAnsi="Times New Roman"/>
                <w:sz w:val="15"/>
                <w:szCs w:val="15"/>
                <w:color w:val="auto"/>
                <w:vertAlign w:val="subscript"/>
              </w:rPr>
              <w:t>)</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605,108</w:t>
            </w:r>
          </w:p>
        </w:tc>
        <w:tc>
          <w:tcPr>
            <w:tcW w:w="20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9"/>
                <w:szCs w:val="9"/>
                <w:color w:val="auto"/>
              </w:rPr>
              <w:t>(64,872</w:t>
            </w:r>
            <w:r>
              <w:rPr>
                <w:rFonts w:ascii="Times New Roman" w:cs="Times New Roman" w:eastAsia="Times New Roman" w:hAnsi="Times New Roman"/>
                <w:sz w:val="15"/>
                <w:szCs w:val="15"/>
                <w:color w:val="auto"/>
                <w:vertAlign w:val="subscript"/>
              </w:rPr>
              <w:t>)</w:t>
            </w:r>
          </w:p>
        </w:tc>
        <w:tc>
          <w:tcPr>
            <w:tcW w:w="3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506,384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3460" w:type="dxa"/>
            <w:vAlign w:val="bottom"/>
          </w:tcPr>
          <w:p>
            <w:pPr>
              <w:spacing w:after="0"/>
              <w:rPr>
                <w:sz w:val="13"/>
                <w:szCs w:val="13"/>
                <w:color w:val="auto"/>
              </w:rPr>
            </w:pPr>
          </w:p>
        </w:tc>
        <w:tc>
          <w:tcPr>
            <w:tcW w:w="2260" w:type="dxa"/>
            <w:vAlign w:val="bottom"/>
            <w:gridSpan w:val="5"/>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Additional</w:t>
            </w:r>
          </w:p>
        </w:tc>
        <w:tc>
          <w:tcPr>
            <w:tcW w:w="12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9"/>
              </w:rPr>
              <w:t>Undistributed</w:t>
            </w: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4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2024</w:t>
            </w: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Outstanding Shares</w:t>
            </w:r>
          </w:p>
        </w:tc>
        <w:tc>
          <w:tcPr>
            <w:tcW w:w="88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Par Value</w:t>
            </w:r>
          </w:p>
        </w:tc>
        <w:tc>
          <w:tcPr>
            <w:tcW w:w="160" w:type="dxa"/>
            <w:vAlign w:val="bottom"/>
          </w:tcPr>
          <w:p>
            <w:pPr>
              <w:spacing w:after="0"/>
              <w:rPr>
                <w:sz w:val="15"/>
                <w:szCs w:val="15"/>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1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Paid-in Capital</w:t>
            </w:r>
          </w:p>
        </w:tc>
        <w:tc>
          <w:tcPr>
            <w:tcW w:w="120" w:type="dxa"/>
            <w:vAlign w:val="bottom"/>
          </w:tcPr>
          <w:p>
            <w:pPr>
              <w:spacing w:after="0"/>
              <w:rPr>
                <w:sz w:val="15"/>
                <w:szCs w:val="15"/>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(Overdistributed)</w:t>
            </w:r>
          </w:p>
        </w:tc>
        <w:tc>
          <w:tcPr>
            <w:tcW w:w="10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Total Net Assets</w:t>
            </w:r>
          </w:p>
        </w:tc>
        <w:tc>
          <w:tcPr>
            <w:tcW w:w="0" w:type="dxa"/>
            <w:vAlign w:val="bottom"/>
          </w:tcPr>
          <w:p>
            <w:pPr>
              <w:spacing w:after="0"/>
              <w:rPr>
                <w:sz w:val="1"/>
                <w:szCs w:val="1"/>
                <w:color w:val="auto"/>
              </w:rPr>
            </w:pPr>
          </w:p>
        </w:tc>
      </w:tr>
      <w:tr>
        <w:trPr>
          <w:trHeight w:val="144"/>
        </w:trPr>
        <w:tc>
          <w:tcPr>
            <w:tcW w:w="3460" w:type="dxa"/>
            <w:vAlign w:val="bottom"/>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8"/>
                <w:szCs w:val="8"/>
                <w:b w:val="1"/>
                <w:bCs w:val="1"/>
                <w:color w:val="auto"/>
              </w:rPr>
              <w:t>(1)</w:t>
            </w:r>
          </w:p>
        </w:tc>
        <w:tc>
          <w:tcPr>
            <w:tcW w:w="18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4" w:lineRule="exact"/>
              <w:rPr>
                <w:sz w:val="20"/>
                <w:szCs w:val="20"/>
                <w:color w:val="auto"/>
              </w:rPr>
            </w:pPr>
            <w:r>
              <w:rPr>
                <w:rFonts w:ascii="Times New Roman" w:cs="Times New Roman" w:eastAsia="Times New Roman" w:hAnsi="Times New Roman"/>
                <w:sz w:val="13"/>
                <w:szCs w:val="13"/>
                <w:b w:val="1"/>
                <w:bCs w:val="1"/>
                <w:color w:val="auto"/>
                <w:w w:val="89"/>
              </w:rPr>
              <w:t xml:space="preserve">Stock </w:t>
            </w:r>
            <w:r>
              <w:rPr>
                <w:rFonts w:ascii="Times New Roman" w:cs="Times New Roman" w:eastAsia="Times New Roman" w:hAnsi="Times New Roman"/>
                <w:sz w:val="16"/>
                <w:szCs w:val="16"/>
                <w:b w:val="1"/>
                <w:bCs w:val="1"/>
                <w:color w:val="auto"/>
                <w:w w:val="89"/>
                <w:vertAlign w:val="superscript"/>
              </w:rPr>
              <w:t>(2)</w:t>
            </w:r>
          </w:p>
        </w:tc>
        <w:tc>
          <w:tcPr>
            <w:tcW w:w="11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4" w:lineRule="exact"/>
              <w:rPr>
                <w:sz w:val="20"/>
                <w:szCs w:val="20"/>
                <w:color w:val="auto"/>
              </w:rPr>
            </w:pPr>
            <w:r>
              <w:rPr>
                <w:rFonts w:ascii="Times New Roman" w:cs="Times New Roman" w:eastAsia="Times New Roman" w:hAnsi="Times New Roman"/>
                <w:sz w:val="13"/>
                <w:szCs w:val="13"/>
                <w:b w:val="1"/>
                <w:bCs w:val="1"/>
                <w:color w:val="auto"/>
              </w:rPr>
              <w:t>earnings</w:t>
            </w: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December 31, 2023</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40,509,269</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(10,816)</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605,110</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(47,637)</w:t>
            </w:r>
          </w:p>
        </w:tc>
        <w:tc>
          <w:tcPr>
            <w:tcW w:w="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547,071</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33,255</w:t>
            </w:r>
          </w:p>
        </w:tc>
        <w:tc>
          <w:tcPr>
            <w:tcW w:w="32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33,255</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realized gain (loss)</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(12,917)</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(12,917)</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Acquisition of treasury stock </w:t>
            </w:r>
            <w:r>
              <w:rPr>
                <w:rFonts w:ascii="Times New Roman" w:cs="Times New Roman" w:eastAsia="Times New Roman" w:hAnsi="Times New Roman"/>
                <w:sz w:val="16"/>
                <w:szCs w:val="16"/>
                <w:color w:val="auto"/>
                <w:vertAlign w:val="superscript"/>
              </w:rPr>
              <w:t>(2)</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(1,961,938)</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(23,450)</w:t>
            </w: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(23,450)</w:t>
            </w: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(37,575)</w:t>
            </w:r>
          </w:p>
        </w:tc>
        <w:tc>
          <w:tcPr>
            <w:tcW w:w="32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(37,575)</w:t>
            </w:r>
          </w:p>
        </w:tc>
        <w:tc>
          <w:tcPr>
            <w:tcW w:w="0" w:type="dxa"/>
            <w:vAlign w:val="bottom"/>
          </w:tcPr>
          <w:p>
            <w:pPr>
              <w:spacing w:after="0"/>
              <w:rPr>
                <w:sz w:val="1"/>
                <w:szCs w:val="1"/>
                <w:color w:val="auto"/>
              </w:rPr>
            </w:pPr>
          </w:p>
        </w:tc>
      </w:tr>
      <w:tr>
        <w:trPr>
          <w:trHeight w:val="156"/>
        </w:trPr>
        <w:tc>
          <w:tcPr>
            <w:tcW w:w="34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Shares retired</w:t>
            </w:r>
          </w:p>
        </w:tc>
        <w:tc>
          <w:tcPr>
            <w:tcW w:w="1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(36)</w:t>
            </w:r>
          </w:p>
        </w:tc>
        <w:tc>
          <w:tcPr>
            <w:tcW w:w="280" w:type="dxa"/>
            <w:vAlign w:val="bottom"/>
            <w:shd w:val="clear" w:color="auto" w:fill="CFF0FC"/>
          </w:tcPr>
          <w:p>
            <w:pPr>
              <w:spacing w:after="0"/>
              <w:rPr>
                <w:sz w:val="13"/>
                <w:szCs w:val="13"/>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Tax reclassification</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4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Balances at June 30,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38,547,295</w:t>
            </w:r>
          </w:p>
        </w:tc>
        <w:tc>
          <w:tcPr>
            <w:tcW w:w="180" w:type="dxa"/>
            <w:vAlign w:val="bottom"/>
            <w:shd w:val="clear" w:color="auto" w:fill="CFF0FC"/>
          </w:tcPr>
          <w:p>
            <w:pPr>
              <w:spacing w:after="0"/>
              <w:rPr>
                <w:sz w:val="14"/>
                <w:szCs w:val="14"/>
                <w:color w:val="auto"/>
              </w:rPr>
            </w:pPr>
          </w:p>
        </w:tc>
        <w:tc>
          <w:tcPr>
            <w:tcW w:w="280" w:type="dxa"/>
            <w:vAlign w:val="bottom"/>
            <w:vMerge w:val="restart"/>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414</w:t>
            </w:r>
          </w:p>
        </w:tc>
        <w:tc>
          <w:tcPr>
            <w:tcW w:w="200" w:type="dxa"/>
            <w:vAlign w:val="bottom"/>
            <w:shd w:val="clear" w:color="auto" w:fill="CFF0FC"/>
          </w:tcPr>
          <w:p>
            <w:pPr>
              <w:spacing w:after="0"/>
              <w:rPr>
                <w:sz w:val="14"/>
                <w:szCs w:val="14"/>
                <w:color w:val="auto"/>
              </w:rPr>
            </w:pP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vMerge w:val="restart"/>
            <w:shd w:val="clear" w:color="auto" w:fill="CFF0FC"/>
          </w:tcPr>
          <w:p>
            <w:pPr>
              <w:jc w:val="right"/>
              <w:ind w:right="140"/>
              <w:spacing w:after="0" w:line="268" w:lineRule="exact"/>
              <w:rPr>
                <w:sz w:val="20"/>
                <w:szCs w:val="20"/>
                <w:color w:val="auto"/>
              </w:rPr>
            </w:pPr>
            <w:r>
              <w:rPr>
                <w:rFonts w:ascii="Times New Roman" w:cs="Times New Roman" w:eastAsia="Times New Roman" w:hAnsi="Times New Roman"/>
                <w:sz w:val="13"/>
                <w:szCs w:val="13"/>
                <w:color w:val="auto"/>
              </w:rPr>
              <w:t>(34,266</w:t>
            </w:r>
            <w:r>
              <w:rPr>
                <w:rFonts w:ascii="Times New Roman" w:cs="Times New Roman" w:eastAsia="Times New Roman" w:hAnsi="Times New Roman"/>
                <w:sz w:val="26"/>
                <w:szCs w:val="26"/>
                <w:color w:val="auto"/>
                <w:vertAlign w:val="subscript"/>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605,108</w:t>
            </w:r>
          </w:p>
        </w:tc>
        <w:tc>
          <w:tcPr>
            <w:tcW w:w="200" w:type="dxa"/>
            <w:vAlign w:val="bottom"/>
            <w:shd w:val="clear" w:color="auto" w:fill="CFF0FC"/>
          </w:tcPr>
          <w:p>
            <w:pPr>
              <w:spacing w:after="0"/>
              <w:rPr>
                <w:sz w:val="14"/>
                <w:szCs w:val="14"/>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gridSpan w:val="2"/>
            <w:vMerge w:val="restart"/>
            <w:shd w:val="clear" w:color="auto" w:fill="CFF0FC"/>
          </w:tcPr>
          <w:p>
            <w:pPr>
              <w:jc w:val="right"/>
              <w:ind w:right="140"/>
              <w:spacing w:after="0" w:line="268" w:lineRule="exact"/>
              <w:rPr>
                <w:sz w:val="20"/>
                <w:szCs w:val="20"/>
                <w:color w:val="auto"/>
              </w:rPr>
            </w:pPr>
            <w:r>
              <w:rPr>
                <w:rFonts w:ascii="Times New Roman" w:cs="Times New Roman" w:eastAsia="Times New Roman" w:hAnsi="Times New Roman"/>
                <w:sz w:val="13"/>
                <w:szCs w:val="13"/>
                <w:color w:val="auto"/>
              </w:rPr>
              <w:t>(64,872</w:t>
            </w:r>
            <w:r>
              <w:rPr>
                <w:rFonts w:ascii="Times New Roman" w:cs="Times New Roman" w:eastAsia="Times New Roman" w:hAnsi="Times New Roman"/>
                <w:sz w:val="26"/>
                <w:szCs w:val="26"/>
                <w:color w:val="auto"/>
                <w:vertAlign w:val="subscript"/>
              </w:rPr>
              <w:t>)</w:t>
            </w:r>
          </w:p>
        </w:tc>
        <w:tc>
          <w:tcPr>
            <w:tcW w:w="3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506,384</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460" w:type="dxa"/>
            <w:vAlign w:val="bottom"/>
            <w:vMerge w:val="continue"/>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280" w:type="dxa"/>
            <w:vAlign w:val="bottom"/>
            <w:vMerge w:val="continue"/>
            <w:shd w:val="clear" w:color="auto" w:fill="CFF0FC"/>
          </w:tcPr>
          <w:p>
            <w:pPr>
              <w:spacing w:after="0"/>
              <w:rPr>
                <w:sz w:val="11"/>
                <w:szCs w:val="11"/>
                <w:color w:val="auto"/>
              </w:rPr>
            </w:pPr>
          </w:p>
        </w:tc>
        <w:tc>
          <w:tcPr>
            <w:tcW w:w="4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vMerge w:val="continue"/>
            <w:shd w:val="clear" w:color="auto" w:fill="CFF0FC"/>
          </w:tcPr>
          <w:p>
            <w:pPr>
              <w:spacing w:after="0"/>
              <w:rPr>
                <w:sz w:val="11"/>
                <w:szCs w:val="11"/>
                <w:color w:val="auto"/>
              </w:rPr>
            </w:pPr>
          </w:p>
        </w:tc>
        <w:tc>
          <w:tcPr>
            <w:tcW w:w="980" w:type="dxa"/>
            <w:vAlign w:val="bottom"/>
            <w:gridSpan w:val="2"/>
            <w:vMerge w:val="continue"/>
            <w:shd w:val="clear" w:color="auto" w:fill="CFF0FC"/>
          </w:tcPr>
          <w:p>
            <w:pPr>
              <w:spacing w:after="0"/>
              <w:rPr>
                <w:sz w:val="11"/>
                <w:szCs w:val="11"/>
                <w:color w:val="auto"/>
              </w:rPr>
            </w:pPr>
          </w:p>
        </w:tc>
        <w:tc>
          <w:tcPr>
            <w:tcW w:w="140" w:type="dxa"/>
            <w:vAlign w:val="bottom"/>
            <w:vMerge w:val="continue"/>
            <w:shd w:val="clear" w:color="auto" w:fill="CFF0FC"/>
          </w:tcPr>
          <w:p>
            <w:pPr>
              <w:spacing w:after="0"/>
              <w:rPr>
                <w:sz w:val="11"/>
                <w:szCs w:val="11"/>
                <w:color w:val="auto"/>
              </w:rPr>
            </w:pPr>
          </w:p>
        </w:tc>
        <w:tc>
          <w:tcPr>
            <w:tcW w:w="800" w:type="dxa"/>
            <w:vAlign w:val="bottom"/>
            <w:vMerge w:val="continue"/>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vMerge w:val="continue"/>
            <w:shd w:val="clear" w:color="auto" w:fill="CFF0FC"/>
          </w:tcPr>
          <w:p>
            <w:pPr>
              <w:spacing w:after="0"/>
              <w:rPr>
                <w:sz w:val="11"/>
                <w:szCs w:val="11"/>
                <w:color w:val="auto"/>
              </w:rPr>
            </w:pPr>
          </w:p>
        </w:tc>
        <w:tc>
          <w:tcPr>
            <w:tcW w:w="1380" w:type="dxa"/>
            <w:vAlign w:val="bottom"/>
            <w:gridSpan w:val="2"/>
            <w:vMerge w:val="continue"/>
            <w:shd w:val="clear" w:color="auto" w:fill="CFF0FC"/>
          </w:tcPr>
          <w:p>
            <w:pPr>
              <w:spacing w:after="0"/>
              <w:rPr>
                <w:sz w:val="11"/>
                <w:szCs w:val="11"/>
                <w:color w:val="auto"/>
              </w:rPr>
            </w:pPr>
          </w:p>
        </w:tc>
        <w:tc>
          <w:tcPr>
            <w:tcW w:w="320" w:type="dxa"/>
            <w:vAlign w:val="bottom"/>
            <w:vMerge w:val="continue"/>
            <w:shd w:val="clear" w:color="auto" w:fill="CFF0FC"/>
          </w:tcPr>
          <w:p>
            <w:pPr>
              <w:spacing w:after="0"/>
              <w:rPr>
                <w:sz w:val="11"/>
                <w:szCs w:val="11"/>
                <w:color w:val="auto"/>
              </w:rPr>
            </w:pPr>
          </w:p>
        </w:tc>
        <w:tc>
          <w:tcPr>
            <w:tcW w:w="660" w:type="dxa"/>
            <w:vAlign w:val="bottom"/>
            <w:vMerge w:val="continue"/>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Number of shares is shown net of cumulative share repurchases of 4,848,558 and 2,833,283 shares as of June 30, 2025 and June 30, 2024, respectively.</w:t>
      </w:r>
    </w:p>
    <w:p>
      <w:pPr>
        <w:spacing w:after="0" w:line="39" w:lineRule="exact"/>
        <w:rPr>
          <w:sz w:val="20"/>
          <w:szCs w:val="20"/>
          <w:color w:val="auto"/>
        </w:rPr>
      </w:pPr>
    </w:p>
    <w:p>
      <w:pPr>
        <w:ind w:left="360" w:right="480"/>
        <w:spacing w:after="0" w:line="223"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Prior to December 31, 2024, the Company reported repurchases of common stock as a separate financial statement line item labeled as "Treasury stock" within "Total net assets" and labeled any related activity as "Acquisition of treasury stock." As of December 31, 2024 and going forward, any shares that were repurchased by the Company are to be returned to unissued common shares and amounts repurchased are presented as a deduction from "Common stock, par value" and "Additional paid-in capital." For more information, refer to "Repurchases of Common Stock" in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 w:name="page6"/>
    <w:bookmarkEnd w:id="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(Unaudited)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3"/>
                <w:szCs w:val="13"/>
                <w:b w:val="1"/>
                <w:bCs w:val="1"/>
                <w:color w:val="auto"/>
              </w:rPr>
              <w:t>For the Six Months Ended June 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ind w:right="5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increase in net assets resulting from operations</w:t>
            </w:r>
          </w:p>
        </w:tc>
        <w:tc>
          <w:tcPr>
            <w:tcW w:w="380" w:type="dxa"/>
            <w:vAlign w:val="bottom"/>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18,663</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20,338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Adjustments to reconcile net increase in net assets resulting from operations to net cash provided by (used in) operating activities: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Purchases of investments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(54,039)</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(100,025)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Payment-in-kind interest</w:t>
            </w:r>
          </w:p>
        </w:tc>
        <w:tc>
          <w:tcPr>
            <w:tcW w:w="3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(7,353)</w:t>
            </w: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(6,863)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Sales or repayments of investments</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107,873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61,507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Sales or maturities of U.S. Treasury Bills</w:t>
            </w:r>
          </w:p>
        </w:tc>
        <w:tc>
          <w:tcPr>
            <w:tcW w:w="380" w:type="dxa"/>
            <w:vAlign w:val="bottom"/>
            <w:shd w:val="clear" w:color="auto" w:fill="CFF0FC"/>
          </w:tcPr>
          <w:p>
            <w:pPr>
              <w:spacing w:after="0"/>
              <w:rPr>
                <w:sz w:val="14"/>
                <w:szCs w:val="14"/>
                <w:color w:val="auto"/>
              </w:rPr>
            </w:pPr>
          </w:p>
        </w:tc>
        <w:tc>
          <w:tcPr>
            <w:tcW w:w="1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42,029</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02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22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380" w:type="dxa"/>
            <w:vAlign w:val="bottom"/>
            <w:shd w:val="clear" w:color="auto" w:fill="CFF0FC"/>
          </w:tcPr>
          <w:p>
            <w:pPr>
              <w:spacing w:after="0"/>
              <w:rPr>
                <w:sz w:val="6"/>
                <w:szCs w:val="6"/>
                <w:color w:val="auto"/>
              </w:rPr>
            </w:pPr>
          </w:p>
        </w:tc>
        <w:tc>
          <w:tcPr>
            <w:tcW w:w="130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for derivative contracts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(462)</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Proceeds from derivative contracts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449</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(4,556)</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realized (gain) loss on forward contracts and foreign currency transactions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380" w:type="dxa"/>
            <w:vAlign w:val="bottom"/>
          </w:tcPr>
          <w:p>
            <w:pPr>
              <w:spacing w:after="0"/>
              <w:rPr>
                <w:sz w:val="13"/>
                <w:szCs w:val="1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14,070</w:t>
            </w: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12,917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Net change in unrealized (gain) loss on forward contracts and foreign currency transactions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1,359</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 and end-of-term payments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(4,106)</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(5,880)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Amortization of deferred financing costs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decrease in interest and fees receivable</w:t>
            </w:r>
          </w:p>
        </w:tc>
        <w:tc>
          <w:tcPr>
            <w:tcW w:w="3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(732)</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decrease in other assets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(850)</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(decrease) in incentive fees payable</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1,365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Increase (decrease) in interest payable</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Increase (decrease) in accrued expenses and other liabilities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Net cash provided by (used in) operating activities</w:t>
            </w:r>
          </w:p>
        </w:tc>
        <w:tc>
          <w:tcPr>
            <w:tcW w:w="380" w:type="dxa"/>
            <w:vAlign w:val="bottom"/>
          </w:tcPr>
          <w:p>
            <w:pPr>
              <w:spacing w:after="0"/>
              <w:rPr>
                <w:sz w:val="13"/>
                <w:szCs w:val="13"/>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73,265</w:t>
            </w:r>
          </w:p>
        </w:tc>
        <w:tc>
          <w:tcPr>
            <w:tcW w:w="380" w:type="dxa"/>
            <w:vAlign w:val="bottom"/>
          </w:tcPr>
          <w:p>
            <w:pPr>
              <w:spacing w:after="0"/>
              <w:rPr>
                <w:sz w:val="13"/>
                <w:szCs w:val="13"/>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29,953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Payments of deferred financing costs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(3,400)</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Borrowings under credit facility</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103,000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Repayments under credit facility</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(155,000)</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(70,000)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Proceeds from 2028 Notes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Repayments of 2026 Notes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(70,000)</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Repayments of 2027 Notes</w:t>
            </w:r>
          </w:p>
        </w:tc>
        <w:tc>
          <w:tcPr>
            <w:tcW w:w="3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(20,000)</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Acquisition of treasury shares</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(23,450)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3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(8,141)</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Dividends paid to stockholders</w:t>
            </w:r>
          </w:p>
        </w:tc>
        <w:tc>
          <w:tcPr>
            <w:tcW w:w="380" w:type="dxa"/>
            <w:vAlign w:val="bottom"/>
          </w:tcPr>
          <w:p>
            <w:pPr>
              <w:spacing w:after="0"/>
              <w:rPr>
                <w:sz w:val="13"/>
                <w:szCs w:val="13"/>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(26,517)</w:t>
            </w:r>
          </w:p>
        </w:tc>
        <w:tc>
          <w:tcPr>
            <w:tcW w:w="380" w:type="dxa"/>
            <w:vAlign w:val="bottom"/>
          </w:tcPr>
          <w:p>
            <w:pPr>
              <w:spacing w:after="0"/>
              <w:rPr>
                <w:sz w:val="13"/>
                <w:szCs w:val="13"/>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(37,575)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Net cash (used in) provided by financing activities</w:t>
            </w:r>
          </w:p>
        </w:tc>
        <w:tc>
          <w:tcPr>
            <w:tcW w:w="38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(73,058)</w:t>
            </w:r>
          </w:p>
        </w:tc>
        <w:tc>
          <w:tcPr>
            <w:tcW w:w="380" w:type="dxa"/>
            <w:vAlign w:val="bottom"/>
            <w:shd w:val="clear" w:color="auto" w:fill="CFF0FC"/>
          </w:tcPr>
          <w:p>
            <w:pPr>
              <w:spacing w:after="0"/>
              <w:rPr>
                <w:sz w:val="13"/>
                <w:szCs w:val="13"/>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(24,113)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foreign currency exchange rates</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increase (decrease) in cash and cash equivalents</w:t>
            </w: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Cash and cash equivalents at beginning of period</w:t>
            </w: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tcBorders>
              <w:bottom w:val="single" w:sz="8" w:color="CFF0FC"/>
            </w:tcBorders>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Cash and cash equivalents at end of period</w:t>
            </w:r>
          </w:p>
        </w:tc>
        <w:tc>
          <w:tcPr>
            <w:tcW w:w="380" w:type="dxa"/>
            <w:vAlign w:val="bottom"/>
            <w:tcBorders>
              <w:bottom w:val="single" w:sz="8" w:color="auto"/>
            </w:tcBorders>
            <w:shd w:val="clear" w:color="auto" w:fill="CFF0FC"/>
          </w:tcPr>
          <w:p>
            <w:pPr>
              <w:jc w:val="right"/>
              <w:ind w:right="2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5,960</w:t>
            </w:r>
          </w:p>
        </w:tc>
        <w:tc>
          <w:tcPr>
            <w:tcW w:w="24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1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8,810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20" w:type="dxa"/>
            <w:vAlign w:val="bottom"/>
          </w:tcPr>
          <w:p>
            <w:pPr>
              <w:spacing w:after="0" w:line="133" w:lineRule="exact"/>
              <w:rPr>
                <w:sz w:val="20"/>
                <w:szCs w:val="20"/>
                <w:color w:val="auto"/>
              </w:rPr>
            </w:pPr>
            <w:r>
              <w:rPr>
                <w:rFonts w:ascii="Times New Roman" w:cs="Times New Roman" w:eastAsia="Times New Roman" w:hAnsi="Times New Roman"/>
                <w:sz w:val="13"/>
                <w:szCs w:val="13"/>
                <w:b w:val="1"/>
                <w:bCs w:val="1"/>
                <w:color w:val="auto"/>
              </w:rPr>
              <w:t>Supplemental and non-cash financing cash flow information:</w:t>
            </w: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Taxes paid</w:t>
            </w:r>
          </w:p>
        </w:tc>
        <w:tc>
          <w:tcPr>
            <w:tcW w:w="38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4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616</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Interest paid</w:t>
            </w:r>
          </w:p>
        </w:tc>
        <w:tc>
          <w:tcPr>
            <w:tcW w:w="38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18,495</w:t>
            </w:r>
          </w:p>
        </w:tc>
        <w:tc>
          <w:tcPr>
            <w:tcW w:w="38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18,114</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 w:name="page7"/>
    <w:bookmarkEnd w:id="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2000" w:type="dxa"/>
            <w:vAlign w:val="bottom"/>
          </w:tcPr>
          <w:p>
            <w:pPr>
              <w:spacing w:after="0"/>
              <w:rPr>
                <w:sz w:val="12"/>
                <w:szCs w:val="12"/>
                <w:color w:val="auto"/>
              </w:rPr>
            </w:pPr>
          </w:p>
        </w:tc>
        <w:tc>
          <w:tcPr>
            <w:tcW w:w="1020" w:type="dxa"/>
            <w:vAlign w:val="bottom"/>
          </w:tcPr>
          <w:p>
            <w:pPr>
              <w:ind w:left="2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940" w:type="dxa"/>
            <w:vAlign w:val="bottom"/>
          </w:tcPr>
          <w:p>
            <w:pPr>
              <w:ind w:left="6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40" w:type="dxa"/>
            <w:vAlign w:val="bottom"/>
          </w:tcPr>
          <w:p>
            <w:pPr>
              <w:spacing w:after="0"/>
              <w:rPr>
                <w:sz w:val="12"/>
                <w:szCs w:val="12"/>
                <w:color w:val="auto"/>
              </w:rPr>
            </w:pPr>
          </w:p>
        </w:tc>
        <w:tc>
          <w:tcPr>
            <w:tcW w:w="102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2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940" w:type="dxa"/>
            <w:vAlign w:val="bottom"/>
          </w:tcPr>
          <w:p>
            <w:pPr>
              <w:ind w:left="5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2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2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Airship Group,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SOFR+3.75%, 9.08%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49,879</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49,525</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50,333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3.00% PIK, 3.25%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Blueshift Labs,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SOFR+8.25% PIK, 11.25%</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12/19/2023</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12/15/2028</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26,784</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26,576</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27,021</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floor, 1.50%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Blueshift Labs,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SOFR+8.25% PIK, 11.25%</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515</w:t>
            </w:r>
          </w:p>
        </w:tc>
        <w:tc>
          <w:tcPr>
            <w:tcW w:w="104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515</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954</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 (22)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floor</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CarNow,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SOFR+7.25%, 11.75%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20,000</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18,019</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18,396</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1.60%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Piano Software,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SOFR+7.25%, 11.25%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12/31/2029</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43,000</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42,086</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41,723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1.50%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VTX Intermediate Holdings,</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SOFR+7.00%, 8.00%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35,181</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34,949</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34,936</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Inc. (dba VertexOne)</w:t>
            </w: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1.00% PIK, 3.00%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VTX Intermediate Holdings,</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FIXED 12.50% PIK, 31.05%</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6,229</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5,982</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6,068</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Inc. (dba VertexOne)</w:t>
            </w: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Zinnia Corporate Holdings,</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SOFR+8.00%, 10.00%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9/23/2024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9/21/2029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39,293</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39,358</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shd w:val="clear" w:color="auto" w:fill="CFF0FC"/>
          </w:tcPr>
          <w:p>
            <w:pPr>
              <w:spacing w:after="0"/>
              <w:rPr>
                <w:sz w:val="12"/>
                <w:szCs w:val="12"/>
                <w:color w:val="auto"/>
              </w:rPr>
            </w:pPr>
          </w:p>
        </w:tc>
      </w:tr>
      <w:tr>
        <w:trPr>
          <w:trHeight w:val="168"/>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LLC</w:t>
            </w: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- 43.86%*</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216,945</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218,789</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Commercial &amp; Professional Services</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Bombora,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SOFR+4.75%, 6.75%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12/26/2023</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1/15/2028</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29,389</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29,398</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29,309</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3.25% PIK, 0.96%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Elevate Services, Inc.</w:t>
            </w:r>
          </w:p>
        </w:tc>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SOFR+7.50%, 12.78% floor</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7/10/2027</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39,000</w:t>
            </w:r>
          </w:p>
        </w:tc>
        <w:tc>
          <w:tcPr>
            <w:tcW w:w="104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38,176</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39,245</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tcPr>
          <w:p>
            <w:pPr>
              <w:spacing w:after="0"/>
              <w:rPr>
                <w:sz w:val="13"/>
                <w:szCs w:val="13"/>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FiscalNote,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PRIME+5.00%, 9.00%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10/19/2020</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7/15/2027</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25,760</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26,292</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27,140</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1.00% PIK, 5.75%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(14)</w:t>
            </w: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Interactions Corporation</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SOFR+9.26%, 9.76%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40,561</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40,323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3.9375%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Swing Education, Inc.</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SOFR+7.00%, 10.80%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6/27/2025</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6/15/2029</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8,000</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7,862</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7,662</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3.50% ETP</w:t>
            </w: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Swing Education,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SOFR+6.65%, 10.45%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6/27/2025</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74"/>
              <w:spacing w:after="0" w:line="144" w:lineRule="exact"/>
              <w:rPr>
                <w:sz w:val="20"/>
                <w:szCs w:val="20"/>
                <w:color w:val="auto"/>
              </w:rPr>
            </w:pPr>
            <w:r>
              <w:rPr>
                <w:rFonts w:ascii="Times New Roman" w:cs="Times New Roman" w:eastAsia="Times New Roman" w:hAnsi="Times New Roman"/>
                <w:sz w:val="13"/>
                <w:szCs w:val="13"/>
                <w:color w:val="auto"/>
              </w:rPr>
              <w:t>(199)</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tcPr>
          <w:p>
            <w:pPr>
              <w:spacing w:after="0"/>
              <w:rPr>
                <w:sz w:val="12"/>
                <w:szCs w:val="12"/>
                <w:color w:val="auto"/>
              </w:rPr>
            </w:pPr>
          </w:p>
        </w:tc>
      </w:tr>
      <w:tr>
        <w:trPr>
          <w:trHeight w:val="168"/>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(Revolver)</w:t>
            </w: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9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Commercial &amp; Professional Services - 28.80%*</w:t>
            </w: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142,090</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143,679</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20" w:type="dxa"/>
            <w:vAlign w:val="bottom"/>
            <w:gridSpan w:val="2"/>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Consumer Staples Distribution &amp; Retail</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SOFR+ 8.75% PIK, 9.51%</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41,982</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42,062</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32,745</w:t>
            </w:r>
          </w:p>
        </w:tc>
        <w:tc>
          <w:tcPr>
            <w:tcW w:w="9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(10)</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floor, 1.00%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w:t>
            </w: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SOFR+ 8.75% PIK, 9.51% floor</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2/28/2025</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2,796</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2,796</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2,181</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(10)</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(18)</w:t>
            </w: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SOFR+ 8.75% PIK, 9.51%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5/20/2025</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9/30/2025</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2,836</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2,836</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2,212</w:t>
            </w:r>
          </w:p>
        </w:tc>
        <w:tc>
          <w:tcPr>
            <w:tcW w:w="9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(10)</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(18)</w:t>
            </w:r>
          </w:p>
        </w:tc>
        <w:tc>
          <w:tcPr>
            <w:tcW w:w="580" w:type="dxa"/>
            <w:vAlign w:val="bottom"/>
          </w:tcPr>
          <w:p>
            <w:pPr>
              <w:spacing w:after="0"/>
              <w:rPr>
                <w:sz w:val="14"/>
                <w:szCs w:val="14"/>
                <w:color w:val="auto"/>
              </w:rPr>
            </w:pPr>
          </w:p>
        </w:tc>
      </w:tr>
      <w:tr>
        <w:trPr>
          <w:trHeight w:val="156"/>
        </w:trPr>
        <w:tc>
          <w:tcPr>
            <w:tcW w:w="49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Consumer Staples Distribution &amp; Retail - 7.44%*</w:t>
            </w: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47,694</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37,138</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102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Autobooks,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SOFR+7.50%, 11.77%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5/5/2025</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2/5/2028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27,000</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26,310</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26,307</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2.75%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Hurricane Cleanco Limited</w:t>
            </w:r>
          </w:p>
        </w:tc>
        <w:tc>
          <w:tcPr>
            <w:tcW w:w="10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FIXED 6.25%, 6.25% PIK</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11/22/2029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30,169</w:t>
            </w:r>
          </w:p>
        </w:tc>
        <w:tc>
          <w:tcPr>
            <w:tcW w:w="104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27,584</w:t>
            </w:r>
          </w:p>
        </w:tc>
        <w:tc>
          <w:tcPr>
            <w:tcW w:w="102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30,035</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(5) (9) (10)</w:t>
            </w:r>
          </w:p>
        </w:tc>
      </w:tr>
      <w:tr>
        <w:trPr>
          <w:trHeight w:val="168"/>
        </w:trPr>
        <w:tc>
          <w:tcPr>
            <w:tcW w:w="20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(21)</w:t>
            </w:r>
          </w:p>
        </w:tc>
        <w:tc>
          <w:tcPr>
            <w:tcW w:w="580" w:type="dxa"/>
            <w:vAlign w:val="bottom"/>
            <w:shd w:val="clear" w:color="auto" w:fill="CFF0FC"/>
          </w:tcPr>
          <w:p>
            <w:pPr>
              <w:spacing w:after="0"/>
              <w:rPr>
                <w:sz w:val="14"/>
                <w:szCs w:val="14"/>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Vesta Payment Solutions, Inc.</w:t>
            </w:r>
          </w:p>
        </w:tc>
        <w:tc>
          <w:tcPr>
            <w:tcW w:w="10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11/29/2022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11/15/2026</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4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25,716</w:t>
            </w:r>
          </w:p>
        </w:tc>
        <w:tc>
          <w:tcPr>
            <w:tcW w:w="102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22,680</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2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6.00% ETP</w:t>
            </w:r>
          </w:p>
        </w:tc>
        <w:tc>
          <w:tcPr>
            <w:tcW w:w="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Financial Services - 15.84%*</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79,610</w:t>
            </w:r>
          </w:p>
        </w:tc>
        <w:tc>
          <w:tcPr>
            <w:tcW w:w="10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79,022</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 w:name="page8"/>
    <w:bookmarkEnd w:id="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980" w:type="dxa"/>
            <w:vAlign w:val="bottom"/>
          </w:tcPr>
          <w:p>
            <w:pPr>
              <w:spacing w:after="0"/>
              <w:rPr>
                <w:sz w:val="12"/>
                <w:szCs w:val="12"/>
                <w:color w:val="auto"/>
              </w:rPr>
            </w:pPr>
          </w:p>
        </w:tc>
        <w:tc>
          <w:tcPr>
            <w:tcW w:w="108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60" w:type="dxa"/>
            <w:vAlign w:val="bottom"/>
          </w:tcPr>
          <w:p>
            <w:pPr>
              <w:ind w:left="62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4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8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60" w:type="dxa"/>
            <w:vAlign w:val="bottom"/>
          </w:tcPr>
          <w:p>
            <w:pPr>
              <w:ind w:left="48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 Care Equipment &amp; Services</w:t>
            </w: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EBR Systems, Inc.</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PRIME+4.90%, 8.90%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40,345</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40,918</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 (16)</w:t>
            </w:r>
          </w:p>
        </w:tc>
      </w:tr>
      <w:tr>
        <w:trPr>
          <w:trHeight w:val="168"/>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4.50%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Mingle Healthcare Solutions,</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SOFR+9.75%, 12.26%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12/15/2026</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4,127</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4,757</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2,399</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(26)</w:t>
            </w:r>
          </w:p>
        </w:tc>
      </w:tr>
      <w:tr>
        <w:trPr>
          <w:trHeight w:val="168"/>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Inc.</w:t>
            </w: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10.50%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Moximed, Inc.</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PRIME+5.25%, 8.75%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7/1/2027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15,000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15,157</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15,423</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72"/>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3.50%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28"/>
        </w:trPr>
        <w:tc>
          <w:tcPr>
            <w:tcW w:w="1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Nalu Medical, Inc.</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PRIME+2.70%, 6.70%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10/12/2027</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21,115</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21,378</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22,332</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2.00% PIK, 4.50%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SOFR+6.50%, 10.75%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17,088</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16,780</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16,975</w:t>
            </w:r>
          </w:p>
        </w:tc>
        <w:tc>
          <w:tcPr>
            <w:tcW w:w="9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(11)</w:t>
            </w:r>
          </w:p>
        </w:tc>
      </w:tr>
      <w:tr>
        <w:trPr>
          <w:trHeight w:val="168"/>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2.50%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(12)</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(17)</w:t>
            </w: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Route 92 Medical, Inc.</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3/31/2025</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3/31/2029</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34,204</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34,689</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3.95%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9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 Care Equipment &amp; Services - 26.61%*</w:t>
            </w: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132,621</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132,736</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60" w:type="dxa"/>
            <w:vAlign w:val="bottom"/>
            <w:gridSpan w:val="2"/>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Household &amp; Personal Products</w:t>
            </w: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Madison Reed, Inc.</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PRIME+4.75%, 11.00%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12/16/2026</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16,341</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16,459</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16,598</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11.00% cash cap, 3.00%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306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Household &amp; Personal Products - 3.33%*</w:t>
            </w: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16,459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16,598</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Kin Insurance, Inc.</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PRIME+6.25%, 12.50%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9/15/2026</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75,000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76,324</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78,195</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3.30%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Insurance - 15.67%*</w:t>
            </w:r>
          </w:p>
        </w:tc>
        <w:tc>
          <w:tcPr>
            <w:tcW w:w="10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76,324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78,195</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19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Media &amp; Entertainment</w:t>
            </w: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Skillshare, Inc.</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SOFR+6.50%, 10.72%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11/8/2022</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11/8/2026</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20,400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20,673</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20,400</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3.00%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Snap! Mobile, Inc.</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SOFR+7.50%, 12.10%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18,000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17,634</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17,530</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3.83%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Media &amp; Entertainment - 7.60%*</w:t>
            </w: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38,307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37,930</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Systems Software</w:t>
            </w:r>
          </w:p>
        </w:tc>
        <w:tc>
          <w:tcPr>
            <w:tcW w:w="1080" w:type="dxa"/>
            <w:vAlign w:val="bottom"/>
            <w:shd w:val="clear" w:color="auto" w:fill="CFF0FC"/>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3PL Central LLC (dba</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11/9/2022</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9/30/2025</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72,290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74,577</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70,254</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Extensiv)</w:t>
            </w: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5.00%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SOFR+9.50%, 12.26%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12/15/2025</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23,252</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24,602</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20,232</w:t>
            </w: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spacing w:after="0"/>
              <w:rPr>
                <w:sz w:val="12"/>
                <w:szCs w:val="12"/>
                <w:color w:val="auto"/>
              </w:rPr>
            </w:pP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7.50%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Synack, Inc.</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SOFR+7.00%, 11.07%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12/29/2028</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42,500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42,390</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42,511</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1.00%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Systems Software - 26.66%*</w:t>
            </w: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141,569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132,997</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60" w:type="dxa"/>
            <w:vAlign w:val="bottom"/>
            <w:gridSpan w:val="2"/>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6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Technology Hardware &amp; Equipment</w:t>
            </w: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Brivo, Inc.</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SOFR+7.25%, 11.29%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12/27/2024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12/15/2029</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39,804</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40,187</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2.53%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9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Dejero Labs Inc.</w:t>
            </w:r>
          </w:p>
        </w:tc>
        <w:tc>
          <w:tcPr>
            <w:tcW w:w="108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86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SOFR+8.00%, 8.50% floor,</w:t>
            </w:r>
          </w:p>
        </w:tc>
        <w:tc>
          <w:tcPr>
            <w:tcW w:w="94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12/22/2025</w:t>
            </w:r>
          </w:p>
        </w:tc>
        <w:tc>
          <w:tcPr>
            <w:tcW w:w="88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14,610</w:t>
            </w:r>
          </w:p>
        </w:tc>
        <w:tc>
          <w:tcPr>
            <w:tcW w:w="102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14,920</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14,710</w:t>
            </w:r>
          </w:p>
        </w:tc>
        <w:tc>
          <w:tcPr>
            <w:tcW w:w="90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(7) (9) (10)</w:t>
            </w:r>
          </w:p>
        </w:tc>
      </w:tr>
      <w:tr>
        <w:trPr>
          <w:trHeight w:val="168"/>
        </w:trPr>
        <w:tc>
          <w:tcPr>
            <w:tcW w:w="19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2.00% PIK, 3.00% ETP</w:t>
            </w:r>
          </w:p>
        </w:tc>
        <w:tc>
          <w:tcPr>
            <w:tcW w:w="9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(12)</w:t>
            </w: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Linxup, LLC</w:t>
            </w:r>
          </w:p>
        </w:tc>
        <w:tc>
          <w:tcPr>
            <w:tcW w:w="108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6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PRIME+3.25%, 11.75% floor,</w:t>
            </w:r>
          </w:p>
        </w:tc>
        <w:tc>
          <w:tcPr>
            <w:tcW w:w="94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11/3/2023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11/15/2027</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30,000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29,913</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30,502</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2.25% ETP</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9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Technology Hardware &amp; Equipment - 17.12%*</w:t>
            </w: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84,637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85,399</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60" w:type="dxa"/>
            <w:vAlign w:val="bottom"/>
            <w:gridSpan w:val="2"/>
          </w:tcPr>
          <w:p>
            <w:pPr>
              <w:spacing w:after="0"/>
              <w:rPr>
                <w:sz w:val="13"/>
                <w:szCs w:val="13"/>
                <w:color w:val="auto"/>
              </w:rPr>
            </w:pPr>
          </w:p>
        </w:tc>
        <w:tc>
          <w:tcPr>
            <w:tcW w:w="18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 - 192.93%*</w:t>
            </w:r>
          </w:p>
        </w:tc>
        <w:tc>
          <w:tcPr>
            <w:tcW w:w="186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976,256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962,483</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8" w:name="page9"/>
    <w:bookmarkEnd w:id="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20" w:type="dxa"/>
            <w:vAlign w:val="bottom"/>
          </w:tcPr>
          <w:p>
            <w:pPr>
              <w:spacing w:after="0"/>
              <w:rPr>
                <w:sz w:val="13"/>
                <w:szCs w:val="13"/>
                <w:color w:val="auto"/>
              </w:rPr>
            </w:pP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5"/>
        </w:trPr>
        <w:tc>
          <w:tcPr>
            <w:tcW w:w="1900" w:type="dxa"/>
            <w:vAlign w:val="bottom"/>
          </w:tcPr>
          <w:p>
            <w:pPr>
              <w:spacing w:after="0"/>
              <w:rPr>
                <w:sz w:val="12"/>
                <w:szCs w:val="12"/>
                <w:color w:val="auto"/>
              </w:rPr>
            </w:pPr>
          </w:p>
        </w:tc>
        <w:tc>
          <w:tcPr>
            <w:tcW w:w="110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940" w:type="dxa"/>
            <w:vAlign w:val="bottom"/>
          </w:tcPr>
          <w:p>
            <w:pPr>
              <w:ind w:left="6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2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6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880" w:type="dxa"/>
            <w:vAlign w:val="bottom"/>
          </w:tcPr>
          <w:p>
            <w:pPr>
              <w:spacing w:after="0"/>
              <w:rPr>
                <w:sz w:val="12"/>
                <w:szCs w:val="12"/>
                <w:color w:val="auto"/>
              </w:rPr>
            </w:pPr>
          </w:p>
        </w:tc>
      </w:tr>
      <w:tr>
        <w:trPr>
          <w:trHeight w:val="181"/>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0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940" w:type="dxa"/>
            <w:vAlign w:val="bottom"/>
          </w:tcPr>
          <w:p>
            <w:pPr>
              <w:ind w:left="5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Date</w:t>
            </w:r>
          </w:p>
        </w:tc>
        <w:tc>
          <w:tcPr>
            <w:tcW w:w="92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190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6"/>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10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19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Aria Systems, Inc.</w:t>
            </w:r>
          </w:p>
        </w:tc>
        <w:tc>
          <w:tcPr>
            <w:tcW w:w="1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Series G Preferred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7/10/2018</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289,419</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311</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(13)</w:t>
            </w:r>
          </w:p>
        </w:tc>
      </w:tr>
      <w:tr>
        <w:trPr>
          <w:trHeight w:val="144"/>
        </w:trPr>
        <w:tc>
          <w:tcPr>
            <w:tcW w:w="19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VTX Holdings, LLC</w:t>
            </w:r>
          </w:p>
        </w:tc>
        <w:tc>
          <w:tcPr>
            <w:tcW w:w="110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Series C Preferred Units</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3,015,21</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83</w:t>
            </w:r>
          </w:p>
        </w:tc>
        <w:tc>
          <w:tcPr>
            <w:tcW w:w="8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(13)</w:t>
            </w:r>
          </w:p>
        </w:tc>
      </w:tr>
      <w:tr>
        <w:trPr>
          <w:trHeight w:val="168"/>
        </w:trPr>
        <w:tc>
          <w:tcPr>
            <w:tcW w:w="19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9</w:t>
            </w: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- 0.08%*</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393</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394</w:t>
            </w:r>
          </w:p>
        </w:tc>
        <w:tc>
          <w:tcPr>
            <w:tcW w:w="8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Commercial &amp; Professional Services</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6"/>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FiscalNote, Inc.</w:t>
            </w:r>
          </w:p>
        </w:tc>
        <w:tc>
          <w:tcPr>
            <w:tcW w:w="1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10/19/2020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230,881</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438</w:t>
            </w: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124</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(13) (14) (19)</w:t>
            </w:r>
          </w:p>
        </w:tc>
      </w:tr>
      <w:tr>
        <w:trPr>
          <w:trHeight w:val="144"/>
        </w:trPr>
        <w:tc>
          <w:tcPr>
            <w:tcW w:w="19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1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11/15/2024</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476,564</w:t>
            </w:r>
          </w:p>
        </w:tc>
        <w:tc>
          <w:tcPr>
            <w:tcW w:w="106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39,275</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29,028</w:t>
            </w:r>
          </w:p>
        </w:tc>
        <w:tc>
          <w:tcPr>
            <w:tcW w:w="8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(13) (27)</w:t>
            </w:r>
          </w:p>
        </w:tc>
      </w:tr>
      <w:tr>
        <w:trPr>
          <w:trHeight w:val="172"/>
        </w:trPr>
        <w:tc>
          <w:tcPr>
            <w:tcW w:w="19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Snagajob, Inc.)</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16"/>
        </w:trPr>
        <w:tc>
          <w:tcPr>
            <w:tcW w:w="19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4"/>
        </w:trPr>
        <w:tc>
          <w:tcPr>
            <w:tcW w:w="19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100" w:type="dxa"/>
            <w:vAlign w:val="bottom"/>
            <w:shd w:val="clear" w:color="auto" w:fill="CFF0FC"/>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Series C-2 Preferred Stock</w:t>
            </w:r>
          </w:p>
        </w:tc>
        <w:tc>
          <w:tcPr>
            <w:tcW w:w="9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11/15/2024</w:t>
            </w:r>
          </w:p>
        </w:tc>
        <w:tc>
          <w:tcPr>
            <w:tcW w:w="8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16,963</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ind w:left="80"/>
              <w:spacing w:after="0" w:line="144" w:lineRule="exact"/>
              <w:rPr>
                <w:sz w:val="20"/>
                <w:szCs w:val="20"/>
                <w:color w:val="auto"/>
              </w:rPr>
            </w:pPr>
            <w:r>
              <w:rPr>
                <w:rFonts w:ascii="Times New Roman" w:cs="Times New Roman" w:eastAsia="Times New Roman" w:hAnsi="Times New Roman"/>
                <w:sz w:val="13"/>
                <w:szCs w:val="13"/>
                <w:color w:val="auto"/>
              </w:rPr>
              <w:t>(13) (27)</w:t>
            </w:r>
          </w:p>
        </w:tc>
      </w:tr>
      <w:tr>
        <w:trPr>
          <w:trHeight w:val="168"/>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Snagajob, Inc.)</w:t>
            </w:r>
          </w:p>
        </w:tc>
        <w:tc>
          <w:tcPr>
            <w:tcW w:w="1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44"/>
        </w:trPr>
        <w:tc>
          <w:tcPr>
            <w:tcW w:w="19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1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Convertible Note</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6/24/2025</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9/22/2025</w:t>
            </w:r>
          </w:p>
        </w:tc>
        <w:tc>
          <w:tcPr>
            <w:tcW w:w="9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1,000,00</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10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1,000</w:t>
            </w:r>
          </w:p>
        </w:tc>
        <w:tc>
          <w:tcPr>
            <w:tcW w:w="8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(13) (28) (29)</w:t>
            </w:r>
          </w:p>
        </w:tc>
      </w:tr>
      <w:tr>
        <w:trPr>
          <w:trHeight w:val="168"/>
        </w:trPr>
        <w:tc>
          <w:tcPr>
            <w:tcW w:w="19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Snagajob, Inc.)</w:t>
            </w: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6"/>
        </w:trPr>
        <w:tc>
          <w:tcPr>
            <w:tcW w:w="494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Commercial &amp; Professional Services - 6.04%*</w:t>
            </w: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40,713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30,152</w:t>
            </w:r>
          </w:p>
        </w:tc>
        <w:tc>
          <w:tcPr>
            <w:tcW w:w="880" w:type="dxa"/>
            <w:vAlign w:val="bottom"/>
            <w:shd w:val="clear" w:color="auto" w:fill="CFF0FC"/>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2"/>
        </w:trPr>
        <w:tc>
          <w:tcPr>
            <w:tcW w:w="1900" w:type="dxa"/>
            <w:vAlign w:val="bottom"/>
            <w:shd w:val="clear" w:color="auto" w:fill="CFF0FC"/>
          </w:tcPr>
          <w:p>
            <w:pPr>
              <w:ind w:left="320"/>
              <w:spacing w:after="0" w:line="143" w:lineRule="exact"/>
              <w:rPr>
                <w:sz w:val="20"/>
                <w:szCs w:val="20"/>
                <w:color w:val="auto"/>
              </w:rPr>
            </w:pPr>
            <w:r>
              <w:rPr>
                <w:rFonts w:ascii="Times New Roman" w:cs="Times New Roman" w:eastAsia="Times New Roman" w:hAnsi="Times New Roman"/>
                <w:sz w:val="13"/>
                <w:szCs w:val="13"/>
                <w:b w:val="1"/>
                <w:bCs w:val="1"/>
                <w:color w:val="auto"/>
              </w:rPr>
              <w:t>Consumer Staples</w:t>
            </w:r>
          </w:p>
        </w:tc>
        <w:tc>
          <w:tcPr>
            <w:tcW w:w="1100" w:type="dxa"/>
            <w:vAlign w:val="bottom"/>
            <w:shd w:val="clear" w:color="auto" w:fill="CFF0FC"/>
          </w:tcPr>
          <w:p>
            <w:pPr>
              <w:spacing w:after="0"/>
              <w:rPr>
                <w:sz w:val="12"/>
                <w:szCs w:val="12"/>
                <w:color w:val="auto"/>
              </w:rPr>
            </w:pPr>
          </w:p>
        </w:tc>
        <w:tc>
          <w:tcPr>
            <w:tcW w:w="19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r>
      <w:tr>
        <w:trPr>
          <w:trHeight w:val="170"/>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Distribution &amp; Retail</w:t>
            </w:r>
          </w:p>
        </w:tc>
        <w:tc>
          <w:tcPr>
            <w:tcW w:w="1100" w:type="dxa"/>
            <w:vAlign w:val="bottom"/>
            <w:shd w:val="clear" w:color="auto" w:fill="CFF0FC"/>
          </w:tcPr>
          <w:p>
            <w:pPr>
              <w:spacing w:after="0"/>
              <w:rPr>
                <w:sz w:val="14"/>
                <w:szCs w:val="14"/>
                <w:color w:val="auto"/>
              </w:rPr>
            </w:pPr>
          </w:p>
        </w:tc>
        <w:tc>
          <w:tcPr>
            <w:tcW w:w="19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r>
      <w:tr>
        <w:trPr>
          <w:trHeight w:val="144"/>
        </w:trPr>
        <w:tc>
          <w:tcPr>
            <w:tcW w:w="19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1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7/7/2023</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46,004</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410</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880" w:type="dxa"/>
            <w:vAlign w:val="bottom"/>
          </w:tcPr>
          <w:p>
            <w:pPr>
              <w:ind w:left="80"/>
              <w:spacing w:after="0" w:line="144" w:lineRule="exact"/>
              <w:rPr>
                <w:sz w:val="20"/>
                <w:szCs w:val="20"/>
                <w:color w:val="auto"/>
              </w:rPr>
            </w:pPr>
            <w:r>
              <w:rPr>
                <w:rFonts w:ascii="Times New Roman" w:cs="Times New Roman" w:eastAsia="Times New Roman" w:hAnsi="Times New Roman"/>
                <w:sz w:val="13"/>
                <w:szCs w:val="13"/>
                <w:color w:val="auto"/>
              </w:rPr>
              <w:t>(6) (9) (13)</w:t>
            </w:r>
          </w:p>
        </w:tc>
      </w:tr>
      <w:tr>
        <w:trPr>
          <w:trHeight w:val="168"/>
        </w:trPr>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(18) (19) (21)</w:t>
            </w:r>
          </w:p>
        </w:tc>
      </w:tr>
      <w:tr>
        <w:trPr>
          <w:trHeight w:val="156"/>
        </w:trPr>
        <w:tc>
          <w:tcPr>
            <w:tcW w:w="494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Consumer Staples Distribution &amp; Retail - 0.00%*</w:t>
            </w: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410</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w:t>
            </w:r>
          </w:p>
        </w:tc>
        <w:tc>
          <w:tcPr>
            <w:tcW w:w="8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 Care Equipment &amp; Services</w:t>
            </w: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44"/>
        </w:trPr>
        <w:tc>
          <w:tcPr>
            <w:tcW w:w="19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CareCloud, Inc.</w:t>
            </w:r>
          </w:p>
        </w:tc>
        <w:tc>
          <w:tcPr>
            <w:tcW w:w="1100" w:type="dxa"/>
            <w:vAlign w:val="bottom"/>
          </w:tcPr>
          <w:p>
            <w:pPr>
              <w:ind w:left="18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8.75% Series A Cumulative</w:t>
            </w:r>
          </w:p>
        </w:tc>
        <w:tc>
          <w:tcPr>
            <w:tcW w:w="9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1/8/2020</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462,064</w:t>
            </w:r>
          </w:p>
        </w:tc>
        <w:tc>
          <w:tcPr>
            <w:tcW w:w="106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12,132</w:t>
            </w:r>
          </w:p>
        </w:tc>
        <w:tc>
          <w:tcPr>
            <w:tcW w:w="1040" w:type="dxa"/>
            <w:vAlign w:val="bottom"/>
          </w:tcPr>
          <w:p>
            <w:pPr>
              <w:jc w:val="right"/>
              <w:ind w:right="54"/>
              <w:spacing w:after="0" w:line="144" w:lineRule="exact"/>
              <w:rPr>
                <w:sz w:val="20"/>
                <w:szCs w:val="20"/>
                <w:color w:val="auto"/>
              </w:rPr>
            </w:pPr>
            <w:r>
              <w:rPr>
                <w:rFonts w:ascii="Times New Roman" w:cs="Times New Roman" w:eastAsia="Times New Roman" w:hAnsi="Times New Roman"/>
                <w:sz w:val="13"/>
                <w:szCs w:val="13"/>
                <w:color w:val="auto"/>
              </w:rPr>
              <w:t>9,977</w:t>
            </w:r>
          </w:p>
        </w:tc>
        <w:tc>
          <w:tcPr>
            <w:tcW w:w="880" w:type="dxa"/>
            <w:vAlign w:val="bottom"/>
          </w:tcPr>
          <w:p>
            <w:pPr>
              <w:spacing w:after="0"/>
              <w:rPr>
                <w:sz w:val="12"/>
                <w:szCs w:val="12"/>
                <w:color w:val="auto"/>
              </w:rPr>
            </w:pPr>
          </w:p>
        </w:tc>
      </w:tr>
      <w:tr>
        <w:trPr>
          <w:trHeight w:val="156"/>
        </w:trPr>
        <w:tc>
          <w:tcPr>
            <w:tcW w:w="1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Redeemable Perpetual Preferred</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8"/>
        </w:trPr>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Stock</w:t>
            </w: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56"/>
        </w:trPr>
        <w:tc>
          <w:tcPr>
            <w:tcW w:w="494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 Care Equipment &amp; Services - 2.00%*</w:t>
            </w: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12,132</w:t>
            </w: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9,977</w:t>
            </w:r>
          </w:p>
        </w:tc>
        <w:tc>
          <w:tcPr>
            <w:tcW w:w="880" w:type="dxa"/>
            <w:vAlign w:val="bottom"/>
            <w:shd w:val="clear" w:color="auto" w:fill="CFF0FC"/>
          </w:tcPr>
          <w:p>
            <w:pPr>
              <w:spacing w:after="0"/>
              <w:rPr>
                <w:sz w:val="13"/>
                <w:szCs w:val="13"/>
                <w:color w:val="auto"/>
              </w:rPr>
            </w:pPr>
          </w:p>
        </w:tc>
      </w:tr>
      <w:tr>
        <w:trPr>
          <w:trHeight w:val="156"/>
        </w:trPr>
        <w:tc>
          <w:tcPr>
            <w:tcW w:w="19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6"/>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Media &amp; Entertainment</w:t>
            </w:r>
          </w:p>
        </w:tc>
        <w:tc>
          <w:tcPr>
            <w:tcW w:w="1100" w:type="dxa"/>
            <w:vAlign w:val="bottom"/>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19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Minute Media Inc.</w:t>
            </w:r>
          </w:p>
        </w:tc>
        <w:tc>
          <w:tcPr>
            <w:tcW w:w="11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1,039</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120</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150</w:t>
            </w:r>
          </w:p>
        </w:tc>
        <w:tc>
          <w:tcPr>
            <w:tcW w:w="8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Minute Media Inc.</w:t>
            </w:r>
          </w:p>
        </w:tc>
        <w:tc>
          <w:tcPr>
            <w:tcW w:w="1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136</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Media &amp; Entertainment - 0.03%*</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136</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168</w:t>
            </w:r>
          </w:p>
        </w:tc>
        <w:tc>
          <w:tcPr>
            <w:tcW w:w="8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Technology Hardware &amp; Equipment</w:t>
            </w: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6"/>
        </w:trPr>
        <w:tc>
          <w:tcPr>
            <w:tcW w:w="19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zSpace, Inc.</w:t>
            </w:r>
          </w:p>
        </w:tc>
        <w:tc>
          <w:tcPr>
            <w:tcW w:w="11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Equity</w:t>
            </w:r>
          </w:p>
        </w:tc>
        <w:tc>
          <w:tcPr>
            <w:tcW w:w="19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Common Stock</w:t>
            </w:r>
          </w:p>
        </w:tc>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12/31/2020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N/A</w:t>
            </w:r>
          </w:p>
        </w:tc>
        <w:tc>
          <w:tcPr>
            <w:tcW w:w="92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81,046</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1,119</w:t>
            </w:r>
          </w:p>
        </w:tc>
        <w:tc>
          <w:tcPr>
            <w:tcW w:w="104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264</w:t>
            </w:r>
          </w:p>
        </w:tc>
        <w:tc>
          <w:tcPr>
            <w:tcW w:w="8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3"/>
                <w:szCs w:val="13"/>
                <w:color w:val="auto"/>
              </w:rPr>
              <w:t>(13) (15) (19)</w:t>
            </w:r>
          </w:p>
        </w:tc>
      </w:tr>
      <w:tr>
        <w:trPr>
          <w:trHeight w:val="156"/>
        </w:trPr>
        <w:tc>
          <w:tcPr>
            <w:tcW w:w="494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Technology Hardware &amp; Equipment - 0.05%*</w:t>
            </w: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1,119</w:t>
            </w: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264</w:t>
            </w:r>
          </w:p>
        </w:tc>
        <w:tc>
          <w:tcPr>
            <w:tcW w:w="8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spacing w:after="0"/>
              <w:rPr>
                <w:sz w:val="13"/>
                <w:szCs w:val="13"/>
                <w:color w:val="auto"/>
              </w:rPr>
            </w:pPr>
          </w:p>
        </w:tc>
        <w:tc>
          <w:tcPr>
            <w:tcW w:w="19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r>
      <w:tr>
        <w:trPr>
          <w:trHeight w:val="161"/>
        </w:trPr>
        <w:tc>
          <w:tcPr>
            <w:tcW w:w="30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- 8.20%*</w:t>
            </w: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54,903</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40,969</w:t>
            </w:r>
          </w:p>
        </w:tc>
        <w:tc>
          <w:tcPr>
            <w:tcW w:w="8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9" w:name="page10"/>
    <w:bookmarkEnd w:id="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980" w:type="dxa"/>
            <w:vAlign w:val="bottom"/>
          </w:tcPr>
          <w:p>
            <w:pPr>
              <w:spacing w:after="0"/>
              <w:rPr>
                <w:sz w:val="12"/>
                <w:szCs w:val="12"/>
                <w:color w:val="auto"/>
              </w:rPr>
            </w:pPr>
          </w:p>
        </w:tc>
        <w:tc>
          <w:tcPr>
            <w:tcW w:w="1020" w:type="dxa"/>
            <w:vAlign w:val="bottom"/>
          </w:tcPr>
          <w:p>
            <w:pPr>
              <w:ind w:left="2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20" w:type="dxa"/>
            <w:vAlign w:val="bottom"/>
          </w:tcPr>
          <w:p>
            <w:pPr>
              <w:ind w:left="6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tcPr>
          <w:p>
            <w:pPr>
              <w:jc w:val="center"/>
              <w:ind w:left="1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9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20" w:type="dxa"/>
            <w:vAlign w:val="bottom"/>
          </w:tcPr>
          <w:p>
            <w:pPr>
              <w:ind w:left="54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2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3DNA Corp. (dba</w:t>
            </w:r>
          </w:p>
        </w:tc>
        <w:tc>
          <w:tcPr>
            <w:tcW w:w="10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12/28/2018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12/28/2028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273,164</w:t>
            </w:r>
          </w:p>
        </w:tc>
        <w:tc>
          <w:tcPr>
            <w:tcW w:w="102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104</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NationBuilder)</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Airship Group,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F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6/28/2024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6/28/2034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519,313</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447</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Aria Systems, Inc.</w:t>
            </w:r>
          </w:p>
        </w:tc>
        <w:tc>
          <w:tcPr>
            <w:tcW w:w="10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G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6/29/2018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2,387,70</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1,048</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1,370</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1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72"/>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Blueshift Labs,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12/19/2023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449</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04"/>
        </w:trPr>
        <w:tc>
          <w:tcPr>
            <w:tcW w:w="19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8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104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CarNow,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3/22/2024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3/22/2034</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200,000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2,766</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INRIX,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7/26/2019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7/26/2029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150,804</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522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338</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JWP Holdco LLC (fka</w:t>
            </w:r>
          </w:p>
        </w:tc>
        <w:tc>
          <w:tcPr>
            <w:tcW w:w="10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Units</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12/12/2019</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12/12/2029</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167,827</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47</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Longtail Ad Solutions, Inc.)</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Piano Software,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12/31/2024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119,978</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348</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478</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Predactiv, Inc. (fka Sharethis,</w:t>
            </w:r>
          </w:p>
        </w:tc>
        <w:tc>
          <w:tcPr>
            <w:tcW w:w="10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D-3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12/3/2018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647,615</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2,162</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52</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Inc.)</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- 1.18%*</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7,212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5,900</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0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Commercial &amp; Professional Services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AllClear ID,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8/31/2017</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8/31/2027</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870,514</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1,750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Bombora,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3/31/2021</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3/31/2031</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121,581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174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119</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Bombora,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12/26/2033</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48,632</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48</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CloudPay,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6/30/2020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11,273</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218</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1,224</w:t>
            </w:r>
          </w:p>
        </w:tc>
        <w:tc>
          <w:tcPr>
            <w:tcW w:w="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CloudPay,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8/17/2021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3,502</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52</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58</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CloudPay,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9/26/2022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5,252</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176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106</w:t>
            </w:r>
          </w:p>
        </w:tc>
        <w:tc>
          <w:tcPr>
            <w:tcW w:w="90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Elevate Services,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7/10/2023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248,997</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447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396</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Elevate Services,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7/17/2024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7/17/2034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236,550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377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376</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FiscalNote,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Earnout</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7/29/2022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7/29/2027</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(20)</w:t>
            </w: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Interactions Corporation</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6/24/2022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189,408</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219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44"/>
        </w:trPr>
        <w:tc>
          <w:tcPr>
            <w:tcW w:w="19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2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B-1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9/29/2031</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763,269</w:t>
            </w:r>
          </w:p>
        </w:tc>
        <w:tc>
          <w:tcPr>
            <w:tcW w:w="102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343</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2"/>
                <w:szCs w:val="12"/>
                <w:color w:val="auto"/>
              </w:rPr>
            </w:pPr>
          </w:p>
        </w:tc>
      </w:tr>
      <w:tr>
        <w:trPr>
          <w:trHeight w:val="168"/>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Snagajob, Inc.)</w:t>
            </w:r>
          </w:p>
        </w:tc>
        <w:tc>
          <w:tcPr>
            <w:tcW w:w="10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Swing Education,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6/27/2025</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6/27/2035</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196,160</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Commercial &amp; Professional Services - 0.47%*</w:t>
            </w: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3,945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2,355</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Financial Services</w:t>
            </w:r>
          </w:p>
        </w:tc>
        <w:tc>
          <w:tcPr>
            <w:tcW w:w="10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Autobooks,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w w:val="99"/>
              </w:rPr>
              <w:t>5/5/2025</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489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515</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Betterment Holdings,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7,680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72"/>
        </w:trPr>
        <w:tc>
          <w:tcPr>
            <w:tcW w:w="19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Betterment Holdings, Inc.</w:t>
            </w:r>
          </w:p>
        </w:tc>
        <w:tc>
          <w:tcPr>
            <w:tcW w:w="10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9,818</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40</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76</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4"/>
                <w:szCs w:val="14"/>
                <w:color w:val="auto"/>
              </w:rPr>
            </w:pPr>
          </w:p>
        </w:tc>
      </w:tr>
      <w:tr>
        <w:trPr>
          <w:trHeight w:val="80"/>
        </w:trPr>
        <w:tc>
          <w:tcPr>
            <w:tcW w:w="19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82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040" w:type="dxa"/>
            <w:vAlign w:val="bottom"/>
            <w:shd w:val="clear" w:color="auto" w:fill="CFF0FC"/>
          </w:tcPr>
          <w:p>
            <w:pPr>
              <w:spacing w:after="0"/>
              <w:rPr>
                <w:sz w:val="6"/>
                <w:szCs w:val="6"/>
                <w:color w:val="auto"/>
              </w:rPr>
            </w:pPr>
          </w:p>
        </w:tc>
        <w:tc>
          <w:tcPr>
            <w:tcW w:w="32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r>
      <w:tr>
        <w:trPr>
          <w:trHeight w:val="156"/>
        </w:trPr>
        <w:tc>
          <w:tcPr>
            <w:tcW w:w="198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Credit Sesame, Inc.</w:t>
            </w:r>
          </w:p>
        </w:tc>
        <w:tc>
          <w:tcPr>
            <w:tcW w:w="10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w w:val="99"/>
              </w:rPr>
              <w:t>1/7/2020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1/7/2030</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191,601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425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367</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300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Financial Services - 0.21%*</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989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1,023</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0" w:name="page11"/>
    <w:bookmarkEnd w:id="1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2000" w:type="dxa"/>
            <w:vAlign w:val="bottom"/>
          </w:tcPr>
          <w:p>
            <w:pPr>
              <w:spacing w:after="0"/>
              <w:rPr>
                <w:sz w:val="12"/>
                <w:szCs w:val="12"/>
                <w:color w:val="auto"/>
              </w:rPr>
            </w:pPr>
          </w:p>
        </w:tc>
        <w:tc>
          <w:tcPr>
            <w:tcW w:w="1080" w:type="dxa"/>
            <w:vAlign w:val="bottom"/>
          </w:tcPr>
          <w:p>
            <w:pPr>
              <w:ind w:left="2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74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tcPr>
          <w:p>
            <w:pPr>
              <w:jc w:val="center"/>
              <w:ind w:left="1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20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8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74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30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 Care Equipment &amp; Services</w:t>
            </w: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3/30/2021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5,320</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282</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6/14/2022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1,851</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141</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9/15/2022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9/15/2032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1,850</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144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Earnout</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w w:val="99"/>
              </w:rPr>
              <w:t>8/2/2023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8/1/2028</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(20)</w:t>
            </w: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EBR Systems,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6/30/2022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605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604</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(16) (20)</w:t>
            </w:r>
          </w:p>
        </w:tc>
      </w:tr>
      <w:tr>
        <w:trPr>
          <w:trHeight w:val="144"/>
        </w:trPr>
        <w:tc>
          <w:tcPr>
            <w:tcW w:w="200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Mingle Healthcare Solutions,</w:t>
            </w:r>
          </w:p>
        </w:tc>
        <w:tc>
          <w:tcPr>
            <w:tcW w:w="108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CC Preferred Stock</w:t>
            </w:r>
          </w:p>
        </w:tc>
        <w:tc>
          <w:tcPr>
            <w:tcW w:w="1040" w:type="dxa"/>
            <w:vAlign w:val="bottom"/>
            <w:shd w:val="clear" w:color="auto" w:fill="CFF0FC"/>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8/15/2028</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1,770,97</w:t>
            </w:r>
          </w:p>
        </w:tc>
        <w:tc>
          <w:tcPr>
            <w:tcW w:w="10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3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2"/>
                <w:szCs w:val="12"/>
                <w:color w:val="auto"/>
              </w:rPr>
            </w:pPr>
          </w:p>
        </w:tc>
      </w:tr>
      <w:tr>
        <w:trPr>
          <w:trHeight w:val="168"/>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Inc.</w:t>
            </w:r>
          </w:p>
        </w:tc>
        <w:tc>
          <w:tcPr>
            <w:tcW w:w="1080" w:type="dxa"/>
            <w:vAlign w:val="bottom"/>
            <w:shd w:val="clear" w:color="auto" w:fill="CFF0FC"/>
          </w:tcPr>
          <w:p>
            <w:pPr>
              <w:spacing w:after="0"/>
              <w:rPr>
                <w:sz w:val="14"/>
                <w:szCs w:val="14"/>
                <w:color w:val="auto"/>
              </w:rPr>
            </w:pPr>
          </w:p>
        </w:tc>
        <w:tc>
          <w:tcPr>
            <w:tcW w:w="17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492</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Moximed,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6/24/2022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214,285</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175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Nalu Medical, Inc.</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10/12/2022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10/12/2032</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91,717</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173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67</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44"/>
        </w:trPr>
        <w:tc>
          <w:tcPr>
            <w:tcW w:w="200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08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9/26/2034</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165,338</w:t>
            </w:r>
          </w:p>
        </w:tc>
        <w:tc>
          <w:tcPr>
            <w:tcW w:w="1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0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(13)</w:t>
            </w:r>
          </w:p>
        </w:tc>
      </w:tr>
      <w:tr>
        <w:trPr>
          <w:trHeight w:val="168"/>
        </w:trPr>
        <w:tc>
          <w:tcPr>
            <w:tcW w:w="20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340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362</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(17)</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Route 92 Medical, Inc.</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3/31/2025</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3/31/2035</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833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829</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6/29/2021</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6/29/2031</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400,000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198</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12/29/2022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600,000</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298</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VERO Biotech LLC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12/29/2020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12/29/2025</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377</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482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 Care Equipment &amp; Services - 0.49%*</w:t>
            </w: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3,650</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2,451</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80" w:type="dxa"/>
            <w:vAlign w:val="bottom"/>
            <w:gridSpan w:val="2"/>
          </w:tcPr>
          <w:p>
            <w:pPr>
              <w:spacing w:after="0"/>
              <w:rPr>
                <w:sz w:val="13"/>
                <w:szCs w:val="13"/>
                <w:color w:val="auto"/>
              </w:rPr>
            </w:pP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Household &amp; Personal Products</w:t>
            </w: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Madison Reed,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12/16/2022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209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169</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30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Household &amp; Personal Products - 0.03%*</w:t>
            </w: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209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169</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Insurance</w:t>
            </w:r>
          </w:p>
        </w:tc>
        <w:tc>
          <w:tcPr>
            <w:tcW w:w="108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Kin Insurance,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9/26/2022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62,364</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426</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316</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Insurance - 0.06%*</w:t>
            </w:r>
          </w:p>
        </w:tc>
        <w:tc>
          <w:tcPr>
            <w:tcW w:w="108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426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316</w:t>
            </w: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Media &amp; Entertainment</w:t>
            </w:r>
          </w:p>
        </w:tc>
        <w:tc>
          <w:tcPr>
            <w:tcW w:w="1080" w:type="dxa"/>
            <w:vAlign w:val="bottom"/>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00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Skillshare, Inc.</w:t>
            </w:r>
          </w:p>
        </w:tc>
        <w:tc>
          <w:tcPr>
            <w:tcW w:w="1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11/8/2022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301</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335</w:t>
            </w:r>
          </w:p>
        </w:tc>
        <w:tc>
          <w:tcPr>
            <w:tcW w:w="32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Snap! Mobile, Inc.</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9/30/2024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9/30/2034</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19,140</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345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338</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spacing w:after="0"/>
              <w:rPr>
                <w:sz w:val="13"/>
                <w:szCs w:val="13"/>
                <w:color w:val="auto"/>
              </w:rPr>
            </w:pPr>
          </w:p>
        </w:tc>
      </w:tr>
      <w:tr>
        <w:trPr>
          <w:trHeight w:val="156"/>
        </w:trPr>
        <w:tc>
          <w:tcPr>
            <w:tcW w:w="3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Media &amp; Entertainment - 0.14%*</w:t>
            </w: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646</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673</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3080" w:type="dxa"/>
            <w:vAlign w:val="bottom"/>
            <w:gridSpan w:val="2"/>
            <w:shd w:val="clear" w:color="auto" w:fill="CFF0FC"/>
          </w:tcPr>
          <w:p>
            <w:pPr>
              <w:spacing w:after="0"/>
              <w:rPr>
                <w:sz w:val="13"/>
                <w:szCs w:val="13"/>
                <w:color w:val="auto"/>
              </w:rPr>
            </w:pPr>
          </w:p>
        </w:tc>
        <w:tc>
          <w:tcPr>
            <w:tcW w:w="17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30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Pharmaceuticals, Biotechnology &amp; Life Sciences</w:t>
            </w:r>
          </w:p>
        </w:tc>
        <w:tc>
          <w:tcPr>
            <w:tcW w:w="17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0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Mustang Bio, Inc.</w:t>
            </w:r>
          </w:p>
        </w:tc>
        <w:tc>
          <w:tcPr>
            <w:tcW w:w="10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Warrants</w:t>
            </w:r>
          </w:p>
        </w:tc>
        <w:tc>
          <w:tcPr>
            <w:tcW w:w="17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w w:val="99"/>
              </w:rPr>
              <w:t>3/4/2022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3/4/2032</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997</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315</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w w:val="92"/>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(15)</w:t>
            </w:r>
          </w:p>
        </w:tc>
      </w:tr>
      <w:tr>
        <w:trPr>
          <w:trHeight w:val="161"/>
        </w:trPr>
        <w:tc>
          <w:tcPr>
            <w:tcW w:w="482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Pharmaceuticals, Biotechnology &amp; Life Sciences - 0.00%*</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315</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1" w:name="page12"/>
    <w:bookmarkEnd w:id="1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Pr>
          <w:p>
            <w:pPr>
              <w:ind w:left="42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820" w:type="dxa"/>
            <w:vAlign w:val="bottom"/>
          </w:tcPr>
          <w:p>
            <w:pPr>
              <w:ind w:left="6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40" w:type="dxa"/>
            <w:vAlign w:val="bottom"/>
          </w:tcPr>
          <w:p>
            <w:pPr>
              <w:jc w:val="center"/>
              <w:ind w:left="1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20" w:type="dxa"/>
            <w:vAlign w:val="bottom"/>
          </w:tcPr>
          <w:p>
            <w:pPr>
              <w:spacing w:after="0"/>
              <w:rPr>
                <w:sz w:val="12"/>
                <w:szCs w:val="12"/>
                <w:color w:val="auto"/>
              </w:rPr>
            </w:pPr>
          </w:p>
        </w:tc>
        <w:tc>
          <w:tcPr>
            <w:tcW w:w="104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60" w:type="dxa"/>
            <w:vAlign w:val="bottom"/>
          </w:tcPr>
          <w:p>
            <w:pPr>
              <w:ind w:left="58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820" w:type="dxa"/>
            <w:vAlign w:val="bottom"/>
          </w:tcPr>
          <w:p>
            <w:pPr>
              <w:ind w:left="54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20" w:type="dxa"/>
            <w:vAlign w:val="bottom"/>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40" w:type="dxa"/>
            <w:vAlign w:val="bottom"/>
          </w:tcPr>
          <w:p>
            <w:pPr>
              <w:jc w:val="right"/>
              <w:ind w:right="15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Systems Software</w:t>
            </w:r>
          </w:p>
        </w:tc>
        <w:tc>
          <w:tcPr>
            <w:tcW w:w="11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16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1,538,46</w:t>
            </w:r>
          </w:p>
        </w:tc>
        <w:tc>
          <w:tcPr>
            <w:tcW w:w="102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3,630</w:t>
            </w:r>
          </w:p>
        </w:tc>
        <w:tc>
          <w:tcPr>
            <w:tcW w:w="104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w:t>
            </w:r>
          </w:p>
        </w:tc>
        <w:tc>
          <w:tcPr>
            <w:tcW w:w="90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Circadence Corporation</w:t>
            </w:r>
          </w:p>
        </w:tc>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10/31/2019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384,615</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846</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Circadence Corporation</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12/21/2023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447</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2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Scale Computing, Inc.</w:t>
            </w:r>
          </w:p>
        </w:tc>
        <w:tc>
          <w:tcPr>
            <w:tcW w:w="1160" w:type="dxa"/>
            <w:vAlign w:val="bottom"/>
            <w:shd w:val="clear" w:color="auto" w:fill="CFF0FC"/>
          </w:tcPr>
          <w:p>
            <w:pPr>
              <w:ind w:left="26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line="144" w:lineRule="exact"/>
              <w:rPr>
                <w:sz w:val="20"/>
                <w:szCs w:val="20"/>
                <w:color w:val="auto"/>
              </w:rPr>
            </w:pPr>
            <w:r>
              <w:rPr>
                <w:rFonts w:ascii="Times New Roman" w:cs="Times New Roman" w:eastAsia="Times New Roman" w:hAnsi="Times New Roman"/>
                <w:sz w:val="13"/>
                <w:szCs w:val="13"/>
                <w:color w:val="auto"/>
              </w:rPr>
              <w:t>3/29/2019</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3/29/2029</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9,665,66</w:t>
            </w:r>
          </w:p>
        </w:tc>
        <w:tc>
          <w:tcPr>
            <w:tcW w:w="102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346</w:t>
            </w:r>
          </w:p>
        </w:tc>
        <w:tc>
          <w:tcPr>
            <w:tcW w:w="104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w:t>
            </w:r>
          </w:p>
        </w:tc>
        <w:tc>
          <w:tcPr>
            <w:tcW w:w="10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Synack, Inc.</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12/29/2023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124,215</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158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183</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Systems Software - 0.13%*</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5,284</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631</w:t>
            </w: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Technology Hardware &amp; Equipment</w:t>
            </w: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Brivo, Inc.</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10/20/2022</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10/20/2032</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201,000</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305</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Brivo, Inc.</w:t>
            </w:r>
          </w:p>
        </w:tc>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12/27/2024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12/27/2034</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32,109</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49</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Dejero Labs Inc.</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5/31/2019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5/31/2029</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333,621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192</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136</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(7) (9) (13)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Linxup, LLC</w:t>
            </w:r>
          </w:p>
        </w:tc>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Success fee</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11/3/2033</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253</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247</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 (20)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10/5/2018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73,746</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89</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149</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10/5/2018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38,705</w:t>
            </w:r>
          </w:p>
        </w:tc>
        <w:tc>
          <w:tcPr>
            <w:tcW w:w="10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47</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12/28/2018</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14,749</w:t>
            </w: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16</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30</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12/28/2018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7,742</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9</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11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Series A-1 Preferred Stock</w:t>
            </w:r>
          </w:p>
        </w:tc>
        <w:tc>
          <w:tcPr>
            <w:tcW w:w="10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6/27/2019</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81,251</w:t>
            </w:r>
          </w:p>
        </w:tc>
        <w:tc>
          <w:tcPr>
            <w:tcW w:w="102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64</w:t>
            </w:r>
          </w:p>
        </w:tc>
        <w:tc>
          <w:tcPr>
            <w:tcW w:w="9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RealWear, Inc.</w:t>
            </w:r>
          </w:p>
        </w:tc>
        <w:tc>
          <w:tcPr>
            <w:tcW w:w="11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0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6/27/2019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42,643</w:t>
            </w:r>
          </w:p>
        </w:tc>
        <w:tc>
          <w:tcPr>
            <w:tcW w:w="102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131</w:t>
            </w:r>
          </w:p>
        </w:tc>
        <w:tc>
          <w:tcPr>
            <w:tcW w:w="10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Total Technology Hardware &amp; Equipment - 0.20%*</w:t>
            </w: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1,128</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982</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 - 2.91%*</w:t>
            </w:r>
          </w:p>
        </w:tc>
        <w:tc>
          <w:tcPr>
            <w:tcW w:w="116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23,804</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14,500</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800" w:type="dxa"/>
            <w:vAlign w:val="bottom"/>
            <w:gridSpan w:val="3"/>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80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Non-Control/Non-Affiliate Investments - 204.04%*</w:t>
            </w: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1,054,963</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1,017,952</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2" w:name="page13"/>
    <w:bookmarkEnd w:id="1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June 30, 2025</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20" w:type="dxa"/>
            <w:vAlign w:val="bottom"/>
          </w:tcPr>
          <w:p>
            <w:pPr>
              <w:spacing w:after="0"/>
              <w:rPr>
                <w:sz w:val="13"/>
                <w:szCs w:val="13"/>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Principal</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Pr>
          <w:p>
            <w:pPr>
              <w:ind w:left="1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780" w:type="dxa"/>
            <w:vAlign w:val="bottom"/>
          </w:tcPr>
          <w:p>
            <w:pPr>
              <w:ind w:left="68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100" w:type="dxa"/>
            <w:vAlign w:val="bottom"/>
          </w:tcPr>
          <w:p>
            <w:pPr>
              <w:jc w:val="center"/>
              <w:ind w:left="3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92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Type</w:t>
            </w:r>
          </w:p>
        </w:tc>
        <w:tc>
          <w:tcPr>
            <w:tcW w:w="1780" w:type="dxa"/>
            <w:vAlign w:val="bottom"/>
          </w:tcPr>
          <w:p>
            <w:pPr>
              <w:ind w:left="54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1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2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Value ($) </w:t>
            </w:r>
            <w:r>
              <w:rPr>
                <w:rFonts w:ascii="Times New Roman" w:cs="Times New Roman" w:eastAsia="Times New Roman" w:hAnsi="Times New Roman"/>
                <w:sz w:val="16"/>
                <w:szCs w:val="16"/>
                <w:b w:val="1"/>
                <w:bCs w:val="1"/>
                <w:color w:val="auto"/>
                <w:w w:val="99"/>
                <w:vertAlign w:val="superscript"/>
              </w:rPr>
              <w:t>(3)</w:t>
            </w:r>
          </w:p>
        </w:tc>
        <w:tc>
          <w:tcPr>
            <w:tcW w:w="100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0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Coginiti Corp</w:t>
            </w:r>
          </w:p>
        </w:tc>
        <w:tc>
          <w:tcPr>
            <w:tcW w:w="92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78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10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w w:val="99"/>
              </w:rPr>
              <w:t>3/9/2020</w:t>
            </w:r>
          </w:p>
        </w:tc>
        <w:tc>
          <w:tcPr>
            <w:tcW w:w="8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1,040,16</w:t>
            </w:r>
          </w:p>
        </w:tc>
        <w:tc>
          <w:tcPr>
            <w:tcW w:w="14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4,551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ind w:left="2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 - 0.00%*</w:t>
            </w: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Coginiti Corp</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Common Stock</w:t>
            </w:r>
          </w:p>
        </w:tc>
        <w:tc>
          <w:tcPr>
            <w:tcW w:w="11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w w:val="99"/>
              </w:rPr>
              <w:t>3/9/2020</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3/9/2030</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811,770</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 - 0.00%*</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0" w:type="dxa"/>
            <w:vAlign w:val="bottom"/>
            <w:vMerge w:val="continue"/>
          </w:tcPr>
          <w:p>
            <w:pPr>
              <w:spacing w:after="0"/>
              <w:rPr>
                <w:sz w:val="15"/>
                <w:szCs w:val="15"/>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 - 0.00%*</w:t>
            </w:r>
          </w:p>
        </w:tc>
        <w:tc>
          <w:tcPr>
            <w:tcW w:w="9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80" w:type="dxa"/>
            <w:vAlign w:val="bottom"/>
            <w:gridSpan w:val="2"/>
          </w:tcPr>
          <w:p>
            <w:pPr>
              <w:spacing w:after="0"/>
              <w:rPr>
                <w:sz w:val="6"/>
                <w:szCs w:val="6"/>
                <w:color w:val="auto"/>
              </w:rPr>
            </w:pPr>
          </w:p>
        </w:tc>
        <w:tc>
          <w:tcPr>
            <w:tcW w:w="9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Commercial &amp; Professional Services</w:t>
            </w: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Pivot3, Inc.</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100% Equity Interest</w:t>
            </w:r>
          </w:p>
        </w:tc>
        <w:tc>
          <w:tcPr>
            <w:tcW w:w="11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12/31/2023</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Total Commercial &amp; Professional Services - 0.20%*</w:t>
            </w: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Multi-Sector Holdings</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Runway-Cadma I LLC</w:t>
            </w:r>
          </w:p>
        </w:tc>
        <w:tc>
          <w:tcPr>
            <w:tcW w:w="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50% Equity Interest</w:t>
            </w:r>
          </w:p>
        </w:tc>
        <w:tc>
          <w:tcPr>
            <w:tcW w:w="11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w w:val="99"/>
              </w:rPr>
              <w:t>3/6/2024</w:t>
            </w:r>
          </w:p>
        </w:tc>
        <w:tc>
          <w:tcPr>
            <w:tcW w:w="8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4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1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Multi-Sector Holdings - 1.20%*</w:t>
            </w: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 - 1.40%*</w:t>
            </w: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 - 1.40%*</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8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Investments - 205.44%*</w:t>
            </w:r>
          </w:p>
        </w:tc>
        <w:tc>
          <w:tcPr>
            <w:tcW w:w="9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4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1,066,064</w:t>
            </w:r>
          </w:p>
        </w:tc>
        <w:tc>
          <w:tcPr>
            <w:tcW w:w="30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1,024,951</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Currency Forward Contracts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 Amount to be</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Notional Amount to be</w:t>
            </w:r>
          </w:p>
        </w:tc>
        <w:tc>
          <w:tcPr>
            <w:tcW w:w="22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Unrealized Gain</w:t>
            </w:r>
          </w:p>
        </w:tc>
      </w:tr>
      <w:tr>
        <w:trPr>
          <w:trHeight w:val="170"/>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54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Sold (£)</w:t>
            </w:r>
          </w:p>
        </w:tc>
        <w:tc>
          <w:tcPr>
            <w:tcW w:w="16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Purchased ($)</w:t>
            </w:r>
          </w:p>
        </w:tc>
        <w:tc>
          <w:tcPr>
            <w:tcW w:w="22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(Loss) ($)</w:t>
            </w:r>
          </w:p>
        </w:tc>
      </w:tr>
      <w:tr>
        <w:trPr>
          <w:trHeight w:val="156"/>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Great British Pound (GBP)</w:t>
            </w:r>
          </w:p>
        </w:tc>
        <w:tc>
          <w:tcPr>
            <w:tcW w:w="25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w w:val="99"/>
              </w:rPr>
              <w:t>9/8/2025</w:t>
            </w:r>
          </w:p>
        </w:tc>
        <w:tc>
          <w:tcPr>
            <w:tcW w:w="1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351</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462</w:t>
            </w: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Great British Pound (GBP)</w:t>
            </w:r>
          </w:p>
        </w:tc>
        <w:tc>
          <w:tcPr>
            <w:tcW w:w="25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12/8/2025</w:t>
            </w: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384</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505</w:t>
            </w:r>
          </w:p>
        </w:tc>
        <w:tc>
          <w:tcPr>
            <w:tcW w:w="220" w:type="dxa"/>
            <w:vAlign w:val="bottom"/>
          </w:tcPr>
          <w:p>
            <w:pPr>
              <w:spacing w:after="0"/>
              <w:rPr>
                <w:sz w:val="13"/>
                <w:szCs w:val="13"/>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Great British Pound (GBP)</w:t>
            </w:r>
          </w:p>
        </w:tc>
        <w:tc>
          <w:tcPr>
            <w:tcW w:w="25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5/14/2026</w:t>
            </w:r>
          </w:p>
        </w:tc>
        <w:tc>
          <w:tcPr>
            <w:tcW w:w="1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21,964</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28,873</w:t>
            </w: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(1,317)</w:t>
            </w:r>
          </w:p>
        </w:tc>
      </w:tr>
      <w:tr>
        <w:trPr>
          <w:trHeight w:val="156"/>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(1,359)</w:t>
            </w:r>
          </w:p>
        </w:tc>
      </w:tr>
      <w:tr>
        <w:trPr>
          <w:trHeight w:val="20"/>
        </w:trPr>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3" w:name="page14"/>
    <w:bookmarkEnd w:id="1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 (Unaudited) – (continued)</w:t>
      </w: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June 30, 2025</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ind w:left="400" w:right="40"/>
        <w:spacing w:after="0" w:line="222" w:lineRule="auto"/>
        <w:rPr>
          <w:sz w:val="20"/>
          <w:szCs w:val="20"/>
          <w:color w:val="auto"/>
        </w:rPr>
      </w:pP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June 30, 2025, the U.S. PRIME Rate was 7.50%, the 1-Month SOFR was 4.32%, and the 3-Month SOFR was 4.29%.</w:t>
      </w:r>
    </w:p>
    <w:p>
      <w:pPr>
        <w:spacing w:after="0" w:line="185" w:lineRule="auto"/>
        <w:rPr>
          <w:sz w:val="20"/>
          <w:szCs w:val="20"/>
          <w:color w:val="auto"/>
        </w:rPr>
      </w:pPr>
      <w:r>
        <w:rPr>
          <w:rFonts w:ascii="Times New Roman" w:cs="Times New Roman" w:eastAsia="Times New Roman" w:hAnsi="Times New Roman"/>
          <w:sz w:val="6"/>
          <w:szCs w:val="6"/>
          <w:color w:val="auto"/>
        </w:rPr>
        <w:t>(2)</w:t>
      </w:r>
    </w:p>
    <w:p>
      <w:pPr>
        <w:ind w:left="400" w:right="120"/>
        <w:spacing w:after="0" w:line="222" w:lineRule="auto"/>
        <w:rPr>
          <w:sz w:val="20"/>
          <w:szCs w:val="20"/>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spacing w:after="0" w:line="185" w:lineRule="auto"/>
        <w:rPr>
          <w:sz w:val="20"/>
          <w:szCs w:val="20"/>
          <w:color w:val="auto"/>
        </w:rPr>
      </w:pPr>
      <w:r>
        <w:rPr>
          <w:rFonts w:ascii="Times New Roman" w:cs="Times New Roman" w:eastAsia="Times New Roman" w:hAnsi="Times New Roman"/>
          <w:sz w:val="6"/>
          <w:szCs w:val="6"/>
          <w:color w:val="auto"/>
        </w:rPr>
        <w:t>(3)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held at Fair Value net of the Fair Value of Unfunded Commitments. Refer to "Note 8 – Commitments and Contingencies" for additional detail.</w:t>
      </w:r>
    </w:p>
    <w:p>
      <w:pPr>
        <w:spacing w:after="0" w:line="185" w:lineRule="auto"/>
        <w:rPr>
          <w:sz w:val="20"/>
          <w:szCs w:val="20"/>
          <w:color w:val="auto"/>
        </w:rPr>
      </w:pPr>
      <w:r>
        <w:rPr>
          <w:rFonts w:ascii="Times New Roman" w:cs="Times New Roman" w:eastAsia="Times New Roman" w:hAnsi="Times New Roman"/>
          <w:sz w:val="6"/>
          <w:szCs w:val="6"/>
          <w:color w:val="auto"/>
        </w:rPr>
        <w:t>(4)</w:t>
      </w:r>
    </w:p>
    <w:p>
      <w:pPr>
        <w:ind w:left="400"/>
        <w:spacing w:after="0" w:line="195" w:lineRule="auto"/>
        <w:rPr>
          <w:sz w:val="20"/>
          <w:szCs w:val="20"/>
          <w:color w:val="auto"/>
        </w:rPr>
      </w:pPr>
      <w:r>
        <w:rPr>
          <w:rFonts w:ascii="Times New Roman" w:cs="Times New Roman" w:eastAsia="Times New Roman" w:hAnsi="Times New Roman"/>
          <w:sz w:val="11"/>
          <w:szCs w:val="11"/>
          <w:color w:val="auto"/>
        </w:rPr>
        <w:t>All portfolio companies are domiciled in the United States, unless otherwise noted.</w:t>
      </w:r>
    </w:p>
    <w:p>
      <w:pPr>
        <w:spacing w:after="0" w:line="186" w:lineRule="auto"/>
        <w:rPr>
          <w:sz w:val="20"/>
          <w:szCs w:val="20"/>
          <w:color w:val="auto"/>
        </w:rPr>
      </w:pPr>
      <w:r>
        <w:rPr>
          <w:rFonts w:ascii="Times New Roman" w:cs="Times New Roman" w:eastAsia="Times New Roman" w:hAnsi="Times New Roman"/>
          <w:sz w:val="6"/>
          <w:szCs w:val="6"/>
          <w:color w:val="auto"/>
        </w:rPr>
        <w:t>(5)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United Kingdom. Fair value of United Kingdom domiciled investments represents 6.33% of net assets.</w:t>
      </w:r>
    </w:p>
    <w:p>
      <w:pPr>
        <w:spacing w:after="0" w:line="185" w:lineRule="auto"/>
        <w:rPr>
          <w:sz w:val="20"/>
          <w:szCs w:val="20"/>
          <w:color w:val="auto"/>
        </w:rPr>
      </w:pPr>
      <w:r>
        <w:rPr>
          <w:rFonts w:ascii="Times New Roman" w:cs="Times New Roman" w:eastAsia="Times New Roman" w:hAnsi="Times New Roman"/>
          <w:sz w:val="6"/>
          <w:szCs w:val="6"/>
          <w:color w:val="auto"/>
        </w:rPr>
        <w:t>(6)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Germany. Fair value of German domiciled investments represents 7.45% of net assets.</w:t>
      </w:r>
    </w:p>
    <w:p>
      <w:pPr>
        <w:spacing w:after="0" w:line="185" w:lineRule="auto"/>
        <w:rPr>
          <w:sz w:val="20"/>
          <w:szCs w:val="20"/>
          <w:color w:val="auto"/>
        </w:rPr>
      </w:pPr>
      <w:r>
        <w:rPr>
          <w:rFonts w:ascii="Times New Roman" w:cs="Times New Roman" w:eastAsia="Times New Roman" w:hAnsi="Times New Roman"/>
          <w:sz w:val="6"/>
          <w:szCs w:val="6"/>
          <w:color w:val="auto"/>
        </w:rPr>
        <w:t>(7)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Canada. Fair value of Canadian domiciled investments represents 2.98% of net assets.</w:t>
      </w:r>
    </w:p>
    <w:p>
      <w:pPr>
        <w:spacing w:after="0" w:line="185" w:lineRule="auto"/>
        <w:rPr>
          <w:sz w:val="20"/>
          <w:szCs w:val="20"/>
          <w:color w:val="auto"/>
        </w:rPr>
      </w:pPr>
      <w:r>
        <w:rPr>
          <w:rFonts w:ascii="Times New Roman" w:cs="Times New Roman" w:eastAsia="Times New Roman" w:hAnsi="Times New Roman"/>
          <w:sz w:val="6"/>
          <w:szCs w:val="6"/>
          <w:color w:val="auto"/>
        </w:rPr>
        <w:t>(8)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Netherlands. Fair value of Dutch domiciled investments represents 3.48% of net assets.</w:t>
      </w:r>
    </w:p>
    <w:p>
      <w:pPr>
        <w:spacing w:after="0" w:line="186" w:lineRule="auto"/>
        <w:rPr>
          <w:sz w:val="20"/>
          <w:szCs w:val="20"/>
          <w:color w:val="auto"/>
        </w:rPr>
      </w:pPr>
      <w:r>
        <w:rPr>
          <w:rFonts w:ascii="Times New Roman" w:cs="Times New Roman" w:eastAsia="Times New Roman" w:hAnsi="Times New Roman"/>
          <w:sz w:val="6"/>
          <w:szCs w:val="6"/>
          <w:color w:val="auto"/>
        </w:rPr>
        <w:t>(9)</w:t>
      </w:r>
    </w:p>
    <w:p>
      <w:pPr>
        <w:ind w:left="400"/>
        <w:spacing w:after="0" w:line="229" w:lineRule="auto"/>
        <w:rPr>
          <w:sz w:val="20"/>
          <w:szCs w:val="20"/>
          <w:color w:val="auto"/>
        </w:rPr>
      </w:pPr>
      <w:r>
        <w:rPr>
          <w:rFonts w:ascii="Times New Roman" w:cs="Times New Roman" w:eastAsia="Times New Roman" w:hAnsi="Times New Roman"/>
          <w:sz w:val="13"/>
          <w:szCs w:val="13"/>
          <w:color w:val="auto"/>
        </w:rPr>
        <w:t>Investment is not a qualifying investment as defined under Section 55(a) of the Investment Company Act of 1940, as amended. The fair value of non-qualifying assets represents 12.88% of total assets as of June 30, 2025.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6" w:lineRule="auto"/>
        <w:rPr>
          <w:sz w:val="20"/>
          <w:szCs w:val="20"/>
          <w:color w:val="auto"/>
        </w:rPr>
      </w:pPr>
      <w:r>
        <w:rPr>
          <w:rFonts w:ascii="Times New Roman" w:cs="Times New Roman" w:eastAsia="Times New Roman" w:hAnsi="Times New Roman"/>
          <w:sz w:val="6"/>
          <w:szCs w:val="6"/>
          <w:color w:val="auto"/>
        </w:rPr>
        <w:t>(10)</w:t>
      </w:r>
    </w:p>
    <w:p>
      <w:pPr>
        <w:ind w:left="400"/>
        <w:spacing w:after="0" w:line="195" w:lineRule="auto"/>
        <w:rPr>
          <w:sz w:val="20"/>
          <w:szCs w:val="20"/>
          <w:color w:val="auto"/>
        </w:rPr>
      </w:pPr>
      <w:r>
        <w:rPr>
          <w:rFonts w:ascii="Times New Roman" w:cs="Times New Roman" w:eastAsia="Times New Roman" w:hAnsi="Times New Roman"/>
          <w:sz w:val="11"/>
          <w:szCs w:val="11"/>
          <w:color w:val="auto"/>
        </w:rPr>
        <w:t>Represents a PIK security. PIK interest will be accrued and paid at maturity. For any investments denoting a "cash cap", any interest above such cap will be recorded as PIK interest.</w:t>
      </w:r>
    </w:p>
    <w:p>
      <w:pPr>
        <w:spacing w:after="0" w:line="185" w:lineRule="auto"/>
        <w:rPr>
          <w:sz w:val="20"/>
          <w:szCs w:val="20"/>
          <w:color w:val="auto"/>
        </w:rPr>
      </w:pPr>
      <w:r>
        <w:rPr>
          <w:rFonts w:ascii="Times New Roman" w:cs="Times New Roman" w:eastAsia="Times New Roman" w:hAnsi="Times New Roman"/>
          <w:sz w:val="6"/>
          <w:szCs w:val="6"/>
          <w:color w:val="auto"/>
        </w:rPr>
        <w:t>(11)</w:t>
      </w:r>
    </w:p>
    <w:p>
      <w:pPr>
        <w:ind w:left="400"/>
        <w:spacing w:after="0" w:line="195" w:lineRule="auto"/>
        <w:rPr>
          <w:sz w:val="20"/>
          <w:szCs w:val="20"/>
          <w:color w:val="auto"/>
        </w:rPr>
      </w:pPr>
      <w:r>
        <w:rPr>
          <w:rFonts w:ascii="Times New Roman" w:cs="Times New Roman" w:eastAsia="Times New Roman" w:hAnsi="Times New Roman"/>
          <w:sz w:val="11"/>
          <w:szCs w:val="11"/>
          <w:color w:val="auto"/>
        </w:rPr>
        <w:t>Disclosures of end-of-term payments ("ETP") are one-time payments stated as a percentage of principal amount.</w:t>
      </w:r>
    </w:p>
    <w:p>
      <w:pPr>
        <w:spacing w:after="0" w:line="186" w:lineRule="auto"/>
        <w:rPr>
          <w:sz w:val="20"/>
          <w:szCs w:val="20"/>
          <w:color w:val="auto"/>
        </w:rPr>
      </w:pPr>
      <w:r>
        <w:rPr>
          <w:rFonts w:ascii="Times New Roman" w:cs="Times New Roman" w:eastAsia="Times New Roman" w:hAnsi="Times New Roman"/>
          <w:sz w:val="6"/>
          <w:szCs w:val="6"/>
          <w:color w:val="auto"/>
        </w:rPr>
        <w:t>(12)</w:t>
      </w:r>
    </w:p>
    <w:p>
      <w:pPr>
        <w:ind w:left="400"/>
        <w:spacing w:after="0" w:line="195" w:lineRule="auto"/>
        <w:rPr>
          <w:sz w:val="20"/>
          <w:szCs w:val="20"/>
          <w:color w:val="auto"/>
        </w:rPr>
      </w:pPr>
      <w:r>
        <w:rPr>
          <w:rFonts w:ascii="Times New Roman" w:cs="Times New Roman" w:eastAsia="Times New Roman" w:hAnsi="Times New Roman"/>
          <w:sz w:val="11"/>
          <w:szCs w:val="11"/>
          <w:color w:val="auto"/>
        </w:rPr>
        <w:t>The investment is an eligible loan investment in the collateral under the Credit Facility (as defined in "Note 7 – Borrowings").</w:t>
      </w:r>
    </w:p>
    <w:p>
      <w:pPr>
        <w:spacing w:after="0" w:line="185" w:lineRule="auto"/>
        <w:rPr>
          <w:sz w:val="20"/>
          <w:szCs w:val="20"/>
          <w:color w:val="auto"/>
        </w:rPr>
      </w:pPr>
      <w:r>
        <w:rPr>
          <w:rFonts w:ascii="Times New Roman" w:cs="Times New Roman" w:eastAsia="Times New Roman" w:hAnsi="Times New Roman"/>
          <w:sz w:val="6"/>
          <w:szCs w:val="6"/>
          <w:color w:val="auto"/>
        </w:rPr>
        <w:t>(13)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(14)</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NYSE.</w:t>
      </w:r>
    </w:p>
    <w:p>
      <w:pPr>
        <w:spacing w:after="0" w:line="186" w:lineRule="auto"/>
        <w:rPr>
          <w:sz w:val="20"/>
          <w:szCs w:val="20"/>
          <w:color w:val="auto"/>
        </w:rPr>
      </w:pPr>
      <w:r>
        <w:rPr>
          <w:rFonts w:ascii="Times New Roman" w:cs="Times New Roman" w:eastAsia="Times New Roman" w:hAnsi="Times New Roman"/>
          <w:sz w:val="6"/>
          <w:szCs w:val="6"/>
          <w:color w:val="auto"/>
        </w:rPr>
        <w:t>(15)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NASDAQ.</w:t>
      </w:r>
    </w:p>
    <w:p>
      <w:pPr>
        <w:spacing w:after="0" w:line="185" w:lineRule="auto"/>
        <w:rPr>
          <w:sz w:val="20"/>
          <w:szCs w:val="20"/>
          <w:color w:val="auto"/>
        </w:rPr>
      </w:pPr>
      <w:r>
        <w:rPr>
          <w:rFonts w:ascii="Times New Roman" w:cs="Times New Roman" w:eastAsia="Times New Roman" w:hAnsi="Times New Roman"/>
          <w:sz w:val="6"/>
          <w:szCs w:val="6"/>
          <w:color w:val="auto"/>
        </w:rPr>
        <w:t>(16)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Australian Stock Exchange.</w:t>
      </w:r>
    </w:p>
    <w:p>
      <w:pPr>
        <w:spacing w:after="0" w:line="185" w:lineRule="auto"/>
        <w:rPr>
          <w:sz w:val="20"/>
          <w:szCs w:val="20"/>
          <w:color w:val="auto"/>
        </w:rPr>
      </w:pPr>
      <w:r>
        <w:rPr>
          <w:rFonts w:ascii="Times New Roman" w:cs="Times New Roman" w:eastAsia="Times New Roman" w:hAnsi="Times New Roman"/>
          <w:sz w:val="6"/>
          <w:szCs w:val="6"/>
          <w:color w:val="auto"/>
        </w:rPr>
        <w:t>(17)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Euronext.</w:t>
      </w:r>
    </w:p>
    <w:p>
      <w:pPr>
        <w:spacing w:after="0" w:line="186" w:lineRule="auto"/>
        <w:rPr>
          <w:sz w:val="20"/>
          <w:szCs w:val="20"/>
          <w:color w:val="auto"/>
        </w:rPr>
      </w:pPr>
      <w:r>
        <w:rPr>
          <w:rFonts w:ascii="Times New Roman" w:cs="Times New Roman" w:eastAsia="Times New Roman" w:hAnsi="Times New Roman"/>
          <w:sz w:val="6"/>
          <w:szCs w:val="6"/>
          <w:color w:val="auto"/>
        </w:rPr>
        <w:t>(18)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Deutsche Borse Xetra.</w:t>
      </w:r>
    </w:p>
    <w:p>
      <w:pPr>
        <w:spacing w:after="0" w:line="185" w:lineRule="auto"/>
        <w:rPr>
          <w:sz w:val="20"/>
          <w:szCs w:val="20"/>
          <w:color w:val="auto"/>
        </w:rPr>
      </w:pPr>
      <w:r>
        <w:rPr>
          <w:rFonts w:ascii="Times New Roman" w:cs="Times New Roman" w:eastAsia="Times New Roman" w:hAnsi="Times New Roman"/>
          <w:sz w:val="6"/>
          <w:szCs w:val="6"/>
          <w:color w:val="auto"/>
        </w:rPr>
        <w:t>(19)</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not a "restricted security" under the Securities Act.</w:t>
      </w:r>
    </w:p>
    <w:p>
      <w:pPr>
        <w:spacing w:after="0" w:line="185" w:lineRule="auto"/>
        <w:rPr>
          <w:sz w:val="20"/>
          <w:szCs w:val="20"/>
          <w:color w:val="auto"/>
        </w:rPr>
      </w:pPr>
      <w:r>
        <w:rPr>
          <w:rFonts w:ascii="Times New Roman" w:cs="Times New Roman" w:eastAsia="Times New Roman" w:hAnsi="Times New Roman"/>
          <w:sz w:val="6"/>
          <w:szCs w:val="6"/>
          <w:color w:val="auto"/>
        </w:rPr>
        <w:t>(20)</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either a cash success fee payable or earnout of shares based on the consummation of certain trigger events.</w:t>
      </w:r>
    </w:p>
    <w:p>
      <w:pPr>
        <w:spacing w:after="0" w:line="185" w:lineRule="auto"/>
        <w:rPr>
          <w:sz w:val="20"/>
          <w:szCs w:val="20"/>
          <w:color w:val="auto"/>
        </w:rPr>
      </w:pPr>
      <w:r>
        <w:rPr>
          <w:rFonts w:ascii="Times New Roman" w:cs="Times New Roman" w:eastAsia="Times New Roman" w:hAnsi="Times New Roman"/>
          <w:sz w:val="6"/>
          <w:szCs w:val="6"/>
          <w:color w:val="auto"/>
        </w:rPr>
        <w:t>(21)</w:t>
      </w:r>
    </w:p>
    <w:p>
      <w:pPr>
        <w:jc w:val="both"/>
        <w:ind w:left="400" w:right="200"/>
        <w:spacing w:after="0" w:line="222" w:lineRule="auto"/>
        <w:rPr>
          <w:sz w:val="20"/>
          <w:szCs w:val="20"/>
          <w:color w:val="auto"/>
        </w:rPr>
      </w:pPr>
      <w:r>
        <w:rPr>
          <w:rFonts w:ascii="Times New Roman" w:cs="Times New Roman" w:eastAsia="Times New Roman" w:hAnsi="Times New Roman"/>
          <w:sz w:val="13"/>
          <w:szCs w:val="13"/>
          <w:color w:val="auto"/>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spacing w:after="0" w:line="185" w:lineRule="auto"/>
        <w:rPr>
          <w:sz w:val="20"/>
          <w:szCs w:val="20"/>
          <w:color w:val="auto"/>
        </w:rPr>
      </w:pPr>
      <w:r>
        <w:rPr>
          <w:rFonts w:ascii="Times New Roman" w:cs="Times New Roman" w:eastAsia="Times New Roman" w:hAnsi="Times New Roman"/>
          <w:sz w:val="6"/>
          <w:szCs w:val="6"/>
          <w:color w:val="auto"/>
        </w:rPr>
        <w:t>(22)</w:t>
      </w:r>
    </w:p>
    <w:p>
      <w:pPr>
        <w:ind w:left="400" w:right="140"/>
        <w:spacing w:after="0" w:line="207" w:lineRule="auto"/>
        <w:rPr>
          <w:sz w:val="20"/>
          <w:szCs w:val="20"/>
          <w:color w:val="auto"/>
        </w:rPr>
      </w:pPr>
      <w:r>
        <w:rPr>
          <w:rFonts w:ascii="Times New Roman" w:cs="Times New Roman" w:eastAsia="Times New Roman" w:hAnsi="Times New Roman"/>
          <w:sz w:val="13"/>
          <w:szCs w:val="13"/>
          <w:color w:val="auto"/>
        </w:rPr>
        <w:t>Investment represents a security with a tiered fee that increases quarterly, dependent upon the timing of repayment. Such fees are recorded in "Fee income" on the Consolidated Statements of Operations.</w:t>
      </w:r>
    </w:p>
    <w:p>
      <w:pPr>
        <w:spacing w:after="0" w:line="188" w:lineRule="auto"/>
        <w:rPr>
          <w:sz w:val="20"/>
          <w:szCs w:val="20"/>
          <w:color w:val="auto"/>
        </w:rPr>
      </w:pPr>
      <w:r>
        <w:rPr>
          <w:rFonts w:ascii="Times New Roman" w:cs="Times New Roman" w:eastAsia="Times New Roman" w:hAnsi="Times New Roman"/>
          <w:sz w:val="6"/>
          <w:szCs w:val="6"/>
          <w:color w:val="auto"/>
        </w:rPr>
        <w:t>(23)</w:t>
      </w:r>
    </w:p>
    <w:p>
      <w:pPr>
        <w:ind w:left="400" w:right="160"/>
        <w:spacing w:after="0" w:line="207" w:lineRule="auto"/>
        <w:rPr>
          <w:sz w:val="20"/>
          <w:szCs w:val="20"/>
          <w:color w:val="auto"/>
        </w:rPr>
      </w:pPr>
      <w:r>
        <w:rPr>
          <w:rFonts w:ascii="Times New Roman" w:cs="Times New Roman" w:eastAsia="Times New Roman" w:hAnsi="Times New Roman"/>
          <w:sz w:val="13"/>
          <w:szCs w:val="13"/>
          <w:color w:val="auto"/>
        </w:rPr>
        <w:t>The assets recovered on the senior secured term loan to Pivot3, Inc. were contributed to P3 Holdco LLC by the Company, a wholly owned subsidiary of the Company. For more information, refer to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 Principles of Consolidation".</w:t>
      </w:r>
    </w:p>
    <w:p>
      <w:pPr>
        <w:spacing w:after="0" w:line="186" w:lineRule="auto"/>
        <w:rPr>
          <w:sz w:val="20"/>
          <w:szCs w:val="20"/>
          <w:color w:val="auto"/>
        </w:rPr>
      </w:pPr>
      <w:r>
        <w:rPr>
          <w:rFonts w:ascii="Times New Roman" w:cs="Times New Roman" w:eastAsia="Times New Roman" w:hAnsi="Times New Roman"/>
          <w:sz w:val="6"/>
          <w:szCs w:val="6"/>
          <w:color w:val="auto"/>
        </w:rPr>
        <w:t>(24)</w:t>
      </w:r>
    </w:p>
    <w:p>
      <w:pPr>
        <w:ind w:left="400" w:right="380"/>
        <w:spacing w:after="0" w:line="207" w:lineRule="auto"/>
        <w:rPr>
          <w:sz w:val="20"/>
          <w:szCs w:val="20"/>
          <w:color w:val="auto"/>
        </w:rPr>
      </w:pPr>
      <w:r>
        <w:rPr>
          <w:rFonts w:ascii="Times New Roman" w:cs="Times New Roman" w:eastAsia="Times New Roman" w:hAnsi="Times New Roman"/>
          <w:sz w:val="13"/>
          <w:szCs w:val="13"/>
          <w:color w:val="auto"/>
        </w:rPr>
        <w:t>Affiliate portfolio company as defined under the 1940 Act in which the Company owns between 5% and 25% (inclusive) of the investment's voting securities and does not have rights to maintain greater than 50% representation on the board.</w:t>
      </w:r>
    </w:p>
    <w:p>
      <w:pPr>
        <w:spacing w:after="0" w:line="188" w:lineRule="auto"/>
        <w:rPr>
          <w:sz w:val="20"/>
          <w:szCs w:val="20"/>
          <w:color w:val="auto"/>
        </w:rPr>
      </w:pPr>
      <w:r>
        <w:rPr>
          <w:rFonts w:ascii="Times New Roman" w:cs="Times New Roman" w:eastAsia="Times New Roman" w:hAnsi="Times New Roman"/>
          <w:sz w:val="6"/>
          <w:szCs w:val="6"/>
          <w:color w:val="auto"/>
        </w:rPr>
        <w:t>(25)</w:t>
      </w:r>
    </w:p>
    <w:p>
      <w:pPr>
        <w:ind w:left="400" w:right="360"/>
        <w:spacing w:after="0" w:line="207" w:lineRule="auto"/>
        <w:rPr>
          <w:sz w:val="20"/>
          <w:szCs w:val="20"/>
          <w:color w:val="auto"/>
        </w:rPr>
      </w:pPr>
      <w:r>
        <w:rPr>
          <w:rFonts w:ascii="Times New Roman" w:cs="Times New Roman" w:eastAsia="Times New Roman" w:hAnsi="Times New Roman"/>
          <w:sz w:val="13"/>
          <w:szCs w:val="13"/>
          <w:color w:val="auto"/>
        </w:rPr>
        <w:t>Control portfolio company, as defined under the 1940 Act, in which the Company owns more than 25% of the investment’s voting securities or has greater than 50% representation on its board.</w:t>
      </w:r>
    </w:p>
    <w:p>
      <w:pPr>
        <w:spacing w:after="0" w:line="188" w:lineRule="auto"/>
        <w:rPr>
          <w:sz w:val="20"/>
          <w:szCs w:val="20"/>
          <w:color w:val="auto"/>
        </w:rPr>
      </w:pPr>
      <w:r>
        <w:rPr>
          <w:rFonts w:ascii="Times New Roman" w:cs="Times New Roman" w:eastAsia="Times New Roman" w:hAnsi="Times New Roman"/>
          <w:sz w:val="6"/>
          <w:szCs w:val="6"/>
          <w:color w:val="auto"/>
        </w:rPr>
        <w:t>(26)</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on non-accrual status as of June 30, 2025 and is therefore considered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(27)</w:t>
      </w:r>
    </w:p>
    <w:p>
      <w:pPr>
        <w:ind w:left="400"/>
        <w:spacing w:after="0" w:line="195" w:lineRule="auto"/>
        <w:rPr>
          <w:sz w:val="20"/>
          <w:szCs w:val="20"/>
          <w:color w:val="auto"/>
        </w:rPr>
      </w:pPr>
      <w:r>
        <w:rPr>
          <w:rFonts w:ascii="Times New Roman" w:cs="Times New Roman" w:eastAsia="Times New Roman" w:hAnsi="Times New Roman"/>
          <w:sz w:val="11"/>
          <w:szCs w:val="11"/>
          <w:color w:val="auto"/>
        </w:rPr>
        <w:t>JobGet Holdings, Inc. (fka Snagajob.com, Inc.) has the right of first refusal on sale of preferred stock.</w:t>
      </w:r>
    </w:p>
    <w:p>
      <w:pPr>
        <w:spacing w:after="0" w:line="186" w:lineRule="auto"/>
        <w:rPr>
          <w:sz w:val="20"/>
          <w:szCs w:val="20"/>
          <w:color w:val="auto"/>
        </w:rPr>
      </w:pPr>
      <w:r>
        <w:rPr>
          <w:rFonts w:ascii="Times New Roman" w:cs="Times New Roman" w:eastAsia="Times New Roman" w:hAnsi="Times New Roman"/>
          <w:sz w:val="6"/>
          <w:szCs w:val="6"/>
          <w:color w:val="auto"/>
        </w:rPr>
        <w:t>(28)</w:t>
      </w:r>
    </w:p>
    <w:p>
      <w:pPr>
        <w:ind w:left="400"/>
        <w:spacing w:after="0" w:line="195" w:lineRule="auto"/>
        <w:rPr>
          <w:sz w:val="20"/>
          <w:szCs w:val="20"/>
          <w:color w:val="auto"/>
        </w:rPr>
      </w:pPr>
      <w:r>
        <w:rPr>
          <w:rFonts w:ascii="Times New Roman" w:cs="Times New Roman" w:eastAsia="Times New Roman" w:hAnsi="Times New Roman"/>
          <w:sz w:val="11"/>
          <w:szCs w:val="11"/>
          <w:color w:val="auto"/>
        </w:rPr>
        <w:t>JobGet Holdings, Inc. (fka Snagajob.com, Inc.) convertible note may not be assigned or transferred, unless it meets the criteria of a permitted transfer.</w:t>
      </w:r>
    </w:p>
    <w:p>
      <w:pPr>
        <w:spacing w:after="0" w:line="185" w:lineRule="auto"/>
        <w:rPr>
          <w:sz w:val="20"/>
          <w:szCs w:val="20"/>
          <w:color w:val="auto"/>
        </w:rPr>
      </w:pPr>
      <w:r>
        <w:rPr>
          <w:rFonts w:ascii="Times New Roman" w:cs="Times New Roman" w:eastAsia="Times New Roman" w:hAnsi="Times New Roman"/>
          <w:sz w:val="6"/>
          <w:szCs w:val="6"/>
          <w:color w:val="auto"/>
        </w:rPr>
        <w:t>(29)</w:t>
      </w:r>
    </w:p>
    <w:p>
      <w:pPr>
        <w:ind w:left="400" w:right="340"/>
        <w:spacing w:after="0" w:line="207" w:lineRule="auto"/>
        <w:rPr>
          <w:sz w:val="20"/>
          <w:szCs w:val="20"/>
          <w:color w:val="auto"/>
        </w:rPr>
      </w:pPr>
      <w:r>
        <w:rPr>
          <w:rFonts w:ascii="Times New Roman" w:cs="Times New Roman" w:eastAsia="Times New Roman" w:hAnsi="Times New Roman"/>
          <w:sz w:val="13"/>
          <w:szCs w:val="13"/>
          <w:color w:val="auto"/>
        </w:rPr>
        <w:t>Convertible notes represent investments that are redeemable by the Company upon the occurrence of contingent events. There are no principal or interest payments to be made against the notes.</w:t>
      </w:r>
    </w:p>
    <w:p>
      <w:pPr>
        <w:spacing w:after="0" w:line="188" w:lineRule="auto"/>
        <w:rPr>
          <w:sz w:val="20"/>
          <w:szCs w:val="20"/>
          <w:color w:val="auto"/>
        </w:rPr>
      </w:pPr>
      <w:r>
        <w:rPr>
          <w:rFonts w:ascii="Times New Roman" w:cs="Times New Roman" w:eastAsia="Times New Roman" w:hAnsi="Times New Roman"/>
          <w:sz w:val="6"/>
          <w:szCs w:val="6"/>
          <w:color w:val="auto"/>
        </w:rPr>
        <w:t>*</w:t>
      </w:r>
    </w:p>
    <w:p>
      <w:pPr>
        <w:ind w:left="400"/>
        <w:spacing w:after="0"/>
        <w:rPr>
          <w:sz w:val="20"/>
          <w:szCs w:val="20"/>
          <w:color w:val="auto"/>
        </w:rPr>
      </w:pPr>
      <w:r>
        <w:rPr>
          <w:rFonts w:ascii="Times New Roman" w:cs="Times New Roman" w:eastAsia="Times New Roman" w:hAnsi="Times New Roman"/>
          <w:sz w:val="13"/>
          <w:szCs w:val="13"/>
          <w:color w:val="auto"/>
        </w:rPr>
        <w:t>Fair value as a percentage of net assets.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4" w:name="page15"/>
    <w:bookmarkEnd w:id="1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 Schedule of Investments</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2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82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8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Airship Group,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SOFR+3.75%, 9.08%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49,129</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48,508</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49,442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3.00% PIK, 3.25%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Blueshift Labs,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SOFR+6.25%, 11.25%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12/19/2023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12/15/2028</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26,018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25,743</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23,664</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2.00% PIK, 1.50%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Bridge Loan</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12/12/2024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12/15/2028</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455</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(23)</w:t>
            </w: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SOFR+9.50%, 12.26%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12/15/2025</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23,752</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25,102</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20,492</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spacing w:after="0"/>
              <w:rPr>
                <w:sz w:val="12"/>
                <w:szCs w:val="12"/>
                <w:color w:val="auto"/>
              </w:rPr>
            </w:pP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7.50%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FiscalNote,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PRIME+5.00%, 9.00%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10/19/2020</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7/15/2027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36,908</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37,411</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36,252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 PIK, 5.75%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(14)</w:t>
            </w: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Piano Software,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11.25%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43,000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42,008</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42,008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Snap! Mobile,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SOFR+7.50%, 12.10%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9/30/2028</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18,000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17,511</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17,511</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3.83%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VTX Intermediate</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8.00%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34,664</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34,244</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Holdings, Inc. (dba</w:t>
            </w:r>
          </w:p>
        </w:tc>
        <w:tc>
          <w:tcPr>
            <w:tcW w:w="1080" w:type="dxa"/>
            <w:vAlign w:val="bottom"/>
            <w:shd w:val="clear" w:color="auto" w:fill="CFF0FC"/>
          </w:tcPr>
          <w:p>
            <w:pPr>
              <w:spacing w:after="0"/>
              <w:rPr>
                <w:sz w:val="13"/>
                <w:szCs w:val="13"/>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PIK, 3.00% ETP</w:t>
            </w: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VertexOne)</w:t>
            </w: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spacing w:after="0"/>
              <w:rPr>
                <w:sz w:val="12"/>
                <w:szCs w:val="12"/>
                <w:color w:val="auto"/>
              </w:rPr>
            </w:pP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FIXED 12.50% PIK, 31.05%</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9/24/2029</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5,749</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5,749</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Application Software - 44.64%*</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237,196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229,817</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Elevate Services, Inc.</w:t>
            </w:r>
          </w:p>
        </w:tc>
        <w:tc>
          <w:tcPr>
            <w:tcW w:w="1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SOFR+7.50%, 12.78% floor</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7/10/2027</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26,000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25,316</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26,274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(12)</w:t>
            </w: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Hurricane Cleanco Limited</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FIXED 6.25%, 6.25% PIK</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12/31/2024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11/22/2029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26,643</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26,692</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26,643</w:t>
            </w:r>
          </w:p>
        </w:tc>
        <w:tc>
          <w:tcPr>
            <w:tcW w:w="92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(5) (9) (10)</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(22)</w:t>
            </w: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Interactions Corporation</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SOFR+9.26%, 9.76% floor,</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40,347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40,238</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3.9375%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Vesta Payment Solutions,</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9.00%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11/29/2022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11/15/2026</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25,465</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21,747</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spacing w:after="0"/>
              <w:rPr>
                <w:sz w:val="12"/>
                <w:szCs w:val="12"/>
                <w:color w:val="auto"/>
              </w:rPr>
            </w:pP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w:t>
            </w: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- 22.32%*</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117,820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114,902</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Brivo,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11.29%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12/27/2024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39,708</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39,708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2.53%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76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- 7.71%*</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39,708</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39,708</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Equipment</w:t>
            </w:r>
          </w:p>
        </w:tc>
        <w:tc>
          <w:tcPr>
            <w:tcW w:w="10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Moximed,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PRIME+5.25%, 8.75% floor,</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6/24/2022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7/1/2027</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15,078</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15,358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3.50% ETP</w:t>
            </w: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61"/>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Equipment - 2.98%*</w:t>
            </w: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15,078</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15,358</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5" w:name="page16"/>
    <w:bookmarkEnd w:id="1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8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90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80" w:type="dxa"/>
            <w:vAlign w:val="bottom"/>
          </w:tcPr>
          <w:p>
            <w:pPr>
              <w:ind w:left="8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90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08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EBR Systems,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PRIME+4.90%, 8.90%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40,037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40,511</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 (16)</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4.50%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Mingle Healthcare</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SOFR+9.75%, 12.26%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12/15/2026</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4,322</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4,952</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2,148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(27)</w:t>
            </w: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Solutions, Inc.</w:t>
            </w: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10.50%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Nalu Medical,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PRIME+2.70%, 6.70%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10/12/2027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20,902</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21,047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21,431</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 PIK, 4.50%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SOFR+6.50%, 10.75%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6/15/2028</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17,088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16,682</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16,786</w:t>
            </w:r>
          </w:p>
        </w:tc>
        <w:tc>
          <w:tcPr>
            <w:tcW w:w="92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(11)</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2.50%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(12)</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(17)</w:t>
            </w: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Route 92 Medical,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SOFR+8.48%, 8.98%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8/17/2021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7/1/2026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35,000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34,983</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35,682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3.95%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SetPoint Medical</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SOFR+5.75%, 9.00%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12/1/2027</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25,236</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25,817</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Corporation</w:t>
            </w: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4.00%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Technology - 27.65%*</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142,937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142,375</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SOFR+8.50% PIK, 9.00%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11/15/2025</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3,732</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3,774</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3,431</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(27)</w:t>
            </w:r>
          </w:p>
        </w:tc>
      </w:tr>
      <w:tr>
        <w:trPr>
          <w:trHeight w:val="168"/>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Snagajob.com, Inc.)</w:t>
            </w: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4840" w:type="dxa"/>
            <w:vAlign w:val="bottom"/>
            <w:gridSpan w:val="3"/>
          </w:tcPr>
          <w:p>
            <w:pPr>
              <w:ind w:left="34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- 0.67%*</w:t>
            </w: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3,774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3,431</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Madison Reed,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PRIME+4.75%, 11.00%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12/16/2026</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16,234</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16,235</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16,383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11.00% cash cap, 3.00%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SOFR+8.50% PIK, 9.26%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6/30/2021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6/15/2027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38,809</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38,807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34,120</w:t>
            </w:r>
          </w:p>
        </w:tc>
        <w:tc>
          <w:tcPr>
            <w:tcW w:w="9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(10)</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w:t>
            </w:r>
          </w:p>
        </w:tc>
      </w:tr>
      <w:tr>
        <w:trPr>
          <w:trHeight w:val="156"/>
        </w:trPr>
        <w:tc>
          <w:tcPr>
            <w:tcW w:w="48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- 9.81%*</w:t>
            </w: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55,042</w:t>
            </w:r>
          </w:p>
        </w:tc>
        <w:tc>
          <w:tcPr>
            <w:tcW w:w="10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50,503</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Bombora,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SOFR+4.75%, 6.75%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12/26/2023</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1/15/2028</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28,911</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28,876</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29,058</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3.25% PIK, 0.96%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CarNow,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SOFR+7.25%, 11.75%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3/22/2029</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17,791</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17,658</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1.60%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Skillshare,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SOFR+6.50%, 10.72%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11/8/2026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27,600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27,875</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27,555</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3.00%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Synack, Inc.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SOFR+7.00%, 11.07%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12/29/2028</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42,500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42,331</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42,520</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Zinnia Corporate Holdings,</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SOFR+8.00%, 10.00%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9/23/2024</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9/21/2029</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40,000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39,244</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39,244</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(12)</w:t>
            </w:r>
          </w:p>
        </w:tc>
        <w:tc>
          <w:tcPr>
            <w:tcW w:w="580" w:type="dxa"/>
            <w:vAlign w:val="bottom"/>
          </w:tcPr>
          <w:p>
            <w:pPr>
              <w:spacing w:after="0"/>
              <w:rPr>
                <w:sz w:val="12"/>
                <w:szCs w:val="12"/>
                <w:color w:val="auto"/>
              </w:rPr>
            </w:pPr>
          </w:p>
        </w:tc>
      </w:tr>
      <w:tr>
        <w:trPr>
          <w:trHeight w:val="168"/>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LLC</w:t>
            </w:r>
          </w:p>
        </w:tc>
        <w:tc>
          <w:tcPr>
            <w:tcW w:w="10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8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- 30.31%*</w:t>
            </w: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156,117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156,035</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Kin Insurance,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PRIME+6.25%, 12.50%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9/15/2026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75,000</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75,912</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76,626</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3.30%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84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- 14.88%*</w:t>
            </w: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75,912</w:t>
            </w:r>
          </w:p>
        </w:tc>
        <w:tc>
          <w:tcPr>
            <w:tcW w:w="10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76,626</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080" w:type="dxa"/>
            <w:vAlign w:val="bottom"/>
            <w:shd w:val="clear" w:color="auto" w:fill="CFF0FC"/>
          </w:tcPr>
          <w:p>
            <w:pPr>
              <w:spacing w:after="0"/>
              <w:rPr>
                <w:sz w:val="13"/>
                <w:szCs w:val="13"/>
                <w:color w:val="auto"/>
              </w:rPr>
            </w:pP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3PL Central LLC (dba</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SOFR+4.50%, 6.50%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11/9/2022</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11/9/2027</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72,205</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72,307</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69,262</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(10)</w:t>
            </w:r>
          </w:p>
        </w:tc>
        <w:tc>
          <w:tcPr>
            <w:tcW w:w="58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(11) (12)</w:t>
            </w:r>
          </w:p>
        </w:tc>
      </w:tr>
      <w:tr>
        <w:trPr>
          <w:trHeight w:val="168"/>
        </w:trPr>
        <w:tc>
          <w:tcPr>
            <w:tcW w:w="186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Extensiv)</w:t>
            </w: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2.50% PIK, 2.34%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44"/>
        </w:trPr>
        <w:tc>
          <w:tcPr>
            <w:tcW w:w="186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Linxup, LLC</w:t>
            </w:r>
          </w:p>
        </w:tc>
        <w:tc>
          <w:tcPr>
            <w:tcW w:w="108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9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PRIME+3.25%, 11.75% floor,</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11/3/2023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11/15/2027</w:t>
            </w:r>
          </w:p>
        </w:tc>
        <w:tc>
          <w:tcPr>
            <w:tcW w:w="900" w:type="dxa"/>
            <w:vAlign w:val="bottom"/>
            <w:shd w:val="clear" w:color="auto" w:fill="CFF0FC"/>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30,000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29,779</w:t>
            </w:r>
          </w:p>
        </w:tc>
        <w:tc>
          <w:tcPr>
            <w:tcW w:w="106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30,607</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(11)</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(12)</w:t>
            </w:r>
          </w:p>
        </w:tc>
      </w:tr>
      <w:tr>
        <w:trPr>
          <w:trHeight w:val="168"/>
        </w:trPr>
        <w:tc>
          <w:tcPr>
            <w:tcW w:w="18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2.25% ETP</w:t>
            </w:r>
          </w:p>
        </w:tc>
        <w:tc>
          <w:tcPr>
            <w:tcW w:w="92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44"/>
        </w:trPr>
        <w:tc>
          <w:tcPr>
            <w:tcW w:w="186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Dejero Labs Inc.</w:t>
            </w:r>
          </w:p>
        </w:tc>
        <w:tc>
          <w:tcPr>
            <w:tcW w:w="108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Second Lien</w:t>
            </w:r>
          </w:p>
        </w:tc>
        <w:tc>
          <w:tcPr>
            <w:tcW w:w="19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SOFR+8.00%, 8.50% floor,</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12/22/2025</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14,463</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14,696</w:t>
            </w:r>
          </w:p>
        </w:tc>
        <w:tc>
          <w:tcPr>
            <w:tcW w:w="1060" w:type="dxa"/>
            <w:vAlign w:val="bottom"/>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14,403</w:t>
            </w:r>
          </w:p>
        </w:tc>
        <w:tc>
          <w:tcPr>
            <w:tcW w:w="92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(7) (9) (10)</w:t>
            </w:r>
          </w:p>
        </w:tc>
      </w:tr>
      <w:tr>
        <w:trPr>
          <w:trHeight w:val="168"/>
        </w:trPr>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2.00% PIK, 3.00% ETP</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(11)</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w:t>
            </w:r>
          </w:p>
        </w:tc>
      </w:tr>
      <w:tr>
        <w:trPr>
          <w:trHeight w:val="156"/>
        </w:trPr>
        <w:tc>
          <w:tcPr>
            <w:tcW w:w="29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System Software - 22.19%*</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116,782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114,272</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40" w:type="dxa"/>
            <w:vAlign w:val="bottom"/>
            <w:gridSpan w:val="2"/>
          </w:tcPr>
          <w:p>
            <w:pPr>
              <w:spacing w:after="0"/>
              <w:rPr>
                <w:sz w:val="13"/>
                <w:szCs w:val="13"/>
                <w:color w:val="auto"/>
              </w:rPr>
            </w:pPr>
          </w:p>
        </w:tc>
        <w:tc>
          <w:tcPr>
            <w:tcW w:w="1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3"/>
                <w:szCs w:val="13"/>
                <w:b w:val="1"/>
                <w:bCs w:val="1"/>
                <w:color w:val="auto"/>
              </w:rPr>
              <w:t>Total Debt Investments - 183.16%*</w:t>
            </w:r>
          </w:p>
        </w:tc>
        <w:tc>
          <w:tcPr>
            <w:tcW w:w="19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960,366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943,027</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6" w:name="page17"/>
    <w:bookmarkEnd w:id="1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60" w:type="dxa"/>
            <w:vAlign w:val="bottom"/>
          </w:tcPr>
          <w:p>
            <w:pPr>
              <w:spacing w:after="0"/>
              <w:rPr>
                <w:sz w:val="13"/>
                <w:szCs w:val="13"/>
                <w:color w:val="auto"/>
              </w:rPr>
            </w:pPr>
          </w:p>
        </w:tc>
        <w:tc>
          <w:tcPr>
            <w:tcW w:w="88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5"/>
        </w:trPr>
        <w:tc>
          <w:tcPr>
            <w:tcW w:w="1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8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92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6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w w:val="98"/>
              </w:rPr>
              <w:t>Maturity</w:t>
            </w:r>
          </w:p>
        </w:tc>
        <w:tc>
          <w:tcPr>
            <w:tcW w:w="880" w:type="dxa"/>
            <w:vAlign w:val="bottom"/>
          </w:tcPr>
          <w:p>
            <w:pPr>
              <w:jc w:val="center"/>
              <w:ind w:right="7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60" w:type="dxa"/>
            <w:vAlign w:val="bottom"/>
          </w:tcPr>
          <w:p>
            <w:pPr>
              <w:spacing w:after="0"/>
              <w:rPr>
                <w:sz w:val="12"/>
                <w:szCs w:val="12"/>
                <w:color w:val="auto"/>
              </w:rPr>
            </w:pPr>
          </w:p>
        </w:tc>
        <w:tc>
          <w:tcPr>
            <w:tcW w:w="1080" w:type="dxa"/>
            <w:vAlign w:val="bottom"/>
          </w:tcPr>
          <w:p>
            <w:pPr>
              <w:jc w:val="right"/>
              <w:ind w:right="41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1"/>
        </w:trPr>
        <w:tc>
          <w:tcPr>
            <w:tcW w:w="1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88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6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80" w:type="dxa"/>
            <w:vAlign w:val="bottom"/>
          </w:tcPr>
          <w:p>
            <w:pPr>
              <w:jc w:val="right"/>
              <w:ind w:right="19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80" w:type="dxa"/>
            <w:vAlign w:val="bottom"/>
            <w:gridSpan w:val="2"/>
          </w:tcPr>
          <w:p>
            <w:pPr>
              <w:ind w:left="26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Advertising</w:t>
            </w: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Minute Media Inc.</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1,039</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120</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136</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12/13/2023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136</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16</w:t>
            </w:r>
          </w:p>
        </w:tc>
        <w:tc>
          <w:tcPr>
            <w:tcW w:w="98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Total Advertising - 0.03%*</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136</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152</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Aria Systems,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G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7/10/2018</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289,419</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250</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FiscalNote, Inc.</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10/19/2020</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230,881</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438</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247</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(19)</w:t>
            </w:r>
          </w:p>
        </w:tc>
      </w:tr>
      <w:tr>
        <w:trPr>
          <w:trHeight w:val="144"/>
        </w:trPr>
        <w:tc>
          <w:tcPr>
            <w:tcW w:w="186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VTX Holdings, LLC</w:t>
            </w:r>
          </w:p>
        </w:tc>
        <w:tc>
          <w:tcPr>
            <w:tcW w:w="10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C Preferred Units</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3,015,21</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10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143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2"/>
                <w:szCs w:val="12"/>
                <w:color w:val="auto"/>
              </w:rPr>
            </w:pPr>
          </w:p>
        </w:tc>
      </w:tr>
      <w:tr>
        <w:trPr>
          <w:trHeight w:val="172"/>
        </w:trPr>
        <w:tc>
          <w:tcPr>
            <w:tcW w:w="18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9</w:t>
            </w: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80"/>
        </w:trPr>
        <w:tc>
          <w:tcPr>
            <w:tcW w:w="2900" w:type="dxa"/>
            <w:vAlign w:val="bottom"/>
            <w:gridSpan w:val="2"/>
            <w:shd w:val="clear" w:color="auto" w:fill="CFF0FC"/>
          </w:tcPr>
          <w:p>
            <w:pPr>
              <w:spacing w:after="0"/>
              <w:rPr>
                <w:sz w:val="6"/>
                <w:szCs w:val="6"/>
                <w:color w:val="auto"/>
              </w:rPr>
            </w:pPr>
          </w:p>
        </w:tc>
        <w:tc>
          <w:tcPr>
            <w:tcW w:w="188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860" w:type="dxa"/>
            <w:vAlign w:val="bottom"/>
            <w:shd w:val="clear" w:color="auto" w:fill="CFF0FC"/>
          </w:tcPr>
          <w:p>
            <w:pPr>
              <w:spacing w:after="0"/>
              <w:rPr>
                <w:sz w:val="6"/>
                <w:szCs w:val="6"/>
                <w:color w:val="auto"/>
              </w:rPr>
            </w:pPr>
          </w:p>
        </w:tc>
        <w:tc>
          <w:tcPr>
            <w:tcW w:w="880" w:type="dxa"/>
            <w:vAlign w:val="bottom"/>
            <w:shd w:val="clear" w:color="auto" w:fill="CFF0FC"/>
          </w:tcPr>
          <w:p>
            <w:pPr>
              <w:spacing w:after="0"/>
              <w:rPr>
                <w:sz w:val="6"/>
                <w:szCs w:val="6"/>
                <w:color w:val="auto"/>
              </w:rPr>
            </w:pPr>
          </w:p>
        </w:tc>
        <w:tc>
          <w:tcPr>
            <w:tcW w:w="1060" w:type="dxa"/>
            <w:vAlign w:val="bottom"/>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- 0.13%*</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831</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653</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4"/>
        </w:trPr>
        <w:tc>
          <w:tcPr>
            <w:tcW w:w="186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CareCloud, Inc.</w:t>
            </w:r>
          </w:p>
        </w:tc>
        <w:tc>
          <w:tcPr>
            <w:tcW w:w="10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11% Series A Cumulative</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1/8/2020</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462,064</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12,132</w:t>
            </w:r>
          </w:p>
        </w:tc>
        <w:tc>
          <w:tcPr>
            <w:tcW w:w="108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9,181</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(15)</w:t>
            </w:r>
          </w:p>
        </w:tc>
        <w:tc>
          <w:tcPr>
            <w:tcW w:w="6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(19)</w:t>
            </w: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Redeemable Perpetual Preferred</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68"/>
        </w:trPr>
        <w:tc>
          <w:tcPr>
            <w:tcW w:w="18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Stock</w:t>
            </w:r>
          </w:p>
        </w:tc>
        <w:tc>
          <w:tcPr>
            <w:tcW w:w="9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Healthcare Technology - 1.78%*</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12,132</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9,181</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4"/>
        </w:trPr>
        <w:tc>
          <w:tcPr>
            <w:tcW w:w="1860" w:type="dxa"/>
            <w:vAlign w:val="bottom"/>
            <w:shd w:val="clear" w:color="auto" w:fill="CFF0FC"/>
          </w:tcPr>
          <w:p>
            <w:pPr>
              <w:ind w:left="30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0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92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11/15/2024</w:t>
            </w:r>
          </w:p>
        </w:tc>
        <w:tc>
          <w:tcPr>
            <w:tcW w:w="86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389,048</w:t>
            </w:r>
          </w:p>
        </w:tc>
        <w:tc>
          <w:tcPr>
            <w:tcW w:w="1060" w:type="dxa"/>
            <w:vAlign w:val="bottom"/>
            <w:shd w:val="clear" w:color="auto" w:fill="CFF0FC"/>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36,502</w:t>
            </w:r>
          </w:p>
        </w:tc>
        <w:tc>
          <w:tcPr>
            <w:tcW w:w="1080" w:type="dxa"/>
            <w:vAlign w:val="bottom"/>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35,563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(29)</w:t>
            </w:r>
          </w:p>
        </w:tc>
      </w:tr>
      <w:tr>
        <w:trPr>
          <w:trHeight w:val="168"/>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Snagajob.com, Inc.)</w:t>
            </w:r>
          </w:p>
        </w:tc>
        <w:tc>
          <w:tcPr>
            <w:tcW w:w="104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r>
      <w:tr>
        <w:trPr>
          <w:trHeight w:val="156"/>
        </w:trPr>
        <w:tc>
          <w:tcPr>
            <w:tcW w:w="18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C-2 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11/15/2024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16,963</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(29)</w:t>
            </w:r>
          </w:p>
        </w:tc>
      </w:tr>
      <w:tr>
        <w:trPr>
          <w:trHeight w:val="156"/>
        </w:trPr>
        <w:tc>
          <w:tcPr>
            <w:tcW w:w="4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- 6.91%*</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36,502</w:t>
            </w:r>
          </w:p>
        </w:tc>
        <w:tc>
          <w:tcPr>
            <w:tcW w:w="10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35,563</w:t>
            </w: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Marley Spoon SE</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7/7/2023</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46,004</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410</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43</w:t>
            </w:r>
          </w:p>
        </w:tc>
        <w:tc>
          <w:tcPr>
            <w:tcW w:w="9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(6) (9) (13) (18)</w:t>
            </w: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(19)</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4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- 0.01%*</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410</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Quantum Corporation</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8/13/2021</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22,986</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2,607</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1,239</w:t>
            </w:r>
          </w:p>
        </w:tc>
        <w:tc>
          <w:tcPr>
            <w:tcW w:w="980" w:type="dxa"/>
            <w:vAlign w:val="bottom"/>
            <w:gridSpan w:val="2"/>
          </w:tcPr>
          <w:p>
            <w:pPr>
              <w:ind w:left="100"/>
              <w:spacing w:after="0" w:line="144" w:lineRule="exact"/>
              <w:rPr>
                <w:sz w:val="20"/>
                <w:szCs w:val="20"/>
                <w:color w:val="auto"/>
              </w:rPr>
            </w:pPr>
            <w:r>
              <w:rPr>
                <w:rFonts w:ascii="Times New Roman" w:cs="Times New Roman" w:eastAsia="Times New Roman" w:hAnsi="Times New Roman"/>
                <w:sz w:val="13"/>
                <w:szCs w:val="13"/>
                <w:color w:val="auto"/>
              </w:rPr>
              <w:t>(9) (13) (15)</w:t>
            </w: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(19)</w:t>
            </w: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zSpace,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12/31/2020</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81,046</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1,119</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1,288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478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- 0.49%*</w:t>
            </w: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3,726</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2,527</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- 9.35%*</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53,737</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48,119</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0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040" w:type="dxa"/>
            <w:vAlign w:val="bottom"/>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3DNA Corp. (dba</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C-1 Preferred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12/28/2018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12/28/2028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273,164</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104</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2"/>
                <w:szCs w:val="12"/>
                <w:color w:val="auto"/>
              </w:rPr>
            </w:pPr>
          </w:p>
        </w:tc>
      </w:tr>
      <w:tr>
        <w:trPr>
          <w:trHeight w:val="168"/>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NationBuilder)</w:t>
            </w: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Airship Group,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F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6/28/2024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6/28/2034</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519,313</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414</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499</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Aria Systems, Inc.</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G Preferred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2,387,70</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1,048</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1,159</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2"/>
                <w:szCs w:val="12"/>
                <w:color w:val="auto"/>
              </w:rPr>
            </w:pP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5</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Blueshift Labs,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12/19/2023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167</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44"/>
        </w:trPr>
        <w:tc>
          <w:tcPr>
            <w:tcW w:w="1860" w:type="dxa"/>
            <w:vAlign w:val="bottom"/>
          </w:tcPr>
          <w:p>
            <w:pPr>
              <w:ind w:left="300"/>
              <w:spacing w:after="0" w:line="144" w:lineRule="exact"/>
              <w:rPr>
                <w:sz w:val="20"/>
                <w:szCs w:val="20"/>
                <w:color w:val="auto"/>
              </w:rPr>
            </w:pPr>
            <w:r>
              <w:rPr>
                <w:rFonts w:ascii="Times New Roman" w:cs="Times New Roman" w:eastAsia="Times New Roman" w:hAnsi="Times New Roman"/>
                <w:sz w:val="13"/>
                <w:szCs w:val="13"/>
                <w:color w:val="auto"/>
              </w:rPr>
              <w:t>Circadence Corporation</w:t>
            </w:r>
          </w:p>
        </w:tc>
        <w:tc>
          <w:tcPr>
            <w:tcW w:w="104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Series A-6 Preferred Stock</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12/20/2018</w:t>
            </w:r>
          </w:p>
        </w:tc>
        <w:tc>
          <w:tcPr>
            <w:tcW w:w="86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12/20/2028</w:t>
            </w:r>
          </w:p>
        </w:tc>
        <w:tc>
          <w:tcPr>
            <w:tcW w:w="88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1,538,46</w:t>
            </w:r>
          </w:p>
        </w:tc>
        <w:tc>
          <w:tcPr>
            <w:tcW w:w="1060" w:type="dxa"/>
            <w:vAlign w:val="bottom"/>
          </w:tcPr>
          <w:p>
            <w:pPr>
              <w:jc w:val="right"/>
              <w:ind w:right="114"/>
              <w:spacing w:after="0" w:line="144" w:lineRule="exact"/>
              <w:rPr>
                <w:sz w:val="20"/>
                <w:szCs w:val="20"/>
                <w:color w:val="auto"/>
              </w:rPr>
            </w:pPr>
            <w:r>
              <w:rPr>
                <w:rFonts w:ascii="Times New Roman" w:cs="Times New Roman" w:eastAsia="Times New Roman" w:hAnsi="Times New Roman"/>
                <w:sz w:val="13"/>
                <w:szCs w:val="13"/>
                <w:color w:val="auto"/>
              </w:rPr>
              <w:t>3,630</w:t>
            </w:r>
          </w:p>
        </w:tc>
        <w:tc>
          <w:tcPr>
            <w:tcW w:w="108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298</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2"/>
                <w:szCs w:val="12"/>
                <w:color w:val="auto"/>
              </w:rPr>
            </w:pPr>
          </w:p>
        </w:tc>
      </w:tr>
      <w:tr>
        <w:trPr>
          <w:trHeight w:val="168"/>
        </w:trPr>
        <w:tc>
          <w:tcPr>
            <w:tcW w:w="1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1860" w:type="dxa"/>
            <w:vAlign w:val="bottom"/>
            <w:shd w:val="clear" w:color="auto" w:fill="CFF0FC"/>
          </w:tcPr>
          <w:p>
            <w:pPr>
              <w:spacing w:after="0"/>
              <w:rPr>
                <w:sz w:val="13"/>
                <w:szCs w:val="13"/>
                <w:color w:val="auto"/>
              </w:rPr>
            </w:pP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A-6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10/31/2019</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10/31/2029</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384,615</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846</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Success fee</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12/21/2023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304</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FiscalNote,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Earnout</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7/29/2022</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7/29/2027</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N/A</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127</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(21)</w:t>
            </w:r>
          </w:p>
        </w:tc>
      </w:tr>
      <w:tr>
        <w:trPr>
          <w:trHeight w:val="156"/>
        </w:trPr>
        <w:tc>
          <w:tcPr>
            <w:tcW w:w="186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Piano Software, Inc.</w:t>
            </w: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Series D Preferred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12/31/2024</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12/31/2034</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119,978</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348</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348</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Snap! Mobile,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Series B Preferred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9/30/2024</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9/30/2034</w:t>
            </w: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19,140</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345</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Total Application Software - 0.58%*</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7,333</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2,961</w:t>
            </w: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2900" w:type="dxa"/>
            <w:vAlign w:val="bottom"/>
            <w:gridSpan w:val="2"/>
            <w:shd w:val="clear" w:color="auto" w:fill="CFF0FC"/>
          </w:tcPr>
          <w:p>
            <w:pPr>
              <w:spacing w:after="0"/>
              <w:rPr>
                <w:sz w:val="13"/>
                <w:szCs w:val="13"/>
                <w:color w:val="auto"/>
              </w:rPr>
            </w:pPr>
          </w:p>
        </w:tc>
        <w:tc>
          <w:tcPr>
            <w:tcW w:w="18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r>
        <w:trPr>
          <w:trHeight w:val="156"/>
        </w:trPr>
        <w:tc>
          <w:tcPr>
            <w:tcW w:w="290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Asset Management &amp; Custody Banks</w:t>
            </w:r>
          </w:p>
        </w:tc>
        <w:tc>
          <w:tcPr>
            <w:tcW w:w="1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6"/>
        </w:trPr>
        <w:tc>
          <w:tcPr>
            <w:tcW w:w="1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3"/>
                <w:szCs w:val="13"/>
                <w:color w:val="auto"/>
              </w:rPr>
              <w:t>Betterment Holdings, Inc.</w:t>
            </w:r>
          </w:p>
        </w:tc>
        <w:tc>
          <w:tcPr>
            <w:tcW w:w="1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7,680</w:t>
            </w: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35</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shd w:val="clear" w:color="auto" w:fill="CFF0FC"/>
          </w:tcPr>
          <w:p>
            <w:pPr>
              <w:spacing w:after="0"/>
              <w:rPr>
                <w:sz w:val="13"/>
                <w:szCs w:val="13"/>
                <w:color w:val="auto"/>
              </w:rPr>
            </w:pPr>
          </w:p>
        </w:tc>
      </w:tr>
      <w:tr>
        <w:trPr>
          <w:trHeight w:val="156"/>
        </w:trPr>
        <w:tc>
          <w:tcPr>
            <w:tcW w:w="1860" w:type="dxa"/>
            <w:vAlign w:val="bottom"/>
          </w:tcPr>
          <w:p>
            <w:pPr>
              <w:spacing w:after="0"/>
              <w:rPr>
                <w:sz w:val="13"/>
                <w:szCs w:val="13"/>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Warrants</w:t>
            </w:r>
          </w:p>
        </w:tc>
        <w:tc>
          <w:tcPr>
            <w:tcW w:w="188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Common 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10/6/2023</w:t>
            </w:r>
          </w:p>
        </w:tc>
        <w:tc>
          <w:tcPr>
            <w:tcW w:w="8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10/6/2033</w:t>
            </w:r>
          </w:p>
        </w:tc>
        <w:tc>
          <w:tcPr>
            <w:tcW w:w="88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9,818</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40</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640" w:type="dxa"/>
            <w:vAlign w:val="bottom"/>
          </w:tcPr>
          <w:p>
            <w:pPr>
              <w:spacing w:after="0"/>
              <w:rPr>
                <w:sz w:val="13"/>
                <w:szCs w:val="13"/>
                <w:color w:val="auto"/>
              </w:rPr>
            </w:pPr>
          </w:p>
        </w:tc>
      </w:tr>
      <w:tr>
        <w:trPr>
          <w:trHeight w:val="156"/>
        </w:trPr>
        <w:tc>
          <w:tcPr>
            <w:tcW w:w="47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3"/>
                <w:szCs w:val="13"/>
                <w:b w:val="1"/>
                <w:bCs w:val="1"/>
                <w:color w:val="auto"/>
              </w:rPr>
              <w:t>Total Asset Management &amp; Custody Banks - 0.03%*</w:t>
            </w:r>
          </w:p>
        </w:tc>
        <w:tc>
          <w:tcPr>
            <w:tcW w:w="9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75</w:t>
            </w:r>
          </w:p>
        </w:tc>
        <w:tc>
          <w:tcPr>
            <w:tcW w:w="10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138</w:t>
            </w: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7" w:name="page18"/>
    <w:bookmarkEnd w:id="1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45"/>
        </w:trPr>
        <w:tc>
          <w:tcPr>
            <w:tcW w:w="18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tcPr>
          <w:p>
            <w:pPr>
              <w:ind w:left="56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80" w:type="dxa"/>
            <w:vAlign w:val="bottom"/>
          </w:tcPr>
          <w:p>
            <w:pPr>
              <w:jc w:val="center"/>
              <w:ind w:left="5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1"/>
        </w:trPr>
        <w:tc>
          <w:tcPr>
            <w:tcW w:w="18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0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700" w:type="dxa"/>
            <w:vAlign w:val="bottom"/>
          </w:tcPr>
          <w:p>
            <w:pPr>
              <w:ind w:left="42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r>
      <w:tr>
        <w:trPr>
          <w:trHeight w:val="156"/>
        </w:trPr>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Biotechnology</w:t>
            </w:r>
          </w:p>
        </w:tc>
        <w:tc>
          <w:tcPr>
            <w:tcW w:w="11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Mustang Bio,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w w:val="99"/>
              </w:rPr>
              <w:t>3/4/2022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3/4/2032</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49,869</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(15)</w:t>
            </w: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TRACON Pharmaceuticals,</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w w:val="99"/>
              </w:rPr>
              <w:t>9/2/2022</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9/2/2032</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7,538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226</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Inc.</w:t>
            </w: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Biotechnology - 0.00%*</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541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Computer &amp; Electronics Retail</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Massdrop, Inc.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7/22/2019</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7/22/2029</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848,093</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Computer &amp; Electronics Retail - 0.00%*</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183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Elevate Services, Inc.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7/10/2023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7/10/2033</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248,997</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447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398</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7/17/2024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7/17/2034</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74,700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118</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119</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Interactions Corporation</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6/24/2022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189,408</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44"/>
        </w:trPr>
        <w:tc>
          <w:tcPr>
            <w:tcW w:w="18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Predactiv, Inc. (fka</w:t>
            </w:r>
          </w:p>
        </w:tc>
        <w:tc>
          <w:tcPr>
            <w:tcW w:w="11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D-3 Preferred Stock</w:t>
            </w:r>
          </w:p>
        </w:tc>
        <w:tc>
          <w:tcPr>
            <w:tcW w:w="1080" w:type="dxa"/>
            <w:vAlign w:val="bottom"/>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12/3/2018</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12/3/2028</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647,615</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2,162</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90</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Sharethis, Inc.)</w:t>
            </w: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6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- 0.12%*</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2,946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620</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Electronic Equipment &amp; Instruments</w:t>
            </w: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Brivo,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10/20/2022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10/20/2032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201,000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98</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269</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spacing w:after="0"/>
              <w:rPr>
                <w:sz w:val="13"/>
                <w:szCs w:val="13"/>
                <w:color w:val="auto"/>
              </w:rPr>
            </w:pP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A-2 Preferred Stock</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12/27/2024</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12/27/2034</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32,109</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Epic IO Technologies,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12/17/2021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12/17/2028</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505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46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Electronic Equipment &amp; Instruments - 0.13%*</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646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646</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Equipment</w:t>
            </w:r>
          </w:p>
        </w:tc>
        <w:tc>
          <w:tcPr>
            <w:tcW w:w="11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Moximed,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C Preferred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6/24/2022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6/24/2032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214,285</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Equipment - 0.00%*</w:t>
            </w: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175</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00" w:type="dxa"/>
            <w:vAlign w:val="bottom"/>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Allurion Technologies,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3/30/2021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132,979</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282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(28)</w:t>
            </w:r>
          </w:p>
        </w:tc>
      </w:tr>
      <w:tr>
        <w:trPr>
          <w:trHeight w:val="156"/>
        </w:trPr>
        <w:tc>
          <w:tcPr>
            <w:tcW w:w="1880" w:type="dxa"/>
            <w:vAlign w:val="bottom"/>
            <w:shd w:val="clear" w:color="auto" w:fill="CFF0FC"/>
          </w:tcPr>
          <w:p>
            <w:pPr>
              <w:spacing w:after="0"/>
              <w:rPr>
                <w:sz w:val="13"/>
                <w:szCs w:val="13"/>
                <w:color w:val="auto"/>
              </w:rPr>
            </w:pP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6/14/2022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3/30/2031</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46,256</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141</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(14) (28)</w:t>
            </w: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9/15/2022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9/15/2032</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46,256</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144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(14) (28)</w:t>
            </w:r>
          </w:p>
        </w:tc>
      </w:tr>
      <w:tr>
        <w:trPr>
          <w:trHeight w:val="144"/>
        </w:trPr>
        <w:tc>
          <w:tcPr>
            <w:tcW w:w="1880" w:type="dxa"/>
            <w:vAlign w:val="bottom"/>
            <w:shd w:val="clear" w:color="auto" w:fill="CFF0FC"/>
          </w:tcPr>
          <w:p>
            <w:pPr>
              <w:spacing w:after="0"/>
              <w:rPr>
                <w:sz w:val="12"/>
                <w:szCs w:val="12"/>
                <w:color w:val="auto"/>
              </w:rPr>
            </w:pP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Earnout</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w w:val="99"/>
              </w:rPr>
              <w:t>8/2/2023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8/1/2028</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(14) (21)</w:t>
            </w:r>
          </w:p>
        </w:tc>
      </w:tr>
      <w:tr>
        <w:trPr>
          <w:trHeight w:val="168"/>
        </w:trPr>
        <w:tc>
          <w:tcPr>
            <w:tcW w:w="1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(28)</w:t>
            </w:r>
          </w:p>
        </w:tc>
        <w:tc>
          <w:tcPr>
            <w:tcW w:w="580" w:type="dxa"/>
            <w:vAlign w:val="bottom"/>
            <w:shd w:val="clear" w:color="auto" w:fill="CFF0FC"/>
          </w:tcPr>
          <w:p>
            <w:pPr>
              <w:spacing w:after="0"/>
              <w:rPr>
                <w:sz w:val="14"/>
                <w:szCs w:val="14"/>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EBR Systems,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6/30/2022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605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617</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(16) (21)</w:t>
            </w: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Mingle Healthcare</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CC Preferred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8/15/2018</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8/15/2028</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1,770,97</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492</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Solutions, Inc.</w:t>
            </w: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w:t>
            </w: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Nalu Medical,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D-2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10/12/2022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10/12/2032</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91,717</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70</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Onward Medical, N.V.</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6/28/2024</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9/26/2034</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165,338</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340</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417</w:t>
            </w:r>
          </w:p>
        </w:tc>
        <w:tc>
          <w:tcPr>
            <w:tcW w:w="920" w:type="dxa"/>
            <w:vAlign w:val="bottom"/>
            <w:gridSpan w:val="2"/>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(8) (9) (13)</w:t>
            </w:r>
          </w:p>
        </w:tc>
      </w:tr>
      <w:tr>
        <w:trPr>
          <w:trHeight w:val="168"/>
        </w:trPr>
        <w:tc>
          <w:tcPr>
            <w:tcW w:w="188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(17)</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Route 92 Medical, Inc.</w:t>
            </w: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8/17/2021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835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44"/>
        </w:trPr>
        <w:tc>
          <w:tcPr>
            <w:tcW w:w="1880" w:type="dxa"/>
            <w:vAlign w:val="bottom"/>
            <w:shd w:val="clear" w:color="auto" w:fill="CFF0FC"/>
          </w:tcPr>
          <w:p>
            <w:pPr>
              <w:ind w:left="340"/>
              <w:spacing w:after="0" w:line="144" w:lineRule="exact"/>
              <w:rPr>
                <w:sz w:val="20"/>
                <w:szCs w:val="20"/>
                <w:color w:val="auto"/>
              </w:rPr>
            </w:pPr>
            <w:r>
              <w:rPr>
                <w:rFonts w:ascii="Times New Roman" w:cs="Times New Roman" w:eastAsia="Times New Roman" w:hAnsi="Times New Roman"/>
                <w:sz w:val="13"/>
                <w:szCs w:val="13"/>
                <w:color w:val="auto"/>
              </w:rPr>
              <w:t>SetPoint Medical</w:t>
            </w:r>
          </w:p>
        </w:tc>
        <w:tc>
          <w:tcPr>
            <w:tcW w:w="110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6/29/2021</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6/29/2031</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400,000</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14</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223</w:t>
            </w:r>
          </w:p>
        </w:tc>
        <w:tc>
          <w:tcPr>
            <w:tcW w:w="34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spacing w:after="0"/>
              <w:rPr>
                <w:sz w:val="12"/>
                <w:szCs w:val="12"/>
                <w:color w:val="auto"/>
              </w:rPr>
            </w:pPr>
          </w:p>
        </w:tc>
      </w:tr>
      <w:tr>
        <w:trPr>
          <w:trHeight w:val="168"/>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Corporation</w:t>
            </w:r>
          </w:p>
        </w:tc>
        <w:tc>
          <w:tcPr>
            <w:tcW w:w="1100" w:type="dxa"/>
            <w:vAlign w:val="bottom"/>
            <w:shd w:val="clear" w:color="auto" w:fill="CFF0FC"/>
          </w:tcPr>
          <w:p>
            <w:pPr>
              <w:spacing w:after="0"/>
              <w:rPr>
                <w:sz w:val="14"/>
                <w:szCs w:val="14"/>
                <w:color w:val="auto"/>
              </w:rPr>
            </w:pPr>
          </w:p>
        </w:tc>
        <w:tc>
          <w:tcPr>
            <w:tcW w:w="170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12/29/2022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12/29/2032</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600,000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334</w:t>
            </w:r>
          </w:p>
        </w:tc>
        <w:tc>
          <w:tcPr>
            <w:tcW w:w="3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VERO Biotech LLC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12/29/2020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12/29/2025</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377</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114</w:t>
            </w:r>
          </w:p>
        </w:tc>
        <w:tc>
          <w:tcPr>
            <w:tcW w:w="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(21)</w:t>
            </w: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Total Healthcare Technology - 0.50%*</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3,477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2,560</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2980" w:type="dxa"/>
            <w:vAlign w:val="bottom"/>
            <w:gridSpan w:val="2"/>
            <w:shd w:val="clear" w:color="auto" w:fill="CFF0FC"/>
          </w:tcPr>
          <w:p>
            <w:pPr>
              <w:spacing w:after="0"/>
              <w:rPr>
                <w:sz w:val="13"/>
                <w:szCs w:val="13"/>
                <w:color w:val="auto"/>
              </w:rPr>
            </w:pPr>
          </w:p>
        </w:tc>
        <w:tc>
          <w:tcPr>
            <w:tcW w:w="17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r>
        <w:trPr>
          <w:trHeight w:val="156"/>
        </w:trPr>
        <w:tc>
          <w:tcPr>
            <w:tcW w:w="2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Human Resource &amp; Employment Services</w:t>
            </w:r>
          </w:p>
        </w:tc>
        <w:tc>
          <w:tcPr>
            <w:tcW w:w="1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6"/>
        </w:trPr>
        <w:tc>
          <w:tcPr>
            <w:tcW w:w="18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3"/>
                <w:szCs w:val="13"/>
                <w:color w:val="auto"/>
              </w:rPr>
              <w:t>CloudPay, Inc.</w:t>
            </w: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B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6/30/2020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6/30/2030</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11,273</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218</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1,343</w:t>
            </w:r>
          </w:p>
        </w:tc>
        <w:tc>
          <w:tcPr>
            <w:tcW w:w="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80" w:type="dxa"/>
            <w:vAlign w:val="bottom"/>
          </w:tcPr>
          <w:p>
            <w:pPr>
              <w:spacing w:after="0"/>
              <w:rPr>
                <w:sz w:val="13"/>
                <w:szCs w:val="13"/>
                <w:color w:val="auto"/>
              </w:rPr>
            </w:pPr>
          </w:p>
        </w:tc>
        <w:tc>
          <w:tcPr>
            <w:tcW w:w="1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8/17/2021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8/17/2031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3,502</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89</w:t>
            </w: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56"/>
        </w:trPr>
        <w:tc>
          <w:tcPr>
            <w:tcW w:w="1880" w:type="dxa"/>
            <w:vAlign w:val="bottom"/>
            <w:shd w:val="clear" w:color="auto" w:fill="CFF0FC"/>
          </w:tcPr>
          <w:p>
            <w:pPr>
              <w:spacing w:after="0"/>
              <w:rPr>
                <w:sz w:val="13"/>
                <w:szCs w:val="13"/>
                <w:color w:val="auto"/>
              </w:rPr>
            </w:pPr>
          </w:p>
        </w:tc>
        <w:tc>
          <w:tcPr>
            <w:tcW w:w="1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Series D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9/26/2022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5,252</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176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134</w:t>
            </w:r>
          </w:p>
        </w:tc>
        <w:tc>
          <w:tcPr>
            <w:tcW w:w="9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(5) (9) (13)</w:t>
            </w:r>
          </w:p>
        </w:tc>
      </w:tr>
      <w:tr>
        <w:trPr>
          <w:trHeight w:val="144"/>
        </w:trPr>
        <w:tc>
          <w:tcPr>
            <w:tcW w:w="1880" w:type="dxa"/>
            <w:vAlign w:val="bottom"/>
          </w:tcPr>
          <w:p>
            <w:pPr>
              <w:ind w:left="340"/>
              <w:spacing w:after="0" w:line="144" w:lineRule="exact"/>
              <w:rPr>
                <w:sz w:val="20"/>
                <w:szCs w:val="20"/>
                <w:color w:val="auto"/>
              </w:rPr>
            </w:pPr>
            <w:r>
              <w:rPr>
                <w:rFonts w:ascii="Times New Roman" w:cs="Times New Roman" w:eastAsia="Times New Roman" w:hAnsi="Times New Roman"/>
                <w:sz w:val="13"/>
                <w:szCs w:val="13"/>
                <w:color w:val="auto"/>
              </w:rPr>
              <w:t>JobGet Holdings, Inc. (fka</w:t>
            </w:r>
          </w:p>
        </w:tc>
        <w:tc>
          <w:tcPr>
            <w:tcW w:w="1100" w:type="dxa"/>
            <w:vAlign w:val="bottom"/>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700" w:type="dxa"/>
            <w:vAlign w:val="bottom"/>
          </w:tcPr>
          <w:p>
            <w:pPr>
              <w:ind w:left="20"/>
              <w:spacing w:after="0" w:line="144" w:lineRule="exact"/>
              <w:rPr>
                <w:sz w:val="20"/>
                <w:szCs w:val="20"/>
                <w:color w:val="auto"/>
              </w:rPr>
            </w:pPr>
            <w:r>
              <w:rPr>
                <w:rFonts w:ascii="Times New Roman" w:cs="Times New Roman" w:eastAsia="Times New Roman" w:hAnsi="Times New Roman"/>
                <w:sz w:val="13"/>
                <w:szCs w:val="13"/>
                <w:color w:val="auto"/>
              </w:rPr>
              <w:t>Series B-1 Preferred Stock</w:t>
            </w:r>
          </w:p>
        </w:tc>
        <w:tc>
          <w:tcPr>
            <w:tcW w:w="1080" w:type="dxa"/>
            <w:vAlign w:val="bottom"/>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9/29/2021</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9/29/2031</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763,269</w:t>
            </w:r>
          </w:p>
        </w:tc>
        <w:tc>
          <w:tcPr>
            <w:tcW w:w="1040" w:type="dxa"/>
            <w:vAlign w:val="bottom"/>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343</w:t>
            </w:r>
          </w:p>
        </w:tc>
        <w:tc>
          <w:tcPr>
            <w:tcW w:w="1060" w:type="dxa"/>
            <w:vAlign w:val="bottom"/>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580" w:type="dxa"/>
            <w:vAlign w:val="bottom"/>
          </w:tcPr>
          <w:p>
            <w:pPr>
              <w:spacing w:after="0"/>
              <w:rPr>
                <w:sz w:val="12"/>
                <w:szCs w:val="12"/>
                <w:color w:val="auto"/>
              </w:rPr>
            </w:pPr>
          </w:p>
        </w:tc>
      </w:tr>
      <w:tr>
        <w:trPr>
          <w:trHeight w:val="168"/>
        </w:trPr>
        <w:tc>
          <w:tcPr>
            <w:tcW w:w="1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Snagajob.com, Inc.)</w:t>
            </w:r>
          </w:p>
        </w:tc>
        <w:tc>
          <w:tcPr>
            <w:tcW w:w="1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4680" w:type="dxa"/>
            <w:vAlign w:val="bottom"/>
            <w:gridSpan w:val="3"/>
            <w:shd w:val="clear" w:color="auto" w:fill="CFF0FC"/>
          </w:tcPr>
          <w:p>
            <w:pPr>
              <w:ind w:left="340"/>
              <w:spacing w:after="0"/>
              <w:rPr>
                <w:sz w:val="20"/>
                <w:szCs w:val="20"/>
                <w:color w:val="auto"/>
              </w:rPr>
            </w:pPr>
            <w:r>
              <w:rPr>
                <w:rFonts w:ascii="Times New Roman" w:cs="Times New Roman" w:eastAsia="Times New Roman" w:hAnsi="Times New Roman"/>
                <w:sz w:val="13"/>
                <w:szCs w:val="13"/>
                <w:b w:val="1"/>
                <w:bCs w:val="1"/>
                <w:color w:val="auto"/>
              </w:rPr>
              <w:t>Total Human Resource &amp; Employment Services - 0.30%*</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789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1,566</w:t>
            </w:r>
          </w:p>
        </w:tc>
        <w:tc>
          <w:tcPr>
            <w:tcW w:w="34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8" w:name="page19"/>
    <w:bookmarkEnd w:id="1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900" w:type="dxa"/>
            <w:vAlign w:val="bottom"/>
          </w:tcPr>
          <w:p>
            <w:pPr>
              <w:jc w:val="center"/>
              <w:ind w:right="74"/>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80" w:type="dxa"/>
            <w:vAlign w:val="bottom"/>
          </w:tcPr>
          <w:p>
            <w:pPr>
              <w:ind w:left="5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80" w:type="dxa"/>
            <w:vAlign w:val="bottom"/>
          </w:tcPr>
          <w:p>
            <w:pPr>
              <w:jc w:val="center"/>
              <w:ind w:left="54"/>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040" w:type="dxa"/>
            <w:vAlign w:val="bottom"/>
          </w:tcPr>
          <w:p>
            <w:pPr>
              <w:spacing w:after="0"/>
              <w:rPr>
                <w:sz w:val="12"/>
                <w:szCs w:val="12"/>
                <w:color w:val="auto"/>
              </w:rPr>
            </w:pPr>
          </w:p>
        </w:tc>
        <w:tc>
          <w:tcPr>
            <w:tcW w:w="1060" w:type="dxa"/>
            <w:vAlign w:val="bottom"/>
          </w:tcPr>
          <w:p>
            <w:pPr>
              <w:jc w:val="right"/>
              <w:ind w:right="394"/>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680" w:type="dxa"/>
            <w:vAlign w:val="bottom"/>
          </w:tcPr>
          <w:p>
            <w:pPr>
              <w:ind w:left="40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Value ($) </w:t>
            </w:r>
            <w:r>
              <w:rPr>
                <w:rFonts w:ascii="Times New Roman" w:cs="Times New Roman" w:eastAsia="Times New Roman" w:hAnsi="Times New Roman"/>
                <w:sz w:val="16"/>
                <w:szCs w:val="16"/>
                <w:b w:val="1"/>
                <w:bCs w:val="1"/>
                <w:color w:val="auto"/>
                <w:vertAlign w:val="superscript"/>
              </w:rPr>
              <w:t>(3)</w:t>
            </w:r>
          </w:p>
        </w:tc>
        <w:tc>
          <w:tcPr>
            <w:tcW w:w="9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Non-Control/Non-Affiliate Investments</w:t>
            </w: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&amp; Direct Marketing Retail</w:t>
            </w: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Madison Reed,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12/16/2022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209</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183</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3"/>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&amp; Direct Marketing Retail - 0.04%*</w:t>
            </w: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209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183</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Internet Software and Services</w:t>
            </w: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Bombora,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3/31/2021</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3/31/2031</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121,581</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174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135</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12/26/2023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12/26/2033</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48,632</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54</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CarNow,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3/22/2024</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3/22/2034</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200,000</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2,400</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2,825</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Fidelis Cybersecurity,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3/25/2022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3/25/2032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79</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 (20)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INRIX,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7/26/2019</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7/26/2029</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150,804</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522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344</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JWP Holdco LLC (fka</w:t>
            </w:r>
          </w:p>
        </w:tc>
        <w:tc>
          <w:tcPr>
            <w:tcW w:w="11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Units</w:t>
            </w:r>
          </w:p>
        </w:tc>
        <w:tc>
          <w:tcPr>
            <w:tcW w:w="1080" w:type="dxa"/>
            <w:vAlign w:val="bottom"/>
            <w:shd w:val="clear" w:color="auto" w:fill="CFF0FC"/>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12/12/2019</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12/12/2029</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167,827</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47</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158</w:t>
            </w: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Longtail Ad Solutions, Inc.)</w:t>
            </w:r>
          </w:p>
        </w:tc>
        <w:tc>
          <w:tcPr>
            <w:tcW w:w="11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Skillshare, Inc.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11/8/2022</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301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367</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Synack,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12/29/2023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6/30/2032</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124,215</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158</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186</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Internet Software and Services - 0.79%*</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3,724</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4,069</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Property &amp; Casualty Insurance</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Kin Insurance,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D-3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9/26/2022</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9/26/2032</w:t>
            </w:r>
          </w:p>
        </w:tc>
        <w:tc>
          <w:tcPr>
            <w:tcW w:w="9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62,364</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426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285</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Property &amp; Casualty Insurance - 0.06%*</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426</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285</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Specialized Consumer Services</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AllClear ID,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8/31/2017</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8/31/2027</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523,893</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1,053</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10/17/2018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8/31/2027</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346,621</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697</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Credit Sesame,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w w:val="99"/>
              </w:rPr>
              <w:t>1/7/2020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1/7/2030</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191,601</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425</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365</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Specialized Consumer Services - 0.07%*</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2,175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365</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System Software</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Dejero Labs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5/31/2019</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5/31/2029</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333,621</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192</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177</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(7) (9) (13)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3"/>
                <w:szCs w:val="13"/>
                <w:color w:val="auto"/>
              </w:rPr>
              <w:t>Linxup, LLC</w:t>
            </w: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Success fee</w:t>
            </w:r>
          </w:p>
        </w:tc>
        <w:tc>
          <w:tcPr>
            <w:tcW w:w="1080" w:type="dxa"/>
            <w:vAlign w:val="bottom"/>
          </w:tcPr>
          <w:p>
            <w:pPr>
              <w:jc w:val="center"/>
              <w:ind w:left="74"/>
              <w:spacing w:after="0"/>
              <w:rPr>
                <w:sz w:val="20"/>
                <w:szCs w:val="20"/>
                <w:color w:val="auto"/>
              </w:rPr>
            </w:pPr>
            <w:r>
              <w:rPr>
                <w:rFonts w:ascii="Times New Roman" w:cs="Times New Roman" w:eastAsia="Times New Roman" w:hAnsi="Times New Roman"/>
                <w:sz w:val="13"/>
                <w:szCs w:val="13"/>
                <w:color w:val="auto"/>
              </w:rPr>
              <w:t>11/3/2023</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11/3/2033</w:t>
            </w: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N/A</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253</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201</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86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Scale Computing, Inc.</w:t>
            </w:r>
          </w:p>
        </w:tc>
        <w:tc>
          <w:tcPr>
            <w:tcW w:w="1120" w:type="dxa"/>
            <w:vAlign w:val="bottom"/>
            <w:shd w:val="clear" w:color="auto" w:fill="CFF0FC"/>
          </w:tcPr>
          <w:p>
            <w:pPr>
              <w:ind w:left="40"/>
              <w:spacing w:after="0" w:line="144" w:lineRule="exact"/>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80" w:type="dxa"/>
            <w:vAlign w:val="bottom"/>
            <w:shd w:val="clear" w:color="auto" w:fill="CFF0FC"/>
          </w:tcPr>
          <w:p>
            <w:pPr>
              <w:jc w:val="center"/>
              <w:ind w:left="74"/>
              <w:spacing w:after="0" w:line="144" w:lineRule="exact"/>
              <w:rPr>
                <w:sz w:val="20"/>
                <w:szCs w:val="20"/>
                <w:color w:val="auto"/>
              </w:rPr>
            </w:pPr>
            <w:r>
              <w:rPr>
                <w:rFonts w:ascii="Times New Roman" w:cs="Times New Roman" w:eastAsia="Times New Roman" w:hAnsi="Times New Roman"/>
                <w:sz w:val="13"/>
                <w:szCs w:val="13"/>
                <w:color w:val="auto"/>
              </w:rPr>
              <w:t>3/29/2019</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rPr>
              <w:t>3/29/2029</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9,665,66</w:t>
            </w:r>
          </w:p>
        </w:tc>
        <w:tc>
          <w:tcPr>
            <w:tcW w:w="1040" w:type="dxa"/>
            <w:vAlign w:val="bottom"/>
            <w:shd w:val="clear" w:color="auto" w:fill="CFF0FC"/>
          </w:tcPr>
          <w:p>
            <w:pPr>
              <w:jc w:val="right"/>
              <w:ind w:right="94"/>
              <w:spacing w:after="0" w:line="144" w:lineRule="exact"/>
              <w:rPr>
                <w:sz w:val="20"/>
                <w:szCs w:val="20"/>
                <w:color w:val="auto"/>
              </w:rPr>
            </w:pPr>
            <w:r>
              <w:rPr>
                <w:rFonts w:ascii="Times New Roman" w:cs="Times New Roman" w:eastAsia="Times New Roman" w:hAnsi="Times New Roman"/>
                <w:sz w:val="13"/>
                <w:szCs w:val="13"/>
                <w:color w:val="auto"/>
              </w:rPr>
              <w:t>346</w:t>
            </w:r>
          </w:p>
        </w:tc>
        <w:tc>
          <w:tcPr>
            <w:tcW w:w="1060" w:type="dxa"/>
            <w:vAlign w:val="bottom"/>
            <w:shd w:val="clear" w:color="auto" w:fill="CFF0FC"/>
          </w:tcPr>
          <w:p>
            <w:pPr>
              <w:jc w:val="right"/>
              <w:ind w:right="3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86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7</w:t>
            </w:r>
          </w:p>
        </w:tc>
        <w:tc>
          <w:tcPr>
            <w:tcW w:w="10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System Software - 0.07%*</w:t>
            </w:r>
          </w:p>
        </w:tc>
        <w:tc>
          <w:tcPr>
            <w:tcW w:w="16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791</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378</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980" w:type="dxa"/>
            <w:vAlign w:val="bottom"/>
            <w:gridSpan w:val="2"/>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Technology Hardware, Storage &amp; Peripherals</w:t>
            </w: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RealWear, Inc.</w:t>
            </w: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10/5/2018</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10/5/2028</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112,451</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136</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206</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8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12/28/2018</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12/28/2028</w:t>
            </w:r>
          </w:p>
        </w:tc>
        <w:tc>
          <w:tcPr>
            <w:tcW w:w="9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22,491</w:t>
            </w: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41</w:t>
            </w: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Warrants</w:t>
            </w:r>
          </w:p>
        </w:tc>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Series A Preferred Stock</w:t>
            </w:r>
          </w:p>
        </w:tc>
        <w:tc>
          <w:tcPr>
            <w:tcW w:w="1080" w:type="dxa"/>
            <w:vAlign w:val="bottom"/>
            <w:shd w:val="clear" w:color="auto" w:fill="CFF0FC"/>
          </w:tcPr>
          <w:p>
            <w:pPr>
              <w:jc w:val="center"/>
              <w:ind w:left="74"/>
              <w:spacing w:after="0"/>
              <w:rPr>
                <w:sz w:val="20"/>
                <w:szCs w:val="20"/>
                <w:color w:val="auto"/>
              </w:rPr>
            </w:pPr>
            <w:r>
              <w:rPr>
                <w:rFonts w:ascii="Times New Roman" w:cs="Times New Roman" w:eastAsia="Times New Roman" w:hAnsi="Times New Roman"/>
                <w:sz w:val="13"/>
                <w:szCs w:val="13"/>
                <w:color w:val="auto"/>
              </w:rPr>
              <w:t>6/27/2019</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6/27/2029</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123,894</w:t>
            </w:r>
          </w:p>
        </w:tc>
        <w:tc>
          <w:tcPr>
            <w:tcW w:w="10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381</w:t>
            </w:r>
          </w:p>
        </w:tc>
        <w:tc>
          <w:tcPr>
            <w:tcW w:w="1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136</w:t>
            </w: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6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Technology Hardware, Storage &amp; Peripherals - 0.07%*</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542</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383</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6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Warrants - 2.76%*</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24,032</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14,182</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4660" w:type="dxa"/>
            <w:vAlign w:val="bottom"/>
            <w:gridSpan w:val="3"/>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466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Total Non-Control/Non-Affiliate Investments - 195.27%*</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1,038,135</w:t>
            </w:r>
          </w:p>
        </w:tc>
        <w:tc>
          <w:tcPr>
            <w:tcW w:w="10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1,005,328</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19" w:name="page20"/>
    <w:bookmarkEnd w:id="1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19"/>
        <w:spacing w:after="0" w:line="234" w:lineRule="auto"/>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Initial</w:t>
            </w:r>
          </w:p>
        </w:tc>
        <w:tc>
          <w:tcPr>
            <w:tcW w:w="880" w:type="dxa"/>
            <w:vAlign w:val="bottom"/>
          </w:tcPr>
          <w:p>
            <w:pPr>
              <w:spacing w:after="0"/>
              <w:rPr>
                <w:sz w:val="13"/>
                <w:szCs w:val="13"/>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rPr>
              <w:t>Principal</w:t>
            </w: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20" w:type="dxa"/>
            <w:vAlign w:val="bottom"/>
          </w:tcPr>
          <w:p>
            <w:pPr>
              <w:ind w:left="60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10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Acquisition</w:t>
            </w:r>
          </w:p>
        </w:tc>
        <w:tc>
          <w:tcPr>
            <w:tcW w:w="88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Maturity</w:t>
            </w: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3"/>
                <w:szCs w:val="13"/>
                <w:b w:val="1"/>
                <w:bCs w:val="1"/>
                <w:color w:val="auto"/>
                <w:w w:val="99"/>
              </w:rPr>
              <w:t>($) /</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460"/>
              <w:spacing w:after="0" w:line="145" w:lineRule="exact"/>
              <w:rPr>
                <w:sz w:val="20"/>
                <w:szCs w:val="20"/>
                <w:color w:val="auto"/>
              </w:rPr>
            </w:pPr>
            <w:r>
              <w:rPr>
                <w:rFonts w:ascii="Times New Roman" w:cs="Times New Roman" w:eastAsia="Times New Roman" w:hAnsi="Times New Roman"/>
                <w:sz w:val="13"/>
                <w:szCs w:val="13"/>
                <w:b w:val="1"/>
                <w:bCs w:val="1"/>
                <w:color w:val="auto"/>
              </w:rPr>
              <w:t>Fair</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14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820" w:type="dxa"/>
            <w:vAlign w:val="bottom"/>
          </w:tcPr>
          <w:p>
            <w:pPr>
              <w:ind w:left="460"/>
              <w:spacing w:after="0" w:line="181" w:lineRule="exact"/>
              <w:rPr>
                <w:sz w:val="20"/>
                <w:szCs w:val="20"/>
                <w:color w:val="auto"/>
              </w:rPr>
            </w:pPr>
            <w:r>
              <w:rPr>
                <w:rFonts w:ascii="Times New Roman" w:cs="Times New Roman" w:eastAsia="Times New Roman" w:hAnsi="Times New Roman"/>
                <w:sz w:val="13"/>
                <w:szCs w:val="13"/>
                <w:b w:val="1"/>
                <w:bCs w:val="1"/>
                <w:color w:val="auto"/>
              </w:rPr>
              <w:t>Description</w:t>
            </w:r>
            <w:r>
              <w:rPr>
                <w:rFonts w:ascii="Times New Roman" w:cs="Times New Roman" w:eastAsia="Times New Roman" w:hAnsi="Times New Roman"/>
                <w:sz w:val="16"/>
                <w:szCs w:val="16"/>
                <w:b w:val="1"/>
                <w:bCs w:val="1"/>
                <w:color w:val="auto"/>
                <w:vertAlign w:val="superscript"/>
              </w:rPr>
              <w:t>(1)(2)(4)</w:t>
            </w:r>
          </w:p>
        </w:tc>
        <w:tc>
          <w:tcPr>
            <w:tcW w:w="10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Cost ($)</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Value ($) </w:t>
            </w:r>
            <w:r>
              <w:rPr>
                <w:rFonts w:ascii="Times New Roman" w:cs="Times New Roman" w:eastAsia="Times New Roman" w:hAnsi="Times New Roman"/>
                <w:sz w:val="16"/>
                <w:szCs w:val="16"/>
                <w:b w:val="1"/>
                <w:bCs w:val="1"/>
                <w:color w:val="auto"/>
                <w:w w:val="99"/>
                <w:vertAlign w:val="superscript"/>
              </w:rPr>
              <w:t>(3)</w:t>
            </w:r>
          </w:p>
        </w:tc>
        <w:tc>
          <w:tcPr>
            <w:tcW w:w="920" w:type="dxa"/>
            <w:vAlign w:val="bottom"/>
          </w:tcPr>
          <w:p>
            <w:pPr>
              <w:ind w:left="240"/>
              <w:spacing w:after="0"/>
              <w:rPr>
                <w:sz w:val="20"/>
                <w:szCs w:val="20"/>
                <w:color w:val="auto"/>
              </w:rPr>
            </w:pPr>
            <w:r>
              <w:rPr>
                <w:rFonts w:ascii="Times New Roman" w:cs="Times New Roman" w:eastAsia="Times New Roman" w:hAnsi="Times New Roman"/>
                <w:sz w:val="13"/>
                <w:szCs w:val="13"/>
                <w:b w:val="1"/>
                <w:bCs w:val="1"/>
                <w:color w:val="auto"/>
              </w:rPr>
              <w:t>Footnotes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ind w:left="32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1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Senior Secured</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8.00% ceiling,</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3/1/2023</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11/30/2026</w:t>
            </w:r>
          </w:p>
        </w:tc>
        <w:tc>
          <w:tcPr>
            <w:tcW w:w="900" w:type="dxa"/>
            <w:vAlign w:val="bottom"/>
          </w:tcPr>
          <w:p>
            <w:pPr>
              <w:jc w:val="right"/>
              <w:ind w:right="134"/>
              <w:spacing w:after="0" w:line="144" w:lineRule="exact"/>
              <w:rPr>
                <w:sz w:val="20"/>
                <w:szCs w:val="20"/>
                <w:color w:val="auto"/>
              </w:rPr>
            </w:pPr>
            <w:r>
              <w:rPr>
                <w:rFonts w:ascii="Times New Roman" w:cs="Times New Roman" w:eastAsia="Times New Roman" w:hAnsi="Times New Roman"/>
                <w:sz w:val="13"/>
                <w:szCs w:val="13"/>
                <w:color w:val="auto"/>
              </w:rPr>
              <w:t>25,595</w:t>
            </w:r>
          </w:p>
        </w:tc>
        <w:tc>
          <w:tcPr>
            <w:tcW w:w="160" w:type="dxa"/>
            <w:vAlign w:val="bottom"/>
          </w:tcPr>
          <w:p>
            <w:pPr>
              <w:spacing w:after="0"/>
              <w:rPr>
                <w:sz w:val="12"/>
                <w:szCs w:val="12"/>
                <w:color w:val="auto"/>
              </w:rPr>
            </w:pPr>
          </w:p>
        </w:tc>
        <w:tc>
          <w:tcPr>
            <w:tcW w:w="920" w:type="dxa"/>
            <w:vAlign w:val="bottom"/>
            <w:gridSpan w:val="2"/>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26,234</w:t>
            </w: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9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(11) (12)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5.00% ETP</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- 5.29%*</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26,234</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27,217</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Debt Investments - 5.29%*</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26,234</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27,217</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Coginiti Corp</w:t>
            </w:r>
          </w:p>
        </w:tc>
        <w:tc>
          <w:tcPr>
            <w:tcW w:w="11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3/9/2020</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1,040,16</w:t>
            </w:r>
          </w:p>
        </w:tc>
        <w:tc>
          <w:tcPr>
            <w:tcW w:w="16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4,551</w:t>
            </w: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shd w:val="clear" w:color="auto" w:fill="CFF0FC"/>
          </w:tcPr>
          <w:p>
            <w:pPr>
              <w:ind w:left="32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140" w:type="dxa"/>
            <w:vAlign w:val="bottom"/>
            <w:shd w:val="clear" w:color="auto" w:fill="CFF0FC"/>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A-2 Preferred Stock</w:t>
            </w:r>
          </w:p>
        </w:tc>
        <w:tc>
          <w:tcPr>
            <w:tcW w:w="100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9"/>
              </w:rPr>
              <w:t>3/1/2023</w:t>
            </w:r>
          </w:p>
        </w:tc>
        <w:tc>
          <w:tcPr>
            <w:tcW w:w="880" w:type="dxa"/>
            <w:vAlign w:val="bottom"/>
            <w:shd w:val="clear" w:color="auto" w:fill="CFF0FC"/>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shd w:val="clear" w:color="auto" w:fill="CFF0FC"/>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3,266,66</w:t>
            </w:r>
          </w:p>
        </w:tc>
        <w:tc>
          <w:tcPr>
            <w:tcW w:w="16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20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920" w:type="dxa"/>
            <w:vAlign w:val="bottom"/>
            <w:shd w:val="clear" w:color="auto" w:fill="CFF0FC"/>
          </w:tcPr>
          <w:p>
            <w:pPr>
              <w:ind w:left="100"/>
              <w:spacing w:after="0" w:line="144" w:lineRule="exact"/>
              <w:rPr>
                <w:sz w:val="20"/>
                <w:szCs w:val="20"/>
                <w:color w:val="auto"/>
              </w:rPr>
            </w:pPr>
            <w:r>
              <w:rPr>
                <w:rFonts w:ascii="Times New Roman" w:cs="Times New Roman" w:eastAsia="Times New Roman" w:hAnsi="Times New Roman"/>
                <w:sz w:val="13"/>
                <w:szCs w:val="13"/>
                <w:color w:val="auto"/>
              </w:rPr>
              <w:t>(13)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w:t>
            </w: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140" w:type="dxa"/>
            <w:vAlign w:val="bottom"/>
          </w:tcPr>
          <w:p>
            <w:pPr>
              <w:ind w:left="120"/>
              <w:spacing w:after="0" w:line="144" w:lineRule="exact"/>
              <w:rPr>
                <w:sz w:val="20"/>
                <w:szCs w:val="20"/>
                <w:color w:val="auto"/>
              </w:rPr>
            </w:pPr>
            <w:r>
              <w:rPr>
                <w:rFonts w:ascii="Times New Roman" w:cs="Times New Roman" w:eastAsia="Times New Roman" w:hAnsi="Times New Roman"/>
                <w:sz w:val="13"/>
                <w:szCs w:val="13"/>
                <w:color w:val="auto"/>
              </w:rPr>
              <w:t>Equity</w:t>
            </w:r>
          </w:p>
        </w:tc>
        <w:tc>
          <w:tcPr>
            <w:tcW w:w="182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A-1 Preferred Stock</w:t>
            </w:r>
          </w:p>
        </w:tc>
        <w:tc>
          <w:tcPr>
            <w:tcW w:w="10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10/24/2023</w:t>
            </w:r>
          </w:p>
        </w:tc>
        <w:tc>
          <w:tcPr>
            <w:tcW w:w="88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w w:val="98"/>
              </w:rPr>
              <w:t>N/A</w:t>
            </w:r>
          </w:p>
        </w:tc>
        <w:tc>
          <w:tcPr>
            <w:tcW w:w="900" w:type="dxa"/>
            <w:vAlign w:val="bottom"/>
          </w:tcPr>
          <w:p>
            <w:pPr>
              <w:jc w:val="right"/>
              <w:ind w:right="154"/>
              <w:spacing w:after="0" w:line="144" w:lineRule="exact"/>
              <w:rPr>
                <w:sz w:val="20"/>
                <w:szCs w:val="20"/>
                <w:color w:val="auto"/>
              </w:rPr>
            </w:pPr>
            <w:r>
              <w:rPr>
                <w:rFonts w:ascii="Times New Roman" w:cs="Times New Roman" w:eastAsia="Times New Roman" w:hAnsi="Times New Roman"/>
                <w:sz w:val="13"/>
                <w:szCs w:val="13"/>
                <w:color w:val="auto"/>
              </w:rPr>
              <w:t>3,100,00</w:t>
            </w:r>
          </w:p>
        </w:tc>
        <w:tc>
          <w:tcPr>
            <w:tcW w:w="16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3,100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920" w:type="dxa"/>
            <w:vAlign w:val="bottom"/>
          </w:tcPr>
          <w:p>
            <w:pPr>
              <w:ind w:left="100"/>
              <w:spacing w:after="0" w:line="144" w:lineRule="exact"/>
              <w:rPr>
                <w:sz w:val="20"/>
                <w:szCs w:val="20"/>
                <w:color w:val="auto"/>
              </w:rPr>
            </w:pPr>
            <w:r>
              <w:rPr>
                <w:rFonts w:ascii="Times New Roman" w:cs="Times New Roman" w:eastAsia="Times New Roman" w:hAnsi="Times New Roman"/>
                <w:sz w:val="13"/>
                <w:szCs w:val="13"/>
                <w:color w:val="auto"/>
              </w:rPr>
              <w:t>(13) (30)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jc w:val="right"/>
              <w:ind w:right="154"/>
              <w:spacing w:after="0"/>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- 7.26%*</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28,100</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37,355</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- 7.26%*</w:t>
            </w: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32,651</w:t>
            </w:r>
          </w:p>
        </w:tc>
        <w:tc>
          <w:tcPr>
            <w:tcW w:w="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37,355</w:t>
            </w: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Application Software</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Coginiti Corp</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3/9/2020</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3/9/2030</w:t>
            </w:r>
          </w:p>
        </w:tc>
        <w:tc>
          <w:tcPr>
            <w:tcW w:w="900" w:type="dxa"/>
            <w:vAlign w:val="bottom"/>
            <w:shd w:val="clear" w:color="auto" w:fill="CFF0FC"/>
          </w:tcPr>
          <w:p>
            <w:pPr>
              <w:jc w:val="right"/>
              <w:ind w:right="154"/>
              <w:spacing w:after="0"/>
              <w:rPr>
                <w:sz w:val="20"/>
                <w:szCs w:val="20"/>
                <w:color w:val="auto"/>
              </w:rPr>
            </w:pPr>
            <w:r>
              <w:rPr>
                <w:rFonts w:ascii="Times New Roman" w:cs="Times New Roman" w:eastAsia="Times New Roman" w:hAnsi="Times New Roman"/>
                <w:sz w:val="13"/>
                <w:szCs w:val="13"/>
                <w:color w:val="auto"/>
              </w:rPr>
              <w:t>811,770</w:t>
            </w: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Application Software - 0.00%*</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Healthcare Technology</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Gynesonics, Inc.</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3/1/2023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3/1/2030</w:t>
            </w: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(13) (21)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Healthcare Technology - 0.00%*</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Total Warrants - 0.00%*</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2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 - 12.55%*</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59,198</w:t>
            </w:r>
          </w:p>
        </w:tc>
        <w:tc>
          <w:tcPr>
            <w:tcW w:w="1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64,572</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Data Processing &amp; Outsourced Services</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Pivot3, Inc.</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100% Equity Interest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12/31/2023</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4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Total Data Processing &amp; Outsourced Services - 0.23%*</w:t>
            </w: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Multi-Sector Holdings</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3"/>
                <w:szCs w:val="13"/>
                <w:color w:val="auto"/>
              </w:rPr>
              <w:t>Runway-Cadma I LLC</w:t>
            </w:r>
          </w:p>
        </w:tc>
        <w:tc>
          <w:tcPr>
            <w:tcW w:w="1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Equity</w:t>
            </w:r>
          </w:p>
        </w:tc>
        <w:tc>
          <w:tcPr>
            <w:tcW w:w="18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 Equity Interest</w:t>
            </w: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3/6/2024</w:t>
            </w: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3"/>
                <w:szCs w:val="13"/>
                <w:color w:val="auto"/>
              </w:rPr>
              <w:t>N/A</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Total Multi-Sector Holdings - 1.12%*</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Total Equity Investments - 1.35%*</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920" w:type="dxa"/>
            <w:vAlign w:val="bottom"/>
            <w:gridSpan w:val="2"/>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 - 1.35%*</w:t>
            </w: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8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80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 Investments - 209.17%*</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1,103,883</w:t>
            </w:r>
          </w:p>
        </w:tc>
        <w:tc>
          <w:tcPr>
            <w:tcW w:w="20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0" w:name="page21"/>
    <w:bookmarkEnd w:id="2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w:t>
      </w:r>
      <w:r>
        <w:rPr>
          <w:rFonts w:ascii="Times New Roman" w:cs="Times New Roman" w:eastAsia="Times New Roman" w:hAnsi="Times New Roman"/>
          <w:sz w:val="16"/>
          <w:szCs w:val="16"/>
          <w:b w:val="1"/>
          <w:bCs w:val="1"/>
          <w:color w:val="auto"/>
        </w:rPr>
        <w:t>Consolidated Schedule of Investments – (continued)</w:t>
      </w: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December 31, 2024</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(1)</w:t>
      </w:r>
    </w:p>
    <w:p>
      <w:pPr>
        <w:ind w:left="400"/>
        <w:spacing w:after="0" w:line="222" w:lineRule="auto"/>
        <w:rPr>
          <w:sz w:val="20"/>
          <w:szCs w:val="20"/>
          <w:color w:val="auto"/>
        </w:rPr>
      </w:pPr>
      <w:r>
        <w:rPr>
          <w:rFonts w:ascii="Times New Roman" w:cs="Times New Roman" w:eastAsia="Times New Roman" w:hAnsi="Times New Roman"/>
          <w:sz w:val="13"/>
          <w:szCs w:val="13"/>
          <w:color w:val="auto"/>
        </w:rPr>
        <w:t>Disclosures of interest rates on notes include cash interest rates and payment-in-kind ("PIK") interest rates, as applicable. Unless otherwise indicated, all of the Company's variable interest debt instruments bear interest at a rate determined by reference to the U.S. Prime Rate ("PRIME") or the 1-month or 3-month Secured Overnight Financing Rate ("SOFR"). At December 31, 2024, the U.S. PRIME Rate was 7.50%, the 1-Month SOFR was 4.33%, and the 3-Month SOFR was 4.31%.</w:t>
      </w:r>
    </w:p>
    <w:p>
      <w:pPr>
        <w:spacing w:after="0" w:line="185" w:lineRule="auto"/>
        <w:rPr>
          <w:sz w:val="20"/>
          <w:szCs w:val="20"/>
          <w:color w:val="auto"/>
        </w:rPr>
      </w:pPr>
      <w:r>
        <w:rPr>
          <w:rFonts w:ascii="Times New Roman" w:cs="Times New Roman" w:eastAsia="Times New Roman" w:hAnsi="Times New Roman"/>
          <w:sz w:val="6"/>
          <w:szCs w:val="6"/>
          <w:color w:val="auto"/>
        </w:rPr>
        <w:t>(2)</w:t>
      </w:r>
    </w:p>
    <w:p>
      <w:pPr>
        <w:ind w:left="400" w:right="80"/>
        <w:spacing w:after="0" w:line="222" w:lineRule="auto"/>
        <w:rPr>
          <w:sz w:val="20"/>
          <w:szCs w:val="20"/>
          <w:color w:val="auto"/>
        </w:rPr>
      </w:pPr>
      <w:r>
        <w:rPr>
          <w:rFonts w:ascii="Times New Roman" w:cs="Times New Roman" w:eastAsia="Times New Roman" w:hAnsi="Times New Roman"/>
          <w:sz w:val="13"/>
          <w:szCs w:val="13"/>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Board of Directors (as defined in "Note 2 – Summary of Significant Accounting Policies").</w:t>
      </w:r>
    </w:p>
    <w:p>
      <w:pPr>
        <w:spacing w:after="0" w:line="185" w:lineRule="auto"/>
        <w:rPr>
          <w:sz w:val="20"/>
          <w:szCs w:val="20"/>
          <w:color w:val="auto"/>
        </w:rPr>
      </w:pPr>
      <w:r>
        <w:rPr>
          <w:rFonts w:ascii="Times New Roman" w:cs="Times New Roman" w:eastAsia="Times New Roman" w:hAnsi="Times New Roman"/>
          <w:sz w:val="6"/>
          <w:szCs w:val="6"/>
          <w:color w:val="auto"/>
        </w:rPr>
        <w:t>(3)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held at Fair Value net of the Fair Value of Unfunded Commitments. Refer to "Note 8 – Commitments and Contingencies" for additional detail.</w:t>
      </w:r>
    </w:p>
    <w:p>
      <w:pPr>
        <w:spacing w:after="0" w:line="185" w:lineRule="auto"/>
        <w:rPr>
          <w:sz w:val="20"/>
          <w:szCs w:val="20"/>
          <w:color w:val="auto"/>
        </w:rPr>
      </w:pPr>
      <w:r>
        <w:rPr>
          <w:rFonts w:ascii="Times New Roman" w:cs="Times New Roman" w:eastAsia="Times New Roman" w:hAnsi="Times New Roman"/>
          <w:sz w:val="6"/>
          <w:szCs w:val="6"/>
          <w:color w:val="auto"/>
        </w:rPr>
        <w:t>(4)</w:t>
      </w:r>
    </w:p>
    <w:p>
      <w:pPr>
        <w:ind w:left="400"/>
        <w:spacing w:after="0" w:line="195" w:lineRule="auto"/>
        <w:rPr>
          <w:sz w:val="20"/>
          <w:szCs w:val="20"/>
          <w:color w:val="auto"/>
        </w:rPr>
      </w:pPr>
      <w:r>
        <w:rPr>
          <w:rFonts w:ascii="Times New Roman" w:cs="Times New Roman" w:eastAsia="Times New Roman" w:hAnsi="Times New Roman"/>
          <w:sz w:val="11"/>
          <w:szCs w:val="11"/>
          <w:color w:val="auto"/>
        </w:rPr>
        <w:t>All portfolio companies are domiciled in the United States, unless otherwise noted.</w:t>
      </w:r>
    </w:p>
    <w:p>
      <w:pPr>
        <w:spacing w:after="0" w:line="186" w:lineRule="auto"/>
        <w:rPr>
          <w:sz w:val="20"/>
          <w:szCs w:val="20"/>
          <w:color w:val="auto"/>
        </w:rPr>
      </w:pPr>
      <w:r>
        <w:rPr>
          <w:rFonts w:ascii="Times New Roman" w:cs="Times New Roman" w:eastAsia="Times New Roman" w:hAnsi="Times New Roman"/>
          <w:sz w:val="6"/>
          <w:szCs w:val="6"/>
          <w:color w:val="auto"/>
        </w:rPr>
        <w:t>(5)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United Kingdom. Fair value of United Kingdom domiciled investments represents 5.51% of net assets.</w:t>
      </w:r>
    </w:p>
    <w:p>
      <w:pPr>
        <w:spacing w:after="0" w:line="185" w:lineRule="auto"/>
        <w:rPr>
          <w:sz w:val="20"/>
          <w:szCs w:val="20"/>
          <w:color w:val="auto"/>
        </w:rPr>
      </w:pPr>
      <w:r>
        <w:rPr>
          <w:rFonts w:ascii="Times New Roman" w:cs="Times New Roman" w:eastAsia="Times New Roman" w:hAnsi="Times New Roman"/>
          <w:sz w:val="6"/>
          <w:szCs w:val="6"/>
          <w:color w:val="auto"/>
        </w:rPr>
        <w:t>(6)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Germany. Fair value of German domiciled investments represents 6.64% of net assets.</w:t>
      </w:r>
    </w:p>
    <w:p>
      <w:pPr>
        <w:spacing w:after="0" w:line="185" w:lineRule="auto"/>
        <w:rPr>
          <w:sz w:val="20"/>
          <w:szCs w:val="20"/>
          <w:color w:val="auto"/>
        </w:rPr>
      </w:pPr>
      <w:r>
        <w:rPr>
          <w:rFonts w:ascii="Times New Roman" w:cs="Times New Roman" w:eastAsia="Times New Roman" w:hAnsi="Times New Roman"/>
          <w:sz w:val="6"/>
          <w:szCs w:val="6"/>
          <w:color w:val="auto"/>
        </w:rPr>
        <w:t>(7)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Canada. Fair value of Canadian domiciled investments represents 2.83% of net assets.</w:t>
      </w:r>
    </w:p>
    <w:p>
      <w:pPr>
        <w:spacing w:after="0" w:line="185" w:lineRule="auto"/>
        <w:rPr>
          <w:sz w:val="20"/>
          <w:szCs w:val="20"/>
          <w:color w:val="auto"/>
        </w:rPr>
      </w:pPr>
      <w:r>
        <w:rPr>
          <w:rFonts w:ascii="Times New Roman" w:cs="Times New Roman" w:eastAsia="Times New Roman" w:hAnsi="Times New Roman"/>
          <w:sz w:val="6"/>
          <w:szCs w:val="6"/>
          <w:color w:val="auto"/>
        </w:rPr>
        <w:t>(8)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domiciled in the Netherlands. Fair value of Dutch domiciled investments represents 3.34% of net assets.</w:t>
      </w:r>
    </w:p>
    <w:p>
      <w:pPr>
        <w:spacing w:after="0" w:line="186" w:lineRule="auto"/>
        <w:rPr>
          <w:sz w:val="20"/>
          <w:szCs w:val="20"/>
          <w:color w:val="auto"/>
        </w:rPr>
      </w:pPr>
      <w:r>
        <w:rPr>
          <w:rFonts w:ascii="Times New Roman" w:cs="Times New Roman" w:eastAsia="Times New Roman" w:hAnsi="Times New Roman"/>
          <w:sz w:val="6"/>
          <w:szCs w:val="6"/>
          <w:color w:val="auto"/>
        </w:rPr>
        <w:t>(9)</w:t>
      </w:r>
    </w:p>
    <w:p>
      <w:pPr>
        <w:ind w:left="400" w:right="200"/>
        <w:spacing w:after="0" w:line="229" w:lineRule="auto"/>
        <w:rPr>
          <w:sz w:val="20"/>
          <w:szCs w:val="20"/>
          <w:color w:val="auto"/>
        </w:rPr>
      </w:pPr>
      <w:r>
        <w:rPr>
          <w:rFonts w:ascii="Times New Roman" w:cs="Times New Roman" w:eastAsia="Times New Roman" w:hAnsi="Times New Roman"/>
          <w:sz w:val="13"/>
          <w:szCs w:val="13"/>
          <w:color w:val="auto"/>
        </w:rPr>
        <w:t>Investment is not a qualifying investment as defined under Section 55(a) of the Investment Company Act of 1940, as amended. The fair value of non-qualifying assets represents 9.28% of total assets as of December 31, 2024.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86" w:lineRule="auto"/>
        <w:rPr>
          <w:sz w:val="20"/>
          <w:szCs w:val="20"/>
          <w:color w:val="auto"/>
        </w:rPr>
      </w:pPr>
      <w:r>
        <w:rPr>
          <w:rFonts w:ascii="Times New Roman" w:cs="Times New Roman" w:eastAsia="Times New Roman" w:hAnsi="Times New Roman"/>
          <w:sz w:val="6"/>
          <w:szCs w:val="6"/>
          <w:color w:val="auto"/>
        </w:rPr>
        <w:t>(10)</w:t>
      </w:r>
    </w:p>
    <w:p>
      <w:pPr>
        <w:ind w:left="400"/>
        <w:spacing w:after="0" w:line="195" w:lineRule="auto"/>
        <w:rPr>
          <w:sz w:val="20"/>
          <w:szCs w:val="20"/>
          <w:color w:val="auto"/>
        </w:rPr>
      </w:pPr>
      <w:r>
        <w:rPr>
          <w:rFonts w:ascii="Times New Roman" w:cs="Times New Roman" w:eastAsia="Times New Roman" w:hAnsi="Times New Roman"/>
          <w:sz w:val="11"/>
          <w:szCs w:val="11"/>
          <w:color w:val="auto"/>
        </w:rPr>
        <w:t>Represents a PIK security. PIK interest will be accrued and paid at maturity. For any investments denoting a "cash cap", any interest above such cap will be recorded as PIK interest.</w:t>
      </w:r>
    </w:p>
    <w:p>
      <w:pPr>
        <w:spacing w:after="0" w:line="185" w:lineRule="auto"/>
        <w:rPr>
          <w:sz w:val="20"/>
          <w:szCs w:val="20"/>
          <w:color w:val="auto"/>
        </w:rPr>
      </w:pPr>
      <w:r>
        <w:rPr>
          <w:rFonts w:ascii="Times New Roman" w:cs="Times New Roman" w:eastAsia="Times New Roman" w:hAnsi="Times New Roman"/>
          <w:sz w:val="6"/>
          <w:szCs w:val="6"/>
          <w:color w:val="auto"/>
        </w:rPr>
        <w:t>(11)</w:t>
      </w:r>
    </w:p>
    <w:p>
      <w:pPr>
        <w:ind w:left="400"/>
        <w:spacing w:after="0" w:line="195" w:lineRule="auto"/>
        <w:rPr>
          <w:sz w:val="20"/>
          <w:szCs w:val="20"/>
          <w:color w:val="auto"/>
        </w:rPr>
      </w:pPr>
      <w:r>
        <w:rPr>
          <w:rFonts w:ascii="Times New Roman" w:cs="Times New Roman" w:eastAsia="Times New Roman" w:hAnsi="Times New Roman"/>
          <w:sz w:val="11"/>
          <w:szCs w:val="11"/>
          <w:color w:val="auto"/>
        </w:rPr>
        <w:t>Disclosures of end-of-term payments ("ETP") are one-time payments stated as a percentage of principal amount.</w:t>
      </w:r>
    </w:p>
    <w:p>
      <w:pPr>
        <w:spacing w:after="0" w:line="186" w:lineRule="auto"/>
        <w:rPr>
          <w:sz w:val="20"/>
          <w:szCs w:val="20"/>
          <w:color w:val="auto"/>
        </w:rPr>
      </w:pPr>
      <w:r>
        <w:rPr>
          <w:rFonts w:ascii="Times New Roman" w:cs="Times New Roman" w:eastAsia="Times New Roman" w:hAnsi="Times New Roman"/>
          <w:sz w:val="6"/>
          <w:szCs w:val="6"/>
          <w:color w:val="auto"/>
        </w:rPr>
        <w:t>(12)</w:t>
      </w:r>
    </w:p>
    <w:p>
      <w:pPr>
        <w:ind w:left="400"/>
        <w:spacing w:after="0" w:line="195" w:lineRule="auto"/>
        <w:rPr>
          <w:sz w:val="20"/>
          <w:szCs w:val="20"/>
          <w:color w:val="auto"/>
        </w:rPr>
      </w:pPr>
      <w:r>
        <w:rPr>
          <w:rFonts w:ascii="Times New Roman" w:cs="Times New Roman" w:eastAsia="Times New Roman" w:hAnsi="Times New Roman"/>
          <w:sz w:val="11"/>
          <w:szCs w:val="11"/>
          <w:color w:val="auto"/>
        </w:rPr>
        <w:t>The investment is an eligible loan investment in the collateral under the Credit Facility (as defined in "Note 7 – Borrowings").</w:t>
      </w:r>
    </w:p>
    <w:p>
      <w:pPr>
        <w:spacing w:after="0" w:line="185" w:lineRule="auto"/>
        <w:rPr>
          <w:sz w:val="20"/>
          <w:szCs w:val="20"/>
          <w:color w:val="auto"/>
        </w:rPr>
      </w:pPr>
      <w:r>
        <w:rPr>
          <w:rFonts w:ascii="Times New Roman" w:cs="Times New Roman" w:eastAsia="Times New Roman" w:hAnsi="Times New Roman"/>
          <w:sz w:val="6"/>
          <w:szCs w:val="6"/>
          <w:color w:val="auto"/>
        </w:rPr>
        <w:t>(13)</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Investments are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(14)</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NYSE.</w:t>
      </w:r>
    </w:p>
    <w:p>
      <w:pPr>
        <w:spacing w:after="0" w:line="186" w:lineRule="auto"/>
        <w:rPr>
          <w:sz w:val="20"/>
          <w:szCs w:val="20"/>
          <w:color w:val="auto"/>
        </w:rPr>
      </w:pPr>
      <w:r>
        <w:rPr>
          <w:rFonts w:ascii="Times New Roman" w:cs="Times New Roman" w:eastAsia="Times New Roman" w:hAnsi="Times New Roman"/>
          <w:sz w:val="6"/>
          <w:szCs w:val="6"/>
          <w:color w:val="auto"/>
        </w:rPr>
        <w:t>(15)</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NASDAQ.</w:t>
      </w:r>
    </w:p>
    <w:p>
      <w:pPr>
        <w:spacing w:after="0" w:line="185" w:lineRule="auto"/>
        <w:rPr>
          <w:sz w:val="20"/>
          <w:szCs w:val="20"/>
          <w:color w:val="auto"/>
        </w:rPr>
      </w:pPr>
      <w:r>
        <w:rPr>
          <w:rFonts w:ascii="Times New Roman" w:cs="Times New Roman" w:eastAsia="Times New Roman" w:hAnsi="Times New Roman"/>
          <w:sz w:val="6"/>
          <w:szCs w:val="6"/>
          <w:color w:val="auto"/>
        </w:rPr>
        <w:t>(16)</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Australian Stock Exchange.</w:t>
      </w:r>
    </w:p>
    <w:p>
      <w:pPr>
        <w:spacing w:after="0" w:line="185" w:lineRule="auto"/>
        <w:rPr>
          <w:sz w:val="20"/>
          <w:szCs w:val="20"/>
          <w:color w:val="auto"/>
        </w:rPr>
      </w:pPr>
      <w:r>
        <w:rPr>
          <w:rFonts w:ascii="Times New Roman" w:cs="Times New Roman" w:eastAsia="Times New Roman" w:hAnsi="Times New Roman"/>
          <w:sz w:val="6"/>
          <w:szCs w:val="6"/>
          <w:color w:val="auto"/>
        </w:rPr>
        <w:t>(17)</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Euronext.</w:t>
      </w:r>
    </w:p>
    <w:p>
      <w:pPr>
        <w:spacing w:after="0" w:line="186" w:lineRule="auto"/>
        <w:rPr>
          <w:sz w:val="20"/>
          <w:szCs w:val="20"/>
          <w:color w:val="auto"/>
        </w:rPr>
      </w:pPr>
      <w:r>
        <w:rPr>
          <w:rFonts w:ascii="Times New Roman" w:cs="Times New Roman" w:eastAsia="Times New Roman" w:hAnsi="Times New Roman"/>
          <w:sz w:val="6"/>
          <w:szCs w:val="6"/>
          <w:color w:val="auto"/>
        </w:rPr>
        <w:t>(18)</w:t>
      </w:r>
    </w:p>
    <w:p>
      <w:pPr>
        <w:ind w:left="400"/>
        <w:spacing w:after="0" w:line="195" w:lineRule="auto"/>
        <w:rPr>
          <w:sz w:val="20"/>
          <w:szCs w:val="20"/>
          <w:color w:val="auto"/>
        </w:rPr>
      </w:pPr>
      <w:r>
        <w:rPr>
          <w:rFonts w:ascii="Times New Roman" w:cs="Times New Roman" w:eastAsia="Times New Roman" w:hAnsi="Times New Roman"/>
          <w:sz w:val="11"/>
          <w:szCs w:val="11"/>
          <w:color w:val="auto"/>
        </w:rPr>
        <w:t>Portfolio company is publicly traded and listed on Deutsche Borse Xetra.</w:t>
      </w:r>
    </w:p>
    <w:p>
      <w:pPr>
        <w:spacing w:after="0" w:line="185" w:lineRule="auto"/>
        <w:rPr>
          <w:sz w:val="20"/>
          <w:szCs w:val="20"/>
          <w:color w:val="auto"/>
        </w:rPr>
      </w:pPr>
      <w:r>
        <w:rPr>
          <w:rFonts w:ascii="Times New Roman" w:cs="Times New Roman" w:eastAsia="Times New Roman" w:hAnsi="Times New Roman"/>
          <w:sz w:val="6"/>
          <w:szCs w:val="6"/>
          <w:color w:val="auto"/>
        </w:rPr>
        <w:t>(19)</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not a "restricted security" under the Securities Act.</w:t>
      </w:r>
    </w:p>
    <w:p>
      <w:pPr>
        <w:spacing w:after="0" w:line="185" w:lineRule="auto"/>
        <w:rPr>
          <w:sz w:val="20"/>
          <w:szCs w:val="20"/>
          <w:color w:val="auto"/>
        </w:rPr>
      </w:pPr>
      <w:r>
        <w:rPr>
          <w:rFonts w:ascii="Times New Roman" w:cs="Times New Roman" w:eastAsia="Times New Roman" w:hAnsi="Times New Roman"/>
          <w:sz w:val="6"/>
          <w:szCs w:val="6"/>
          <w:color w:val="auto"/>
        </w:rPr>
        <w:t>(20)</w:t>
      </w:r>
    </w:p>
    <w:p>
      <w:pPr>
        <w:ind w:left="400"/>
        <w:spacing w:after="0" w:line="195" w:lineRule="auto"/>
        <w:rPr>
          <w:sz w:val="20"/>
          <w:szCs w:val="20"/>
          <w:color w:val="auto"/>
        </w:rPr>
      </w:pPr>
      <w:r>
        <w:rPr>
          <w:rFonts w:ascii="Times New Roman" w:cs="Times New Roman" w:eastAsia="Times New Roman" w:hAnsi="Times New Roman"/>
          <w:sz w:val="11"/>
          <w:szCs w:val="11"/>
          <w:color w:val="auto"/>
        </w:rPr>
        <w:t>The warrant count is based upon a percentage of ownership of Fidelis Cybersecurity, Inc.</w:t>
      </w:r>
    </w:p>
    <w:p>
      <w:pPr>
        <w:spacing w:after="0" w:line="185" w:lineRule="auto"/>
        <w:rPr>
          <w:sz w:val="20"/>
          <w:szCs w:val="20"/>
          <w:color w:val="auto"/>
        </w:rPr>
      </w:pPr>
      <w:r>
        <w:rPr>
          <w:rFonts w:ascii="Times New Roman" w:cs="Times New Roman" w:eastAsia="Times New Roman" w:hAnsi="Times New Roman"/>
          <w:sz w:val="6"/>
          <w:szCs w:val="6"/>
          <w:color w:val="auto"/>
        </w:rPr>
        <w:t>(21)</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is either a cash success fee payable or earnout of shares based on the consummation of certain trigger events.</w:t>
      </w:r>
    </w:p>
    <w:p>
      <w:pPr>
        <w:spacing w:after="0" w:line="186" w:lineRule="auto"/>
        <w:rPr>
          <w:sz w:val="20"/>
          <w:szCs w:val="20"/>
          <w:color w:val="auto"/>
        </w:rPr>
      </w:pPr>
      <w:r>
        <w:rPr>
          <w:rFonts w:ascii="Times New Roman" w:cs="Times New Roman" w:eastAsia="Times New Roman" w:hAnsi="Times New Roman"/>
          <w:sz w:val="6"/>
          <w:szCs w:val="6"/>
          <w:color w:val="auto"/>
        </w:rPr>
        <w:t>(22)</w:t>
      </w:r>
    </w:p>
    <w:p>
      <w:pPr>
        <w:jc w:val="both"/>
        <w:ind w:left="400" w:right="160"/>
        <w:spacing w:after="0" w:line="222" w:lineRule="auto"/>
        <w:rPr>
          <w:sz w:val="20"/>
          <w:szCs w:val="20"/>
          <w:color w:val="auto"/>
        </w:rPr>
      </w:pPr>
      <w:r>
        <w:rPr>
          <w:rFonts w:ascii="Times New Roman" w:cs="Times New Roman" w:eastAsia="Times New Roman" w:hAnsi="Times New Roman"/>
          <w:sz w:val="13"/>
          <w:szCs w:val="13"/>
          <w:color w:val="auto"/>
        </w:rPr>
        <w:t>Investment is denominated in a foreign currency. At each balance sheet date, portfolio company investments denominated in foreign currencies are translated into U.S. dollars using the spot exchange rate on the last business day of the period. Transactions of foreign portfolio company investments, and income related from such investments, are translated into U.S. dollars using relevant rates of exchange on the respective dates of such transactions.</w:t>
      </w:r>
    </w:p>
    <w:p>
      <w:pPr>
        <w:spacing w:after="0" w:line="185" w:lineRule="auto"/>
        <w:rPr>
          <w:sz w:val="20"/>
          <w:szCs w:val="20"/>
          <w:color w:val="auto"/>
        </w:rPr>
      </w:pPr>
      <w:r>
        <w:rPr>
          <w:rFonts w:ascii="Times New Roman" w:cs="Times New Roman" w:eastAsia="Times New Roman" w:hAnsi="Times New Roman"/>
          <w:sz w:val="6"/>
          <w:szCs w:val="6"/>
          <w:color w:val="auto"/>
        </w:rPr>
        <w:t>(23)</w:t>
      </w:r>
    </w:p>
    <w:p>
      <w:pPr>
        <w:ind w:left="400" w:right="100"/>
        <w:spacing w:after="0" w:line="207" w:lineRule="auto"/>
        <w:rPr>
          <w:sz w:val="20"/>
          <w:szCs w:val="20"/>
          <w:color w:val="auto"/>
        </w:rPr>
      </w:pPr>
      <w:r>
        <w:rPr>
          <w:rFonts w:ascii="Times New Roman" w:cs="Times New Roman" w:eastAsia="Times New Roman" w:hAnsi="Times New Roman"/>
          <w:sz w:val="13"/>
          <w:szCs w:val="13"/>
          <w:color w:val="auto"/>
        </w:rPr>
        <w:t>Investment represents a security with a tiered fee that increases quarterly, dependent upon the timing of repayment. Such fees are recorded in "Fee income" on the Consolidated Statements of Operations.</w:t>
      </w:r>
    </w:p>
    <w:p>
      <w:pPr>
        <w:spacing w:after="0" w:line="188" w:lineRule="auto"/>
        <w:rPr>
          <w:sz w:val="20"/>
          <w:szCs w:val="20"/>
          <w:color w:val="auto"/>
        </w:rPr>
      </w:pPr>
      <w:r>
        <w:rPr>
          <w:rFonts w:ascii="Times New Roman" w:cs="Times New Roman" w:eastAsia="Times New Roman" w:hAnsi="Times New Roman"/>
          <w:sz w:val="6"/>
          <w:szCs w:val="6"/>
          <w:color w:val="auto"/>
        </w:rPr>
        <w:t>(24)</w:t>
      </w:r>
    </w:p>
    <w:p>
      <w:pPr>
        <w:ind w:left="400" w:right="120"/>
        <w:spacing w:after="0" w:line="207" w:lineRule="auto"/>
        <w:rPr>
          <w:sz w:val="20"/>
          <w:szCs w:val="20"/>
          <w:color w:val="auto"/>
        </w:rPr>
      </w:pPr>
      <w:r>
        <w:rPr>
          <w:rFonts w:ascii="Times New Roman" w:cs="Times New Roman" w:eastAsia="Times New Roman" w:hAnsi="Times New Roman"/>
          <w:sz w:val="13"/>
          <w:szCs w:val="13"/>
          <w:color w:val="auto"/>
        </w:rPr>
        <w:t>The assets recovered on the senior secured term loan to Pivot3, Inc. were contributed to P3 Holdco LLC by the Company, a wholly owned subsidiary of the Company. For more information, refer to "Note 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Summary of Significant Accounting Policies, Principles of Consolidation".</w:t>
      </w:r>
    </w:p>
    <w:p>
      <w:pPr>
        <w:spacing w:after="0" w:line="186" w:lineRule="auto"/>
        <w:rPr>
          <w:sz w:val="20"/>
          <w:szCs w:val="20"/>
          <w:color w:val="auto"/>
        </w:rPr>
      </w:pPr>
      <w:r>
        <w:rPr>
          <w:rFonts w:ascii="Times New Roman" w:cs="Times New Roman" w:eastAsia="Times New Roman" w:hAnsi="Times New Roman"/>
          <w:sz w:val="6"/>
          <w:szCs w:val="6"/>
          <w:color w:val="auto"/>
        </w:rPr>
        <w:t>(25)</w:t>
      </w:r>
    </w:p>
    <w:p>
      <w:pPr>
        <w:ind w:left="400" w:right="360"/>
        <w:spacing w:after="0" w:line="207" w:lineRule="auto"/>
        <w:rPr>
          <w:sz w:val="20"/>
          <w:szCs w:val="20"/>
          <w:color w:val="auto"/>
        </w:rPr>
      </w:pPr>
      <w:r>
        <w:rPr>
          <w:rFonts w:ascii="Times New Roman" w:cs="Times New Roman" w:eastAsia="Times New Roman" w:hAnsi="Times New Roman"/>
          <w:sz w:val="13"/>
          <w:szCs w:val="13"/>
          <w:color w:val="auto"/>
        </w:rPr>
        <w:t>Affiliate portfolio company as defined under the 1940 Act in which the Company owns between 5% and 25% (inclusive) of the investment's voting securities and does not have rights to maintain greater than 50% representation on the board.</w:t>
      </w:r>
    </w:p>
    <w:p>
      <w:pPr>
        <w:spacing w:after="0" w:line="188" w:lineRule="auto"/>
        <w:rPr>
          <w:sz w:val="20"/>
          <w:szCs w:val="20"/>
          <w:color w:val="auto"/>
        </w:rPr>
      </w:pPr>
      <w:r>
        <w:rPr>
          <w:rFonts w:ascii="Times New Roman" w:cs="Times New Roman" w:eastAsia="Times New Roman" w:hAnsi="Times New Roman"/>
          <w:sz w:val="6"/>
          <w:szCs w:val="6"/>
          <w:color w:val="auto"/>
        </w:rPr>
        <w:t>(26)</w:t>
      </w:r>
    </w:p>
    <w:p>
      <w:pPr>
        <w:ind w:left="400" w:right="320"/>
        <w:spacing w:after="0" w:line="207" w:lineRule="auto"/>
        <w:rPr>
          <w:sz w:val="20"/>
          <w:szCs w:val="20"/>
          <w:color w:val="auto"/>
        </w:rPr>
      </w:pPr>
      <w:r>
        <w:rPr>
          <w:rFonts w:ascii="Times New Roman" w:cs="Times New Roman" w:eastAsia="Times New Roman" w:hAnsi="Times New Roman"/>
          <w:sz w:val="13"/>
          <w:szCs w:val="13"/>
          <w:color w:val="auto"/>
        </w:rPr>
        <w:t>Control portfolio company, as defined under the 1940 Act, in which the Company owns more than 25% of the investment’s voting securities or has greater than 50% representation on its board.</w:t>
      </w:r>
    </w:p>
    <w:p>
      <w:pPr>
        <w:spacing w:after="0" w:line="188" w:lineRule="auto"/>
        <w:rPr>
          <w:sz w:val="20"/>
          <w:szCs w:val="20"/>
          <w:color w:val="auto"/>
        </w:rPr>
      </w:pPr>
      <w:r>
        <w:rPr>
          <w:rFonts w:ascii="Times New Roman" w:cs="Times New Roman" w:eastAsia="Times New Roman" w:hAnsi="Times New Roman"/>
          <w:sz w:val="6"/>
          <w:szCs w:val="6"/>
          <w:color w:val="auto"/>
        </w:rPr>
        <w:t>(27)</w:t>
      </w:r>
    </w:p>
    <w:p>
      <w:pPr>
        <w:ind w:left="400"/>
        <w:spacing w:after="0" w:line="195" w:lineRule="auto"/>
        <w:rPr>
          <w:sz w:val="20"/>
          <w:szCs w:val="20"/>
          <w:color w:val="auto"/>
        </w:rPr>
      </w:pPr>
      <w:r>
        <w:rPr>
          <w:rFonts w:ascii="Times New Roman" w:cs="Times New Roman" w:eastAsia="Times New Roman" w:hAnsi="Times New Roman"/>
          <w:sz w:val="11"/>
          <w:szCs w:val="11"/>
          <w:color w:val="auto"/>
        </w:rPr>
        <w:t>Investment was on non-accrual status as of December 31, 2024 and was therefore considered non-income producing.</w:t>
      </w:r>
    </w:p>
    <w:p>
      <w:pPr>
        <w:spacing w:after="0" w:line="185" w:lineRule="auto"/>
        <w:rPr>
          <w:sz w:val="20"/>
          <w:szCs w:val="20"/>
          <w:color w:val="auto"/>
        </w:rPr>
      </w:pPr>
      <w:r>
        <w:rPr>
          <w:rFonts w:ascii="Times New Roman" w:cs="Times New Roman" w:eastAsia="Times New Roman" w:hAnsi="Times New Roman"/>
          <w:sz w:val="6"/>
          <w:szCs w:val="6"/>
          <w:color w:val="auto"/>
        </w:rPr>
        <w:t>(28)</w:t>
      </w:r>
    </w:p>
    <w:p>
      <w:pPr>
        <w:ind w:left="400"/>
        <w:spacing w:after="0" w:line="195" w:lineRule="auto"/>
        <w:rPr>
          <w:sz w:val="20"/>
          <w:szCs w:val="20"/>
          <w:color w:val="auto"/>
        </w:rPr>
      </w:pPr>
      <w:r>
        <w:rPr>
          <w:rFonts w:ascii="Times New Roman" w:cs="Times New Roman" w:eastAsia="Times New Roman" w:hAnsi="Times New Roman"/>
          <w:sz w:val="11"/>
          <w:szCs w:val="11"/>
          <w:color w:val="auto"/>
        </w:rPr>
        <w:t>Sale of equity security was subject to a lock-up period until January 22, 2025.</w:t>
      </w:r>
    </w:p>
    <w:p>
      <w:pPr>
        <w:spacing w:after="0" w:line="186" w:lineRule="auto"/>
        <w:rPr>
          <w:sz w:val="20"/>
          <w:szCs w:val="20"/>
          <w:color w:val="auto"/>
        </w:rPr>
      </w:pPr>
      <w:r>
        <w:rPr>
          <w:rFonts w:ascii="Times New Roman" w:cs="Times New Roman" w:eastAsia="Times New Roman" w:hAnsi="Times New Roman"/>
          <w:sz w:val="6"/>
          <w:szCs w:val="6"/>
          <w:color w:val="auto"/>
        </w:rPr>
        <w:t>(29)</w:t>
      </w:r>
    </w:p>
    <w:p>
      <w:pPr>
        <w:ind w:left="400"/>
        <w:spacing w:after="0" w:line="195" w:lineRule="auto"/>
        <w:rPr>
          <w:sz w:val="20"/>
          <w:szCs w:val="20"/>
          <w:color w:val="auto"/>
        </w:rPr>
      </w:pPr>
      <w:r>
        <w:rPr>
          <w:rFonts w:ascii="Times New Roman" w:cs="Times New Roman" w:eastAsia="Times New Roman" w:hAnsi="Times New Roman"/>
          <w:sz w:val="11"/>
          <w:szCs w:val="11"/>
          <w:color w:val="auto"/>
        </w:rPr>
        <w:t>JobGet Holdings, Inc. (fka Snagajob.com, Inc.) has the right of first refusal on sale of preferred stock.</w:t>
      </w:r>
    </w:p>
    <w:p>
      <w:pPr>
        <w:spacing w:after="0" w:line="185" w:lineRule="auto"/>
        <w:rPr>
          <w:sz w:val="20"/>
          <w:szCs w:val="20"/>
          <w:color w:val="auto"/>
        </w:rPr>
      </w:pPr>
      <w:r>
        <w:rPr>
          <w:rFonts w:ascii="Times New Roman" w:cs="Times New Roman" w:eastAsia="Times New Roman" w:hAnsi="Times New Roman"/>
          <w:sz w:val="6"/>
          <w:szCs w:val="6"/>
          <w:color w:val="auto"/>
        </w:rPr>
        <w:t>(30)</w:t>
      </w:r>
    </w:p>
    <w:p>
      <w:pPr>
        <w:ind w:left="400"/>
        <w:spacing w:after="0" w:line="195" w:lineRule="auto"/>
        <w:rPr>
          <w:sz w:val="20"/>
          <w:szCs w:val="20"/>
          <w:color w:val="auto"/>
        </w:rPr>
      </w:pPr>
      <w:r>
        <w:rPr>
          <w:rFonts w:ascii="Times New Roman" w:cs="Times New Roman" w:eastAsia="Times New Roman" w:hAnsi="Times New Roman"/>
          <w:sz w:val="11"/>
          <w:szCs w:val="11"/>
          <w:color w:val="auto"/>
        </w:rPr>
        <w:t>Gynesonics, Inc. had the right of first refusal on sale of preferred stock.</w:t>
      </w:r>
    </w:p>
    <w:p>
      <w:pPr>
        <w:spacing w:after="0" w:line="185" w:lineRule="auto"/>
        <w:rPr>
          <w:sz w:val="20"/>
          <w:szCs w:val="20"/>
          <w:color w:val="auto"/>
        </w:rPr>
      </w:pPr>
      <w:r>
        <w:rPr>
          <w:rFonts w:ascii="Times New Roman" w:cs="Times New Roman" w:eastAsia="Times New Roman" w:hAnsi="Times New Roman"/>
          <w:sz w:val="6"/>
          <w:szCs w:val="6"/>
          <w:color w:val="auto"/>
        </w:rPr>
        <w:t>*</w:t>
      </w:r>
    </w:p>
    <w:p>
      <w:pPr>
        <w:ind w:left="400"/>
        <w:spacing w:after="0"/>
        <w:rPr>
          <w:sz w:val="20"/>
          <w:szCs w:val="20"/>
          <w:color w:val="auto"/>
        </w:rPr>
      </w:pPr>
      <w:r>
        <w:rPr>
          <w:rFonts w:ascii="Times New Roman" w:cs="Times New Roman" w:eastAsia="Times New Roman" w:hAnsi="Times New Roman"/>
          <w:sz w:val="13"/>
          <w:szCs w:val="13"/>
          <w:color w:val="auto"/>
        </w:rPr>
        <w:t>Fair value as a percentage of net assets.</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21" w:name="page22"/>
    <w:bookmarkEnd w:id="2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Consolidated Financial Statements</w:t>
      </w: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 – Organization</w:t>
      </w:r>
    </w:p>
    <w:p>
      <w:pPr>
        <w:spacing w:after="0" w:line="190"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Runway Growth Finance Corp.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continue to qualify annually as a regulated investment company ("RIC") under Subchapter M of the Internal Revenue Code of 1986, as amended (the "Code").</w:t>
      </w:r>
    </w:p>
    <w:p>
      <w:pPr>
        <w:spacing w:after="0" w:line="169"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6"/>
          <w:szCs w:val="16"/>
          <w:color w:val="auto"/>
        </w:rPr>
        <w:t>The Company was formed primarily to lend to, and selectively invest in, high growth-potential companies in technology, healthcare, business services, financial services, and select consumer services and products in other high growth industries. The Company’s investment objective is to maximize its total return to its stockholders primarily through current income on its loan portfolio, and secondarily through capital gain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 On January 30, 2025, a private investment fund advised by BC Partners Advisors L.P. ("BC Partners") acquired the majority equity interest of RGC, and Mount Logan Capital Inc., an affiliate of BC Partners, acquired the remaining minority equity interest, together acquiring the entirety of the outstanding equity interest of RGC (the "BCP Transaction").</w:t>
      </w:r>
    </w:p>
    <w:p>
      <w:pPr>
        <w:spacing w:after="0" w:line="173"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6"/>
          <w:szCs w:val="16"/>
          <w:color w:val="auto"/>
        </w:rPr>
        <w:t>On October 25, 2021, the Company closed its initial public offering ("IPO"), issuing 6,850,000 shares of its common stock at a public offering price of $14.60 per share. Net of underwriting fees and offering costs, the Company received net proceeds of $93.0 million. The Company's common stock began trading on the Nasdaq Global Select Market LLC ("NASDAQ") on October 21, 2021, under the symbol "RWAY".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2 – Summary of Significant Accounting Policies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Basis of Presentation</w:t>
      </w:r>
    </w:p>
    <w:p>
      <w:pPr>
        <w:spacing w:after="0" w:line="192" w:lineRule="exact"/>
        <w:rPr>
          <w:sz w:val="20"/>
          <w:szCs w:val="20"/>
          <w:color w:val="auto"/>
        </w:rPr>
      </w:pPr>
    </w:p>
    <w:p>
      <w:pPr>
        <w:ind w:right="40"/>
        <w:spacing w:after="0" w:line="186" w:lineRule="exact"/>
        <w:rPr>
          <w:sz w:val="20"/>
          <w:szCs w:val="20"/>
          <w:color w:val="auto"/>
        </w:rPr>
      </w:pPr>
      <w:r>
        <w:rPr>
          <w:rFonts w:ascii="Times New Roman" w:cs="Times New Roman" w:eastAsia="Times New Roman" w:hAnsi="Times New Roman"/>
          <w:sz w:val="14"/>
          <w:szCs w:val="14"/>
          <w:color w:val="auto"/>
        </w:rPr>
        <w:t xml:space="preserve">The accompanying interim unaudited consolidated financial statements of the Company are prepared on the accrual basis of accounting in conformity with U.S. Generally Accepted Accounting Principles ("U.S. GAAP") and pursuant to the requirements for reporting on Form 10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Q and in compliance with Regulation S-X under the Securities Exchange Act of 1934, as amended. The Company is an investment company following the specialized accounting and reporting guidance specified in the Financial Accounting Standards Board’s ("FASB") Accounting Standards Codification ("ASC") Topic 946, </w:t>
      </w:r>
      <w:r>
        <w:rPr>
          <w:rFonts w:ascii="Times New Roman" w:cs="Times New Roman" w:eastAsia="Times New Roman" w:hAnsi="Times New Roman"/>
          <w:sz w:val="14"/>
          <w:szCs w:val="14"/>
          <w:i w:val="1"/>
          <w:iCs w:val="1"/>
          <w:color w:val="auto"/>
        </w:rPr>
        <w:t>Financial Services — Investment Companies</w:t>
      </w:r>
      <w:r>
        <w:rPr>
          <w:rFonts w:ascii="Times New Roman" w:cs="Times New Roman" w:eastAsia="Times New Roman" w:hAnsi="Times New Roman"/>
          <w:sz w:val="14"/>
          <w:szCs w:val="14"/>
          <w:color w:val="auto"/>
        </w:rPr>
        <w:t xml:space="preserve"> ("ASC 946").</w:t>
      </w:r>
    </w:p>
    <w:p>
      <w:pPr>
        <w:spacing w:after="0" w:line="17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2025. The interim unaudited consolidated financial statements and notes hereto should be read in conjunction with the audited consolidated financial statements and notes thereto contained in the Company’s annual report on Form 10-K, as modified by the Company's annual report on Form 10-K/A, for the year ended December 31, 2024, filed with the Securities and Exchange Commission (the "SEC") on March 20, 2025 and March 27, 2025, respectively.</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22" w:name="page23"/>
    <w:bookmarkEnd w:id="2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Principles of Consolidation</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Under ASC 946, the Company is precluded from consolidating portfolio company investments, including those in which it has a controlling interest, unless the portfolio company is another investment company that is substantially wholly owned by it. An exception to this general principle occurs if the Company holds a controlling interest in an operating company that provides all or substantially all of its services directly to the Company or to its portfolio companies. None of the portfolio investments made by the Company qualify for this exception. Therefore, the Company’s investment portfolio is carried on the Consolidated Statements of Assets and Liabilities at fair value, as discussed further in "Note 4 — Investments," with any adjustments to fair value recognized as "Net change in unrealized gain (loss) on investments" on the Consolidated Statements of Operations.</w:t>
      </w:r>
    </w:p>
    <w:p>
      <w:pPr>
        <w:spacing w:after="0" w:line="173"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6"/>
          <w:szCs w:val="16"/>
          <w:color w:val="auto"/>
        </w:rPr>
        <w:t>The Company’s consolidated operations include the activities of its wholly owned subsidiary, P3 Holdco LLC ("P3 Holdco") . P3 Holdco serves to facilitate the Company’s investment in Pivot3, Inc. ("Pivot3"). As a result, the Company consolidates the financial results of P3 Holdco in its consolidated financial statements in accordance with ASC 946 and treats its indirect investment in Pivot3 as a portfolio investment held at fair value. All intercompany balances and transactions have been eliminated. The Company has determined that Runway-Cadma I LLC (the "JV") is an investment company under ASC Topic 946. However, in accordance with such guidance, the Company will generally not consolidate its investment in a company other than a substantially wholly owned investment company subsidiary, which is an extension of the operations of the Company, or a controlled operating company whose business consists of providing services to the Company. The Company does not consolidate its interest in the JV as it is not a substantially wholly owned investment company subsidiary of the Company. In addition, the JV is not an operating company and the Company does not control the JV due to the allocation of voting rights among the JV members. As a result, the JV is accounted for as a portfolio investment of the Company held at fair value and not included as a consolidated subsidiary in the Company's financial statements. Refer to the Consolidated Schedule of Investments for the Company’s equity interest in Pivot3 and the JV as of June 30, 2025 and December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Transfers of Financial Assets</w:t>
      </w:r>
    </w:p>
    <w:p>
      <w:pPr>
        <w:spacing w:after="0" w:line="192"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The Company follows the guidance in ASC Topic 860, Transfers and Servicing, when accounting for transferred financial assets such as debt and equity assignments. Such guidance requires an assignment to meet the definition of a "participating interest", as defined in the guidance, and the following conditions to be met in order for sale treatment to be allowed:</w:t>
      </w:r>
    </w:p>
    <w:p>
      <w:pPr>
        <w:spacing w:after="0" w:line="68" w:lineRule="exact"/>
        <w:rPr>
          <w:sz w:val="20"/>
          <w:szCs w:val="20"/>
          <w:color w:val="auto"/>
        </w:rPr>
      </w:pPr>
    </w:p>
    <w:p>
      <w:pPr>
        <w:ind w:left="360" w:right="400"/>
        <w:spacing w:after="0" w:line="259" w:lineRule="auto"/>
        <w:rPr>
          <w:sz w:val="20"/>
          <w:szCs w:val="20"/>
          <w:color w:val="auto"/>
        </w:rPr>
      </w:pPr>
      <w:r>
        <w:rPr>
          <w:rFonts w:ascii="Times New Roman" w:cs="Times New Roman" w:eastAsia="Times New Roman" w:hAnsi="Times New Roman"/>
          <w:sz w:val="16"/>
          <w:szCs w:val="16"/>
          <w:color w:val="auto"/>
        </w:rPr>
        <w:t>•assigned investments have been isolated from the Company and put presumptively beyond the reach of the Company and its creditors, even in bankruptcy or other receivership;</w:t>
      </w:r>
    </w:p>
    <w:p>
      <w:pPr>
        <w:spacing w:after="0" w:line="59" w:lineRule="exact"/>
        <w:rPr>
          <w:sz w:val="20"/>
          <w:szCs w:val="20"/>
          <w:color w:val="auto"/>
        </w:rPr>
      </w:pPr>
    </w:p>
    <w:p>
      <w:pPr>
        <w:ind w:left="360" w:right="20"/>
        <w:spacing w:after="0" w:line="259" w:lineRule="auto"/>
        <w:rPr>
          <w:sz w:val="20"/>
          <w:szCs w:val="20"/>
          <w:color w:val="auto"/>
        </w:rPr>
      </w:pPr>
      <w:r>
        <w:rPr>
          <w:rFonts w:ascii="Times New Roman" w:cs="Times New Roman" w:eastAsia="Times New Roman" w:hAnsi="Times New Roman"/>
          <w:sz w:val="16"/>
          <w:szCs w:val="16"/>
          <w:color w:val="auto"/>
        </w:rPr>
        <w:t>•each participant has the right to pledge or exchange the assigned investments it received, and no condition both constrains the participant from taking advantage of its right to pledge or exchange and provides more than a trivial benefit to the Company; and</w:t>
      </w:r>
    </w:p>
    <w:p>
      <w:pPr>
        <w:spacing w:after="0" w:line="59" w:lineRule="exact"/>
        <w:rPr>
          <w:sz w:val="20"/>
          <w:szCs w:val="20"/>
          <w:color w:val="auto"/>
        </w:rPr>
      </w:pPr>
    </w:p>
    <w:p>
      <w:pPr>
        <w:ind w:left="360"/>
        <w:spacing w:after="0" w:line="247" w:lineRule="auto"/>
        <w:rPr>
          <w:sz w:val="20"/>
          <w:szCs w:val="20"/>
          <w:color w:val="auto"/>
        </w:rPr>
      </w:pPr>
      <w:r>
        <w:rPr>
          <w:rFonts w:ascii="Times New Roman" w:cs="Times New Roman" w:eastAsia="Times New Roman" w:hAnsi="Times New Roman"/>
          <w:sz w:val="16"/>
          <w:szCs w:val="16"/>
          <w:color w:val="auto"/>
        </w:rPr>
        <w:t>•the Company, its consolidated affiliates or its agents do not maintain effective control over the assigned investments through either: (i) an agreement that entitles and/or obligates the Company to repurchase or redeem the assets before maturity, or (ii) the ability to unilaterally cause the holder to return the specific assets, other than through a cleanup call.</w:t>
      </w:r>
    </w:p>
    <w:p>
      <w:pPr>
        <w:spacing w:after="0" w:line="68"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Assignments and other partial debt or equity sales that do not meet the definition of a participating interest or the above conditions, should remain on the Company's Consolidated Statements of Assets and Liabilities and the proceeds recorded as a secured borrowing until the definition is met.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Runway-Cadma I LLC</w:t>
      </w:r>
    </w:p>
    <w:p>
      <w:pPr>
        <w:spacing w:after="0" w:line="156"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The Company entered into a joint venture agreement, effective as of March 6, 2024, with Cadma Capital Partners LLC ("Cadma") to create and co-manage the JV. The JV may invest in secured loans to growth -stage companies that have been originated by the Company. The Company and Cadma have equal ownership of the JV and each committed to provide $35.0 million of the total $70.0 million in equity capital. All portfolio decisions and generally all other actions with respect to the JV must be approved by the board of managers of the JV, consisting of an equal number of representatives of the Company and Cadma. Capital contributions are called from the Company and Cadma on a pro-rata basis based on their total capital commitments. For more information, refer to "Note 3 – Related Parties."</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3" w:name="page24"/>
    <w:bookmarkEnd w:id="2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Use of Estimates</w:t>
      </w:r>
    </w:p>
    <w:p>
      <w:pPr>
        <w:spacing w:after="0" w:line="156"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U.S. GAAP requires management to make estimates and assumptions that affect the reported amounts of assets and liabilities and disclosure of contingent assets and liabilities as of the date of the consolidated financial statements and the reported amounts of income and expense during the reporting period. Changes in the economic and regulatory environment, financial markets, the credit worthiness of the Company's portfolio companies, and any other parameters used in determining these estimates and assumptions could cause actual results to differ from these estimates and assumptions.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w:t>
      </w:r>
    </w:p>
    <w:p>
      <w:pPr>
        <w:spacing w:after="0" w:line="156"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Cash consists solely of funds deposited with financial institutions, while cash equivalents consist of short-term liquid investments in money market funds. Cash and cash equivalents are carried at cost, which approximates fair value. As of June 30, 2025 and December 31, 2024, $5.5 million and $4.0 million was invested in money market funds, respectively. Dividends earned from money market funds are recorded in "Other income" on the Consolidated Statements of Operations. The Company may hold foreign cash from time to time as a result of transactions related to investments denominated in foreign currencies. Foreign cash includes the value of foreign currencies held and translated using the prevailing foreign exchange rates on the reporting date. Temporary fluctuations in any foreign currency held on the balance sheet date are recorded in "Net change in unrealized gain (loss) on forward contracts and foreign currency transactions" on the Consolidated Statements of Operations. Any realized gains or losses recognized upon foreign currency translated into local currency are recorded in "Net realized gain (loss) on forward contracts and foreign currency transactions" on the Consolidated Statements of Operations.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Denominated in Foreign Currency</w:t>
      </w:r>
    </w:p>
    <w:p>
      <w:pPr>
        <w:spacing w:after="0" w:line="1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At each balance sheet date, portfolio company investments denominated in foreign currencies and any related receivables are translated into U.S. dollars using the spot exchange rate on the last business day of the period. Purchases and sales of foreign portfolio company investments, and any income from such investments, are translated into U.S. dollars using the rates of exchange prevailing on the respective dates of such transactions. As of June 30, 2025 and December 31, 2024, the Company held two investments denominated in British pound sterling, and one investment denominated in Euros. Refer to the Consolidated Schedule of Investments and respective footnotes to the Consolidated Schedule of Investments for more details on the portfolio company investments held in foreign currencies as of June 30, 2025 and December 31, 2024.</w:t>
      </w:r>
    </w:p>
    <w:p>
      <w:pPr>
        <w:spacing w:after="0" w:line="13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Although the fair values of foreign portfolio company investments and the fluctuation in such fair values are translated into U.S. dollars using the applicable foreign exchange rates described above, the Company does not distinguish the portion of the change in fair value resulting from foreign currency exchange rate fluctuations from the change in fair value of the underlying investment. All fluctuations in fair value are included in "Net change in unrealized gain (loss) on non-control/non-affiliate investments" on the Consolidated Statements of Operations. Any realized gains or losses upon settlement of investments and related receivables denominated in foreign currency are recorded in "Net realized gain (loss) on forward contracts and foreign currency transactions" on the Consolidated Statements of Operations.</w:t>
      </w:r>
    </w:p>
    <w:p>
      <w:pPr>
        <w:spacing w:after="0" w:line="104"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 xml:space="preserve">The Company may also enter into foreign currency forward contracts to mitigate its exposure to foreign currency fluctuations associated with certain investments denominated in foreign currencies. These contracts are recognized as derivative instruments and measured at fair value in accordance with ASC Topic 815, </w:t>
      </w:r>
      <w:r>
        <w:rPr>
          <w:rFonts w:ascii="Times New Roman" w:cs="Times New Roman" w:eastAsia="Times New Roman" w:hAnsi="Times New Roman"/>
          <w:sz w:val="16"/>
          <w:szCs w:val="16"/>
          <w:i w:val="1"/>
          <w:iCs w:val="1"/>
          <w:color w:val="auto"/>
        </w:rPr>
        <w:t>Derivatives</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and Hedging </w:t>
      </w:r>
      <w:r>
        <w:rPr>
          <w:rFonts w:ascii="Times New Roman" w:cs="Times New Roman" w:eastAsia="Times New Roman" w:hAnsi="Times New Roman"/>
          <w:sz w:val="16"/>
          <w:szCs w:val="16"/>
          <w:color w:val="auto"/>
        </w:rPr>
        <w:t>("ASC 815"), and are recorded as "Foreign currency forward contracts" on the Consolidated Statements of Assets and Liabilities. Changes in fair value are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recorded in "Net change in unrealized gain (loss) on forward contracts and foreign currency transactions" on the Consolidated Statements of Operations. The payments and proceeds from derivative contracts are included in "Payments for derivative contracts" and "Proceeds from derivative contracts", respectively, on the Consolidated Statements of Cash Flows. The net cash flows realized on settlement of derivatives are included in "Net realized (gain) loss on forward contracts and foreign currency transactions" on the Consolidated Statements of Operations and Consolidated Statements of Cash Flows. Refer to "Note 4 – Investments" for more information regarding the foreign currency forward contracts.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4" w:name="page25"/>
    <w:bookmarkEnd w:id="2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Transactions and Related Investment Income</w:t>
      </w:r>
    </w:p>
    <w:p>
      <w:pPr>
        <w:spacing w:after="0" w:line="156"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The Company’s investment portfolio generates interest, fee, and dividend income. The Company records interest income on an accrual basis, recognizing income as earned in accordance with the contractual terms of the loan agreement, to the extent that such amounts are expected to be collected. The cost of each debt investment is adjusted for any discounts, premiums, upfront fees, and carve-outs representing the value of detachable equity, warrants, or another asset obtained in conjunction with the acquisition of debt investments (collectively "OID"), as well as any contractual end-of-term payments ("ETP"). The OID and ETP are capitalized into the adjusted cost basis and recorded as interest income over the term of the loan as a yield enhancement following the effective interest method. Upon prepayment of a debt investment, any unamortized OID and ETP is recorded as interest income and any prepayment penalties are recorded as fee income. Upon amending terms of an existing investment, any amendment fees charged are recorded as fee income. Fee income may also include income from bridge loans.</w:t>
      </w:r>
    </w:p>
    <w:p>
      <w:pPr>
        <w:spacing w:after="0" w:line="98"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The Company currently holds, and expects to hold in the future, some investments in its portfolio with payment-in-kind ("PIK") interest provisions. PIK interest is computed at the contractual rate specified in each loan agreement and is added to the principal balance of the loan, rather than being paid to the Company in cash, and is recorded as interest income. The actual collection of PIK interest may be deferred until the time of debt principal repayment. PIK interest, which is a non- cash source of income, is included in the Company’s taxable income and therefore affects the amount of income the Company is required to distribute to stockholders to maintain its qualification as a RIC for U.S. federal income tax purposes. For the three and six months ended June 30, 2025, 11.3% and 10.8%, respectively, of the Company’s total investment income was attributable to non-cash PIK interest. For the three and six months ended June 30, 2024, 6.8% and 8.8%, respectively, of the Company’s total investment income was attributable to non-cash PIK interest.</w:t>
      </w:r>
    </w:p>
    <w:p>
      <w:pPr>
        <w:spacing w:after="0" w:line="98"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Dividend income is recorded on an accrual basis to the extent that such amounts are payable and expected to be collected. Dividend income is recorded on the record date for private portfolio companies and on the ex-dividend date for publicly traded portfolio companies. Interest income, if any, adjusted for amortization of market premium and accretion of OID and ETP, is recorded on an accrual basis to the extent that the Company expects to collect such amounts.</w:t>
      </w:r>
    </w:p>
    <w:p>
      <w:pPr>
        <w:spacing w:after="0" w:line="92" w:lineRule="exact"/>
        <w:rPr>
          <w:sz w:val="20"/>
          <w:szCs w:val="20"/>
          <w:color w:val="auto"/>
        </w:rPr>
      </w:pPr>
    </w:p>
    <w:p>
      <w:pPr>
        <w:jc w:val="both"/>
        <w:ind w:right="400"/>
        <w:spacing w:after="0" w:line="247" w:lineRule="auto"/>
        <w:rPr>
          <w:sz w:val="20"/>
          <w:szCs w:val="20"/>
          <w:color w:val="auto"/>
        </w:rPr>
      </w:pPr>
      <w:r>
        <w:rPr>
          <w:rFonts w:ascii="Times New Roman" w:cs="Times New Roman" w:eastAsia="Times New Roman" w:hAnsi="Times New Roman"/>
          <w:sz w:val="16"/>
          <w:szCs w:val="16"/>
          <w:color w:val="auto"/>
        </w:rPr>
        <w:t>Security transactions, if any, are recorded on a trade-date basis. Realized gains or losses from the repayment or sale of investments are measured using the specific identification method. The Company reports changes in fair value of investments from the prior period as a component of "Net change in unrealized gain (loss) on investments" on the Consolidated Statements of Operations.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Debt and Deferred Financing Costs</w:t>
      </w:r>
    </w:p>
    <w:p>
      <w:pPr>
        <w:spacing w:after="0" w:line="156"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6"/>
          <w:szCs w:val="16"/>
          <w:color w:val="auto"/>
        </w:rPr>
        <w:t>The debt of the Company is carried at amortized cost on the Consolidated Statements of Assets and Liabilities, which is comprised of the principal amount borrowed, net of unamortized debt financing costs. Debt financing costs ("DFC") are fees and other direct incremental costs incurred by the Company in relation to debt financing and are amortized over the life of the related debt instrument or the life of the cost respective service, if shorter, using the straight-line method, which closely approximates the effective yield method. Amortization of such debt financing costs and interest expense on the outstanding principal balance are recorded in "Interest and other debt financing expenses" on the Consolidated Statements of Operations. Debt financing costs that have not yet been amortized are recorded as "Unamortized deferred financing costs" on the Consolidated Statements of Assets and Liabilities. To the extent there are no outstanding borrowings, the deferred financing costs are presented as an asset on the Consolidated Statements of Assets and Liabilities. Accrued but unpaid interest is included within "Interest payable" on the Consolidated Statements of Assets and Liabilities. For more information, refer to "Note 7 – Borrowings."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5" w:name="page26"/>
    <w:bookmarkEnd w:id="2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Investments</w:t>
      </w:r>
    </w:p>
    <w:p>
      <w:pPr>
        <w:spacing w:after="0" w:line="120"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Debt investments are placed on non- accrual status when principal, interest, and other obligations become materially past due or when it is probable that principal, interest, or other obligations will not be collected in full. At the point of non-accrual, the Company will cease recognizing interest income on the debt investment until all principal and interest due have been paid or the Company believes the borrower has demonstrated the ability to repay its current and future contractual obligations. Additionally, any OID and ETP associated with the debt investment is no longer accreted to interest income as of the date the loan is placed on non-accrual status. Any payments received on non- accrual loans are first applied to principal prior to recovery of any foregone interest or ETP.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ETP.</w:t>
      </w:r>
    </w:p>
    <w:p>
      <w:pPr>
        <w:spacing w:after="0" w:line="75"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cost, fair value, and types of income not recorded in "Interest income" on the Consolidated Statements of Operations related to senior secured term loans on non-accrual status as of June 30, 2025 and December 31,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Forgone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Forgone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as 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w w:val="98"/>
              </w:rPr>
              <w:t>Date of Non-</w:t>
            </w:r>
          </w:p>
        </w:tc>
        <w:tc>
          <w:tcPr>
            <w:tcW w:w="140" w:type="dxa"/>
            <w:vAlign w:val="bottom"/>
          </w:tcPr>
          <w:p>
            <w:pPr>
              <w:spacing w:after="0"/>
              <w:rPr>
                <w:sz w:val="13"/>
                <w:szCs w:val="13"/>
                <w:color w:val="auto"/>
              </w:rPr>
            </w:pPr>
          </w:p>
        </w:tc>
        <w:tc>
          <w:tcPr>
            <w:tcW w:w="7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3"/>
                <w:szCs w:val="13"/>
                <w:color w:val="auto"/>
              </w:rPr>
            </w:pPr>
          </w:p>
        </w:tc>
        <w:tc>
          <w:tcPr>
            <w:tcW w:w="900" w:type="dxa"/>
            <w:vAlign w:val="bottom"/>
            <w:gridSpan w:val="2"/>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Accretion of</w:t>
            </w:r>
          </w:p>
        </w:tc>
        <w:tc>
          <w:tcPr>
            <w:tcW w:w="104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Total Forgone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140" w:type="dxa"/>
            <w:vAlign w:val="bottom"/>
          </w:tcPr>
          <w:p>
            <w:pPr>
              <w:spacing w:after="0"/>
              <w:rPr>
                <w:sz w:val="14"/>
                <w:szCs w:val="14"/>
                <w:color w:val="auto"/>
              </w:rPr>
            </w:pPr>
          </w:p>
        </w:tc>
        <w:tc>
          <w:tcPr>
            <w:tcW w:w="7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90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OID and ETP</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120" w:type="dxa"/>
            <w:vAlign w:val="bottom"/>
          </w:tcPr>
          <w:p>
            <w:pPr>
              <w:spacing w:after="0"/>
              <w:rPr>
                <w:sz w:val="14"/>
                <w:szCs w:val="14"/>
                <w:color w:val="auto"/>
              </w:rPr>
            </w:pPr>
          </w:p>
        </w:tc>
        <w:tc>
          <w:tcPr>
            <w:tcW w:w="8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8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1,013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4,757</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2,399</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1,013</w:t>
            </w:r>
          </w:p>
        </w:tc>
        <w:tc>
          <w:tcPr>
            <w:tcW w:w="2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1,013</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4,757</w:t>
            </w:r>
          </w:p>
        </w:tc>
        <w:tc>
          <w:tcPr>
            <w:tcW w:w="3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2,399</w:t>
            </w:r>
          </w:p>
        </w:tc>
        <w:tc>
          <w:tcPr>
            <w:tcW w:w="880" w:type="dxa"/>
            <w:vAlign w:val="bottom"/>
            <w:gridSpan w:val="2"/>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0.23</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04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JobGet Holdings, Inc. (fka Snagajob.com, Inc.)</w:t>
            </w: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3/31/2024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4,243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4,526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3,774</w:t>
            </w:r>
          </w:p>
        </w:tc>
        <w:tc>
          <w:tcPr>
            <w:tcW w:w="3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3,431</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0.32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4,952</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2,148</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0.20</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4,930</w:t>
            </w:r>
          </w:p>
        </w:tc>
        <w:tc>
          <w:tcPr>
            <w:tcW w:w="2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283</w:t>
            </w:r>
          </w:p>
        </w:tc>
        <w:tc>
          <w:tcPr>
            <w:tcW w:w="2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5,213</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8,726</w:t>
            </w:r>
          </w:p>
        </w:tc>
        <w:tc>
          <w:tcPr>
            <w:tcW w:w="3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5,579</w:t>
            </w:r>
          </w:p>
        </w:tc>
        <w:tc>
          <w:tcPr>
            <w:tcW w:w="880" w:type="dxa"/>
            <w:vAlign w:val="bottom"/>
            <w:gridSpan w:val="2"/>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0.52</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Measurements</w:t>
      </w:r>
    </w:p>
    <w:p>
      <w:pPr>
        <w:spacing w:after="0" w:line="190"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 xml:space="preserve">The Company measures the value of its financial instruments at fair value in accordance with ASC Topic 820, </w:t>
      </w:r>
      <w:r>
        <w:rPr>
          <w:rFonts w:ascii="Times New Roman" w:cs="Times New Roman" w:eastAsia="Times New Roman" w:hAnsi="Times New Roman"/>
          <w:sz w:val="16"/>
          <w:szCs w:val="16"/>
          <w:i w:val="1"/>
          <w:iCs w:val="1"/>
          <w:color w:val="auto"/>
        </w:rPr>
        <w:t>Fair Value Measurements and Disclosure</w:t>
      </w:r>
      <w:r>
        <w:rPr>
          <w:rFonts w:ascii="Times New Roman" w:cs="Times New Roman" w:eastAsia="Times New Roman" w:hAnsi="Times New Roman"/>
          <w:sz w:val="16"/>
          <w:szCs w:val="16"/>
          <w:color w:val="auto"/>
        </w:rPr>
        <w:t xml:space="preserve"> ("ASC 820"), issued by the FASB. Fair value is the price that would be received to sell an asset or paid to transfer a liability in an orderly transaction between market participants at the measurement date. The Company's investment portfolio is reported at fair value on the Consolidated Statements of Assets and Liabilities. All assets and liabilities approximate fair value on the Consolidated Statements of Assets and Liabilities, with the exception of the Company’s borrowings, which are reported at amortized cost. For more information on financial instruments reported at cost, refer to "Note 5 – Fair Value of Financial Instruments."</w:t>
      </w:r>
    </w:p>
    <w:p>
      <w:pPr>
        <w:spacing w:after="0" w:line="171"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6"/>
          <w:szCs w:val="16"/>
          <w:color w:val="auto"/>
        </w:rPr>
        <w:t>ASC 820 specifies a hierarchy of valuation techniques based on whether the inputs to those valuation techniques are observable or unobservable. ASC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820, these inputs are summarized in the three levels listed below:</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•Level 1—Valuations are based on quoted prices in active markets for identical assets or liabilities that are accessible at the measurement date.</w:t>
      </w:r>
    </w:p>
    <w:p>
      <w:pPr>
        <w:spacing w:after="0" w:line="92" w:lineRule="exact"/>
        <w:rPr>
          <w:sz w:val="20"/>
          <w:szCs w:val="20"/>
          <w:color w:val="auto"/>
        </w:rPr>
      </w:pPr>
    </w:p>
    <w:p>
      <w:pPr>
        <w:ind w:left="360" w:right="240"/>
        <w:spacing w:after="0" w:line="259" w:lineRule="auto"/>
        <w:rPr>
          <w:sz w:val="20"/>
          <w:szCs w:val="20"/>
          <w:color w:val="auto"/>
        </w:rPr>
      </w:pPr>
      <w:r>
        <w:rPr>
          <w:rFonts w:ascii="Times New Roman" w:cs="Times New Roman" w:eastAsia="Times New Roman" w:hAnsi="Times New Roman"/>
          <w:sz w:val="16"/>
          <w:szCs w:val="16"/>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59" w:lineRule="exact"/>
        <w:rPr>
          <w:sz w:val="20"/>
          <w:szCs w:val="20"/>
          <w:color w:val="auto"/>
        </w:rPr>
      </w:pPr>
    </w:p>
    <w:p>
      <w:pPr>
        <w:ind w:left="360" w:right="120"/>
        <w:spacing w:after="0" w:line="243" w:lineRule="auto"/>
        <w:rPr>
          <w:sz w:val="20"/>
          <w:szCs w:val="20"/>
          <w:color w:val="auto"/>
        </w:rPr>
      </w:pPr>
      <w:r>
        <w:rPr>
          <w:rFonts w:ascii="Times New Roman" w:cs="Times New Roman" w:eastAsia="Times New Roman" w:hAnsi="Times New Roman"/>
          <w:sz w:val="16"/>
          <w:szCs w:val="16"/>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71"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In certain cases, the inputs used to measure fair value may fall into different levels of the fair value hierarchy. In such cases, a financial instrument’s level within the fair value hierarchy is based on the lowest level of observable or unobservable input that is significant to the fair value measurement. The assessment of the significance of a particular input to the fair value measurement in its entirety requires judgment and considers factors specific to the instrument.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6" w:name="page27"/>
    <w:bookmarkEnd w:id="2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Under ASC 820, the fair value measurement also assumes that the transaction to sell an asset or liability occurs in the principal market for the asset or liability or, in the absence of a principal market, the most advantageous market for the asset, which may be a hypothetical market, and excludes transaction costs. The principal market for any asset or liability is the market with the greatest volume and level of activity for such asset or liability in which the reporting entity would or could sell or transfer the asset or liability. In determining the principal market for an asset or liability under ASC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01"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Rule 2a-5 under the 1940 Act established additional requirements for determining the fair value of a BDC's investments in good faith for purposes of the 1940 Act. Rule 2a-5 permits boards, in compliance with certain conditions, to designate certain parties to perform fair value determinations, subject to board oversight. Rule 2a-5 also defines when market quotations are "readily available" for purposes of the 1940 Act and the threshold for determining whether a fund must determine the fair value of a security. Rule 31a-4 under the 1940 Act established additional recordkeeping requirements related to fair value determinations. Although the Company adopted certain revisions to its valuation policies and procedures to comply with Rule 2a-5 and Rule 31a-4, the Company's board of directors (the "Board of Directors") has not elected to designate a valuation designee.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Valuation Techniques</w:t>
      </w:r>
    </w:p>
    <w:p>
      <w:pPr>
        <w:spacing w:after="0" w:line="15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With respect to investments for which market quotations are not readily available, the Company undertakes a multi-step valuation process each quarter, as described below:</w:t>
      </w:r>
    </w:p>
    <w:p>
      <w:pPr>
        <w:spacing w:after="0" w:line="59" w:lineRule="exact"/>
        <w:rPr>
          <w:sz w:val="20"/>
          <w:szCs w:val="20"/>
          <w:color w:val="auto"/>
        </w:rPr>
      </w:pPr>
    </w:p>
    <w:p>
      <w:pPr>
        <w:ind w:left="280" w:right="200"/>
        <w:spacing w:after="0" w:line="259" w:lineRule="auto"/>
        <w:rPr>
          <w:sz w:val="20"/>
          <w:szCs w:val="20"/>
          <w:color w:val="auto"/>
        </w:rPr>
      </w:pPr>
      <w:r>
        <w:rPr>
          <w:rFonts w:ascii="Times New Roman" w:cs="Times New Roman" w:eastAsia="Times New Roman" w:hAnsi="Times New Roman"/>
          <w:sz w:val="16"/>
          <w:szCs w:val="16"/>
          <w:color w:val="auto"/>
        </w:rPr>
        <w:t>•The quarterly valuation process begins with each portfolio company investment being initially valued by RGC’s investment professionals that are responsible for the portfolio investment;</w:t>
      </w:r>
    </w:p>
    <w:p>
      <w:pPr>
        <w:spacing w:after="0" w:line="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•Preliminary valuation conclusions are then documented and discussed with RGC’s valuation committee;</w:t>
      </w:r>
    </w:p>
    <w:p>
      <w:pPr>
        <w:spacing w:after="0" w:line="56" w:lineRule="exact"/>
        <w:rPr>
          <w:sz w:val="20"/>
          <w:szCs w:val="20"/>
          <w:color w:val="auto"/>
        </w:rPr>
      </w:pPr>
    </w:p>
    <w:p>
      <w:pPr>
        <w:ind w:left="280" w:right="200"/>
        <w:spacing w:after="0" w:line="313" w:lineRule="auto"/>
        <w:rPr>
          <w:sz w:val="20"/>
          <w:szCs w:val="20"/>
          <w:color w:val="auto"/>
        </w:rPr>
      </w:pPr>
      <w:r>
        <w:rPr>
          <w:rFonts w:ascii="Times New Roman" w:cs="Times New Roman" w:eastAsia="Times New Roman" w:hAnsi="Times New Roman"/>
          <w:sz w:val="14"/>
          <w:szCs w:val="14"/>
          <w:color w:val="auto"/>
        </w:rPr>
        <w:t>•At least once annually, the valuation for each portfolio investment is reviewed by an independent valuation firm. Certain investments, however, may not be evaluated annually by an independent valuation firm if the net asset value and other aspects of such investments in the aggregate do not exceed certain thresholds;</w:t>
      </w:r>
    </w:p>
    <w:p>
      <w:pPr>
        <w:ind w:left="280" w:right="100"/>
        <w:spacing w:after="0" w:line="259" w:lineRule="auto"/>
        <w:rPr>
          <w:sz w:val="20"/>
          <w:szCs w:val="20"/>
          <w:color w:val="auto"/>
        </w:rPr>
      </w:pPr>
      <w:r>
        <w:rPr>
          <w:rFonts w:ascii="Times New Roman" w:cs="Times New Roman" w:eastAsia="Times New Roman" w:hAnsi="Times New Roman"/>
          <w:sz w:val="16"/>
          <w:szCs w:val="16"/>
          <w:color w:val="auto"/>
        </w:rPr>
        <w:t>•The Audit Committee of the Board of Directors (the "Audit Committee") then reviews these preliminary valuations from RGC and the independent valuation firm, if any, and makes a recommendation to the Board of Directors regarding such valuations; and</w:t>
      </w:r>
    </w:p>
    <w:p>
      <w:pPr>
        <w:spacing w:after="0" w:line="23" w:lineRule="exact"/>
        <w:rPr>
          <w:sz w:val="20"/>
          <w:szCs w:val="20"/>
          <w:color w:val="auto"/>
        </w:rPr>
      </w:pPr>
    </w:p>
    <w:p>
      <w:pPr>
        <w:ind w:left="280" w:right="340"/>
        <w:spacing w:after="0" w:line="259" w:lineRule="auto"/>
        <w:rPr>
          <w:sz w:val="20"/>
          <w:szCs w:val="20"/>
          <w:color w:val="auto"/>
        </w:rPr>
      </w:pPr>
      <w:r>
        <w:rPr>
          <w:rFonts w:ascii="Times New Roman" w:cs="Times New Roman" w:eastAsia="Times New Roman" w:hAnsi="Times New Roman"/>
          <w:sz w:val="16"/>
          <w:szCs w:val="16"/>
          <w:color w:val="auto"/>
        </w:rPr>
        <w:t>•The Board of Directors reviews the recommended preliminary valuations and determines the fair value of each investment in the Company’s portfolio, in good faith, based on the input of RGC, the independent valuation firm(s) and the Audit Committee.</w:t>
      </w:r>
    </w:p>
    <w:p>
      <w:pPr>
        <w:spacing w:after="0" w:line="23"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Company’s investments are primarily loans made to and equity and warrants of small companies with potential for fast growth focused in technology, healthcare, business services, and other high -growth industries. These investments are considered Level 3 assets under ASC 820 because there are no known or accessible market or market indices for these types of debt and equity instruments and, thus, the Board of Directors must determine the fair value of these investment securities based on models utilizing unobservable inputs.</w:t>
      </w:r>
    </w:p>
    <w:p>
      <w:pPr>
        <w:spacing w:after="0" w:line="9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Audit Committee assists the Board of Directors in reviewing the fair value of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Board of Directors, with the assistance of the Audit Committee, RGC and its valuation committee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valuation committee considers relevant.</w:t>
      </w:r>
    </w:p>
    <w:p>
      <w:pPr>
        <w:spacing w:after="0" w:line="10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The Board of Directors makes this fair value determination on a quarterly basis and any other time when a decision regarding the fair value of the portfolio investments is required. There is no single standard for determining the fair value of investments that do not have an active public market. A determination of fair value of investments, particularly those of privately held companies, involves subjective judgments and estimates and depends on the facts and circumstances. In some cases, the fair value of such investments is best expressed as a range of values derived utilizing different methodologies from which a fair value may then be determined.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27" w:name="page28"/>
    <w:bookmarkEnd w:id="2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Debt Investments</w:t>
      </w:r>
    </w:p>
    <w:p>
      <w:pPr>
        <w:spacing w:after="0" w:line="188"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To determine the fair value of the Company’s debt investments, the Company compares the cost basis of the debt investment, which includes OID and ETP,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This valuation process includes, among other things, evaluating the underlying investment performance, the portfolio company’s financial condition, enterprise value and existing capital structure, as well as the ability to raise additional capital, and macro-economic events that may impact valuations. These events include, but are not limited to, current market yields and interest rate spreads of similar securities as of the measurement date. Significant increases (decreases) in these unobservable inputs could result in significantly higher (lower) fair value measurements.</w:t>
      </w:r>
    </w:p>
    <w:p>
      <w:pPr>
        <w:spacing w:after="0" w:line="1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the debt investments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Warrants</w:t>
      </w:r>
    </w:p>
    <w:p>
      <w:pPr>
        <w:spacing w:after="0" w:line="188"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6"/>
          <w:szCs w:val="16"/>
          <w:color w:val="auto"/>
        </w:rPr>
        <w:t>Fair value of warrants is primarily determined using a Black Scholes option-pricing model. Privately held warrants and equity-related securities are valued based on an analysis of various factors including, but not limited to, the following:</w:t>
      </w:r>
    </w:p>
    <w:p>
      <w:pPr>
        <w:spacing w:after="0" w:line="59" w:lineRule="exact"/>
        <w:rPr>
          <w:sz w:val="20"/>
          <w:szCs w:val="20"/>
          <w:color w:val="auto"/>
        </w:rPr>
      </w:pPr>
    </w:p>
    <w:p>
      <w:pPr>
        <w:ind w:left="360" w:right="40"/>
        <w:spacing w:after="0" w:line="239" w:lineRule="auto"/>
        <w:rPr>
          <w:sz w:val="20"/>
          <w:szCs w:val="20"/>
          <w:color w:val="auto"/>
        </w:rPr>
      </w:pPr>
      <w:r>
        <w:rPr>
          <w:rFonts w:ascii="Times New Roman" w:cs="Times New Roman" w:eastAsia="Times New Roman" w:hAnsi="Times New Roman"/>
          <w:sz w:val="16"/>
          <w:szCs w:val="16"/>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stock/units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74" w:lineRule="exact"/>
        <w:rPr>
          <w:sz w:val="20"/>
          <w:szCs w:val="20"/>
          <w:color w:val="auto"/>
        </w:rPr>
      </w:pPr>
    </w:p>
    <w:p>
      <w:pPr>
        <w:ind w:left="360"/>
        <w:spacing w:after="0" w:line="243" w:lineRule="auto"/>
        <w:rPr>
          <w:sz w:val="20"/>
          <w:szCs w:val="20"/>
          <w:color w:val="auto"/>
        </w:rPr>
      </w:pPr>
      <w:r>
        <w:rPr>
          <w:rFonts w:ascii="Times New Roman" w:cs="Times New Roman" w:eastAsia="Times New Roman" w:hAnsi="Times New Roman"/>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71" w:lineRule="exact"/>
        <w:rPr>
          <w:sz w:val="20"/>
          <w:szCs w:val="20"/>
          <w:color w:val="auto"/>
        </w:rPr>
      </w:pPr>
    </w:p>
    <w:p>
      <w:pPr>
        <w:ind w:left="360" w:right="160"/>
        <w:spacing w:after="0" w:line="243" w:lineRule="auto"/>
        <w:rPr>
          <w:sz w:val="20"/>
          <w:szCs w:val="20"/>
          <w:color w:val="auto"/>
        </w:rPr>
      </w:pPr>
      <w:r>
        <w:rPr>
          <w:rFonts w:ascii="Times New Roman" w:cs="Times New Roman" w:eastAsia="Times New Roman" w:hAnsi="Times New Roman"/>
          <w:sz w:val="16"/>
          <w:szCs w:val="16"/>
          <w:color w:val="auto"/>
        </w:rPr>
        <w:t>•The risk-free interest rates are derived from the U.S. Treasury yield curve. The risk-free interest rates are calculated based on a weighted average of the risk -free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71" w:lineRule="exact"/>
        <w:rPr>
          <w:sz w:val="20"/>
          <w:szCs w:val="20"/>
          <w:color w:val="auto"/>
        </w:rPr>
      </w:pPr>
    </w:p>
    <w:p>
      <w:pPr>
        <w:ind w:left="360" w:right="140"/>
        <w:spacing w:after="0" w:line="299" w:lineRule="auto"/>
        <w:rPr>
          <w:sz w:val="20"/>
          <w:szCs w:val="20"/>
          <w:color w:val="auto"/>
        </w:rPr>
      </w:pPr>
      <w:r>
        <w:rPr>
          <w:rFonts w:ascii="Times New Roman" w:cs="Times New Roman" w:eastAsia="Times New Roman" w:hAnsi="Times New Roman"/>
          <w:sz w:val="14"/>
          <w:szCs w:val="14"/>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(decrease) in this unobservable input.</w:t>
      </w:r>
    </w:p>
    <w:p>
      <w:pPr>
        <w:spacing w:after="0" w:line="34" w:lineRule="exact"/>
        <w:rPr>
          <w:sz w:val="20"/>
          <w:szCs w:val="20"/>
          <w:color w:val="auto"/>
        </w:rPr>
      </w:pPr>
    </w:p>
    <w:p>
      <w:pPr>
        <w:ind w:left="360" w:right="60"/>
        <w:spacing w:after="0" w:line="239" w:lineRule="auto"/>
        <w:rPr>
          <w:sz w:val="20"/>
          <w:szCs w:val="20"/>
          <w:color w:val="auto"/>
        </w:rPr>
      </w:pPr>
      <w:r>
        <w:rPr>
          <w:rFonts w:ascii="Times New Roman" w:cs="Times New Roman" w:eastAsia="Times New Roman" w:hAnsi="Times New Roman"/>
          <w:sz w:val="16"/>
          <w:szCs w:val="16"/>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(decrease) in this unobservable input.</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8" w:name="page29"/>
    <w:bookmarkEnd w:id="2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Success fees are valued utilizing a scenario analysis. Fair value is determined based on the potential success fee proceeds under varied timing of liquidity events during the life of the success fee agreement. At each potential exit scenario, a probability is ascribed based on the current expectations of an exit event for the portfolio company. The probability weighted value at each respective exit date is discounted to a present value and summed together to arrive at the fair value.</w:t>
      </w:r>
    </w:p>
    <w:p>
      <w:pPr>
        <w:spacing w:after="0" w:line="16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warrants that better reflect the warrants’ fair value, such as the Current Value Method and other techniques as determined to be appropriate. This may an expected settlement of a warrant in the near term, a model that incorporates a put feature associated with the warrant, the price paid or realized in a recently completed transaction or binding offer received in an arms-length transaction, a waterfall approach, or a model based on the redemption value of a warrant. The Current Value Method estimates the value of the warrant based on the current redemption value or the current liquidation value, taking into account the concluded enterprise value and the rights and preferences of all the debt and equity securities that make up a company’s capitalization.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Foreign Currency Forward Contracts</w:t>
      </w:r>
    </w:p>
    <w:p>
      <w:pPr>
        <w:spacing w:after="0" w:line="116"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In accordance with ASC 820, the Company measures these derivatives at fair value on a recurring basis using a market approach. The valuation technique relies on observable market inputs, including spot and forward exchange rates. The fair values are obtained through model-based pricing using inputs that are corroborated by market data and are classified as Level 2 within the fair value hierarchy.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Equity Investments</w:t>
      </w:r>
    </w:p>
    <w:p>
      <w:pPr>
        <w:spacing w:after="0" w:line="11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fair value of an equity investment in a privately held company is initially the face value of the amount invested. The Company adjusts the fair value of equity investments in private companies upon the completion of a new third -party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Money market funds are valued based on the published net asset value per share on the day of valuation and are included in "Cash and cash equivalents" on the Consolidated Statements of Assets and Liabilities.</w:t>
      </w:r>
    </w:p>
    <w:p>
      <w:pPr>
        <w:spacing w:after="0" w:line="17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Under certain circumstances, the Company may use an alternative technique to value equity investments that better reflect the security’s fair value, such as the Current Value Method and other techniques as determined to be appropriate. This may include an expected settlement of a security in the near term, a model that incorporates a put feature associated with the security, the price paid or realized in a recently completed transaction or binding offer received in an arms-length transaction, a waterfall approach, or a model based on the redemption value of a security. The Current Value Method concludes the value of the security based on the current redemption value or the current liquidation value, taking into account the concluded enterprise value and the rights and preferences of all the debt and equity securities that make up a company’s capitalization.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 Classification</w:t>
      </w:r>
    </w:p>
    <w:p>
      <w:pPr>
        <w:spacing w:after="0" w:line="192"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investments by level of affiliation and control.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 representation on the investee company's board of directors.</w:t>
      </w:r>
    </w:p>
    <w:p>
      <w:pPr>
        <w:spacing w:after="0" w:line="17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Consolidated Statements of Assets and Liabilities.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29" w:name="page30"/>
    <w:bookmarkEnd w:id="2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1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beginning with its taxable year ended December 31, 2016, currently qualifies as a RIC,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U.S. federal income taxes in the future.</w:t>
      </w:r>
    </w:p>
    <w:p>
      <w:pPr>
        <w:spacing w:after="0" w:line="173"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Depending on the level of taxable income earned in a tax year, the Company may choose to carry forward such taxable income in excess of current year dividend distributions from such current year taxable income into the next tax year and pay a 4% excise tax on such income, as required. If the Company determines that the estimated current year taxable income will exceed the estimated dividend distributions for the current year from such income, the Company accrues excise tax on estimated excess taxable income as such taxable income is earned. Differences between taxable income and net increase in net assets resulting from operations either can be temporary, meaning they will reverse in the future, or permanent. In accordance with Section 946- 205-45-3 of the ASC, permanent tax differences are reclassified from accumulated undistributed earnings to paid-in-capital at the end of each year and have no impact on total net assets. For more information, refer to "Note 10 – Income Taxes."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 Share Information</w:t>
      </w:r>
    </w:p>
    <w:p>
      <w:pPr>
        <w:spacing w:after="0" w:line="192" w:lineRule="exact"/>
        <w:rPr>
          <w:sz w:val="20"/>
          <w:szCs w:val="20"/>
          <w:color w:val="auto"/>
        </w:rPr>
      </w:pPr>
    </w:p>
    <w:p>
      <w:pPr>
        <w:ind w:right="260"/>
        <w:spacing w:after="0" w:line="247" w:lineRule="auto"/>
        <w:rPr>
          <w:sz w:val="20"/>
          <w:szCs w:val="20"/>
          <w:color w:val="auto"/>
        </w:rPr>
      </w:pPr>
      <w:r>
        <w:rPr>
          <w:rFonts w:ascii="Times New Roman" w:cs="Times New Roman" w:eastAsia="Times New Roman" w:hAnsi="Times New Roman"/>
          <w:sz w:val="16"/>
          <w:szCs w:val="16"/>
          <w:color w:val="auto"/>
        </w:rPr>
        <w:t>Basic and diluted earnings (loss) per common share is calculated using the weighted-average number of common shares outstanding for the period presented. For the three and six months ended June 30, 2025 and 2024, basic and diluted earnings (loss) per share of common stock were the same because there were no potentially dilutive securities outstanding. Per share data is based on the weighted-average shares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w:t>
      </w:r>
    </w:p>
    <w:p>
      <w:pPr>
        <w:spacing w:after="0" w:line="96"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The Company reports all changes in comprehensive income in the Consolidated Statements of Operations. The Company did not have any other comprehensive income during the three and six months ended June 30, 2025 and 2024. The Company’s comprehensive income is equal to its "Net increase (decrease) in net assets resulting from operations" on the Consolidated Statements of Operations.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56" w:lineRule="exact"/>
        <w:rPr>
          <w:sz w:val="20"/>
          <w:szCs w:val="20"/>
          <w:color w:val="auto"/>
        </w:rPr>
      </w:pPr>
    </w:p>
    <w:p>
      <w:pPr>
        <w:ind w:right="300"/>
        <w:spacing w:after="0" w:line="247" w:lineRule="auto"/>
        <w:rPr>
          <w:sz w:val="20"/>
          <w:szCs w:val="20"/>
          <w:color w:val="auto"/>
        </w:rPr>
      </w:pPr>
      <w:r>
        <w:rPr>
          <w:rFonts w:ascii="Times New Roman" w:cs="Times New Roman" w:eastAsia="Times New Roman" w:hAnsi="Times New Roman"/>
          <w:sz w:val="16"/>
          <w:szCs w:val="16"/>
          <w:color w:val="auto"/>
        </w:rPr>
        <w:t>Distributions to common stockholders are recorded on the applicable record date. The amount, if any, to be distributed to common stockholders is determined by the Board of Directors each quarter and is generally based upon the Company's earnings estimated by management. Net realized capital gains, if any, are generally distributed at least annually. For more information, refer to "Note 9 – Net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Repurchases of Common Stock</w:t>
      </w:r>
    </w:p>
    <w:p>
      <w:pPr>
        <w:spacing w:after="0" w:line="156"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Prior to December 31, 2024, the Company reported repurchases of common stock as a separate financial statement line item labeled as "Treasury stock" within "Total net assets" on the Consolidated Statements of Assets and Liabilities and Consolidated Statements of Changes in Net Assets, and labeled any related activity as "Acquisition of treasury stock" on the Consolidated Statements of Changes in Net Assets and Consolidated Statements of Cash Flows. As of and for the year ended December 31, 2024, as required under Maryland law, any shares repurchased by the Company are to be returned to unissued common shares and amounts repurchased are presented as a deduction from "Common stock, par value" and "Additional paid-in capital". The prior period activity has been reclassified during the year ended December 31, 2024 as a "Reclassification of share repurchases" within the Statement of Changes in Net Assets.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30" w:name="page31"/>
    <w:bookmarkEnd w:id="3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Accounting Pronouncements</w:t>
      </w:r>
    </w:p>
    <w:p>
      <w:pPr>
        <w:spacing w:after="0" w:line="1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6"/>
          <w:szCs w:val="16"/>
          <w:color w:val="auto"/>
        </w:rPr>
        <w:t xml:space="preserve">On November 26, 2024, the FASB issued ASU 2024-04, </w:t>
      </w:r>
      <w:r>
        <w:rPr>
          <w:rFonts w:ascii="Times New Roman" w:cs="Times New Roman" w:eastAsia="Times New Roman" w:hAnsi="Times New Roman"/>
          <w:sz w:val="16"/>
          <w:szCs w:val="16"/>
          <w:i w:val="1"/>
          <w:iCs w:val="1"/>
          <w:color w:val="auto"/>
        </w:rPr>
        <w:t>Debt - Debt with Conversion and Other Options (Subtopic 470-20)- Induced Conversions of Convertible Debt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Instruments </w:t>
      </w:r>
      <w:r>
        <w:rPr>
          <w:rFonts w:ascii="Times New Roman" w:cs="Times New Roman" w:eastAsia="Times New Roman" w:hAnsi="Times New Roman"/>
          <w:sz w:val="16"/>
          <w:szCs w:val="16"/>
          <w:color w:val="auto"/>
        </w:rPr>
        <w:t>("ASU 2024-04"), related to induced conversions of convertible debt instruments. The amendments in this update clarify the requirements for determining</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plans to adopt the pronouncement for our fiscal year beginning January 1, 2026 and is currently evaluating the potential effect that the standard will have on our financial statement disclosures.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3 – Related Party Agreements and Transactions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Advisory Agreement</w:t>
      </w:r>
    </w:p>
    <w:p>
      <w:pPr>
        <w:spacing w:after="0" w:line="19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On November 29, 2016, the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Advisory Agreement"). On August 3, 2017, the Board of Directors approved certain amendments to the Prior Advisory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First Amended and Restated Advisory Agreement (the "Second Amended and Restated Advisory Agreement") at a virtual meeting and recommended that the Company’s stockholders approve the Second Amended and Restated Advisory Agreement. The amendments included certain revisions to the management and incentive fee calculation mechanisms and clarified language relating to liquidity events. In reliance upon certain exemptive relief granted by the SEC in connection with the global COVID-19 pandemic, the Board of Directors undertook to ratify the Second Amended and Restated Advisory Agreement at its next in-person meeting which was held in July 2021. The Second Amended and Restated Advisory Agreement became effective on May 27, 2021 upon approval by the stockholders at a special meeting of stockholders of the Company. On April 30, 2024, the Board of Directors renewed the Second Amended and Restated Advisory Agreement for a period of twelve months commencing May 27, 2024.</w:t>
      </w:r>
    </w:p>
    <w:p>
      <w:pPr>
        <w:spacing w:after="0" w:line="331" w:lineRule="exact"/>
        <w:rPr>
          <w:sz w:val="20"/>
          <w:szCs w:val="20"/>
          <w:color w:val="auto"/>
        </w:rPr>
      </w:pPr>
    </w:p>
    <w:p>
      <w:pPr>
        <w:ind w:right="20"/>
        <w:spacing w:after="0" w:line="241" w:lineRule="auto"/>
        <w:rPr>
          <w:sz w:val="20"/>
          <w:szCs w:val="20"/>
          <w:color w:val="auto"/>
        </w:rPr>
      </w:pPr>
      <w:r>
        <w:rPr>
          <w:rFonts w:ascii="Times New Roman" w:cs="Times New Roman" w:eastAsia="Times New Roman" w:hAnsi="Times New Roman"/>
          <w:sz w:val="16"/>
          <w:szCs w:val="16"/>
          <w:color w:val="auto"/>
        </w:rPr>
        <w:t>On October 29, 2024, the Board of Directors, including the independent directors, approved the Third Amended and Restated Advisory Agreement (the "Advisory Agreement") and recommended that the Company's stockholders approve the Advisory Agreement. On January 23, 2025, the Company's stockholders approved the Advisory Agreement at a special meeting of stockholders of the Company, and the Advisory Agreement became effective on January 30, 2025 upon the closing of the BCP Transaction. Although the ownership of RGC changed in connection with the completion of the BCP Transaction, the management of RGC did not change, nor did the terms of the Advisory Agreement compared to the Second Amended and Restated Advisory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Under the terms of the Advisory Agreement, RGC:</w:t>
      </w:r>
    </w:p>
    <w:p>
      <w:pPr>
        <w:spacing w:after="0" w:line="92" w:lineRule="exact"/>
        <w:rPr>
          <w:sz w:val="20"/>
          <w:szCs w:val="20"/>
          <w:color w:val="auto"/>
        </w:rPr>
      </w:pPr>
    </w:p>
    <w:p>
      <w:pPr>
        <w:ind w:left="360" w:right="380"/>
        <w:spacing w:after="0" w:line="360" w:lineRule="auto"/>
        <w:rPr>
          <w:sz w:val="20"/>
          <w:szCs w:val="20"/>
          <w:color w:val="auto"/>
        </w:rPr>
      </w:pPr>
      <w:r>
        <w:rPr>
          <w:rFonts w:ascii="Times New Roman" w:cs="Times New Roman" w:eastAsia="Times New Roman" w:hAnsi="Times New Roman"/>
          <w:sz w:val="16"/>
          <w:szCs w:val="16"/>
          <w:color w:val="auto"/>
        </w:rPr>
        <w:t>•determines the composition of the Company’s portfolio, the nature and timing of the changes to the portfolio and the manner of implementing such changes; •identifies, evaluates and negotiates the structure of the investments the Company makes; •executes, closes and monitors the investments the Company makes;</w:t>
      </w:r>
    </w:p>
    <w:p>
      <w:pPr>
        <w:ind w:left="360" w:right="4660"/>
        <w:spacing w:after="0" w:line="360" w:lineRule="auto"/>
        <w:rPr>
          <w:sz w:val="20"/>
          <w:szCs w:val="20"/>
          <w:color w:val="auto"/>
        </w:rPr>
      </w:pPr>
      <w:r>
        <w:rPr>
          <w:rFonts w:ascii="Times New Roman" w:cs="Times New Roman" w:eastAsia="Times New Roman" w:hAnsi="Times New Roman"/>
          <w:sz w:val="16"/>
          <w:szCs w:val="16"/>
          <w:color w:val="auto"/>
        </w:rPr>
        <w:t>•determines the securities and other assets that the Company will purchase, retain or sell; •performs due diligence on prospective investments; and</w:t>
      </w:r>
    </w:p>
    <w:p>
      <w:pPr>
        <w:ind w:left="360" w:right="360"/>
        <w:spacing w:after="0" w:line="259" w:lineRule="auto"/>
        <w:rPr>
          <w:sz w:val="20"/>
          <w:szCs w:val="20"/>
          <w:color w:val="auto"/>
        </w:rPr>
      </w:pPr>
      <w:r>
        <w:rPr>
          <w:rFonts w:ascii="Times New Roman" w:cs="Times New Roman" w:eastAsia="Times New Roman" w:hAnsi="Times New Roman"/>
          <w:sz w:val="16"/>
          <w:szCs w:val="16"/>
          <w:color w:val="auto"/>
        </w:rPr>
        <w:t>•provides the Company with such other investment advisory, research and related services as the Company may, from time to time, reasonably require for the investment of its funds.</w:t>
      </w:r>
    </w:p>
    <w:p>
      <w:pPr>
        <w:spacing w:after="0" w:line="59" w:lineRule="exact"/>
        <w:rPr>
          <w:sz w:val="20"/>
          <w:szCs w:val="20"/>
          <w:color w:val="auto"/>
        </w:rPr>
      </w:pPr>
    </w:p>
    <w:p>
      <w:pPr>
        <w:ind w:right="540"/>
        <w:spacing w:after="0" w:line="331" w:lineRule="auto"/>
        <w:rPr>
          <w:sz w:val="20"/>
          <w:szCs w:val="20"/>
          <w:color w:val="auto"/>
        </w:rPr>
      </w:pPr>
      <w:r>
        <w:rPr>
          <w:rFonts w:ascii="Times New Roman" w:cs="Times New Roman" w:eastAsia="Times New Roman" w:hAnsi="Times New Roman"/>
          <w:sz w:val="14"/>
          <w:szCs w:val="14"/>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1" w:name="page32"/>
    <w:bookmarkEnd w:id="3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Base Management Fee</w:t>
      </w:r>
    </w:p>
    <w:p>
      <w:pPr>
        <w:spacing w:after="0" w:line="190"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The base management fee is payable on the first day of each calendar quarter and is calculated on the Company's "Gross Assets" which, for purposes of the Advisory Agreement, is defined as the Company’s daily average gross assets, including assets purchased with borrowed funds or other forms of leverage, as of the end of the most recently completed fiscal quarter. The base management fee will be an amount equal to 0.375% (1.50% annualized) of the Company’s daily average Gross Assets during the most recently completed calendar quarter, so long as the aggregate amount of the Company’s Gross Assets as of the end of the most recently completed calendar quarter is equal to or greater than $1.0 billion. If the aggregate amount of the Company’s Gross Assets as of the end of the most recently completed calendar quarter is less than $1.0 billion but equal to or greater than $500.0 million, the base management fee will be an amount equal to 0.40% (1.60% annualized) of the Company’s daily average Gross Assets during the most recently completed calendar quarter. If the aggregate amount of the Company’s Gross Assets as of the end of the most recently completed calendar quarter is less than $500.0 million, the base management fee will be an amount equal to 0.4375% (1.75% annualized) of the Company’s average daily Gross Assets during the most recently completed calendar quarter.</w:t>
      </w:r>
    </w:p>
    <w:p>
      <w:pPr>
        <w:spacing w:after="0" w:line="170" w:lineRule="exact"/>
        <w:rPr>
          <w:sz w:val="20"/>
          <w:szCs w:val="20"/>
          <w:color w:val="auto"/>
        </w:rPr>
      </w:pPr>
    </w:p>
    <w:p>
      <w:pPr>
        <w:ind w:right="240"/>
        <w:spacing w:after="0" w:line="243" w:lineRule="auto"/>
        <w:rPr>
          <w:sz w:val="20"/>
          <w:szCs w:val="20"/>
          <w:color w:val="auto"/>
        </w:rPr>
      </w:pPr>
      <w:r>
        <w:rPr>
          <w:rFonts w:ascii="Times New Roman" w:cs="Times New Roman" w:eastAsia="Times New Roman" w:hAnsi="Times New Roman"/>
          <w:sz w:val="16"/>
          <w:szCs w:val="16"/>
          <w:color w:val="auto"/>
        </w:rPr>
        <w:t>For the three and six months ended June 30, 2025, RGC earned base management fees at a rate of 1.50% per annum, amounting to $3.9 million and $ 8.0 million, respectively. For the three and six months ended June 30, 2024, RGC earned base management fees at a rate of 1.50% per annum, amounting to $3.9 million and $7.9 million, respectively. As the Company pays management fees at the beginning of each quarter, there were no management fees payable as of June 30, 2025 and December 31,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Incentive Fee</w:t>
      </w:r>
    </w:p>
    <w:p>
      <w:pPr>
        <w:spacing w:after="0" w:line="19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incentive fee, which provides RGC with a share of the income that RGC generates for the Company, consists of an investment- income component and a capital-gains component, which are largely independent of each other, with the result that one component may be payable even if the other is not.</w:t>
      </w:r>
    </w:p>
    <w:p>
      <w:pPr>
        <w:spacing w:after="0" w:line="155"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Under the investment-income component (the "Income Incentive Fee"), the Company pays RGC each quarter an incentive fee with respect to the Company’s pre-incentive fee net investment income ("Pre-Incentive Fee NII"). The Income Incentive Fee is calculated and payable quarterly in arrears based on the Pre-Incentive Fee NII for the immediately preceding fiscal quarter. Payments based on Pre -Incentive Fee NII will be based on the Pre -Incentive Fee NII earned for the quarter. For this purpose, Pre-Incentive Fee NII means interest income, dividend income and any other income (including any other fees, such as commitment, origination, structuring, diligence, managerial and consulting fees or other fees that the Company receives from portfolio companies) accrued by the Company during the fiscal quarter, minus the Company’s operating expenses for the quarter (including the base management fee, expenses payable under the amended and restated administration agreement with the Administrator, and any dividends paid on any issued and outstanding preferred stock/units, but excluding the incentive fee). Pre-Incentive Fee NII includes, in the case of investments with a deferred interest feature (such as OID and ETP accretion, debt instruments with PIK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NII does not include any realized or unrealized capital gains (losses).</w:t>
      </w:r>
    </w:p>
    <w:p>
      <w:pPr>
        <w:spacing w:after="0" w:line="171"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Pre-Incentive Fee NII,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NII in each calendar quarter as follows: (1) no Income Incentive Fee in any calendar quarter in which the Company’s Pre- Incentive Fee NII does not exceed the hurdle rate of 2.0%; (2) 80% of the Company’s Pre-Incentive Fee NII with respect to that portion of such Pre-Incentive Fee NII, if any, that exceeds the hurdle rate but is less than 2.667% in any calendar quarter (10.668% annualized) (the portion of the Company’s Pre-Incentive Fee NII that exceeds the hurdle but is less than 2.667% is referred to as the "catch-up"; the "catch- up" is meant to provide RGC with 20.0% of the Company’s Pre-Incentive Fee NII as if a hurdle did not apply if the Company’s Pre-Incentive Fee NII exceeds 2.667% in any calendar quarter (10.668% annualized)); and (3) 20.0% of the amount of the Company’s Pre-Incentive Fee NII, if any, that exceeds 2.667% in any calendar quarter (10.668% annualized) payable to RGC (once the hurdle is reached and the catch-up is achieved, 20.0% of all Pre-Incentive Fee NII thereafter is allocated to RGC).</w:t>
      </w:r>
    </w:p>
    <w:p>
      <w:pPr>
        <w:spacing w:after="0" w:line="170"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Under the capital 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losses through the end of such year, less the aggregate amount of any previously paid</w:t>
      </w:r>
    </w:p>
    <w:p>
      <w:pPr>
        <w:spacing w:after="0" w:line="1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55" w:right="620" w:bottom="1440" w:gutter="0" w:footer="0" w:header="0"/>
        </w:sectPr>
      </w:pPr>
    </w:p>
    <w:bookmarkStart w:id="32" w:name="page33"/>
    <w:bookmarkEnd w:id="3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Capital Gains Fee. For the foregoing purpose, the Company’s "aggregate cumulative realized capital gains" will not include any unrealized gains. If such amount is negative, then no Capital Gains Fee will be payable for such year.</w:t>
      </w:r>
    </w:p>
    <w:p>
      <w:pPr>
        <w:spacing w:after="0" w:line="15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4"/>
          <w:szCs w:val="14"/>
          <w:color w:val="auto"/>
        </w:rPr>
        <w:t>For the three and six months ended June 30, 2025, RGC earned incentive fees of $ 3.5 million and $7.5 million, respectively; of which $2.3 million and $5.4 million were payable in cash, respectively, and $1.2 million and $ 2.1 million was accrued and generated from deferred interest, respectively. For the three and six months ended June 30, 2024, RGC earned incentive fees of $3.6 million and $8.3 million, respectively, of which $2.9 million and $6.5 million was payable in cash, respectively, and</w:t>
      </w:r>
    </w:p>
    <w:p>
      <w:pPr>
        <w:spacing w:after="0" w:line="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$0.7 million and $1.8 million was accrued and generated from deferred interest, respectively. All incentive fees accrued and generated from deferred interest (i.e., PIK and certain ETP accretion) are not payable until receipt of associated cash by the Company, at which time the incentive fees are recategorized from deferred incentive fees payable to cash incentive fees payable. All figures presented for the three and six months ended June 30, 2025 and 2024 are net of such recategorizations during the respective period.</w:t>
      </w:r>
    </w:p>
    <w:p>
      <w:pPr>
        <w:spacing w:after="0" w:line="171"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As of June 30, 2025, $2.3 million were payable in cash, and $12.2 million were deferred incentive fees payable, both of which are included in "Incentive fees payable" on the Statements of Assets and Liabilities. As of December 31, 2024, $4.0 million of incentive fees payable were payable in cash, and $10.1 million were deferred incentive fees payable, both of which are included in "Incentive fees payable" on the Consolidated Statements of Assets and Liabilities.</w:t>
      </w:r>
    </w:p>
    <w:p>
      <w:pPr>
        <w:spacing w:after="0" w:line="164"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The capital gains incentive fee consists of fees related to realized gains and losses and unrealized capital losses. As of each of June 30, 2025 and December 31, 2024, there was no capital gains incentive fee accrued, earned or payable to RGC under the Advisory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Administration Agreement</w:t>
      </w:r>
    </w:p>
    <w:p>
      <w:pPr>
        <w:spacing w:after="0" w:line="192"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6"/>
          <w:szCs w:val="16"/>
          <w:color w:val="auto"/>
        </w:rPr>
        <w:t>The Company reimburses the Administrator for the allocable portion of overhead expenses incurred by the Administrator in performing its obligations under the amended and restated administration agreement with the Administrator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the Company’s Chief Financial Officer, Chief Compliance Officer and their respective support staff, as well as any expenses paid by the Administrator on the Company's behalf.</w:t>
      </w:r>
    </w:p>
    <w:p>
      <w:pPr>
        <w:spacing w:after="0" w:line="173"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For the three months ended June 30, 2025, the Company incurred $0.7 million of Administration Agreement expenses, of which $0.2 million was payable to a third-party administrator and $0.5 million was overhead allocation expense. For the three months ended June 30, 2024, the Company incurred $0.5 million of Administration Agreement expenses, of which $0.2 million was payable to a third-party administrator and $0.3 million was overhead allocation expense. All Administration Agreement expenses are recorded as "Administration Agreement expenses" on the Consolidated Statements of Operations for the three months ended June 30, 2025 and 2024.</w:t>
      </w:r>
    </w:p>
    <w:p>
      <w:pPr>
        <w:spacing w:after="0" w:line="13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For the six months ended June 30, 2025, the Company incurred $1.3 million of Administration Agreement expenses, of which $0.4 million was payable to a third-party administrator and $0.9 million was overhead allocation expense. For the six months ended June 30, 2024, the Company incurred $1.0 million of Administration Agreement expenses, of which $0.4 million was payable to a third-party administrator and $0.6 million was overhead allocation expense. All Administration Agreement expenses are recorded as "Administration Agreement expenses" on the Consolidated Statements of Operations for the six months ended June 30, 2025 and 2024.</w:t>
      </w:r>
    </w:p>
    <w:p>
      <w:pPr>
        <w:spacing w:after="0" w:line="137"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4"/>
          <w:szCs w:val="14"/>
          <w:color w:val="auto"/>
        </w:rPr>
        <w:t>As of June 30, 2025, the Company had accrued a net payable to the Administrator of $0.7 million and a payable to the third-party administrator of $0.3 million As of December 31, 2024, the Company had accrued a net payable to the Administrator of $0.3 million and a payable to the third-party administrator of $0.2 million. All payables related to the Administration Agreement are recorded within "Accrued expenses and other liabilities" on the Consolidated Statements of Assets and Liabilities.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License Agreement</w:t>
      </w:r>
    </w:p>
    <w:p>
      <w:pPr>
        <w:spacing w:after="0" w:line="19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so long as RGC or one of its affiliates remains the Company’s investment adviser. Other than with respect to this limited license, the Company has no legal right to the "Runway Growth Finance" name.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Runway-Cadma I LLC</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33" w:name="page34"/>
    <w:bookmarkEnd w:id="3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In March 2024, the Company entered into a joint venture agreement with Cadma to create and co-manage Runway-Cadma I LLC, also referred to as the JV. The JV entered into a senior secured revolving credit facility with Apollo Capital Management, L.P ("Apollo Credit Facility"), which provided the JV with a $40.0 million commitment, subject to borrowing base requirements. The Apollo Credit Facility is non-recourse to the Company and bears interest at three-month SOFR plus 4.15%. As of June 30, 2025, the JV has not drawn on the available commitment in the Apollo Credit Facility.</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During the three and six months ended June 30, 2025, there were no additional contributions of equity capital to the JV by the Company or Cadma. As of June 30, 2025, the Company's unfunded commitment to the JV was $29.4 million, and the Company had $6.1 thousand in receivables from the JV related to shared expenses as of June 30, 2025. As of December 31, 2024, the Company's unfunded commitment to the JV was $29.4 million, and there were no receivables or payables between the Company and the JV as of December 31, 2024.</w:t>
      </w:r>
    </w:p>
    <w:p>
      <w:pPr>
        <w:spacing w:after="0" w:line="16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As of June 30, 2025 and December 31, 2024, the fair value of the Company's equity interest in the JV was $6.0 million and $ 5.7 million, respectively. As of June 30, 2025 and December 31, 2024, the JV had the following contributed capital and unfunded commitments from its members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90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r>
      <w:tr>
        <w:trPr>
          <w:trHeight w:val="15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Total contributed capital by Runway Growth Finance Corp.</w:t>
            </w:r>
          </w:p>
        </w:tc>
        <w:tc>
          <w:tcPr>
            <w:tcW w:w="2900" w:type="dxa"/>
            <w:vAlign w:val="bottom"/>
            <w:shd w:val="clear" w:color="auto" w:fill="CFF0FC"/>
          </w:tcPr>
          <w:p>
            <w:pPr>
              <w:jc w:val="right"/>
              <w:ind w:right="1654"/>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5,600</w:t>
            </w:r>
          </w:p>
        </w:tc>
        <w:tc>
          <w:tcPr>
            <w:tcW w:w="3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20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5,600</w:t>
            </w:r>
          </w:p>
        </w:tc>
      </w:tr>
      <w:tr>
        <w:trPr>
          <w:trHeight w:val="156"/>
        </w:trPr>
        <w:tc>
          <w:tcPr>
            <w:tcW w:w="4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contributed capital by all members</w:t>
            </w:r>
          </w:p>
        </w:tc>
        <w:tc>
          <w:tcPr>
            <w:tcW w:w="2900" w:type="dxa"/>
            <w:vAlign w:val="bottom"/>
          </w:tcPr>
          <w:p>
            <w:pPr>
              <w:spacing w:after="0"/>
              <w:rPr>
                <w:sz w:val="13"/>
                <w:szCs w:val="13"/>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11,200</w:t>
            </w:r>
          </w:p>
        </w:tc>
        <w:tc>
          <w:tcPr>
            <w:tcW w:w="380" w:type="dxa"/>
            <w:vAlign w:val="bottom"/>
          </w:tcPr>
          <w:p>
            <w:pPr>
              <w:spacing w:after="0"/>
              <w:rPr>
                <w:sz w:val="13"/>
                <w:szCs w:val="13"/>
                <w:color w:val="auto"/>
              </w:rPr>
            </w:pPr>
          </w:p>
        </w:tc>
        <w:tc>
          <w:tcPr>
            <w:tcW w:w="2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11,200</w:t>
            </w:r>
          </w:p>
        </w:tc>
      </w:tr>
      <w:tr>
        <w:trPr>
          <w:trHeight w:val="156"/>
        </w:trPr>
        <w:tc>
          <w:tcPr>
            <w:tcW w:w="4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Total unfunded commitments by Runway Growth Finance Corp.</w:t>
            </w:r>
          </w:p>
        </w:tc>
        <w:tc>
          <w:tcPr>
            <w:tcW w:w="2900" w:type="dxa"/>
            <w:vAlign w:val="bottom"/>
            <w:shd w:val="clear" w:color="auto" w:fill="CFF0FC"/>
          </w:tcPr>
          <w:p>
            <w:pPr>
              <w:spacing w:after="0"/>
              <w:rPr>
                <w:sz w:val="13"/>
                <w:szCs w:val="13"/>
                <w:color w:val="auto"/>
              </w:rPr>
            </w:pPr>
          </w:p>
        </w:tc>
        <w:tc>
          <w:tcPr>
            <w:tcW w:w="6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29,400</w:t>
            </w:r>
          </w:p>
        </w:tc>
        <w:tc>
          <w:tcPr>
            <w:tcW w:w="380" w:type="dxa"/>
            <w:vAlign w:val="bottom"/>
            <w:shd w:val="clear" w:color="auto" w:fill="CFF0FC"/>
          </w:tcPr>
          <w:p>
            <w:pPr>
              <w:spacing w:after="0"/>
              <w:rPr>
                <w:sz w:val="13"/>
                <w:szCs w:val="13"/>
                <w:color w:val="auto"/>
              </w:rPr>
            </w:pPr>
          </w:p>
        </w:tc>
        <w:tc>
          <w:tcPr>
            <w:tcW w:w="20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29,400</w:t>
            </w:r>
          </w:p>
        </w:tc>
      </w:tr>
      <w:tr>
        <w:trPr>
          <w:trHeight w:val="172"/>
        </w:trPr>
        <w:tc>
          <w:tcPr>
            <w:tcW w:w="46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Total unfunded commitments by all members</w:t>
            </w:r>
          </w:p>
        </w:tc>
        <w:tc>
          <w:tcPr>
            <w:tcW w:w="2900" w:type="dxa"/>
            <w:vAlign w:val="bottom"/>
          </w:tcPr>
          <w:p>
            <w:pPr>
              <w:spacing w:after="0"/>
              <w:rPr>
                <w:sz w:val="14"/>
                <w:szCs w:val="14"/>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58,800</w:t>
            </w:r>
          </w:p>
        </w:tc>
        <w:tc>
          <w:tcPr>
            <w:tcW w:w="380" w:type="dxa"/>
            <w:vAlign w:val="bottom"/>
          </w:tcPr>
          <w:p>
            <w:pPr>
              <w:spacing w:after="0"/>
              <w:rPr>
                <w:sz w:val="14"/>
                <w:szCs w:val="14"/>
                <w:color w:val="auto"/>
              </w:rPr>
            </w:pPr>
          </w:p>
        </w:tc>
        <w:tc>
          <w:tcPr>
            <w:tcW w:w="206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58,800</w:t>
            </w:r>
          </w:p>
        </w:tc>
      </w:tr>
    </w:tbl>
    <w:p>
      <w:pPr>
        <w:spacing w:after="0" w:line="1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August 14, 2024, the Company assigned: (i) $10.0 million of its debt investment in Airship Group, Inc. and (ii) 107,296 warrants for shares of its Series F Preferred Stock of Airship Group, Inc., to the JV, for an aggregate purchase price of $9.9 million, net of upfront fees. In accordance with ACS 860, this transaction met the criteria for a sale. As of June 30, 2025, the JV had one debt investment with a fair value of $10.4 million and one equity investment with a fair value of $0.1 million. As of December 31, 2024, the JV had one debt investment with a fair value of $10.2 million and one equity investment with a fair value of $0.1 million.</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Relationship with Oaktree Capital Management and OCM Growth Holdings</w:t>
      </w:r>
    </w:p>
    <w:p>
      <w:pPr>
        <w:spacing w:after="0" w:line="19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December 2016, the Company and RGC entered into a strategic relationship with Oaktree Capital Management, L.P ("Oaktree"). In connection with the relationship, OCM Growth Holdings ("OCM Growth"), an affiliate of Oaktree, purchased an aggregate of 14,571,334 shares of the Company's common stock for an aggregate purchase price of $219.3 million in the Company's initial private offering and second private offering. As of June 30, 2025, OCM Growth owned 9,779,668 shares of the Company's common stock, or 26.8% of the Company's outstanding shares.</w:t>
      </w:r>
    </w:p>
    <w:p>
      <w:pPr>
        <w:spacing w:after="0" w:line="16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In connection with OCM Growth’s commitment, the Company entered into a stockholder agreement, dated December 15, 2016, with OCM Growth, pursuant to which OCM Growth has a right to nominate a member of the Board of Directors for election for so long as OCM Growth holds shares of the Company’s common stock in an amount equal to, in the aggregate, at least one-third (33%) of OCM Growth’s initial $125.0 million capital commitment. Catherine Frey serves on the Company's Board of Directors as OCM Growth’s director nominee and is considered an independent director. Further, to the extent OCM Growth’s share ownership falls below one-third of its initial $125.0 million capital commitment under any circumstances, OCM Growth will no longer have the right to appoint a director nominee and will use reasonable efforts to cause such nominee to resign immediately (subject to his or her existing fiduciary duties).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4" w:name="page35"/>
    <w:bookmarkEnd w:id="3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4 – Investments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Control and Affiliate Investments</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classifies its investment portfolio by level of affiliation and control in accordance with the requirements of the 1940 Act. As defined in the 1940 Act, investee companies are deemed as affiliated investments when a company or individual possesses, or has the right to acquire within 60 days or less, beneficial ownership of 5.0% or more of the outstanding voting securities of an investee company. Control investments are those where the investor has the ability or power to exercise a controlling influence over the management or policies of an investee company. Control is generally deemed to exist when a company or individual possesses, or has the right to acquire within 60 days or less, beneficial ownership of more than 25.0% of the outstanding voting securities of an investee company, or maintains greater than 50.0% representation on the investee company's board of directors.</w:t>
      </w:r>
    </w:p>
    <w:p>
      <w:pPr>
        <w:spacing w:after="0" w:line="173" w:lineRule="exact"/>
        <w:rPr>
          <w:sz w:val="20"/>
          <w:szCs w:val="20"/>
          <w:color w:val="auto"/>
        </w:rPr>
      </w:pPr>
    </w:p>
    <w:p>
      <w:pPr>
        <w:ind w:right="620"/>
        <w:spacing w:after="0" w:line="259" w:lineRule="auto"/>
        <w:rPr>
          <w:sz w:val="20"/>
          <w:szCs w:val="20"/>
          <w:color w:val="auto"/>
        </w:rPr>
      </w:pPr>
      <w:r>
        <w:rPr>
          <w:rFonts w:ascii="Times New Roman" w:cs="Times New Roman" w:eastAsia="Times New Roman" w:hAnsi="Times New Roman"/>
          <w:sz w:val="16"/>
          <w:szCs w:val="16"/>
          <w:color w:val="auto"/>
        </w:rPr>
        <w:t>The Company’s affiliate and control investments as of June 30, 2025, along with the transactions during the six months ended June 30, 2025,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20" w:type="dxa"/>
            <w:vAlign w:val="bottom"/>
          </w:tcPr>
          <w:p>
            <w:pPr>
              <w:spacing w:after="0"/>
              <w:rPr>
                <w:sz w:val="15"/>
                <w:szCs w:val="15"/>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120" w:type="dxa"/>
            <w:vAlign w:val="bottom"/>
          </w:tcPr>
          <w:p>
            <w:pPr>
              <w:spacing w:after="0"/>
              <w:rPr>
                <w:sz w:val="15"/>
                <w:szCs w:val="15"/>
                <w:color w:val="auto"/>
              </w:rPr>
            </w:pPr>
          </w:p>
        </w:tc>
        <w:tc>
          <w:tcPr>
            <w:tcW w:w="3200" w:type="dxa"/>
            <w:vAlign w:val="bottom"/>
            <w:gridSpan w:val="8"/>
          </w:tcPr>
          <w:p>
            <w:pPr>
              <w:jc w:val="right"/>
              <w:ind w:right="680"/>
              <w:spacing w:after="0"/>
              <w:rPr>
                <w:sz w:val="20"/>
                <w:szCs w:val="20"/>
                <w:color w:val="auto"/>
              </w:rPr>
            </w:pPr>
            <w:r>
              <w:rPr>
                <w:rFonts w:ascii="Times New Roman" w:cs="Times New Roman" w:eastAsia="Times New Roman" w:hAnsi="Times New Roman"/>
                <w:sz w:val="13"/>
                <w:szCs w:val="13"/>
                <w:b w:val="1"/>
                <w:bCs w:val="1"/>
                <w:color w:val="auto"/>
              </w:rPr>
              <w:t>For the Six Months Ended June 30, 2025</w:t>
            </w: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gridSpan w:val="2"/>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2"/>
                <w:szCs w:val="12"/>
                <w:color w:val="auto"/>
              </w:rPr>
            </w:pPr>
          </w:p>
        </w:tc>
        <w:tc>
          <w:tcPr>
            <w:tcW w:w="9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Income Earned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120" w:type="dxa"/>
            <w:vAlign w:val="bottom"/>
          </w:tcPr>
          <w:p>
            <w:pPr>
              <w:spacing w:after="0"/>
              <w:rPr>
                <w:sz w:val="12"/>
                <w:szCs w:val="12"/>
                <w:color w:val="auto"/>
              </w:rPr>
            </w:pPr>
          </w:p>
        </w:tc>
        <w:tc>
          <w:tcPr>
            <w:tcW w:w="780" w:type="dxa"/>
            <w:vAlign w:val="bottom"/>
          </w:tcPr>
          <w:p>
            <w:pPr>
              <w:jc w:val="right"/>
              <w:ind w:right="23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520"/>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1080" w:type="dxa"/>
            <w:vAlign w:val="bottom"/>
            <w:gridSpan w:val="3"/>
          </w:tcPr>
          <w:p>
            <w:pPr>
              <w:jc w:val="right"/>
              <w:ind w:right="280"/>
              <w:spacing w:after="0" w:line="145"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120" w:type="dxa"/>
            <w:vAlign w:val="bottom"/>
          </w:tcPr>
          <w:p>
            <w:pPr>
              <w:spacing w:after="0"/>
              <w:rPr>
                <w:sz w:val="12"/>
                <w:szCs w:val="12"/>
                <w:color w:val="auto"/>
              </w:rPr>
            </w:pPr>
          </w:p>
        </w:tc>
        <w:tc>
          <w:tcPr>
            <w:tcW w:w="840" w:type="dxa"/>
            <w:vAlign w:val="bottom"/>
            <w:gridSpan w:val="2"/>
          </w:tcPr>
          <w:p>
            <w:pPr>
              <w:jc w:val="center"/>
              <w:ind w:right="200"/>
              <w:spacing w:after="0" w:line="145" w:lineRule="exact"/>
              <w:rPr>
                <w:sz w:val="20"/>
                <w:szCs w:val="20"/>
                <w:color w:val="auto"/>
              </w:rPr>
            </w:pPr>
            <w:r>
              <w:rPr>
                <w:rFonts w:ascii="Times New Roman" w:cs="Times New Roman" w:eastAsia="Times New Roman" w:hAnsi="Times New Roman"/>
                <w:sz w:val="13"/>
                <w:szCs w:val="13"/>
                <w:b w:val="1"/>
                <w:bCs w:val="1"/>
                <w:color w:val="auto"/>
                <w:w w:val="99"/>
              </w:rPr>
              <w:t>of June 30,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31, 2024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20" w:type="dxa"/>
            <w:vAlign w:val="bottom"/>
          </w:tcPr>
          <w:p>
            <w:pPr>
              <w:spacing w:after="0"/>
              <w:rPr>
                <w:sz w:val="15"/>
                <w:szCs w:val="15"/>
                <w:color w:val="auto"/>
              </w:rPr>
            </w:pPr>
          </w:p>
        </w:tc>
        <w:tc>
          <w:tcPr>
            <w:tcW w:w="1120" w:type="dxa"/>
            <w:vAlign w:val="bottom"/>
            <w:gridSpan w:val="3"/>
          </w:tcPr>
          <w:p>
            <w:pPr>
              <w:jc w:val="right"/>
              <w:ind w:right="320"/>
              <w:spacing w:after="0" w:line="181"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(2)</w:t>
            </w:r>
          </w:p>
        </w:tc>
        <w:tc>
          <w:tcPr>
            <w:tcW w:w="100" w:type="dxa"/>
            <w:vAlign w:val="bottom"/>
          </w:tcPr>
          <w:p>
            <w:pPr>
              <w:spacing w:after="0"/>
              <w:rPr>
                <w:sz w:val="15"/>
                <w:szCs w:val="15"/>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120" w:type="dxa"/>
            <w:vAlign w:val="bottom"/>
          </w:tcPr>
          <w:p>
            <w:pPr>
              <w:spacing w:after="0"/>
              <w:rPr>
                <w:sz w:val="15"/>
                <w:szCs w:val="15"/>
                <w:color w:val="auto"/>
              </w:rPr>
            </w:pPr>
          </w:p>
        </w:tc>
        <w:tc>
          <w:tcPr>
            <w:tcW w:w="7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3"/>
              </w:rPr>
              <w:t>2025</w:t>
            </w:r>
            <w:r>
              <w:rPr>
                <w:rFonts w:ascii="Times New Roman" w:cs="Times New Roman" w:eastAsia="Times New Roman" w:hAnsi="Times New Roman"/>
                <w:sz w:val="16"/>
                <w:szCs w:val="16"/>
                <w:b w:val="1"/>
                <w:bCs w:val="1"/>
                <w:color w:val="auto"/>
                <w:w w:val="93"/>
                <w:vertAlign w:val="superscript"/>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 -</w:t>
            </w:r>
          </w:p>
        </w:tc>
        <w:tc>
          <w:tcPr>
            <w:tcW w:w="1300" w:type="dxa"/>
            <w:vAlign w:val="bottom"/>
            <w:gridSpan w:val="2"/>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8.00%</w:t>
            </w:r>
          </w:p>
        </w:tc>
        <w:tc>
          <w:tcPr>
            <w:tcW w:w="2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902</w:t>
            </w:r>
          </w:p>
        </w:tc>
        <w:tc>
          <w:tcPr>
            <w:tcW w:w="3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14"/>
              <w:spacing w:after="0" w:line="144"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(26,235)</w:t>
            </w:r>
          </w:p>
        </w:tc>
        <w:tc>
          <w:tcPr>
            <w:tcW w:w="10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(982)</w:t>
            </w: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Senior Secured</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ceiling, 5.00% ETP,</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due 11/30/2026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27,217</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(26,235)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(982)</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A-2 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10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A-1 Preferred</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8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9,255</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(9,255)</w:t>
            </w: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37,355</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(37,355)</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(9,255)</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(312)</w:t>
            </w: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64,572</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(63,590)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8,943</w:t>
            </w:r>
          </w:p>
        </w:tc>
        <w:tc>
          <w:tcPr>
            <w:tcW w:w="200" w:type="dxa"/>
            <w:vAlign w:val="bottom"/>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(9,925)</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5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Pivot3, Inc.</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100% Equity Interest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(203)</w:t>
            </w: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Runway-Cadma I LLC</w:t>
            </w:r>
          </w:p>
        </w:tc>
        <w:tc>
          <w:tcPr>
            <w:tcW w:w="13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 Equity Interest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600" w:type="dxa"/>
            <w:vAlign w:val="bottom"/>
            <w:tcBorders>
              <w:top w:val="single" w:sz="8" w:color="CFF0FC"/>
              <w:bottom w:val="single" w:sz="8" w:color="auto"/>
            </w:tcBorders>
          </w:tcPr>
          <w:p>
            <w:pPr>
              <w:spacing w:after="0"/>
              <w:rPr>
                <w:sz w:val="3"/>
                <w:szCs w:val="3"/>
                <w:color w:val="auto"/>
              </w:rPr>
            </w:pPr>
          </w:p>
        </w:tc>
        <w:tc>
          <w:tcPr>
            <w:tcW w:w="500" w:type="dxa"/>
            <w:vAlign w:val="bottom"/>
            <w:tcBorders>
              <w:top w:val="single" w:sz="8" w:color="CFF0FC"/>
              <w:bottom w:val="single" w:sz="8" w:color="auto"/>
            </w:tcBorders>
          </w:tcPr>
          <w:p>
            <w:pPr>
              <w:spacing w:after="0"/>
              <w:rPr>
                <w:sz w:val="3"/>
                <w:szCs w:val="3"/>
                <w:color w:val="auto"/>
              </w:rPr>
            </w:pPr>
          </w:p>
        </w:tc>
        <w:tc>
          <w:tcPr>
            <w:tcW w:w="800" w:type="dxa"/>
            <w:vAlign w:val="bottom"/>
            <w:tcBorders>
              <w:top w:val="single" w:sz="8" w:color="CFF0FC"/>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720" w:type="dxa"/>
            <w:vAlign w:val="bottom"/>
            <w:tcBorders>
              <w:top w:val="single" w:sz="8" w:color="auto"/>
            </w:tcBorders>
          </w:tcPr>
          <w:p>
            <w:pPr>
              <w:spacing w:after="0"/>
              <w:rPr>
                <w:sz w:val="3"/>
                <w:szCs w:val="3"/>
                <w:color w:val="auto"/>
              </w:rPr>
            </w:pPr>
          </w:p>
        </w:tc>
        <w:tc>
          <w:tcPr>
            <w:tcW w:w="220" w:type="dxa"/>
            <w:vAlign w:val="bottom"/>
            <w:tcBorders>
              <w:top w:val="single" w:sz="8" w:color="CFF0FC"/>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200" w:type="dxa"/>
            <w:vAlign w:val="bottom"/>
            <w:tcBorders>
              <w:top w:val="single" w:sz="8" w:color="CFF0FC"/>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780" w:type="dxa"/>
            <w:vAlign w:val="bottom"/>
            <w:tcBorders>
              <w:top w:val="single" w:sz="8" w:color="auto"/>
            </w:tcBorders>
          </w:tcPr>
          <w:p>
            <w:pPr>
              <w:spacing w:after="0"/>
              <w:rPr>
                <w:sz w:val="3"/>
                <w:szCs w:val="3"/>
                <w:color w:val="auto"/>
              </w:rPr>
            </w:pPr>
          </w:p>
        </w:tc>
        <w:tc>
          <w:tcPr>
            <w:tcW w:w="180" w:type="dxa"/>
            <w:vAlign w:val="bottom"/>
            <w:tcBorders>
              <w:top w:val="single" w:sz="8" w:color="CFF0FC"/>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80" w:type="dxa"/>
            <w:vAlign w:val="bottom"/>
            <w:tcBorders>
              <w:top w:val="single" w:sz="8" w:color="CFF0FC"/>
            </w:tcBorders>
          </w:tcPr>
          <w:p>
            <w:pPr>
              <w:spacing w:after="0"/>
              <w:rPr>
                <w:sz w:val="3"/>
                <w:szCs w:val="3"/>
                <w:color w:val="auto"/>
              </w:rPr>
            </w:pPr>
          </w:p>
        </w:tc>
        <w:tc>
          <w:tcPr>
            <w:tcW w:w="0" w:type="dxa"/>
            <w:vAlign w:val="bottom"/>
          </w:tcPr>
          <w:p>
            <w:pPr>
              <w:spacing w:after="0"/>
              <w:rPr>
                <w:sz w:val="1"/>
                <w:szCs w:val="1"/>
                <w:color w:val="auto"/>
              </w:rPr>
            </w:pPr>
          </w:p>
        </w:tc>
      </w:tr>
    </w:tbl>
    <w:p>
      <w:pPr>
        <w:ind w:left="360" w:right="80"/>
        <w:spacing w:after="0" w:line="200"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spacing w:after="0" w:line="1" w:lineRule="exact"/>
        <w:rPr>
          <w:sz w:val="20"/>
          <w:szCs w:val="20"/>
          <w:color w:val="auto"/>
        </w:rPr>
      </w:pPr>
    </w:p>
    <w:p>
      <w:pPr>
        <w:ind w:left="360" w:right="640"/>
        <w:spacing w:after="0" w:line="199"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an investment between categories.</w:t>
      </w:r>
    </w:p>
    <w:p>
      <w:pPr>
        <w:ind w:left="360" w:right="60"/>
        <w:spacing w:after="0" w:line="19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All affiliate and control investments, which as of June 30, 2025, represented 1.40% of the Company’s net assets, may be deemed to be restricted securities under the Securities Act, and were valued at fair value as determined in good faith by the Company’s Board of Directors.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5" w:name="page36"/>
    <w:bookmarkEnd w:id="3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The Company’s affiliate and control investments as of December 31, 2024, along with the transactions during the year ended December 31, 2024, are as follows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restart"/>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Investment</w:t>
            </w:r>
          </w:p>
        </w:tc>
        <w:tc>
          <w:tcPr>
            <w:tcW w:w="220" w:type="dxa"/>
            <w:vAlign w:val="bottom"/>
          </w:tcPr>
          <w:p>
            <w:pPr>
              <w:spacing w:after="0"/>
              <w:rPr>
                <w:sz w:val="15"/>
                <w:szCs w:val="15"/>
                <w:color w:val="auto"/>
              </w:rPr>
            </w:pPr>
          </w:p>
        </w:tc>
        <w:tc>
          <w:tcPr>
            <w:tcW w:w="11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Fair Value as of</w:t>
            </w:r>
          </w:p>
        </w:tc>
        <w:tc>
          <w:tcPr>
            <w:tcW w:w="120" w:type="dxa"/>
            <w:vAlign w:val="bottom"/>
          </w:tcPr>
          <w:p>
            <w:pPr>
              <w:spacing w:after="0"/>
              <w:rPr>
                <w:sz w:val="15"/>
                <w:szCs w:val="15"/>
                <w:color w:val="auto"/>
              </w:rPr>
            </w:pPr>
          </w:p>
        </w:tc>
        <w:tc>
          <w:tcPr>
            <w:tcW w:w="2940" w:type="dxa"/>
            <w:vAlign w:val="bottom"/>
            <w:gridSpan w:val="6"/>
          </w:tcPr>
          <w:p>
            <w:pPr>
              <w:jc w:val="right"/>
              <w:ind w:right="374"/>
              <w:spacing w:after="0"/>
              <w:rPr>
                <w:sz w:val="20"/>
                <w:szCs w:val="20"/>
                <w:color w:val="auto"/>
              </w:rPr>
            </w:pPr>
            <w:r>
              <w:rPr>
                <w:rFonts w:ascii="Times New Roman" w:cs="Times New Roman" w:eastAsia="Times New Roman" w:hAnsi="Times New Roman"/>
                <w:sz w:val="13"/>
                <w:szCs w:val="13"/>
                <w:b w:val="1"/>
                <w:bCs w:val="1"/>
                <w:color w:val="auto"/>
              </w:rPr>
              <w:t>For the Year Ended December 31, 2024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Net Change in</w:t>
            </w:r>
          </w:p>
        </w:tc>
        <w:tc>
          <w:tcPr>
            <w:tcW w:w="9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Fair Value as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300" w:type="dxa"/>
            <w:vAlign w:val="bottom"/>
          </w:tcPr>
          <w:p>
            <w:pPr>
              <w:ind w:left="340"/>
              <w:spacing w:after="0" w:line="145" w:lineRule="exact"/>
              <w:rPr>
                <w:sz w:val="20"/>
                <w:szCs w:val="20"/>
                <w:color w:val="auto"/>
              </w:rPr>
            </w:pPr>
            <w:r>
              <w:rPr>
                <w:rFonts w:ascii="Times New Roman" w:cs="Times New Roman" w:eastAsia="Times New Roman" w:hAnsi="Times New Roman"/>
                <w:sz w:val="13"/>
                <w:szCs w:val="13"/>
                <w:b w:val="1"/>
                <w:bCs w:val="1"/>
                <w:color w:val="auto"/>
              </w:rPr>
              <w:t>Investment</w:t>
            </w:r>
          </w:p>
        </w:tc>
        <w:tc>
          <w:tcPr>
            <w:tcW w:w="80" w:type="dxa"/>
            <w:vAlign w:val="bottom"/>
          </w:tcPr>
          <w:p>
            <w:pPr>
              <w:spacing w:after="0"/>
              <w:rPr>
                <w:sz w:val="12"/>
                <w:szCs w:val="12"/>
                <w:color w:val="auto"/>
              </w:rPr>
            </w:pPr>
          </w:p>
        </w:tc>
        <w:tc>
          <w:tcPr>
            <w:tcW w:w="90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3"/>
                <w:szCs w:val="13"/>
                <w:b w:val="1"/>
                <w:bCs w:val="1"/>
                <w:color w:val="auto"/>
              </w:rPr>
              <w:t>Income Earned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3"/>
                <w:szCs w:val="13"/>
                <w:b w:val="1"/>
                <w:bCs w:val="1"/>
                <w:color w:val="auto"/>
                <w:w w:val="99"/>
              </w:rPr>
              <w:t>December</w:t>
            </w:r>
          </w:p>
        </w:tc>
        <w:tc>
          <w:tcPr>
            <w:tcW w:w="120" w:type="dxa"/>
            <w:vAlign w:val="bottom"/>
          </w:tcPr>
          <w:p>
            <w:pPr>
              <w:spacing w:after="0"/>
              <w:rPr>
                <w:sz w:val="12"/>
                <w:szCs w:val="12"/>
                <w:color w:val="auto"/>
              </w:rPr>
            </w:pPr>
          </w:p>
        </w:tc>
        <w:tc>
          <w:tcPr>
            <w:tcW w:w="780" w:type="dxa"/>
            <w:vAlign w:val="bottom"/>
          </w:tcPr>
          <w:p>
            <w:pPr>
              <w:jc w:val="right"/>
              <w:ind w:right="23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220" w:type="dxa"/>
            <w:vAlign w:val="bottom"/>
          </w:tcPr>
          <w:p>
            <w:pPr>
              <w:spacing w:after="0"/>
              <w:rPr>
                <w:sz w:val="12"/>
                <w:szCs w:val="12"/>
                <w:color w:val="auto"/>
              </w:rPr>
            </w:pPr>
          </w:p>
        </w:tc>
        <w:tc>
          <w:tcPr>
            <w:tcW w:w="820" w:type="dxa"/>
            <w:vAlign w:val="bottom"/>
          </w:tcPr>
          <w:p>
            <w:pPr>
              <w:jc w:val="right"/>
              <w:ind w:right="154"/>
              <w:spacing w:after="0" w:line="145" w:lineRule="exact"/>
              <w:rPr>
                <w:sz w:val="20"/>
                <w:szCs w:val="20"/>
                <w:color w:val="auto"/>
              </w:rPr>
            </w:pPr>
            <w:r>
              <w:rPr>
                <w:rFonts w:ascii="Times New Roman" w:cs="Times New Roman" w:eastAsia="Times New Roman" w:hAnsi="Times New Roman"/>
                <w:sz w:val="13"/>
                <w:szCs w:val="13"/>
                <w:b w:val="1"/>
                <w:bCs w:val="1"/>
                <w:color w:val="auto"/>
              </w:rPr>
              <w:t>Gross</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Net Realized</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45"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960" w:type="dxa"/>
            <w:vAlign w:val="bottom"/>
            <w:gridSpan w:val="3"/>
          </w:tcPr>
          <w:p>
            <w:pPr>
              <w:jc w:val="center"/>
              <w:ind w:right="80"/>
              <w:spacing w:after="0" w:line="145" w:lineRule="exact"/>
              <w:rPr>
                <w:sz w:val="20"/>
                <w:szCs w:val="20"/>
                <w:color w:val="auto"/>
              </w:rPr>
            </w:pPr>
            <w:r>
              <w:rPr>
                <w:rFonts w:ascii="Times New Roman" w:cs="Times New Roman" w:eastAsia="Times New Roman" w:hAnsi="Times New Roman"/>
                <w:sz w:val="13"/>
                <w:szCs w:val="13"/>
                <w:b w:val="1"/>
                <w:bCs w:val="1"/>
                <w:color w:val="auto"/>
              </w:rPr>
              <w:t>of December</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1300" w:type="dxa"/>
            <w:vAlign w:val="bottom"/>
          </w:tcPr>
          <w:p>
            <w:pPr>
              <w:ind w:left="34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31, 2023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5"/>
              </w:rPr>
              <w:t>Additions</w:t>
            </w:r>
            <w:r>
              <w:rPr>
                <w:rFonts w:ascii="Times New Roman" w:cs="Times New Roman" w:eastAsia="Times New Roman" w:hAnsi="Times New Roman"/>
                <w:sz w:val="16"/>
                <w:szCs w:val="16"/>
                <w:b w:val="1"/>
                <w:bCs w:val="1"/>
                <w:color w:val="auto"/>
                <w:w w:val="95"/>
                <w:vertAlign w:val="superscript"/>
              </w:rPr>
              <w:t>(1)</w:t>
            </w:r>
          </w:p>
        </w:tc>
        <w:tc>
          <w:tcPr>
            <w:tcW w:w="220" w:type="dxa"/>
            <w:vAlign w:val="bottom"/>
          </w:tcPr>
          <w:p>
            <w:pPr>
              <w:spacing w:after="0"/>
              <w:rPr>
                <w:sz w:val="15"/>
                <w:szCs w:val="15"/>
                <w:color w:val="auto"/>
              </w:rPr>
            </w:pPr>
          </w:p>
        </w:tc>
        <w:tc>
          <w:tcPr>
            <w:tcW w:w="820" w:type="dxa"/>
            <w:vAlign w:val="bottom"/>
          </w:tcPr>
          <w:p>
            <w:pPr>
              <w:jc w:val="right"/>
              <w:spacing w:after="0" w:line="181" w:lineRule="exact"/>
              <w:rPr>
                <w:sz w:val="20"/>
                <w:szCs w:val="20"/>
                <w:color w:val="auto"/>
              </w:rPr>
            </w:pPr>
            <w:r>
              <w:rPr>
                <w:rFonts w:ascii="Times New Roman" w:cs="Times New Roman" w:eastAsia="Times New Roman" w:hAnsi="Times New Roman"/>
                <w:sz w:val="13"/>
                <w:szCs w:val="13"/>
                <w:b w:val="1"/>
                <w:bCs w:val="1"/>
                <w:color w:val="auto"/>
              </w:rPr>
              <w:t>Reductions</w:t>
            </w:r>
            <w:r>
              <w:rPr>
                <w:rFonts w:ascii="Times New Roman" w:cs="Times New Roman" w:eastAsia="Times New Roman" w:hAnsi="Times New Roman"/>
                <w:sz w:val="16"/>
                <w:szCs w:val="16"/>
                <w:b w:val="1"/>
                <w:bCs w:val="1"/>
                <w:color w:val="auto"/>
                <w:vertAlign w:val="superscript"/>
              </w:rPr>
              <w:t>(2)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Gain (Loss)</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w w:val="98"/>
              </w:rPr>
              <w:t>Gain (Loss)</w:t>
            </w:r>
          </w:p>
        </w:tc>
        <w:tc>
          <w:tcPr>
            <w:tcW w:w="120" w:type="dxa"/>
            <w:vAlign w:val="bottom"/>
          </w:tcPr>
          <w:p>
            <w:pPr>
              <w:spacing w:after="0"/>
              <w:rPr>
                <w:sz w:val="15"/>
                <w:szCs w:val="15"/>
                <w:color w:val="auto"/>
              </w:rPr>
            </w:pPr>
          </w:p>
        </w:tc>
        <w:tc>
          <w:tcPr>
            <w:tcW w:w="760" w:type="dxa"/>
            <w:vAlign w:val="bottom"/>
          </w:tcPr>
          <w:p>
            <w:pPr>
              <w:jc w:val="center"/>
              <w:ind w:right="54"/>
              <w:spacing w:after="0" w:line="181" w:lineRule="exact"/>
              <w:rPr>
                <w:sz w:val="20"/>
                <w:szCs w:val="20"/>
                <w:color w:val="auto"/>
              </w:rPr>
            </w:pPr>
            <w:r>
              <w:rPr>
                <w:rFonts w:ascii="Times New Roman" w:cs="Times New Roman" w:eastAsia="Times New Roman" w:hAnsi="Times New Roman"/>
                <w:sz w:val="13"/>
                <w:szCs w:val="13"/>
                <w:b w:val="1"/>
                <w:bCs w:val="1"/>
                <w:color w:val="auto"/>
                <w:w w:val="96"/>
              </w:rPr>
              <w:t>31, 2024</w:t>
            </w:r>
            <w:r>
              <w:rPr>
                <w:rFonts w:ascii="Times New Roman" w:cs="Times New Roman" w:eastAsia="Times New Roman" w:hAnsi="Times New Roman"/>
                <w:sz w:val="16"/>
                <w:szCs w:val="16"/>
                <w:b w:val="1"/>
                <w:bCs w:val="1"/>
                <w:color w:val="auto"/>
                <w:w w:val="96"/>
                <w:vertAlign w:val="superscript"/>
              </w:rPr>
              <w:t>(3)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Affiliate Investments</w:t>
            </w: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Debt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 -</w:t>
            </w:r>
          </w:p>
        </w:tc>
        <w:tc>
          <w:tcPr>
            <w:tcW w:w="1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SOFR+8.75%, 8.00%</w:t>
            </w:r>
          </w:p>
        </w:tc>
        <w:tc>
          <w:tcPr>
            <w:tcW w:w="20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2,419</w:t>
            </w:r>
          </w:p>
        </w:tc>
        <w:tc>
          <w:tcPr>
            <w:tcW w:w="340" w:type="dxa"/>
            <w:vAlign w:val="bottom"/>
            <w:gridSpan w:val="2"/>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23,586</w:t>
            </w: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337</w:t>
            </w:r>
          </w:p>
        </w:tc>
        <w:tc>
          <w:tcPr>
            <w:tcW w:w="1040" w:type="dxa"/>
            <w:vAlign w:val="bottom"/>
            <w:gridSpan w:val="2"/>
            <w:shd w:val="clear" w:color="auto" w:fill="CFF0FC"/>
          </w:tcPr>
          <w:p>
            <w:pPr>
              <w:jc w:val="right"/>
              <w:ind w:right="6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ind w:right="654"/>
              <w:spacing w:after="0" w:line="144"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3,294</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27,217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Senior Secured</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ceiling, 5.00% ETP,</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due 11/30/2026</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Debt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23,586</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27,217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856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(856)</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tcPr>
          <w:p>
            <w:pPr>
              <w:ind w:left="140"/>
              <w:spacing w:after="0" w:line="144" w:lineRule="exact"/>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A-2 Preferred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220"/>
              <w:spacing w:after="0" w:line="144" w:lineRule="exact"/>
              <w:rPr>
                <w:sz w:val="20"/>
                <w:szCs w:val="20"/>
                <w:color w:val="auto"/>
              </w:rPr>
            </w:pPr>
            <w:r>
              <w:rPr>
                <w:rFonts w:ascii="Times New Roman" w:cs="Times New Roman" w:eastAsia="Times New Roman" w:hAnsi="Times New Roman"/>
                <w:sz w:val="13"/>
                <w:szCs w:val="13"/>
                <w:color w:val="auto"/>
              </w:rPr>
              <w:t>21,461</w:t>
            </w:r>
          </w:p>
        </w:tc>
        <w:tc>
          <w:tcPr>
            <w:tcW w:w="12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3,539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6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1300" w:type="dxa"/>
            <w:vAlign w:val="bottom"/>
            <w:shd w:val="clear" w:color="auto" w:fill="CFF0FC"/>
          </w:tcPr>
          <w:p>
            <w:pPr>
              <w:ind w:left="60"/>
              <w:spacing w:after="0" w:line="144" w:lineRule="exact"/>
              <w:rPr>
                <w:sz w:val="20"/>
                <w:szCs w:val="20"/>
                <w:color w:val="auto"/>
              </w:rPr>
            </w:pPr>
            <w:r>
              <w:rPr>
                <w:rFonts w:ascii="Times New Roman" w:cs="Times New Roman" w:eastAsia="Times New Roman" w:hAnsi="Times New Roman"/>
                <w:sz w:val="13"/>
                <w:szCs w:val="13"/>
                <w:color w:val="auto"/>
              </w:rPr>
              <w:t>Series A-1 Preferred</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4,577</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6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4" w:lineRule="exact"/>
              <w:rPr>
                <w:sz w:val="20"/>
                <w:szCs w:val="20"/>
                <w:color w:val="auto"/>
              </w:rPr>
            </w:pPr>
            <w:r>
              <w:rPr>
                <w:rFonts w:ascii="Times New Roman" w:cs="Times New Roman" w:eastAsia="Times New Roman" w:hAnsi="Times New Roman"/>
                <w:sz w:val="13"/>
                <w:szCs w:val="13"/>
                <w:color w:val="auto"/>
              </w:rPr>
              <w:t>7,778</w:t>
            </w: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80"/>
              <w:spacing w:after="0" w:line="144" w:lineRule="exact"/>
              <w:rPr>
                <w:sz w:val="20"/>
                <w:szCs w:val="20"/>
                <w:color w:val="auto"/>
              </w:rPr>
            </w:pPr>
            <w:r>
              <w:rPr>
                <w:rFonts w:ascii="Times New Roman" w:cs="Times New Roman" w:eastAsia="Times New Roman" w:hAnsi="Times New Roman"/>
                <w:sz w:val="13"/>
                <w:szCs w:val="13"/>
                <w:color w:val="auto"/>
              </w:rPr>
              <w:t>12,355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600" w:type="dxa"/>
            <w:vAlign w:val="bottom"/>
            <w:shd w:val="clear" w:color="auto" w:fill="CFF0FC"/>
          </w:tcPr>
          <w:p>
            <w:pPr>
              <w:spacing w:after="0"/>
              <w:rPr>
                <w:sz w:val="14"/>
                <w:szCs w:val="14"/>
                <w:color w:val="auto"/>
              </w:rPr>
            </w:pP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Stock</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26,894</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10,461</w:t>
            </w:r>
          </w:p>
        </w:tc>
        <w:tc>
          <w:tcPr>
            <w:tcW w:w="120" w:type="dxa"/>
            <w:vAlign w:val="bottom"/>
          </w:tcPr>
          <w:p>
            <w:pPr>
              <w:spacing w:after="0"/>
              <w:rPr>
                <w:sz w:val="13"/>
                <w:szCs w:val="13"/>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37,355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Coginiti Corp</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(663)</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Gynesonics, Inc.</w:t>
            </w:r>
          </w:p>
        </w:tc>
        <w:tc>
          <w:tcPr>
            <w:tcW w:w="1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Success fee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(313)</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Total Warrants</w:t>
            </w: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976</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(976)</w:t>
            </w: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Affiliate Investments</w:t>
            </w:r>
          </w:p>
        </w:tc>
        <w:tc>
          <w:tcPr>
            <w:tcW w:w="1300" w:type="dxa"/>
            <w:vAlign w:val="bottom"/>
          </w:tcPr>
          <w:p>
            <w:pPr>
              <w:spacing w:after="0"/>
              <w:rPr>
                <w:sz w:val="13"/>
                <w:szCs w:val="1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51,456</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337</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12,779</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64,572</w:t>
            </w:r>
          </w:p>
        </w:tc>
        <w:tc>
          <w:tcPr>
            <w:tcW w:w="0" w:type="dxa"/>
            <w:vAlign w:val="bottom"/>
          </w:tcPr>
          <w:p>
            <w:pPr>
              <w:spacing w:after="0"/>
              <w:rPr>
                <w:sz w:val="1"/>
                <w:szCs w:val="1"/>
                <w:color w:val="auto"/>
              </w:rPr>
            </w:pPr>
          </w:p>
        </w:tc>
      </w:tr>
      <w:tr>
        <w:trPr>
          <w:trHeight w:val="20"/>
        </w:trPr>
        <w:tc>
          <w:tcPr>
            <w:tcW w:w="16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1600" w:type="dxa"/>
            <w:vAlign w:val="bottom"/>
            <w:shd w:val="clear" w:color="auto" w:fill="CFF0FC"/>
          </w:tcPr>
          <w:p>
            <w:pPr>
              <w:spacing w:after="0"/>
              <w:rPr>
                <w:sz w:val="11"/>
                <w:szCs w:val="11"/>
                <w:color w:val="auto"/>
              </w:rPr>
            </w:pPr>
          </w:p>
        </w:tc>
        <w:tc>
          <w:tcPr>
            <w:tcW w:w="13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Control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b w:val="1"/>
                <w:bCs w:val="1"/>
                <w:color w:val="auto"/>
              </w:rPr>
              <w:t>Equity Investments</w:t>
            </w: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Pivot3, Inc.</w:t>
            </w:r>
          </w:p>
        </w:tc>
        <w:tc>
          <w:tcPr>
            <w:tcW w:w="13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100% Equity Interest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Runway-Cadma I LLC</w:t>
            </w:r>
          </w:p>
        </w:tc>
        <w:tc>
          <w:tcPr>
            <w:tcW w:w="13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50% Equity Interest</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6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Total Equity Investments</w:t>
            </w: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Control Investments</w:t>
            </w:r>
          </w:p>
        </w:tc>
        <w:tc>
          <w:tcPr>
            <w:tcW w:w="13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2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5,600</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121920</wp:posOffset>
            </wp:positionV>
            <wp:extent cx="1341755"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41755" cy="7620"/>
                    </a:xfrm>
                    <a:prstGeom prst="rect">
                      <a:avLst/>
                    </a:prstGeom>
                    <a:noFill/>
                  </pic:spPr>
                </pic:pic>
              </a:graphicData>
            </a:graphic>
          </wp:anchor>
        </w:drawing>
      </w:r>
    </w:p>
    <w:p>
      <w:pPr>
        <w:spacing w:after="0" w:line="172" w:lineRule="exact"/>
        <w:rPr>
          <w:sz w:val="20"/>
          <w:szCs w:val="20"/>
          <w:color w:val="auto"/>
        </w:rPr>
      </w:pPr>
    </w:p>
    <w:p>
      <w:pPr>
        <w:ind w:left="360" w:right="80"/>
        <w:spacing w:after="0" w:line="206"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Gross additions include increases in the cost basis of investments resulting from fundings, PIK interest, accretion of OID and ETP, the exchange of one or more existing investments for one or more new investments and the movement of an investment between categories.</w:t>
      </w:r>
    </w:p>
    <w:p>
      <w:pPr>
        <w:spacing w:after="0" w:line="1" w:lineRule="exact"/>
        <w:rPr>
          <w:sz w:val="20"/>
          <w:szCs w:val="20"/>
          <w:color w:val="auto"/>
        </w:rPr>
      </w:pPr>
    </w:p>
    <w:p>
      <w:pPr>
        <w:ind w:left="360" w:right="640"/>
        <w:spacing w:after="0" w:line="199"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Gross reductions include decreases in the basis of investments resulting from principal collections related to investment repayments or sales, the exchange of one or more existing Investments for one or more new investments and the movement of investment between categories.</w:t>
      </w:r>
    </w:p>
    <w:p>
      <w:pPr>
        <w:ind w:left="360" w:right="200"/>
        <w:spacing w:after="0" w:line="19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All affiliate and control investments, which as of December 31, 2024, represented 13.90% of the Company’s net assets, may be deemed to be restricted securities under the Securities Act, and were valued at fair value as determined in good faith by the Company’s Board of Directors.</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6" w:name="page37"/>
    <w:bookmarkEnd w:id="3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shows the fair value of the Company's portfolio of investments by geographic region as of June 30, 2025 and December 31, 2024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3"/>
          </w:tcPr>
          <w:p>
            <w:pPr>
              <w:jc w:val="right"/>
              <w:ind w:right="83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40" w:type="dxa"/>
            <w:vAlign w:val="bottom"/>
            <w:gridSpan w:val="3"/>
          </w:tcPr>
          <w:p>
            <w:pPr>
              <w:jc w:val="right"/>
              <w:ind w:right="73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Investments at Fair</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Geographic Region</w:t>
            </w:r>
          </w:p>
        </w:tc>
        <w:tc>
          <w:tcPr>
            <w:tcW w:w="100" w:type="dxa"/>
            <w:vAlign w:val="bottom"/>
          </w:tcPr>
          <w:p>
            <w:pPr>
              <w:spacing w:after="0"/>
              <w:rPr>
                <w:sz w:val="13"/>
                <w:szCs w:val="13"/>
                <w:color w:val="auto"/>
              </w:rPr>
            </w:pPr>
          </w:p>
        </w:tc>
        <w:tc>
          <w:tcPr>
            <w:tcW w:w="138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120" w:type="dxa"/>
            <w:vAlign w:val="bottom"/>
          </w:tcPr>
          <w:p>
            <w:pPr>
              <w:spacing w:after="0"/>
              <w:rPr>
                <w:sz w:val="13"/>
                <w:szCs w:val="13"/>
                <w:color w:val="auto"/>
              </w:rPr>
            </w:pPr>
          </w:p>
        </w:tc>
        <w:tc>
          <w:tcPr>
            <w:tcW w:w="162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3"/>
                <w:szCs w:val="13"/>
                <w:b w:val="1"/>
                <w:bCs w:val="1"/>
                <w:color w:val="auto"/>
              </w:rPr>
              <w:t>Value</w:t>
            </w:r>
          </w:p>
        </w:tc>
        <w:tc>
          <w:tcPr>
            <w:tcW w:w="200" w:type="dxa"/>
            <w:vAlign w:val="bottom"/>
          </w:tcPr>
          <w:p>
            <w:pPr>
              <w:spacing w:after="0"/>
              <w:rPr>
                <w:sz w:val="13"/>
                <w:szCs w:val="13"/>
                <w:color w:val="auto"/>
              </w:rPr>
            </w:pPr>
          </w:p>
        </w:tc>
        <w:tc>
          <w:tcPr>
            <w:tcW w:w="158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0" w:type="dxa"/>
            <w:vAlign w:val="bottom"/>
          </w:tcPr>
          <w:p>
            <w:pPr>
              <w:spacing w:after="0"/>
              <w:rPr>
                <w:sz w:val="1"/>
                <w:szCs w:val="1"/>
                <w:color w:val="auto"/>
              </w:rPr>
            </w:pPr>
          </w:p>
        </w:tc>
      </w:tr>
      <w:tr>
        <w:trPr>
          <w:trHeight w:val="170"/>
        </w:trPr>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Western United States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365,521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73.26</w:t>
            </w:r>
          </w:p>
        </w:tc>
        <w:tc>
          <w:tcPr>
            <w:tcW w:w="3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431,567</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83.83</w:t>
            </w:r>
          </w:p>
        </w:tc>
        <w:tc>
          <w:tcPr>
            <w:tcW w:w="3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Northeastern United States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240,694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48.24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264,780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51.43</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Midwestern United States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175,440</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35.16</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146,963</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28.54</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Northwestern United States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74,043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72,414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14.06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South Central United States</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41,087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40,136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7.80</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Southeastern United States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21,236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4.26</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20,932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4.07</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3"/>
                <w:szCs w:val="13"/>
                <w:color w:val="auto"/>
              </w:rPr>
              <w:t>Runway-Cadma I LLC</w:t>
            </w:r>
            <w:r>
              <w:rPr>
                <w:rFonts w:ascii="Times New Roman" w:cs="Times New Roman" w:eastAsia="Times New Roman" w:hAnsi="Times New Roman"/>
                <w:sz w:val="16"/>
                <w:szCs w:val="16"/>
                <w:color w:val="auto"/>
                <w:vertAlign w:val="superscript"/>
              </w:rPr>
              <w:t>(1)</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6,004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5,742</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United States</w:t>
            </w:r>
          </w:p>
        </w:tc>
        <w:tc>
          <w:tcPr>
            <w:tcW w:w="100" w:type="dxa"/>
            <w:vAlign w:val="bottom"/>
          </w:tcPr>
          <w:p>
            <w:pPr>
              <w:spacing w:after="0"/>
              <w:rPr>
                <w:sz w:val="13"/>
                <w:szCs w:val="13"/>
                <w:color w:val="auto"/>
              </w:rPr>
            </w:pP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924,025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185.20</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982,534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190.85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Germany</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37,152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7.45</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34,163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United Kingdom</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31,592</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6.33</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28,360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Netherlands</w:t>
            </w:r>
          </w:p>
        </w:tc>
        <w:tc>
          <w:tcPr>
            <w:tcW w:w="100" w:type="dxa"/>
            <w:vAlign w:val="bottom"/>
          </w:tcPr>
          <w:p>
            <w:pPr>
              <w:spacing w:after="0"/>
              <w:rPr>
                <w:sz w:val="13"/>
                <w:szCs w:val="13"/>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17,337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17,203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Canada</w:t>
            </w:r>
          </w:p>
        </w:tc>
        <w:tc>
          <w:tcPr>
            <w:tcW w:w="100" w:type="dxa"/>
            <w:vAlign w:val="bottom"/>
            <w:shd w:val="clear" w:color="auto" w:fill="CFF0FC"/>
          </w:tcPr>
          <w:p>
            <w:pPr>
              <w:spacing w:after="0"/>
              <w:rPr>
                <w:sz w:val="13"/>
                <w:szCs w:val="13"/>
                <w:color w:val="auto"/>
              </w:rPr>
            </w:pPr>
          </w:p>
        </w:tc>
        <w:tc>
          <w:tcPr>
            <w:tcW w:w="13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14,845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3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3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14,580</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3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1,024,951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205.44</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1,076,840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209.17</w:t>
            </w:r>
          </w:p>
        </w:tc>
        <w:tc>
          <w:tcPr>
            <w:tcW w:w="30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right="180"/>
        <w:spacing w:after="0" w:line="207"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Runway-Cadma I LLC is a joint venture between the Company and Cadma. This entity invests in secured loans to growth-stage companies that have been originated by the Company. See "Note 2 – Summary of Significant Accounting Policies" for further discussion.</w:t>
      </w:r>
    </w:p>
    <w:p>
      <w:pPr>
        <w:spacing w:after="0" w:line="140" w:lineRule="exact"/>
        <w:rPr>
          <w:sz w:val="20"/>
          <w:szCs w:val="20"/>
          <w:color w:val="auto"/>
        </w:rPr>
      </w:pPr>
    </w:p>
    <w:p>
      <w:pPr>
        <w:ind w:right="600"/>
        <w:spacing w:after="0" w:line="259" w:lineRule="auto"/>
        <w:rPr>
          <w:sz w:val="20"/>
          <w:szCs w:val="20"/>
          <w:color w:val="auto"/>
        </w:rPr>
      </w:pPr>
      <w:r>
        <w:rPr>
          <w:rFonts w:ascii="Times New Roman" w:cs="Times New Roman" w:eastAsia="Times New Roman" w:hAnsi="Times New Roman"/>
          <w:sz w:val="16"/>
          <w:szCs w:val="16"/>
          <w:color w:val="auto"/>
        </w:rPr>
        <w:t>Effective June 30, 2025, the Company transitioned from an internal industry classification system to the Global Industry Classification Standard ("GICS"). The following table shows the fair value of the Company's portfolio of investments by GICS industry as of June 30, 2025 (in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5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40" w:type="dxa"/>
            <w:vAlign w:val="bottom"/>
            <w:gridSpan w:val="3"/>
          </w:tcPr>
          <w:p>
            <w:pPr>
              <w:ind w:left="18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70"/>
        </w:trPr>
        <w:tc>
          <w:tcPr>
            <w:tcW w:w="5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220" w:type="dxa"/>
            <w:vAlign w:val="bottom"/>
          </w:tcPr>
          <w:p>
            <w:pPr>
              <w:spacing w:after="0"/>
              <w:rPr>
                <w:sz w:val="14"/>
                <w:szCs w:val="14"/>
                <w:color w:val="auto"/>
              </w:rPr>
            </w:pPr>
          </w:p>
        </w:tc>
        <w:tc>
          <w:tcPr>
            <w:tcW w:w="2640" w:type="dxa"/>
            <w:vAlign w:val="bottom"/>
            <w:gridSpan w:val="3"/>
          </w:tcPr>
          <w:p>
            <w:pPr>
              <w:ind w:left="100"/>
              <w:spacing w:after="0"/>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5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Application Software</w:t>
            </w:r>
          </w:p>
        </w:tc>
        <w:tc>
          <w:tcPr>
            <w:tcW w:w="2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225,083</w:t>
            </w:r>
          </w:p>
        </w:tc>
        <w:tc>
          <w:tcPr>
            <w:tcW w:w="32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45.12</w:t>
            </w:r>
          </w:p>
        </w:tc>
        <w:tc>
          <w:tcPr>
            <w:tcW w:w="6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Commercial &amp; Professional Services</w:t>
            </w: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177,181</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35.51</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27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Health Care Equipment &amp; Services</w:t>
            </w:r>
          </w:p>
        </w:tc>
        <w:tc>
          <w:tcPr>
            <w:tcW w:w="220" w:type="dxa"/>
            <w:vAlign w:val="bottom"/>
            <w:shd w:val="clear" w:color="auto" w:fill="CFF0FC"/>
          </w:tcPr>
          <w:p>
            <w:pPr>
              <w:spacing w:after="0"/>
              <w:rPr>
                <w:sz w:val="24"/>
                <w:szCs w:val="24"/>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145,164</w:t>
            </w:r>
          </w:p>
        </w:tc>
        <w:tc>
          <w:tcPr>
            <w:tcW w:w="32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29.10</w:t>
            </w:r>
          </w:p>
        </w:tc>
        <w:tc>
          <w:tcPr>
            <w:tcW w:w="6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Systems Software</w:t>
            </w: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133,628</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Technology Hardware &amp; Equipment</w:t>
            </w:r>
          </w:p>
        </w:tc>
        <w:tc>
          <w:tcPr>
            <w:tcW w:w="220" w:type="dxa"/>
            <w:vAlign w:val="bottom"/>
            <w:shd w:val="clear" w:color="auto" w:fill="CFF0FC"/>
          </w:tcPr>
          <w:p>
            <w:pPr>
              <w:spacing w:after="0"/>
              <w:rPr>
                <w:sz w:val="13"/>
                <w:szCs w:val="13"/>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86,645</w:t>
            </w:r>
          </w:p>
        </w:tc>
        <w:tc>
          <w:tcPr>
            <w:tcW w:w="44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17.37</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Financial Services</w:t>
            </w:r>
          </w:p>
        </w:tc>
        <w:tc>
          <w:tcPr>
            <w:tcW w:w="220" w:type="dxa"/>
            <w:vAlign w:val="bottom"/>
          </w:tcPr>
          <w:p>
            <w:pPr>
              <w:spacing w:after="0"/>
              <w:rPr>
                <w:sz w:val="13"/>
                <w:szCs w:val="13"/>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80,045</w:t>
            </w:r>
          </w:p>
        </w:tc>
        <w:tc>
          <w:tcPr>
            <w:tcW w:w="44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Insurance</w:t>
            </w:r>
          </w:p>
        </w:tc>
        <w:tc>
          <w:tcPr>
            <w:tcW w:w="220" w:type="dxa"/>
            <w:vAlign w:val="bottom"/>
            <w:shd w:val="clear" w:color="auto" w:fill="CFF0FC"/>
          </w:tcPr>
          <w:p>
            <w:pPr>
              <w:spacing w:after="0"/>
              <w:rPr>
                <w:sz w:val="13"/>
                <w:szCs w:val="13"/>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78,511</w:t>
            </w:r>
          </w:p>
        </w:tc>
        <w:tc>
          <w:tcPr>
            <w:tcW w:w="440" w:type="dxa"/>
            <w:vAlign w:val="bottom"/>
            <w:shd w:val="clear" w:color="auto" w:fill="CFF0FC"/>
          </w:tcPr>
          <w:p>
            <w:pPr>
              <w:spacing w:after="0"/>
              <w:rPr>
                <w:sz w:val="13"/>
                <w:szCs w:val="13"/>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15.73</w:t>
            </w:r>
          </w:p>
        </w:tc>
        <w:tc>
          <w:tcPr>
            <w:tcW w:w="6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Media &amp; Entertainment</w:t>
            </w:r>
          </w:p>
        </w:tc>
        <w:tc>
          <w:tcPr>
            <w:tcW w:w="220" w:type="dxa"/>
            <w:vAlign w:val="bottom"/>
          </w:tcPr>
          <w:p>
            <w:pPr>
              <w:spacing w:after="0"/>
              <w:rPr>
                <w:sz w:val="13"/>
                <w:szCs w:val="13"/>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38,771</w:t>
            </w:r>
          </w:p>
        </w:tc>
        <w:tc>
          <w:tcPr>
            <w:tcW w:w="440" w:type="dxa"/>
            <w:vAlign w:val="bottom"/>
          </w:tcPr>
          <w:p>
            <w:pPr>
              <w:spacing w:after="0"/>
              <w:rPr>
                <w:sz w:val="13"/>
                <w:szCs w:val="13"/>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7.77</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5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Consumer Staples Distribution &amp; Retail</w:t>
            </w:r>
          </w:p>
        </w:tc>
        <w:tc>
          <w:tcPr>
            <w:tcW w:w="220" w:type="dxa"/>
            <w:vAlign w:val="bottom"/>
            <w:shd w:val="clear" w:color="auto" w:fill="CFF0FC"/>
          </w:tcPr>
          <w:p>
            <w:pPr>
              <w:spacing w:after="0"/>
              <w:rPr>
                <w:sz w:val="13"/>
                <w:szCs w:val="13"/>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37,152</w:t>
            </w:r>
          </w:p>
        </w:tc>
        <w:tc>
          <w:tcPr>
            <w:tcW w:w="4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7.44</w:t>
            </w:r>
          </w:p>
        </w:tc>
        <w:tc>
          <w:tcPr>
            <w:tcW w:w="4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r>
      <w:tr>
        <w:trPr>
          <w:trHeight w:val="156"/>
        </w:trPr>
        <w:tc>
          <w:tcPr>
            <w:tcW w:w="5740" w:type="dxa"/>
            <w:vAlign w:val="bottom"/>
          </w:tcPr>
          <w:p>
            <w:pPr>
              <w:spacing w:after="0"/>
              <w:rPr>
                <w:sz w:val="20"/>
                <w:szCs w:val="20"/>
                <w:color w:val="auto"/>
              </w:rPr>
            </w:pPr>
            <w:r>
              <w:rPr>
                <w:rFonts w:ascii="Times New Roman" w:cs="Times New Roman" w:eastAsia="Times New Roman" w:hAnsi="Times New Roman"/>
                <w:sz w:val="13"/>
                <w:szCs w:val="13"/>
                <w:color w:val="auto"/>
              </w:rPr>
              <w:t>Household &amp; Personal Products</w:t>
            </w:r>
          </w:p>
        </w:tc>
        <w:tc>
          <w:tcPr>
            <w:tcW w:w="220" w:type="dxa"/>
            <w:vAlign w:val="bottom"/>
          </w:tcPr>
          <w:p>
            <w:pPr>
              <w:spacing w:after="0"/>
              <w:rPr>
                <w:sz w:val="13"/>
                <w:szCs w:val="13"/>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16,767</w:t>
            </w:r>
          </w:p>
        </w:tc>
        <w:tc>
          <w:tcPr>
            <w:tcW w:w="440" w:type="dxa"/>
            <w:vAlign w:val="bottom"/>
          </w:tcPr>
          <w:p>
            <w:pPr>
              <w:spacing w:after="0"/>
              <w:rPr>
                <w:sz w:val="13"/>
                <w:szCs w:val="13"/>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3.36</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r>
      <w:tr>
        <w:trPr>
          <w:trHeight w:val="196"/>
        </w:trPr>
        <w:tc>
          <w:tcPr>
            <w:tcW w:w="5740" w:type="dxa"/>
            <w:vAlign w:val="bottom"/>
            <w:tcBorders>
              <w:bottom w:val="single" w:sz="8" w:color="CFF0FC"/>
            </w:tcBorders>
            <w:shd w:val="clear" w:color="auto" w:fill="CFF0FC"/>
          </w:tcPr>
          <w:p>
            <w:pPr>
              <w:spacing w:after="0" w:line="180" w:lineRule="exact"/>
              <w:rPr>
                <w:sz w:val="20"/>
                <w:szCs w:val="20"/>
                <w:color w:val="auto"/>
              </w:rPr>
            </w:pPr>
            <w:r>
              <w:rPr>
                <w:rFonts w:ascii="Times New Roman" w:cs="Times New Roman" w:eastAsia="Times New Roman" w:hAnsi="Times New Roman"/>
                <w:sz w:val="13"/>
                <w:szCs w:val="13"/>
                <w:color w:val="auto"/>
              </w:rPr>
              <w:t>Multi-Sector Holdings</w:t>
            </w:r>
            <w:r>
              <w:rPr>
                <w:rFonts w:ascii="Times New Roman" w:cs="Times New Roman" w:eastAsia="Times New Roman" w:hAnsi="Times New Roman"/>
                <w:sz w:val="16"/>
                <w:szCs w:val="16"/>
                <w:color w:val="auto"/>
                <w:vertAlign w:val="superscript"/>
              </w:rPr>
              <w:t>(1)</w:t>
            </w:r>
          </w:p>
        </w:tc>
        <w:tc>
          <w:tcPr>
            <w:tcW w:w="220" w:type="dxa"/>
            <w:vAlign w:val="bottom"/>
            <w:tcBorders>
              <w:bottom w:val="single" w:sz="8" w:color="CFF0FC"/>
            </w:tcBorders>
            <w:shd w:val="clear" w:color="auto" w:fill="CFF0FC"/>
          </w:tcPr>
          <w:p>
            <w:pPr>
              <w:spacing w:after="0"/>
              <w:rPr>
                <w:sz w:val="17"/>
                <w:szCs w:val="17"/>
                <w:color w:val="auto"/>
              </w:rPr>
            </w:pPr>
          </w:p>
        </w:tc>
        <w:tc>
          <w:tcPr>
            <w:tcW w:w="1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3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1.20</w:t>
            </w:r>
          </w:p>
        </w:tc>
        <w:tc>
          <w:tcPr>
            <w:tcW w:w="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r>
      <w:tr>
        <w:trPr>
          <w:trHeight w:val="156"/>
        </w:trPr>
        <w:tc>
          <w:tcPr>
            <w:tcW w:w="574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jc w:val="right"/>
              <w:ind w:right="99"/>
              <w:spacing w:after="0"/>
              <w:rPr>
                <w:sz w:val="20"/>
                <w:szCs w:val="20"/>
                <w:color w:val="auto"/>
              </w:rPr>
            </w:pPr>
            <w:r>
              <w:rPr>
                <w:rFonts w:ascii="Times New Roman" w:cs="Times New Roman" w:eastAsia="Times New Roman" w:hAnsi="Times New Roman"/>
                <w:sz w:val="11"/>
                <w:szCs w:val="11"/>
                <w:color w:val="auto"/>
                <w:w w:val="71"/>
              </w:rPr>
              <w:t>$</w:t>
            </w:r>
          </w:p>
        </w:tc>
        <w:tc>
          <w:tcPr>
            <w:tcW w:w="18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1,024,951</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205.44</w:t>
            </w:r>
          </w:p>
        </w:tc>
        <w:tc>
          <w:tcPr>
            <w:tcW w:w="44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20"/>
        </w:trPr>
        <w:tc>
          <w:tcPr>
            <w:tcW w:w="5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r>
    </w:tbl>
    <w:p>
      <w:pPr>
        <w:ind w:left="360" w:right="20"/>
        <w:spacing w:after="0" w:line="207"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7" w:name="page38"/>
    <w:bookmarkEnd w:id="3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fair value of the Company's portfolio of investments by industry as of December 31, 2024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0" w:type="dxa"/>
            <w:vAlign w:val="bottom"/>
            <w:gridSpan w:val="3"/>
          </w:tcPr>
          <w:p>
            <w:pPr>
              <w:jc w:val="right"/>
              <w:ind w:right="141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400" w:type="dxa"/>
            <w:vAlign w:val="bottom"/>
          </w:tcPr>
          <w:p>
            <w:pPr>
              <w:spacing w:after="0"/>
              <w:rPr>
                <w:sz w:val="13"/>
                <w:szCs w:val="13"/>
                <w:color w:val="auto"/>
              </w:rPr>
            </w:pPr>
          </w:p>
        </w:tc>
      </w:tr>
      <w:tr>
        <w:trPr>
          <w:trHeight w:val="170"/>
        </w:trPr>
        <w:tc>
          <w:tcPr>
            <w:tcW w:w="40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Industry</w:t>
            </w: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Investments at Fair Value</w:t>
            </w: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Percentage of Net Assets</w:t>
            </w:r>
          </w:p>
        </w:tc>
        <w:tc>
          <w:tcPr>
            <w:tcW w:w="400" w:type="dxa"/>
            <w:vAlign w:val="bottom"/>
          </w:tcPr>
          <w:p>
            <w:pPr>
              <w:spacing w:after="0"/>
              <w:rPr>
                <w:sz w:val="14"/>
                <w:szCs w:val="14"/>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Application Software</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233,431</w:t>
            </w:r>
          </w:p>
        </w:tc>
        <w:tc>
          <w:tcPr>
            <w:tcW w:w="320" w:type="dxa"/>
            <w:vAlign w:val="bottom"/>
            <w:shd w:val="clear" w:color="auto" w:fill="CFF0FC"/>
          </w:tcPr>
          <w:p>
            <w:pPr>
              <w:spacing w:after="0"/>
              <w:rPr>
                <w:sz w:val="13"/>
                <w:szCs w:val="13"/>
                <w:color w:val="auto"/>
              </w:rPr>
            </w:pP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45.35</w:t>
            </w:r>
          </w:p>
        </w:tc>
        <w:tc>
          <w:tcPr>
            <w:tcW w:w="400" w:type="dxa"/>
            <w:vAlign w:val="bottom"/>
            <w:shd w:val="clear" w:color="auto" w:fill="CFF0FC"/>
          </w:tcPr>
          <w:p>
            <w:pPr>
              <w:jc w:val="right"/>
              <w:ind w:right="214"/>
              <w:spacing w:after="0"/>
              <w:rPr>
                <w:sz w:val="20"/>
                <w:szCs w:val="20"/>
                <w:color w:val="auto"/>
              </w:rPr>
            </w:pPr>
            <w:r>
              <w:rPr>
                <w:rFonts w:ascii="Times New Roman" w:cs="Times New Roman" w:eastAsia="Times New Roman" w:hAnsi="Times New Roman"/>
                <w:sz w:val="13"/>
                <w:szCs w:val="13"/>
                <w:color w:val="auto"/>
                <w:w w:val="91"/>
              </w:rPr>
              <w:t>%</w:t>
            </w: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Healthcare Technology</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218,688</w:t>
            </w:r>
          </w:p>
        </w:tc>
        <w:tc>
          <w:tcPr>
            <w:tcW w:w="320" w:type="dxa"/>
            <w:vAlign w:val="bottom"/>
          </w:tcPr>
          <w:p>
            <w:pPr>
              <w:spacing w:after="0"/>
              <w:rPr>
                <w:sz w:val="13"/>
                <w:szCs w:val="13"/>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42.48</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Internet Software and Services</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160,104</w:t>
            </w:r>
          </w:p>
        </w:tc>
        <w:tc>
          <w:tcPr>
            <w:tcW w:w="320" w:type="dxa"/>
            <w:vAlign w:val="bottom"/>
            <w:shd w:val="clear" w:color="auto" w:fill="CFF0FC"/>
          </w:tcPr>
          <w:p>
            <w:pPr>
              <w:spacing w:after="0"/>
              <w:rPr>
                <w:sz w:val="13"/>
                <w:szCs w:val="13"/>
                <w:color w:val="auto"/>
              </w:rPr>
            </w:pP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31.10</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Data Processing &amp; Outsourced Services</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116,720</w:t>
            </w:r>
          </w:p>
        </w:tc>
        <w:tc>
          <w:tcPr>
            <w:tcW w:w="320" w:type="dxa"/>
            <w:vAlign w:val="bottom"/>
          </w:tcPr>
          <w:p>
            <w:pPr>
              <w:spacing w:after="0"/>
              <w:rPr>
                <w:sz w:val="13"/>
                <w:szCs w:val="13"/>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22.67</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System Software</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114,650</w:t>
            </w:r>
          </w:p>
        </w:tc>
        <w:tc>
          <w:tcPr>
            <w:tcW w:w="320" w:type="dxa"/>
            <w:vAlign w:val="bottom"/>
            <w:shd w:val="clear" w:color="auto" w:fill="CFF0FC"/>
          </w:tcPr>
          <w:p>
            <w:pPr>
              <w:spacing w:after="0"/>
              <w:rPr>
                <w:sz w:val="13"/>
                <w:szCs w:val="13"/>
                <w:color w:val="auto"/>
              </w:rPr>
            </w:pP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22.26</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Property &amp; Casualty Insurance</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76,911</w:t>
            </w: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14.94</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Internet &amp; Direct Marketing Retail</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50,729</w:t>
            </w: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9.86</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Human Resource &amp; Employment Services</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40,560</w:t>
            </w: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7.88</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Electronic Equipment &amp; Instruments</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2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40,354</w:t>
            </w: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7.84</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Healthcare Equipment</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15,382</w:t>
            </w: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2.98</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Multi-Sector Holdings</w:t>
            </w:r>
            <w:r>
              <w:rPr>
                <w:rFonts w:ascii="Times New Roman" w:cs="Times New Roman" w:eastAsia="Times New Roman" w:hAnsi="Times New Roman"/>
                <w:sz w:val="16"/>
                <w:szCs w:val="16"/>
                <w:color w:val="auto"/>
                <w:vertAlign w:val="superscript"/>
              </w:rPr>
              <w:t>(1)</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320" w:type="dxa"/>
            <w:vAlign w:val="bottom"/>
            <w:shd w:val="clear" w:color="auto" w:fill="CFF0FC"/>
          </w:tcPr>
          <w:p>
            <w:pPr>
              <w:spacing w:after="0"/>
              <w:rPr>
                <w:sz w:val="13"/>
                <w:szCs w:val="13"/>
                <w:color w:val="auto"/>
              </w:rPr>
            </w:pP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1.12</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Technology Hardware, Storage &amp; Peripherals</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2,910</w:t>
            </w:r>
          </w:p>
        </w:tc>
        <w:tc>
          <w:tcPr>
            <w:tcW w:w="320" w:type="dxa"/>
            <w:vAlign w:val="bottom"/>
          </w:tcPr>
          <w:p>
            <w:pPr>
              <w:spacing w:after="0"/>
              <w:rPr>
                <w:sz w:val="13"/>
                <w:szCs w:val="13"/>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0.56</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Specialized Consumer Services</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320" w:type="dxa"/>
            <w:vAlign w:val="bottom"/>
            <w:shd w:val="clear" w:color="auto" w:fill="CFF0FC"/>
          </w:tcPr>
          <w:p>
            <w:pPr>
              <w:spacing w:after="0"/>
              <w:rPr>
                <w:sz w:val="13"/>
                <w:szCs w:val="13"/>
                <w:color w:val="auto"/>
              </w:rPr>
            </w:pP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0.07</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Advertising</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320" w:type="dxa"/>
            <w:vAlign w:val="bottom"/>
          </w:tcPr>
          <w:p>
            <w:pPr>
              <w:spacing w:after="0"/>
              <w:rPr>
                <w:sz w:val="13"/>
                <w:szCs w:val="13"/>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0.03</w:t>
            </w:r>
          </w:p>
        </w:tc>
        <w:tc>
          <w:tcPr>
            <w:tcW w:w="400" w:type="dxa"/>
            <w:vAlign w:val="bottom"/>
          </w:tcPr>
          <w:p>
            <w:pPr>
              <w:spacing w:after="0"/>
              <w:rPr>
                <w:sz w:val="13"/>
                <w:szCs w:val="13"/>
                <w:color w:val="auto"/>
              </w:rPr>
            </w:pPr>
          </w:p>
        </w:tc>
      </w:tr>
      <w:tr>
        <w:trPr>
          <w:trHeight w:val="156"/>
        </w:trPr>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Asset Management &amp; Custody Banks</w:t>
            </w:r>
          </w:p>
        </w:tc>
        <w:tc>
          <w:tcPr>
            <w:tcW w:w="16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320" w:type="dxa"/>
            <w:vAlign w:val="bottom"/>
            <w:shd w:val="clear" w:color="auto" w:fill="CFF0FC"/>
          </w:tcPr>
          <w:p>
            <w:pPr>
              <w:spacing w:after="0"/>
              <w:rPr>
                <w:sz w:val="13"/>
                <w:szCs w:val="13"/>
                <w:color w:val="auto"/>
              </w:rPr>
            </w:pPr>
          </w:p>
        </w:tc>
        <w:tc>
          <w:tcPr>
            <w:tcW w:w="2000" w:type="dxa"/>
            <w:vAlign w:val="bottom"/>
            <w:tcBorders>
              <w:right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0.03</w:t>
            </w:r>
          </w:p>
        </w:tc>
        <w:tc>
          <w:tcPr>
            <w:tcW w:w="400" w:type="dxa"/>
            <w:vAlign w:val="bottom"/>
            <w:shd w:val="clear" w:color="auto" w:fill="CFF0FC"/>
          </w:tcPr>
          <w:p>
            <w:pPr>
              <w:spacing w:after="0"/>
              <w:rPr>
                <w:sz w:val="13"/>
                <w:szCs w:val="13"/>
                <w:color w:val="auto"/>
              </w:rPr>
            </w:pPr>
          </w:p>
        </w:tc>
      </w:tr>
      <w:tr>
        <w:trPr>
          <w:trHeight w:val="156"/>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Biotechnology</w:t>
            </w:r>
          </w:p>
        </w:tc>
        <w:tc>
          <w:tcPr>
            <w:tcW w:w="1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320" w:type="dxa"/>
            <w:vAlign w:val="bottom"/>
          </w:tcPr>
          <w:p>
            <w:pPr>
              <w:spacing w:after="0"/>
              <w:rPr>
                <w:sz w:val="13"/>
                <w:szCs w:val="13"/>
                <w:color w:val="auto"/>
              </w:rPr>
            </w:pPr>
          </w:p>
        </w:tc>
        <w:tc>
          <w:tcPr>
            <w:tcW w:w="20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r>
      <w:tr>
        <w:trPr>
          <w:trHeight w:val="176"/>
        </w:trPr>
        <w:tc>
          <w:tcPr>
            <w:tcW w:w="4080" w:type="dxa"/>
            <w:vAlign w:val="bottom"/>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8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320" w:type="dxa"/>
            <w:vAlign w:val="bottom"/>
            <w:shd w:val="clear" w:color="auto" w:fill="CFF0FC"/>
          </w:tcPr>
          <w:p>
            <w:pPr>
              <w:spacing w:after="0"/>
              <w:rPr>
                <w:sz w:val="15"/>
                <w:szCs w:val="15"/>
                <w:color w:val="auto"/>
              </w:rPr>
            </w:pPr>
          </w:p>
        </w:tc>
        <w:tc>
          <w:tcPr>
            <w:tcW w:w="2000" w:type="dxa"/>
            <w:vAlign w:val="bottom"/>
            <w:tcBorders>
              <w:right w:val="single" w:sz="8" w:color="CFF0FC"/>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209.17</w:t>
            </w:r>
          </w:p>
        </w:tc>
        <w:tc>
          <w:tcPr>
            <w:tcW w:w="400" w:type="dxa"/>
            <w:vAlign w:val="bottom"/>
            <w:shd w:val="clear" w:color="auto" w:fill="CFF0FC"/>
          </w:tcPr>
          <w:p>
            <w:pPr>
              <w:jc w:val="right"/>
              <w:ind w:right="214"/>
              <w:spacing w:after="0" w:line="136" w:lineRule="exact"/>
              <w:rPr>
                <w:sz w:val="20"/>
                <w:szCs w:val="20"/>
                <w:color w:val="auto"/>
              </w:rPr>
            </w:pPr>
            <w:r>
              <w:rPr>
                <w:rFonts w:ascii="Times New Roman" w:cs="Times New Roman" w:eastAsia="Times New Roman" w:hAnsi="Times New Roman"/>
                <w:sz w:val="13"/>
                <w:szCs w:val="13"/>
                <w:color w:val="auto"/>
                <w:w w:val="91"/>
              </w:rPr>
              <w:t>%</w:t>
            </w:r>
          </w:p>
        </w:tc>
      </w:tr>
      <w:tr>
        <w:trPr>
          <w:trHeight w:val="20"/>
        </w:trPr>
        <w:tc>
          <w:tcPr>
            <w:tcW w:w="408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r>
    </w:tbl>
    <w:p>
      <w:pPr>
        <w:ind w:left="360" w:right="20"/>
        <w:spacing w:after="0" w:line="201"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Multi-Sector Holdings consists of the Company's investment in Runway-Cadma I LLC, a joint venture between the Company and Cadma. This entity invests in secured loans to growth-stage companies that have been originated by the Company. See "Note 2 – Summary of Significant Accounting Policies" for further discussion.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92"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16"/>
          <w:szCs w:val="16"/>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6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Warrants provide exposure and potential gains upon increases in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Counterparty risk exists from the potential failure of an issuer of warrants to settle its exercised warrants. The maximum risk of loss from counterparty risk is the fair value of the contracts and the purchase price of the warrants. The Board of Directors considers the effects of counterparty risk when determining the fair value of its investments in warrants.</w:t>
      </w:r>
    </w:p>
    <w:p>
      <w:pPr>
        <w:spacing w:after="0" w:line="17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For the three months ended June 30, 2025, the Company had no realized gains or losses from its investments in warrants. For the six months ended June 30, 2025, the company had a net realized loss of $1.3 million from its investments in warrants. For the three and six months ended June 30, 2025, the Company had a net change in unrealized gain of $0.1 million and $0.9 million, respectively, from its investments in warrants. For the three and six months ended June 30, 2024, the Company had no realized gains or losses and a net change in unrealized loss of $0.5 million and $0.8 million, respectively, from its investments in warrants. Realized gains and losses from warrants are included in the respective control, affiliate, or non-control/non-affiliate "Net realized gain (loss)" on the Consolidated Statements of Operations. Unrealized gains and losses from investments in warrants are included in the respective control, affiliate, or non-control/non-affiliate "Net change in unrealized gain (loss)" on the Consolidated Statements of Operations.</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8" w:name="page39"/>
    <w:bookmarkEnd w:id="3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4"/>
          <w:szCs w:val="14"/>
          <w:color w:val="auto"/>
        </w:rPr>
        <w:t>The Company enters into foreign currency forward contracts from time to time to help mitigate the impact that an adverse change in foreign exchange rates would have on the value of the Company's investments denominated in foreign currencies and related interest income. Derivative contracts entered into by the Company are not designated as hedging instruments. Unrealized gain (loss) from the Company's foreign currency forward contracts are recorded within "Net change in unrealized gain (loss) on forward contracts and foreign currency transactions" on the Consolidated Statements of Operations. Realized gain (loss) from the Company's foreign currency forward contracts are recorded within "Net realized gain (loss) on forward contracts and foreign currency transactions" on the Consolidated Statements of Operations.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Company's outstanding foreign currency forward contracts as of June 30, 2025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9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60" w:type="dxa"/>
            <w:vAlign w:val="bottom"/>
          </w:tcPr>
          <w:p>
            <w:pPr>
              <w:jc w:val="right"/>
              <w:ind w:right="194"/>
              <w:spacing w:after="0"/>
              <w:rPr>
                <w:sz w:val="20"/>
                <w:szCs w:val="20"/>
                <w:color w:val="auto"/>
              </w:rPr>
            </w:pPr>
            <w:r>
              <w:rPr>
                <w:rFonts w:ascii="Times New Roman" w:cs="Times New Roman" w:eastAsia="Times New Roman" w:hAnsi="Times New Roman"/>
                <w:sz w:val="13"/>
                <w:szCs w:val="13"/>
                <w:b w:val="1"/>
                <w:bCs w:val="1"/>
                <w:color w:val="auto"/>
              </w:rPr>
              <w:t>Notional Amount to be</w:t>
            </w:r>
          </w:p>
        </w:tc>
        <w:tc>
          <w:tcPr>
            <w:tcW w:w="166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Notional Amount to be</w:t>
            </w:r>
          </w:p>
        </w:tc>
        <w:tc>
          <w:tcPr>
            <w:tcW w:w="220" w:type="dxa"/>
            <w:vAlign w:val="bottom"/>
          </w:tcPr>
          <w:p>
            <w:pPr>
              <w:spacing w:after="0"/>
              <w:rPr>
                <w:sz w:val="13"/>
                <w:szCs w:val="13"/>
                <w:color w:val="auto"/>
              </w:rPr>
            </w:pP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Unrealized Gain</w:t>
            </w:r>
          </w:p>
        </w:tc>
      </w:tr>
      <w:tr>
        <w:trPr>
          <w:trHeight w:val="170"/>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Foreign Currency</w:t>
            </w:r>
          </w:p>
        </w:tc>
        <w:tc>
          <w:tcPr>
            <w:tcW w:w="2540" w:type="dxa"/>
            <w:vAlign w:val="bottom"/>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120" w:type="dxa"/>
            <w:vAlign w:val="bottom"/>
          </w:tcPr>
          <w:p>
            <w:pPr>
              <w:ind w:left="200"/>
              <w:spacing w:after="0"/>
              <w:rPr>
                <w:sz w:val="20"/>
                <w:szCs w:val="20"/>
                <w:color w:val="auto"/>
              </w:rPr>
            </w:pPr>
            <w:r>
              <w:rPr>
                <w:rFonts w:ascii="Times New Roman" w:cs="Times New Roman" w:eastAsia="Times New Roman" w:hAnsi="Times New Roman"/>
                <w:sz w:val="13"/>
                <w:szCs w:val="13"/>
                <w:b w:val="1"/>
                <w:bCs w:val="1"/>
                <w:color w:val="auto"/>
              </w:rPr>
              <w:t>Maturity Date</w:t>
            </w:r>
          </w:p>
        </w:tc>
        <w:tc>
          <w:tcPr>
            <w:tcW w:w="1660" w:type="dxa"/>
            <w:vAlign w:val="bottom"/>
          </w:tcPr>
          <w:p>
            <w:pPr>
              <w:jc w:val="right"/>
              <w:ind w:right="614"/>
              <w:spacing w:after="0"/>
              <w:rPr>
                <w:sz w:val="20"/>
                <w:szCs w:val="20"/>
                <w:color w:val="auto"/>
              </w:rPr>
            </w:pPr>
            <w:r>
              <w:rPr>
                <w:rFonts w:ascii="Times New Roman" w:cs="Times New Roman" w:eastAsia="Times New Roman" w:hAnsi="Times New Roman"/>
                <w:sz w:val="13"/>
                <w:szCs w:val="13"/>
                <w:b w:val="1"/>
                <w:bCs w:val="1"/>
                <w:color w:val="auto"/>
              </w:rPr>
              <w:t>Sold (£)</w:t>
            </w:r>
          </w:p>
        </w:tc>
        <w:tc>
          <w:tcPr>
            <w:tcW w:w="166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Purchased ($)</w:t>
            </w:r>
          </w:p>
        </w:tc>
        <w:tc>
          <w:tcPr>
            <w:tcW w:w="22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(Loss) ($)</w:t>
            </w:r>
          </w:p>
        </w:tc>
      </w:tr>
      <w:tr>
        <w:trPr>
          <w:trHeight w:val="156"/>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Great British Pound (GBP)</w:t>
            </w:r>
          </w:p>
        </w:tc>
        <w:tc>
          <w:tcPr>
            <w:tcW w:w="25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w w:val="99"/>
              </w:rPr>
              <w:t>9/8/2025</w:t>
            </w:r>
          </w:p>
        </w:tc>
        <w:tc>
          <w:tcPr>
            <w:tcW w:w="1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351</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462</w:t>
            </w: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r>
      <w:tr>
        <w:trPr>
          <w:trHeight w:val="156"/>
        </w:trPr>
        <w:tc>
          <w:tcPr>
            <w:tcW w:w="19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Great British Pound (GBP)</w:t>
            </w:r>
          </w:p>
        </w:tc>
        <w:tc>
          <w:tcPr>
            <w:tcW w:w="254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12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12/8/2025</w:t>
            </w:r>
          </w:p>
        </w:tc>
        <w:tc>
          <w:tcPr>
            <w:tcW w:w="166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384</w:t>
            </w:r>
          </w:p>
        </w:tc>
        <w:tc>
          <w:tcPr>
            <w:tcW w:w="16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505</w:t>
            </w:r>
          </w:p>
        </w:tc>
        <w:tc>
          <w:tcPr>
            <w:tcW w:w="220" w:type="dxa"/>
            <w:vAlign w:val="bottom"/>
          </w:tcPr>
          <w:p>
            <w:pPr>
              <w:spacing w:after="0"/>
              <w:rPr>
                <w:sz w:val="13"/>
                <w:szCs w:val="13"/>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w:t>
            </w:r>
          </w:p>
        </w:tc>
      </w:tr>
      <w:tr>
        <w:trPr>
          <w:trHeight w:val="156"/>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3"/>
                <w:szCs w:val="13"/>
                <w:color w:val="auto"/>
              </w:rPr>
              <w:t>Great British Pound (GBP)</w:t>
            </w:r>
          </w:p>
        </w:tc>
        <w:tc>
          <w:tcPr>
            <w:tcW w:w="254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12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5/14/2026</w:t>
            </w:r>
          </w:p>
        </w:tc>
        <w:tc>
          <w:tcPr>
            <w:tcW w:w="166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21,964</w:t>
            </w:r>
          </w:p>
        </w:tc>
        <w:tc>
          <w:tcPr>
            <w:tcW w:w="16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28,873</w:t>
            </w:r>
          </w:p>
        </w:tc>
        <w:tc>
          <w:tcPr>
            <w:tcW w:w="220" w:type="dxa"/>
            <w:vAlign w:val="bottom"/>
            <w:shd w:val="clear" w:color="auto" w:fill="CFF0FC"/>
          </w:tcPr>
          <w:p>
            <w:pPr>
              <w:spacing w:after="0"/>
              <w:rPr>
                <w:sz w:val="13"/>
                <w:szCs w:val="13"/>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(1,317)</w:t>
            </w:r>
          </w:p>
        </w:tc>
      </w:tr>
      <w:tr>
        <w:trPr>
          <w:trHeight w:val="156"/>
        </w:trPr>
        <w:tc>
          <w:tcPr>
            <w:tcW w:w="19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5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2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w w:val="91"/>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(1,359)</w:t>
            </w:r>
          </w:p>
        </w:tc>
      </w:tr>
      <w:tr>
        <w:trPr>
          <w:trHeight w:val="20"/>
        </w:trPr>
        <w:tc>
          <w:tcPr>
            <w:tcW w:w="1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foreign currency forward contracts as of December 31, 2024.</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Offsetting of Derivative Instruments</w:t>
      </w:r>
    </w:p>
    <w:p>
      <w:pPr>
        <w:spacing w:after="0" w:line="192" w:lineRule="exact"/>
        <w:rPr>
          <w:sz w:val="20"/>
          <w:szCs w:val="20"/>
          <w:color w:val="auto"/>
        </w:rPr>
      </w:pPr>
    </w:p>
    <w:p>
      <w:pPr>
        <w:ind w:left="20"/>
        <w:spacing w:after="0" w:line="289" w:lineRule="auto"/>
        <w:rPr>
          <w:sz w:val="20"/>
          <w:szCs w:val="20"/>
          <w:color w:val="auto"/>
        </w:rPr>
      </w:pPr>
      <w:r>
        <w:rPr>
          <w:rFonts w:ascii="Times New Roman" w:cs="Times New Roman" w:eastAsia="Times New Roman" w:hAnsi="Times New Roman"/>
          <w:sz w:val="14"/>
          <w:szCs w:val="14"/>
          <w:color w:val="auto"/>
        </w:rPr>
        <w:t>The Company has derivative instruments that are subject to master netting agreements. These agreements include provisions to offset positions with the same counterparty in the event of default by either party. The Company’s unrealized loss on derivative instruments is reported as "Foreign currency forward contracts" on the Consolidated Statements of Assets and Liabilities. The following table presents the Company’s liabilities related to derivatives by counterparty, net of amounts available for offset under a master netting arrangement and net of any collateral received or pledged by the Company for such assets and liabilities as of June 30, 2025:</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Derivative Liabilities</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5"/>
        </w:trPr>
        <w:tc>
          <w:tcPr>
            <w:tcW w:w="2160" w:type="dxa"/>
            <w:vAlign w:val="bottom"/>
          </w:tcPr>
          <w:p>
            <w:pPr>
              <w:spacing w:after="0"/>
              <w:rPr>
                <w:sz w:val="12"/>
                <w:szCs w:val="12"/>
                <w:color w:val="auto"/>
              </w:rPr>
            </w:pPr>
          </w:p>
        </w:tc>
        <w:tc>
          <w:tcPr>
            <w:tcW w:w="1780" w:type="dxa"/>
            <w:vAlign w:val="bottom"/>
            <w:gridSpan w:val="3"/>
          </w:tcPr>
          <w:p>
            <w:pPr>
              <w:jc w:val="center"/>
              <w:ind w:right="200"/>
              <w:spacing w:after="0" w:line="145" w:lineRule="exact"/>
              <w:rPr>
                <w:sz w:val="20"/>
                <w:szCs w:val="20"/>
                <w:color w:val="auto"/>
              </w:rPr>
            </w:pPr>
            <w:r>
              <w:rPr>
                <w:rFonts w:ascii="Times New Roman" w:cs="Times New Roman" w:eastAsia="Times New Roman" w:hAnsi="Times New Roman"/>
                <w:sz w:val="13"/>
                <w:szCs w:val="13"/>
                <w:b w:val="1"/>
                <w:bCs w:val="1"/>
                <w:color w:val="auto"/>
              </w:rPr>
              <w:t>Subject to Master Netting</w:t>
            </w:r>
          </w:p>
        </w:tc>
        <w:tc>
          <w:tcPr>
            <w:tcW w:w="1480" w:type="dxa"/>
            <w:vAlign w:val="bottom"/>
          </w:tcPr>
          <w:p>
            <w:pPr>
              <w:jc w:val="right"/>
              <w:ind w:right="14"/>
              <w:spacing w:after="0" w:line="145" w:lineRule="exact"/>
              <w:rPr>
                <w:sz w:val="20"/>
                <w:szCs w:val="20"/>
                <w:color w:val="auto"/>
              </w:rPr>
            </w:pPr>
            <w:r>
              <w:rPr>
                <w:rFonts w:ascii="Times New Roman" w:cs="Times New Roman" w:eastAsia="Times New Roman" w:hAnsi="Times New Roman"/>
                <w:sz w:val="13"/>
                <w:szCs w:val="13"/>
                <w:b w:val="1"/>
                <w:bCs w:val="1"/>
                <w:color w:val="auto"/>
              </w:rPr>
              <w:t>Derivatives Available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jc w:val="right"/>
              <w:ind w:right="314"/>
              <w:spacing w:after="0" w:line="145" w:lineRule="exact"/>
              <w:rPr>
                <w:sz w:val="20"/>
                <w:szCs w:val="20"/>
                <w:color w:val="auto"/>
              </w:rPr>
            </w:pPr>
            <w:r>
              <w:rPr>
                <w:rFonts w:ascii="Times New Roman" w:cs="Times New Roman" w:eastAsia="Times New Roman" w:hAnsi="Times New Roman"/>
                <w:sz w:val="13"/>
                <w:szCs w:val="13"/>
                <w:b w:val="1"/>
                <w:bCs w:val="1"/>
                <w:color w:val="auto"/>
              </w:rPr>
              <w:t>Non-cash</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right"/>
              <w:ind w:right="34"/>
              <w:spacing w:after="0" w:line="145" w:lineRule="exact"/>
              <w:rPr>
                <w:sz w:val="20"/>
                <w:szCs w:val="20"/>
                <w:color w:val="auto"/>
              </w:rPr>
            </w:pPr>
            <w:r>
              <w:rPr>
                <w:rFonts w:ascii="Times New Roman" w:cs="Times New Roman" w:eastAsia="Times New Roman" w:hAnsi="Times New Roman"/>
                <w:sz w:val="13"/>
                <w:szCs w:val="13"/>
                <w:b w:val="1"/>
                <w:bCs w:val="1"/>
                <w:color w:val="auto"/>
              </w:rPr>
              <w:t>Cash Collateral</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right"/>
              <w:ind w:right="360"/>
              <w:spacing w:after="0" w:line="145" w:lineRule="exact"/>
              <w:rPr>
                <w:sz w:val="20"/>
                <w:szCs w:val="20"/>
                <w:color w:val="auto"/>
              </w:rPr>
            </w:pPr>
            <w:r>
              <w:rPr>
                <w:rFonts w:ascii="Times New Roman" w:cs="Times New Roman" w:eastAsia="Times New Roman" w:hAnsi="Times New Roman"/>
                <w:sz w:val="13"/>
                <w:szCs w:val="13"/>
                <w:b w:val="1"/>
                <w:bCs w:val="1"/>
                <w:color w:val="auto"/>
              </w:rPr>
              <w:t>Net Amount of</w:t>
            </w:r>
          </w:p>
        </w:tc>
      </w:tr>
      <w:tr>
        <w:trPr>
          <w:trHeight w:val="181"/>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Counterparty</w:t>
            </w:r>
          </w:p>
        </w:tc>
        <w:tc>
          <w:tcPr>
            <w:tcW w:w="140" w:type="dxa"/>
            <w:vAlign w:val="bottom"/>
          </w:tcPr>
          <w:p>
            <w:pPr>
              <w:spacing w:after="0"/>
              <w:rPr>
                <w:sz w:val="15"/>
                <w:szCs w:val="15"/>
                <w:color w:val="auto"/>
              </w:rPr>
            </w:pPr>
          </w:p>
        </w:tc>
        <w:tc>
          <w:tcPr>
            <w:tcW w:w="164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Agreement</w:t>
            </w:r>
          </w:p>
        </w:tc>
        <w:tc>
          <w:tcPr>
            <w:tcW w:w="1480" w:type="dxa"/>
            <w:vAlign w:val="bottom"/>
          </w:tcPr>
          <w:p>
            <w:pPr>
              <w:jc w:val="right"/>
              <w:ind w:right="334"/>
              <w:spacing w:after="0"/>
              <w:rPr>
                <w:sz w:val="20"/>
                <w:szCs w:val="20"/>
                <w:color w:val="auto"/>
              </w:rPr>
            </w:pPr>
            <w:r>
              <w:rPr>
                <w:rFonts w:ascii="Times New Roman" w:cs="Times New Roman" w:eastAsia="Times New Roman" w:hAnsi="Times New Roman"/>
                <w:sz w:val="13"/>
                <w:szCs w:val="13"/>
                <w:b w:val="1"/>
                <w:bCs w:val="1"/>
                <w:color w:val="auto"/>
              </w:rPr>
              <w:t>for Offset</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Collateral Pledged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Pledged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right"/>
              <w:ind w:right="120"/>
              <w:spacing w:after="0" w:line="181" w:lineRule="exact"/>
              <w:rPr>
                <w:sz w:val="20"/>
                <w:szCs w:val="20"/>
                <w:color w:val="auto"/>
              </w:rPr>
            </w:pPr>
            <w:r>
              <w:rPr>
                <w:rFonts w:ascii="Times New Roman" w:cs="Times New Roman" w:eastAsia="Times New Roman" w:hAnsi="Times New Roman"/>
                <w:sz w:val="13"/>
                <w:szCs w:val="13"/>
                <w:b w:val="1"/>
                <w:bCs w:val="1"/>
                <w:color w:val="auto"/>
                <w:w w:val="99"/>
              </w:rPr>
              <w:t xml:space="preserve">Derivative Liabilities </w:t>
            </w:r>
            <w:r>
              <w:rPr>
                <w:rFonts w:ascii="Times New Roman" w:cs="Times New Roman" w:eastAsia="Times New Roman" w:hAnsi="Times New Roman"/>
                <w:sz w:val="16"/>
                <w:szCs w:val="16"/>
                <w:b w:val="1"/>
                <w:bCs w:val="1"/>
                <w:color w:val="auto"/>
                <w:w w:val="99"/>
                <w:vertAlign w:val="superscript"/>
              </w:rPr>
              <w:t>(1)</w:t>
            </w:r>
          </w:p>
        </w:tc>
      </w:tr>
      <w:tr>
        <w:trPr>
          <w:trHeight w:val="156"/>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Canadian Imperial Bank of Commerce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(1,359)</w:t>
            </w:r>
          </w:p>
        </w:tc>
        <w:tc>
          <w:tcPr>
            <w:tcW w:w="1480" w:type="dxa"/>
            <w:vAlign w:val="bottom"/>
            <w:shd w:val="clear" w:color="auto" w:fill="CFF0FC"/>
          </w:tcPr>
          <w:p>
            <w:pPr>
              <w:jc w:val="right"/>
              <w:ind w:right="133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shd w:val="clear" w:color="auto" w:fill="CFF0FC"/>
          </w:tcPr>
          <w:p>
            <w:pPr>
              <w:jc w:val="right"/>
              <w:ind w:right="12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shd w:val="clear" w:color="auto" w:fill="CFF0FC"/>
          </w:tcPr>
          <w:p>
            <w:pPr>
              <w:jc w:val="right"/>
              <w:ind w:right="107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(1,359)</w:t>
            </w:r>
          </w:p>
        </w:tc>
      </w:tr>
      <w:tr>
        <w:trPr>
          <w:trHeight w:val="156"/>
        </w:trPr>
        <w:tc>
          <w:tcPr>
            <w:tcW w:w="21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(1,359)</w:t>
            </w:r>
          </w:p>
        </w:tc>
        <w:tc>
          <w:tcPr>
            <w:tcW w:w="1480" w:type="dxa"/>
            <w:vAlign w:val="bottom"/>
          </w:tcPr>
          <w:p>
            <w:pPr>
              <w:jc w:val="right"/>
              <w:ind w:right="1334"/>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20" w:type="dxa"/>
            <w:vAlign w:val="bottom"/>
            <w:gridSpan w:val="2"/>
          </w:tcPr>
          <w:p>
            <w:pPr>
              <w:jc w:val="right"/>
              <w:ind w:right="1294"/>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gridSpan w:val="2"/>
          </w:tcPr>
          <w:p>
            <w:pPr>
              <w:jc w:val="right"/>
              <w:ind w:right="107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(1,359)</w:t>
            </w:r>
          </w:p>
        </w:tc>
      </w:tr>
      <w:tr>
        <w:trPr>
          <w:trHeight w:val="20"/>
        </w:trPr>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360"/>
        <w:spacing w:after="0"/>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Net amount of derivative liabilities represents the net amount due from the Company to the counterparty.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were no liabilities related to derivatives available for offset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39" w:name="page40"/>
    <w:bookmarkEnd w:id="3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5 – Fair Value of Financial Instruments</w:t>
      </w:r>
    </w:p>
    <w:p>
      <w:pPr>
        <w:spacing w:after="0" w:line="190"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6"/>
          <w:szCs w:val="16"/>
          <w:color w:val="auto"/>
        </w:rPr>
        <w:t xml:space="preserve">The Company’s assets recorded at fair value have been categorized based upon a fair value hierarchy in accordance with ASC 820. Refer to "Note 2 </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w:t>
      </w:r>
      <w:r>
        <w:rPr>
          <w:rFonts w:ascii="Times New Roman" w:cs="Times New Roman" w:eastAsia="Times New Roman" w:hAnsi="Times New Roman"/>
          <w:sz w:val="16"/>
          <w:szCs w:val="16"/>
          <w:color w:val="auto"/>
        </w:rPr>
        <w:t xml:space="preserve"> Summary of Significant Accounting Policies" for a discussion of the Company’s policies.</w:t>
      </w:r>
    </w:p>
    <w:p>
      <w:pPr>
        <w:spacing w:after="0" w:line="12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Investments measured at fair value on a recurring basis are categorized in the tables below based upon the lowest level of significant input to the valuations as of June 30, 2025 and December 31, 2024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Measured at Net Asset</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Pr>
          <w:p>
            <w:pPr>
              <w:spacing w:after="0"/>
              <w:rPr>
                <w:sz w:val="15"/>
                <w:szCs w:val="15"/>
                <w:color w:val="auto"/>
              </w:rPr>
            </w:pPr>
          </w:p>
        </w:tc>
        <w:tc>
          <w:tcPr>
            <w:tcW w:w="1080" w:type="dxa"/>
            <w:vAlign w:val="bottom"/>
          </w:tcPr>
          <w:p>
            <w:pPr>
              <w:jc w:val="right"/>
              <w:ind w:right="394"/>
              <w:spacing w:after="0" w:line="181" w:lineRule="exact"/>
              <w:rPr>
                <w:sz w:val="20"/>
                <w:szCs w:val="20"/>
                <w:color w:val="auto"/>
              </w:rPr>
            </w:pPr>
            <w:r>
              <w:rPr>
                <w:rFonts w:ascii="Times New Roman" w:cs="Times New Roman" w:eastAsia="Times New Roman" w:hAnsi="Times New Roman"/>
                <w:sz w:val="13"/>
                <w:szCs w:val="13"/>
                <w:b w:val="1"/>
                <w:bCs w:val="1"/>
                <w:color w:val="auto"/>
              </w:rPr>
              <w:t>Value</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9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Loans</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941,705</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941,705</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Loans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20,778</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20,778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Convertible Notes</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Preferred Stock/Units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39,549</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39,549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Common Stock/Units</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14,137</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14,500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1,018,182</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6,004</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1,024,951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5,542</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5,542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Forward Contract</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(1,359)</w:t>
            </w: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6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5,944</w:t>
            </w:r>
          </w:p>
        </w:tc>
        <w:tc>
          <w:tcPr>
            <w:tcW w:w="26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8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9"/>
                <w:szCs w:val="9"/>
                <w:color w:val="auto"/>
              </w:rPr>
              <w:t>(996</w:t>
            </w:r>
            <w:r>
              <w:rPr>
                <w:rFonts w:ascii="Times New Roman" w:cs="Times New Roman" w:eastAsia="Times New Roman" w:hAnsi="Times New Roman"/>
                <w:sz w:val="15"/>
                <w:szCs w:val="15"/>
                <w:color w:val="auto"/>
                <w:vertAlign w:val="subscript"/>
              </w:rPr>
              <w:t>)</w:t>
            </w: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1,018,182</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6,004</w:t>
            </w:r>
          </w:p>
        </w:tc>
        <w:tc>
          <w:tcPr>
            <w:tcW w:w="5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1,029,134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560" w:type="dxa"/>
            <w:vAlign w:val="bottom"/>
            <w:tcBorders>
              <w:top w:val="single" w:sz="8" w:color="CFF0FC"/>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Investments</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Loans</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Loans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20,152</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20,152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Stock/Units</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73,460</w:t>
            </w: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82,641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Stock/Units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2,817</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96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13,752</w:t>
            </w: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14,182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96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11,998</w:t>
            </w:r>
          </w:p>
        </w:tc>
        <w:tc>
          <w:tcPr>
            <w:tcW w:w="98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5,742</w:t>
            </w: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equivalents</w:t>
            </w:r>
          </w:p>
        </w:tc>
        <w:tc>
          <w:tcPr>
            <w:tcW w:w="9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56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shd w:val="clear" w:color="auto" w:fill="CFF0FC"/>
          </w:tcPr>
          <w:p>
            <w:pPr>
              <w:jc w:val="right"/>
              <w:ind w:right="8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shd w:val="clear" w:color="auto" w:fill="CFF0FC"/>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16,024</w:t>
            </w:r>
          </w:p>
        </w:tc>
        <w:tc>
          <w:tcPr>
            <w:tcW w:w="980" w:type="dxa"/>
            <w:vAlign w:val="bottom"/>
            <w:shd w:val="clear" w:color="auto" w:fill="CFF0FC"/>
          </w:tcPr>
          <w:p>
            <w:pPr>
              <w:jc w:val="right"/>
              <w:ind w:right="8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430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1,058,670</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5,742</w:t>
            </w:r>
          </w:p>
        </w:tc>
        <w:tc>
          <w:tcPr>
            <w:tcW w:w="540" w:type="dxa"/>
            <w:vAlign w:val="bottom"/>
            <w:gridSpan w:val="2"/>
            <w:shd w:val="clear" w:color="auto" w:fill="CFF0FC"/>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1,080,866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60" w:right="140"/>
        <w:spacing w:after="0" w:line="195"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In accordance with ASC 820, the Company's equity investment in Runway-Cadma I LLC is measured using the net asset value as a practical expedient for fair value, and thus has not been classified in the fair value hierarchy.</w:t>
      </w:r>
    </w:p>
    <w:p>
      <w:pPr>
        <w:spacing w:after="0" w:line="14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6"/>
          <w:szCs w:val="16"/>
          <w:color w:val="auto"/>
        </w:rPr>
        <w:t>The Company transfers investments in and out of Levels 1, 2 and 3 as of the beginning balance sheet date, based on changes in the use of observable and unobservable inputs utilized to perform the valuation for the period. During the six months ended June 30, 2025, the Company's preferred stock investment in CareCloud, Inc., valued at $9.2 million at the beginning of the reporting period, was reclassified from Level 2 to Level 3 due to delisting from the NASDAQ stock exchange. During the six months ended June 30, 2024, the Company had warrant investments in portfolio companies that went public, resulting in asset transfers out of Level 3 and into Level 2 at the fair value of approximately $50 thousand.</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0" w:name="page41"/>
    <w:bookmarkEnd w:id="4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June 30, 2025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Secured</w:t>
            </w:r>
          </w:p>
        </w:tc>
        <w:tc>
          <w:tcPr>
            <w:tcW w:w="12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9"/>
              </w:rPr>
              <w:t>Second Lien</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Convertibl</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40" w:type="dxa"/>
            <w:vAlign w:val="bottom"/>
          </w:tcPr>
          <w:p>
            <w:pPr>
              <w:spacing w:after="0"/>
              <w:rPr>
                <w:sz w:val="13"/>
                <w:szCs w:val="13"/>
                <w:color w:val="auto"/>
              </w:rPr>
            </w:pPr>
          </w:p>
        </w:tc>
        <w:tc>
          <w:tcPr>
            <w:tcW w:w="72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12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00" w:type="dxa"/>
            <w:vAlign w:val="bottom"/>
          </w:tcPr>
          <w:p>
            <w:pPr>
              <w:spacing w:after="0"/>
              <w:rPr>
                <w:sz w:val="14"/>
                <w:szCs w:val="14"/>
                <w:color w:val="auto"/>
              </w:rPr>
            </w:pPr>
          </w:p>
        </w:tc>
        <w:tc>
          <w:tcPr>
            <w:tcW w:w="640" w:type="dxa"/>
            <w:vAlign w:val="bottom"/>
          </w:tcPr>
          <w:p>
            <w:pPr>
              <w:jc w:val="right"/>
              <w:ind w:right="54"/>
              <w:spacing w:after="0"/>
              <w:rPr>
                <w:sz w:val="20"/>
                <w:szCs w:val="20"/>
                <w:color w:val="auto"/>
              </w:rPr>
            </w:pPr>
            <w:r>
              <w:rPr>
                <w:rFonts w:ascii="Times New Roman" w:cs="Times New Roman" w:eastAsia="Times New Roman" w:hAnsi="Times New Roman"/>
                <w:sz w:val="13"/>
                <w:szCs w:val="13"/>
                <w:b w:val="1"/>
                <w:bCs w:val="1"/>
                <w:color w:val="auto"/>
              </w:rPr>
              <w:t>e Notes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Stock/Units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Stock/Units</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0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Fair value at December 31, 2024</w:t>
            </w:r>
          </w:p>
        </w:tc>
        <w:tc>
          <w:tcPr>
            <w:tcW w:w="160" w:type="dxa"/>
            <w:vAlign w:val="bottom"/>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950,092</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20,152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73,460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13,752</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Transfers in (out) of Level 3</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49,499</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2,773</w:t>
            </w:r>
          </w:p>
        </w:tc>
        <w:tc>
          <w:tcPr>
            <w:tcW w:w="2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54,039</w:t>
            </w: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Sales or prepayments of investments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(61,906)</w:t>
            </w: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(37,355)</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(99,261)</w:t>
            </w:r>
          </w:p>
        </w:tc>
        <w:tc>
          <w:tcPr>
            <w:tcW w:w="0" w:type="dxa"/>
            <w:vAlign w:val="bottom"/>
          </w:tcPr>
          <w:p>
            <w:pPr>
              <w:spacing w:after="0"/>
              <w:rPr>
                <w:sz w:val="1"/>
                <w:szCs w:val="1"/>
                <w:color w:val="auto"/>
              </w:rPr>
            </w:pPr>
          </w:p>
        </w:tc>
      </w:tr>
      <w:tr>
        <w:trPr>
          <w:trHeight w:val="144"/>
        </w:trPr>
        <w:tc>
          <w:tcPr>
            <w:tcW w:w="2300" w:type="dxa"/>
            <w:vAlign w:val="bottom"/>
          </w:tcPr>
          <w:p>
            <w:pPr>
              <w:spacing w:after="0" w:line="144" w:lineRule="exact"/>
              <w:rPr>
                <w:sz w:val="20"/>
                <w:szCs w:val="20"/>
                <w:color w:val="auto"/>
              </w:rPr>
            </w:pPr>
            <w:r>
              <w:rPr>
                <w:rFonts w:ascii="Times New Roman" w:cs="Times New Roman" w:eastAsia="Times New Roman" w:hAnsi="Times New Roman"/>
                <w:sz w:val="13"/>
                <w:szCs w:val="13"/>
                <w:color w:val="auto"/>
              </w:rPr>
              <w:t>Scheduled principal repayments of</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16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(7,895)</w:t>
            </w: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(7,895)</w:t>
            </w:r>
          </w:p>
        </w:tc>
        <w:tc>
          <w:tcPr>
            <w:tcW w:w="0" w:type="dxa"/>
            <w:vAlign w:val="bottom"/>
          </w:tcPr>
          <w:p>
            <w:pPr>
              <w:spacing w:after="0"/>
              <w:rPr>
                <w:sz w:val="1"/>
                <w:szCs w:val="1"/>
                <w:color w:val="auto"/>
              </w:rPr>
            </w:pPr>
          </w:p>
        </w:tc>
      </w:tr>
      <w:tr>
        <w:trPr>
          <w:trHeight w:val="144"/>
        </w:trPr>
        <w:tc>
          <w:tcPr>
            <w:tcW w:w="2300" w:type="dxa"/>
            <w:vAlign w:val="bottom"/>
            <w:tcBorders>
              <w:right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Amortization of fixed income premiums or</w:t>
            </w:r>
          </w:p>
        </w:tc>
        <w:tc>
          <w:tcPr>
            <w:tcW w:w="16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accretion of discounts and ETP</w:t>
            </w:r>
          </w:p>
        </w:tc>
        <w:tc>
          <w:tcPr>
            <w:tcW w:w="16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4,026</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w:t>
            </w:r>
          </w:p>
        </w:tc>
        <w:tc>
          <w:tcPr>
            <w:tcW w:w="16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(1,501)</w:t>
            </w: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9,255</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(1,083)</w:t>
            </w: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6,671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2,413</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(17,765)</w:t>
            </w: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shd w:val="clear" w:color="auto" w:fill="CFF0FC"/>
          </w:tcPr>
          <w:p>
            <w:pPr>
              <w:spacing w:after="0"/>
              <w:rPr>
                <w:sz w:val="13"/>
                <w:szCs w:val="13"/>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(14,682)</w:t>
            </w:r>
          </w:p>
        </w:tc>
        <w:tc>
          <w:tcPr>
            <w:tcW w:w="0" w:type="dxa"/>
            <w:vAlign w:val="bottom"/>
          </w:tcPr>
          <w:p>
            <w:pPr>
              <w:spacing w:after="0"/>
              <w:rPr>
                <w:sz w:val="1"/>
                <w:szCs w:val="1"/>
                <w:color w:val="auto"/>
              </w:rPr>
            </w:pPr>
          </w:p>
        </w:tc>
      </w:tr>
      <w:tr>
        <w:trPr>
          <w:trHeight w:val="156"/>
        </w:trPr>
        <w:tc>
          <w:tcPr>
            <w:tcW w:w="23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Fair value at June 30, 2025</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941,705</w:t>
            </w:r>
          </w:p>
        </w:tc>
        <w:tc>
          <w:tcPr>
            <w:tcW w:w="20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20,778</w:t>
            </w: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w:t>
            </w:r>
          </w:p>
        </w:tc>
        <w:tc>
          <w:tcPr>
            <w:tcW w:w="34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39,549</w:t>
            </w: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18</w:t>
            </w:r>
          </w:p>
        </w:tc>
        <w:tc>
          <w:tcPr>
            <w:tcW w:w="400" w:type="dxa"/>
            <w:vAlign w:val="bottom"/>
            <w:gridSpan w:val="2"/>
          </w:tcPr>
          <w:p>
            <w:pPr>
              <w:jc w:val="right"/>
              <w:ind w:right="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995</w:t>
            </w:r>
          </w:p>
        </w:tc>
        <w:tc>
          <w:tcPr>
            <w:tcW w:w="20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80"/>
              <w:spacing w:after="0" w:line="136" w:lineRule="exact"/>
              <w:rPr>
                <w:sz w:val="20"/>
                <w:szCs w:val="20"/>
                <w:color w:val="auto"/>
              </w:rPr>
            </w:pPr>
            <w:r>
              <w:rPr>
                <w:rFonts w:ascii="Times New Roman" w:cs="Times New Roman" w:eastAsia="Times New Roman" w:hAnsi="Times New Roman"/>
                <w:sz w:val="13"/>
                <w:szCs w:val="13"/>
                <w:color w:val="auto"/>
              </w:rPr>
              <w:t>14,137</w:t>
            </w:r>
          </w:p>
        </w:tc>
        <w:tc>
          <w:tcPr>
            <w:tcW w:w="2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1,018,182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300" w:type="dxa"/>
            <w:vAlign w:val="bottom"/>
            <w:tcBorders>
              <w:right w:val="single" w:sz="8" w:color="CFF0FC"/>
            </w:tcBorders>
            <w:shd w:val="clear" w:color="auto" w:fill="CFF0FC"/>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16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3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Level 3 investments still held as of June</w:t>
            </w:r>
          </w:p>
        </w:tc>
        <w:tc>
          <w:tcPr>
            <w:tcW w:w="160" w:type="dxa"/>
            <w:vAlign w:val="bottom"/>
            <w:vMerge w:val="restart"/>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3,171</w:t>
            </w:r>
          </w:p>
        </w:tc>
        <w:tc>
          <w:tcPr>
            <w:tcW w:w="2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w:t>
            </w:r>
          </w:p>
        </w:tc>
        <w:tc>
          <w:tcPr>
            <w:tcW w:w="220" w:type="dxa"/>
            <w:vAlign w:val="bottom"/>
            <w:shd w:val="clear" w:color="auto" w:fill="CFF0FC"/>
          </w:tcPr>
          <w:p>
            <w:pPr>
              <w:spacing w:after="0"/>
              <w:rPr>
                <w:sz w:val="13"/>
                <w:szCs w:val="13"/>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(8,510</w:t>
            </w:r>
            <w:r>
              <w:rPr>
                <w:rFonts w:ascii="Times New Roman" w:cs="Times New Roman" w:eastAsia="Times New Roman" w:hAnsi="Times New Roman"/>
                <w:sz w:val="26"/>
                <w:szCs w:val="26"/>
                <w:color w:val="auto"/>
                <w:vertAlign w:val="subscript"/>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4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(203</w:t>
            </w:r>
            <w:r>
              <w:rPr>
                <w:rFonts w:ascii="Times New Roman" w:cs="Times New Roman" w:eastAsia="Times New Roman" w:hAnsi="Times New Roman"/>
                <w:sz w:val="26"/>
                <w:szCs w:val="26"/>
                <w:color w:val="auto"/>
                <w:vertAlign w:val="subscript"/>
              </w:rPr>
              <w:t>)</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40"/>
              <w:spacing w:after="0" w:line="267" w:lineRule="exact"/>
              <w:rPr>
                <w:sz w:val="20"/>
                <w:szCs w:val="20"/>
                <w:color w:val="auto"/>
              </w:rPr>
            </w:pPr>
            <w:r>
              <w:rPr>
                <w:rFonts w:ascii="Times New Roman" w:cs="Times New Roman" w:eastAsia="Times New Roman" w:hAnsi="Times New Roman"/>
                <w:sz w:val="13"/>
                <w:szCs w:val="13"/>
                <w:color w:val="auto"/>
              </w:rPr>
              <w:t>(203</w:t>
            </w:r>
            <w:r>
              <w:rPr>
                <w:rFonts w:ascii="Times New Roman" w:cs="Times New Roman" w:eastAsia="Times New Roman" w:hAnsi="Times New Roman"/>
                <w:sz w:val="26"/>
                <w:szCs w:val="26"/>
                <w:color w:val="auto"/>
                <w:vertAlign w:val="subscript"/>
              </w:rPr>
              <w:t>)</w:t>
            </w:r>
          </w:p>
        </w:tc>
        <w:tc>
          <w:tcPr>
            <w:tcW w:w="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vMerge w:val="restart"/>
            <w:shd w:val="clear" w:color="auto" w:fill="CFF0FC"/>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(5,574</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2"/>
        </w:trPr>
        <w:tc>
          <w:tcPr>
            <w:tcW w:w="2300" w:type="dxa"/>
            <w:vAlign w:val="bottom"/>
            <w:tcBorders>
              <w:right w:val="single" w:sz="8" w:color="CFF0FC"/>
            </w:tcBorders>
            <w:shd w:val="clear" w:color="auto" w:fill="CFF0FC"/>
          </w:tcPr>
          <w:p>
            <w:pPr>
              <w:spacing w:after="0" w:line="112" w:lineRule="exact"/>
              <w:rPr>
                <w:sz w:val="20"/>
                <w:szCs w:val="20"/>
                <w:color w:val="auto"/>
              </w:rPr>
            </w:pPr>
            <w:r>
              <w:rPr>
                <w:rFonts w:ascii="Times New Roman" w:cs="Times New Roman" w:eastAsia="Times New Roman" w:hAnsi="Times New Roman"/>
                <w:sz w:val="12"/>
                <w:szCs w:val="12"/>
                <w:color w:val="auto"/>
              </w:rPr>
              <w:t>30, 2025</w:t>
            </w:r>
          </w:p>
        </w:tc>
        <w:tc>
          <w:tcPr>
            <w:tcW w:w="160" w:type="dxa"/>
            <w:vAlign w:val="bottom"/>
            <w:vMerge w:val="continue"/>
            <w:shd w:val="clear" w:color="auto" w:fill="CFF0FC"/>
          </w:tcPr>
          <w:p>
            <w:pPr>
              <w:spacing w:after="0"/>
              <w:rPr>
                <w:sz w:val="13"/>
                <w:szCs w:val="13"/>
                <w:color w:val="auto"/>
              </w:rPr>
            </w:pPr>
          </w:p>
        </w:tc>
        <w:tc>
          <w:tcPr>
            <w:tcW w:w="700" w:type="dxa"/>
            <w:vAlign w:val="bottom"/>
            <w:vMerge w:val="continue"/>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740" w:type="dxa"/>
            <w:vAlign w:val="bottom"/>
            <w:vMerge w:val="continue"/>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64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720" w:type="dxa"/>
            <w:vAlign w:val="bottom"/>
            <w:vMerge w:val="continue"/>
            <w:shd w:val="clear" w:color="auto" w:fill="CFF0FC"/>
          </w:tcPr>
          <w:p>
            <w:pPr>
              <w:spacing w:after="0"/>
              <w:rPr>
                <w:sz w:val="13"/>
                <w:szCs w:val="13"/>
                <w:color w:val="auto"/>
              </w:rPr>
            </w:pPr>
          </w:p>
        </w:tc>
        <w:tc>
          <w:tcPr>
            <w:tcW w:w="400" w:type="dxa"/>
            <w:vAlign w:val="bottom"/>
            <w:gridSpan w:val="2"/>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206"/>
        <w:spacing w:after="0" w:line="195" w:lineRule="auto"/>
        <w:tabs>
          <w:tab w:leader="none" w:pos="560"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2"/>
          <w:szCs w:val="12"/>
          <w:color w:val="auto"/>
        </w:rPr>
        <w:t>Net of reorganization and restructuring of investments.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rollforward of Level 3 assets measured at fair value as of June 30,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9"/>
              </w:rPr>
              <w:t>Senior</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Secured</w:t>
            </w:r>
          </w:p>
        </w:tc>
        <w:tc>
          <w:tcPr>
            <w:tcW w:w="10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w w:val="99"/>
              </w:rPr>
              <w:t>Second Lien</w:t>
            </w:r>
          </w:p>
        </w:tc>
        <w:tc>
          <w:tcPr>
            <w:tcW w:w="120" w:type="dxa"/>
            <w:vAlign w:val="bottom"/>
          </w:tcPr>
          <w:p>
            <w:pPr>
              <w:spacing w:after="0"/>
              <w:rPr>
                <w:sz w:val="13"/>
                <w:szCs w:val="1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Convertible</w:t>
            </w:r>
          </w:p>
        </w:tc>
        <w:tc>
          <w:tcPr>
            <w:tcW w:w="120" w:type="dxa"/>
            <w:vAlign w:val="bottom"/>
          </w:tcPr>
          <w:p>
            <w:pPr>
              <w:spacing w:after="0"/>
              <w:rPr>
                <w:sz w:val="13"/>
                <w:szCs w:val="13"/>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3"/>
                <w:szCs w:val="13"/>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Common</w:t>
            </w:r>
          </w:p>
        </w:tc>
        <w:tc>
          <w:tcPr>
            <w:tcW w:w="180" w:type="dxa"/>
            <w:vAlign w:val="bottom"/>
          </w:tcPr>
          <w:p>
            <w:pPr>
              <w:spacing w:after="0"/>
              <w:rPr>
                <w:sz w:val="13"/>
                <w:szCs w:val="13"/>
                <w:color w:val="auto"/>
              </w:rPr>
            </w:pPr>
          </w:p>
        </w:tc>
        <w:tc>
          <w:tcPr>
            <w:tcW w:w="66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w w:val="99"/>
              </w:rPr>
              <w:t>Loans</w:t>
            </w:r>
          </w:p>
        </w:tc>
        <w:tc>
          <w:tcPr>
            <w:tcW w:w="10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Loans</w:t>
            </w:r>
          </w:p>
        </w:tc>
        <w:tc>
          <w:tcPr>
            <w:tcW w:w="12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Stock/Units</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Stock/Units</w:t>
            </w:r>
          </w:p>
        </w:tc>
        <w:tc>
          <w:tcPr>
            <w:tcW w:w="1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Warrants</w:t>
            </w:r>
          </w:p>
        </w:tc>
        <w:tc>
          <w:tcPr>
            <w:tcW w:w="20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Fair value at December 31, 2023</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964,099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14,399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1,357</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26,285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872</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950</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12,838</w:t>
            </w:r>
          </w:p>
        </w:tc>
        <w:tc>
          <w:tcPr>
            <w:tcW w:w="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1,020,800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Transfers in (out) of Level 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w:t>
            </w: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Purchases of investments</w:t>
            </w:r>
            <w:r>
              <w:rPr>
                <w:rFonts w:ascii="Times New Roman" w:cs="Times New Roman" w:eastAsia="Times New Roman" w:hAnsi="Times New Roman"/>
                <w:sz w:val="16"/>
                <w:szCs w:val="16"/>
                <w:color w:val="auto"/>
                <w:vertAlign w:val="superscript"/>
              </w:rPr>
              <w:t>(1)</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96,069</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2,966</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99,035</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6,718</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6,863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Sales or prepayments of investments</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(59,761)</w:t>
            </w:r>
          </w:p>
        </w:tc>
        <w:tc>
          <w:tcPr>
            <w:tcW w:w="100" w:type="dxa"/>
            <w:vAlign w:val="bottom"/>
            <w:shd w:val="clear" w:color="auto" w:fill="CFF0FC"/>
          </w:tcPr>
          <w:p>
            <w:pPr>
              <w:spacing w:after="0"/>
              <w:rPr>
                <w:sz w:val="13"/>
                <w:szCs w:val="13"/>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(59,761)</w:t>
            </w:r>
          </w:p>
        </w:tc>
        <w:tc>
          <w:tcPr>
            <w:tcW w:w="0" w:type="dxa"/>
            <w:vAlign w:val="bottom"/>
          </w:tcPr>
          <w:p>
            <w:pPr>
              <w:spacing w:after="0"/>
              <w:rPr>
                <w:sz w:val="1"/>
                <w:szCs w:val="1"/>
                <w:color w:val="auto"/>
              </w:rPr>
            </w:pPr>
          </w:p>
        </w:tc>
      </w:tr>
      <w:tr>
        <w:trPr>
          <w:trHeight w:val="15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Scheduled repayments of investments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(1,746)</w:t>
            </w: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(1,746)</w:t>
            </w:r>
          </w:p>
        </w:tc>
        <w:tc>
          <w:tcPr>
            <w:tcW w:w="0" w:type="dxa"/>
            <w:vAlign w:val="bottom"/>
          </w:tcPr>
          <w:p>
            <w:pPr>
              <w:spacing w:after="0"/>
              <w:rPr>
                <w:sz w:val="1"/>
                <w:szCs w:val="1"/>
                <w:color w:val="auto"/>
              </w:rPr>
            </w:pPr>
          </w:p>
        </w:tc>
      </w:tr>
      <w:tr>
        <w:trPr>
          <w:trHeight w:val="144"/>
        </w:trPr>
        <w:tc>
          <w:tcPr>
            <w:tcW w:w="2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3"/>
                <w:szCs w:val="13"/>
                <w:color w:val="auto"/>
              </w:rPr>
              <w:t>Amortization of fixed income premiums</w:t>
            </w: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or accretion of discounts and ETP</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5,803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0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(10,520)</w:t>
            </w:r>
          </w:p>
        </w:tc>
        <w:tc>
          <w:tcPr>
            <w:tcW w:w="10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(137)</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(800)</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(33)</w:t>
            </w:r>
          </w:p>
        </w:tc>
        <w:tc>
          <w:tcPr>
            <w:tcW w:w="1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(743)</w:t>
            </w:r>
          </w:p>
        </w:tc>
        <w:tc>
          <w:tcPr>
            <w:tcW w:w="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(703)</w:t>
            </w: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(12,926)</w:t>
            </w:r>
          </w:p>
        </w:tc>
        <w:tc>
          <w:tcPr>
            <w:tcW w:w="0" w:type="dxa"/>
            <w:vAlign w:val="bottom"/>
          </w:tcPr>
          <w:p>
            <w:pPr>
              <w:spacing w:after="0"/>
              <w:rPr>
                <w:sz w:val="1"/>
                <w:szCs w:val="1"/>
                <w:color w:val="auto"/>
              </w:rPr>
            </w:pPr>
          </w:p>
        </w:tc>
      </w:tr>
      <w:tr>
        <w:trPr>
          <w:trHeight w:val="156"/>
        </w:trPr>
        <w:tc>
          <w:tcPr>
            <w:tcW w:w="220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Fair Value at June 30, 2024</w:t>
            </w:r>
          </w:p>
        </w:tc>
        <w:tc>
          <w:tcPr>
            <w:tcW w:w="240" w:type="dxa"/>
            <w:vAlign w:val="bottom"/>
            <w:gridSpan w:val="2"/>
          </w:tcPr>
          <w:p>
            <w:pPr>
              <w:jc w:val="right"/>
              <w:ind w:right="1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1,000,662</w:t>
            </w:r>
          </w:p>
        </w:tc>
        <w:tc>
          <w:tcPr>
            <w:tcW w:w="220" w:type="dxa"/>
            <w:vAlign w:val="bottom"/>
          </w:tcPr>
          <w:p>
            <w:pPr>
              <w:spacing w:after="0"/>
              <w:rPr>
                <w:sz w:val="13"/>
                <w:szCs w:val="13"/>
                <w:color w:val="auto"/>
              </w:rPr>
            </w:pPr>
          </w:p>
        </w:tc>
        <w:tc>
          <w:tcPr>
            <w:tcW w:w="1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14,469</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557</w:t>
            </w:r>
          </w:p>
        </w:tc>
        <w:tc>
          <w:tcPr>
            <w:tcW w:w="22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220"/>
              <w:spacing w:after="0" w:line="136" w:lineRule="exact"/>
              <w:rPr>
                <w:sz w:val="20"/>
                <w:szCs w:val="20"/>
                <w:color w:val="auto"/>
              </w:rPr>
            </w:pPr>
            <w:r>
              <w:rPr>
                <w:rFonts w:ascii="Times New Roman" w:cs="Times New Roman" w:eastAsia="Times New Roman" w:hAnsi="Times New Roman"/>
                <w:sz w:val="13"/>
                <w:szCs w:val="13"/>
                <w:color w:val="auto"/>
              </w:rPr>
              <w:t>26,252</w:t>
            </w: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129</w:t>
            </w:r>
          </w:p>
        </w:tc>
        <w:tc>
          <w:tcPr>
            <w:tcW w:w="220" w:type="dxa"/>
            <w:vAlign w:val="bottom"/>
          </w:tcPr>
          <w:p>
            <w:pPr>
              <w:spacing w:after="0"/>
              <w:rPr>
                <w:sz w:val="13"/>
                <w:szCs w:val="13"/>
                <w:color w:val="auto"/>
              </w:rPr>
            </w:pPr>
          </w:p>
        </w:tc>
        <w:tc>
          <w:tcPr>
            <w:tcW w:w="18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960</w:t>
            </w:r>
          </w:p>
        </w:tc>
        <w:tc>
          <w:tcPr>
            <w:tcW w:w="3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00"/>
              <w:spacing w:after="0" w:line="136" w:lineRule="exact"/>
              <w:rPr>
                <w:sz w:val="20"/>
                <w:szCs w:val="20"/>
                <w:color w:val="auto"/>
              </w:rPr>
            </w:pPr>
            <w:r>
              <w:rPr>
                <w:rFonts w:ascii="Times New Roman" w:cs="Times New Roman" w:eastAsia="Times New Roman" w:hAnsi="Times New Roman"/>
                <w:sz w:val="13"/>
                <w:szCs w:val="13"/>
                <w:color w:val="auto"/>
              </w:rPr>
              <w:t>15,050</w:t>
            </w:r>
          </w:p>
        </w:tc>
        <w:tc>
          <w:tcPr>
            <w:tcW w:w="2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1,058,079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200" w:type="dxa"/>
            <w:vAlign w:val="bottom"/>
            <w:shd w:val="clear" w:color="auto" w:fill="CFF0FC"/>
          </w:tcPr>
          <w:p>
            <w:pPr>
              <w:spacing w:after="0" w:line="121" w:lineRule="exact"/>
              <w:rPr>
                <w:sz w:val="20"/>
                <w:szCs w:val="20"/>
                <w:color w:val="auto"/>
              </w:rPr>
            </w:pPr>
            <w:r>
              <w:rPr>
                <w:rFonts w:ascii="Times New Roman" w:cs="Times New Roman" w:eastAsia="Times New Roman" w:hAnsi="Times New Roman"/>
                <w:sz w:val="13"/>
                <w:szCs w:val="13"/>
                <w:color w:val="auto"/>
              </w:rPr>
              <w:t>Net change in unrealized gain (loss) on</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Level 3 investments still held as of June</w:t>
            </w:r>
          </w:p>
        </w:tc>
        <w:tc>
          <w:tcPr>
            <w:tcW w:w="2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FF0FC"/>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(10,426</w:t>
            </w:r>
            <w:r>
              <w:rPr>
                <w:rFonts w:ascii="Times New Roman" w:cs="Times New Roman" w:eastAsia="Times New Roman" w:hAnsi="Times New Roman"/>
                <w:sz w:val="26"/>
                <w:szCs w:val="26"/>
                <w:color w:val="auto"/>
                <w:vertAlign w:val="subscript"/>
              </w:rPr>
              <w:t>)</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(137</w:t>
            </w:r>
            <w:r>
              <w:rPr>
                <w:rFonts w:ascii="Times New Roman" w:cs="Times New Roman" w:eastAsia="Times New Roman" w:hAnsi="Times New Roman"/>
                <w:sz w:val="26"/>
                <w:szCs w:val="26"/>
                <w:color w:val="auto"/>
                <w:vertAlign w:val="subscript"/>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(800</w:t>
            </w:r>
            <w:r>
              <w:rPr>
                <w:rFonts w:ascii="Times New Roman" w:cs="Times New Roman" w:eastAsia="Times New Roman" w:hAnsi="Times New Roman"/>
                <w:sz w:val="26"/>
                <w:szCs w:val="26"/>
                <w:color w:val="auto"/>
                <w:vertAlign w:val="subscript"/>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FF0FC"/>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(32</w:t>
            </w:r>
            <w:r>
              <w:rPr>
                <w:rFonts w:ascii="Times New Roman" w:cs="Times New Roman" w:eastAsia="Times New Roman" w:hAnsi="Times New Roman"/>
                <w:sz w:val="26"/>
                <w:szCs w:val="26"/>
                <w:color w:val="auto"/>
                <w:vertAlign w:val="subscript"/>
              </w:rPr>
              <w:t>)</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vMerge w:val="restart"/>
            <w:shd w:val="clear" w:color="auto" w:fill="CFF0FC"/>
          </w:tcPr>
          <w:p>
            <w:pPr>
              <w:jc w:val="right"/>
              <w:ind w:right="180"/>
              <w:spacing w:after="0" w:line="267" w:lineRule="exact"/>
              <w:rPr>
                <w:sz w:val="20"/>
                <w:szCs w:val="20"/>
                <w:color w:val="auto"/>
              </w:rPr>
            </w:pPr>
            <w:r>
              <w:rPr>
                <w:rFonts w:ascii="Times New Roman" w:cs="Times New Roman" w:eastAsia="Times New Roman" w:hAnsi="Times New Roman"/>
                <w:sz w:val="13"/>
                <w:szCs w:val="13"/>
                <w:color w:val="auto"/>
              </w:rPr>
              <w:t>(745</w:t>
            </w:r>
            <w:r>
              <w:rPr>
                <w:rFonts w:ascii="Times New Roman" w:cs="Times New Roman" w:eastAsia="Times New Roman" w:hAnsi="Times New Roman"/>
                <w:sz w:val="26"/>
                <w:szCs w:val="26"/>
                <w:color w:val="auto"/>
                <w:vertAlign w:val="subscript"/>
              </w:rPr>
              <w:t>)</w:t>
            </w:r>
          </w:p>
        </w:tc>
        <w:tc>
          <w:tcPr>
            <w:tcW w:w="18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3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60"/>
              <w:spacing w:after="0" w:line="267" w:lineRule="exact"/>
              <w:rPr>
                <w:sz w:val="20"/>
                <w:szCs w:val="20"/>
                <w:color w:val="auto"/>
              </w:rPr>
            </w:pPr>
            <w:r>
              <w:rPr>
                <w:rFonts w:ascii="Times New Roman" w:cs="Times New Roman" w:eastAsia="Times New Roman" w:hAnsi="Times New Roman"/>
                <w:sz w:val="13"/>
                <w:szCs w:val="13"/>
                <w:color w:val="auto"/>
              </w:rPr>
              <w:t>(703</w:t>
            </w:r>
            <w:r>
              <w:rPr>
                <w:rFonts w:ascii="Times New Roman" w:cs="Times New Roman" w:eastAsia="Times New Roman" w:hAnsi="Times New Roman"/>
                <w:sz w:val="26"/>
                <w:szCs w:val="26"/>
                <w:color w:val="auto"/>
                <w:vertAlign w:val="subscript"/>
              </w:rPr>
              <w:t>)</w:t>
            </w:r>
          </w:p>
        </w:tc>
        <w:tc>
          <w:tcPr>
            <w:tcW w:w="200" w:type="dxa"/>
            <w:vAlign w:val="bottom"/>
            <w:vMerge w:val="restart"/>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vMerge w:val="restart"/>
            <w:shd w:val="clear" w:color="auto" w:fill="CFF0FC"/>
          </w:tcPr>
          <w:p>
            <w:pPr>
              <w:jc w:val="right"/>
              <w:ind w:right="40"/>
              <w:spacing w:after="0" w:line="267" w:lineRule="exact"/>
              <w:rPr>
                <w:sz w:val="20"/>
                <w:szCs w:val="20"/>
                <w:color w:val="auto"/>
              </w:rPr>
            </w:pPr>
            <w:r>
              <w:rPr>
                <w:rFonts w:ascii="Times New Roman" w:cs="Times New Roman" w:eastAsia="Times New Roman" w:hAnsi="Times New Roman"/>
                <w:sz w:val="13"/>
                <w:szCs w:val="13"/>
                <w:color w:val="auto"/>
              </w:rPr>
              <w:t>(12,833</w:t>
            </w:r>
            <w:r>
              <w:rPr>
                <w:rFonts w:ascii="Times New Roman" w:cs="Times New Roman" w:eastAsia="Times New Roman" w:hAnsi="Times New Roman"/>
                <w:sz w:val="26"/>
                <w:szCs w:val="26"/>
                <w:color w:val="auto"/>
                <w:vertAlign w:val="subscript"/>
              </w:rPr>
              <w:t>)</w:t>
            </w:r>
          </w:p>
        </w:tc>
        <w:tc>
          <w:tcPr>
            <w:tcW w:w="0" w:type="dxa"/>
            <w:vAlign w:val="bottom"/>
          </w:tcPr>
          <w:p>
            <w:pPr>
              <w:spacing w:after="0"/>
              <w:rPr>
                <w:sz w:val="1"/>
                <w:szCs w:val="1"/>
                <w:color w:val="auto"/>
              </w:rPr>
            </w:pPr>
          </w:p>
        </w:tc>
      </w:tr>
      <w:tr>
        <w:trPr>
          <w:trHeight w:val="152"/>
        </w:trPr>
        <w:tc>
          <w:tcPr>
            <w:tcW w:w="2200" w:type="dxa"/>
            <w:vAlign w:val="bottom"/>
            <w:shd w:val="clear" w:color="auto" w:fill="CFF0FC"/>
          </w:tcPr>
          <w:p>
            <w:pPr>
              <w:spacing w:after="0" w:line="112" w:lineRule="exact"/>
              <w:rPr>
                <w:sz w:val="20"/>
                <w:szCs w:val="20"/>
                <w:color w:val="auto"/>
              </w:rPr>
            </w:pPr>
            <w:r>
              <w:rPr>
                <w:rFonts w:ascii="Times New Roman" w:cs="Times New Roman" w:eastAsia="Times New Roman" w:hAnsi="Times New Roman"/>
                <w:sz w:val="12"/>
                <w:szCs w:val="12"/>
                <w:color w:val="auto"/>
              </w:rPr>
              <w:t>30, 2024</w:t>
            </w:r>
          </w:p>
        </w:tc>
        <w:tc>
          <w:tcPr>
            <w:tcW w:w="240" w:type="dxa"/>
            <w:vAlign w:val="bottom"/>
            <w:gridSpan w:val="2"/>
            <w:vMerge w:val="continue"/>
            <w:shd w:val="clear" w:color="auto" w:fill="CFF0FC"/>
          </w:tcPr>
          <w:p>
            <w:pPr>
              <w:spacing w:after="0"/>
              <w:rPr>
                <w:sz w:val="13"/>
                <w:szCs w:val="13"/>
                <w:color w:val="auto"/>
              </w:rPr>
            </w:pPr>
          </w:p>
        </w:tc>
        <w:tc>
          <w:tcPr>
            <w:tcW w:w="90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940" w:type="dxa"/>
            <w:vAlign w:val="bottom"/>
            <w:gridSpan w:val="2"/>
            <w:vMerge w:val="continue"/>
            <w:shd w:val="clear" w:color="auto" w:fill="CFF0FC"/>
          </w:tcPr>
          <w:p>
            <w:pPr>
              <w:spacing w:after="0"/>
              <w:rPr>
                <w:sz w:val="13"/>
                <w:szCs w:val="13"/>
                <w:color w:val="auto"/>
              </w:rPr>
            </w:pPr>
          </w:p>
        </w:tc>
        <w:tc>
          <w:tcPr>
            <w:tcW w:w="180" w:type="dxa"/>
            <w:vAlign w:val="bottom"/>
            <w:vMerge w:val="continue"/>
            <w:shd w:val="clear" w:color="auto" w:fill="CFF0FC"/>
          </w:tcPr>
          <w:p>
            <w:pPr>
              <w:spacing w:after="0"/>
              <w:rPr>
                <w:sz w:val="13"/>
                <w:szCs w:val="13"/>
                <w:color w:val="auto"/>
              </w:rPr>
            </w:pPr>
          </w:p>
        </w:tc>
        <w:tc>
          <w:tcPr>
            <w:tcW w:w="660" w:type="dxa"/>
            <w:vAlign w:val="bottom"/>
            <w:vMerge w:val="continue"/>
            <w:shd w:val="clear" w:color="auto" w:fill="CFF0FC"/>
          </w:tcPr>
          <w:p>
            <w:pPr>
              <w:spacing w:after="0"/>
              <w:rPr>
                <w:sz w:val="13"/>
                <w:szCs w:val="13"/>
                <w:color w:val="auto"/>
              </w:rPr>
            </w:pPr>
          </w:p>
        </w:tc>
        <w:tc>
          <w:tcPr>
            <w:tcW w:w="340" w:type="dxa"/>
            <w:vAlign w:val="bottom"/>
            <w:gridSpan w:val="2"/>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7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60" w:hanging="206"/>
        <w:spacing w:after="0" w:line="195" w:lineRule="auto"/>
        <w:tabs>
          <w:tab w:leader="none" w:pos="560" w:val="left"/>
        </w:tabs>
        <w:numPr>
          <w:ilvl w:val="0"/>
          <w:numId w:val="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2"/>
          <w:szCs w:val="12"/>
          <w:color w:val="auto"/>
        </w:rPr>
        <w:t>Net of reorganization and restructuring of investments.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1" w:name="page42"/>
    <w:bookmarkEnd w:id="4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June 30, 2025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Senior Secured Loans</w:t>
            </w:r>
            <w:r>
              <w:rPr>
                <w:rFonts w:ascii="Times New Roman" w:cs="Times New Roman" w:eastAsia="Times New Roman" w:hAnsi="Times New Roman"/>
                <w:sz w:val="16"/>
                <w:szCs w:val="16"/>
                <w:color w:val="auto"/>
                <w:vertAlign w:val="superscript"/>
              </w:rPr>
              <w:t>(1)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726,294</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12.4% - 24.7% (15.3%)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11.9% - 19.1% (13.5%)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1.01x - 139.64x (6.85x)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215,411</w:t>
            </w:r>
          </w:p>
        </w:tc>
        <w:tc>
          <w:tcPr>
            <w:tcW w:w="140" w:type="dxa"/>
            <w:vAlign w:val="bottom"/>
          </w:tcPr>
          <w:p>
            <w:pPr>
              <w:spacing w:after="0"/>
              <w:rPr>
                <w:sz w:val="12"/>
                <w:szCs w:val="12"/>
                <w:color w:val="auto"/>
              </w:rPr>
            </w:pP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12.7% - 46.6% (19.9%)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13.3% - 29.9% (16.3%)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0.25x - 5.11x (3.09x)</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Second Lien Loans</w:t>
            </w:r>
            <w:r>
              <w:rPr>
                <w:rFonts w:ascii="Times New Roman" w:cs="Times New Roman" w:eastAsia="Times New Roman" w:hAnsi="Times New Roman"/>
                <w:sz w:val="16"/>
                <w:szCs w:val="16"/>
                <w:color w:val="auto"/>
                <w:vertAlign w:val="superscript"/>
              </w:rPr>
              <w:t>(1)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20,778</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Discounted Cash Flow Analysis</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19.5% - 20.7% (20.3%)</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00" w:type="dxa"/>
            <w:vAlign w:val="bottom"/>
            <w:shd w:val="clear" w:color="auto" w:fill="CFF0FC"/>
          </w:tcPr>
          <w:p>
            <w:pPr>
              <w:spacing w:after="0"/>
              <w:rPr>
                <w:sz w:val="14"/>
                <w:szCs w:val="14"/>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13.0% - 18.4% (14.6%)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2.51x - 3.20x (2.71x)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9"/>
              </w:rPr>
              <w:t xml:space="preserve">Discounted Cash Flow Analysis </w:t>
            </w:r>
            <w:r>
              <w:rPr>
                <w:rFonts w:ascii="Times New Roman" w:cs="Times New Roman" w:eastAsia="Times New Roman" w:hAnsi="Times New Roman"/>
                <w:sz w:val="16"/>
                <w:szCs w:val="16"/>
                <w:color w:val="auto"/>
                <w:w w:val="99"/>
                <w:vertAlign w:val="superscript"/>
              </w:rPr>
              <w:t>(6)</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Stock/Units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39,004</w:t>
            </w: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8"/>
              </w:rPr>
              <w:t xml:space="preserve">Current Value Method </w:t>
            </w:r>
            <w:r>
              <w:rPr>
                <w:rFonts w:ascii="Times New Roman" w:cs="Times New Roman" w:eastAsia="Times New Roman" w:hAnsi="Times New Roman"/>
                <w:sz w:val="16"/>
                <w:szCs w:val="16"/>
                <w:color w:val="auto"/>
                <w:w w:val="98"/>
                <w:vertAlign w:val="superscript"/>
              </w:rPr>
              <w:t>(5)</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3.9% - 3.9% (3.9%)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50.0% - 80.0% (57.7%)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2.0 - 3.0 (2.7 years)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545</w:t>
            </w:r>
          </w:p>
        </w:tc>
        <w:tc>
          <w:tcPr>
            <w:tcW w:w="140" w:type="dxa"/>
            <w:vAlign w:val="bottom"/>
          </w:tcPr>
          <w:p>
            <w:pPr>
              <w:spacing w:after="0"/>
              <w:rPr>
                <w:sz w:val="12"/>
                <w:szCs w:val="12"/>
                <w:color w:val="auto"/>
              </w:rPr>
            </w:pP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3.9% - 4.0% (3.9%)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30.0% - 50.0% (47.0%)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3.0 - 4.2 (3.2 years)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3.05x - 3.20x (3.08x)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Stock/Units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3.9% - 3.9% (3.9%)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50.0% - 50.0% (50.0%)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Equity 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10,417</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3.9% - 4.1% (3.9%)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22.5% - 107.5% (49.0%)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1.0 - 3.3 (2.9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1.35x - 139.64x (3.69x)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3,668</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(3)</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2000" w:type="dxa"/>
            <w:vAlign w:val="bottom"/>
          </w:tcPr>
          <w:p>
            <w:pPr>
              <w:jc w:val="center"/>
              <w:ind w:left="54"/>
              <w:spacing w:after="0"/>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Current Value Method</w:t>
            </w: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3.4 - 3.4 (3.4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1.84x - 1.84x (1.84x)</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Level 3 Investments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1,018,182</w:t>
            </w:r>
          </w:p>
        </w:tc>
        <w:tc>
          <w:tcPr>
            <w:tcW w:w="14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192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360" w:right="80"/>
        <w:spacing w:after="0" w:line="231"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3" w:lineRule="exact"/>
        <w:rPr>
          <w:sz w:val="20"/>
          <w:szCs w:val="20"/>
          <w:color w:val="auto"/>
        </w:rPr>
      </w:pPr>
    </w:p>
    <w:p>
      <w:pPr>
        <w:ind w:left="360" w:right="40"/>
        <w:spacing w:after="0" w:line="231"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 related securities are inputs used in the Option Pricing Model (“OPM”), which include industry volatility, risk free interest rate and estimated time to exit. The Equity Allocation model and the Black Scholes model were the main OPMs used during the period ended June 30, 2025.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1" w:lineRule="exact"/>
        <w:rPr>
          <w:sz w:val="20"/>
          <w:szCs w:val="20"/>
          <w:color w:val="auto"/>
        </w:rPr>
      </w:pPr>
    </w:p>
    <w:p>
      <w:pPr>
        <w:ind w:left="360" w:right="40"/>
        <w:spacing w:after="0" w:line="205"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Warrant investments using a PWERM valuation technique contain success fees, in which case the inputs are not applicable because the nature of a success fee is a fixed payout dependent on certain liquidation events.</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3"/>
          <w:szCs w:val="13"/>
          <w:color w:val="auto"/>
        </w:rPr>
        <w:t>Investment valued using a PWERM valuation technique and includes inputs that are based on scenario analysis specific to the asset recovery of such investment.</w:t>
      </w:r>
    </w:p>
    <w:p>
      <w:pPr>
        <w:spacing w:after="0" w:line="1" w:lineRule="exact"/>
        <w:rPr>
          <w:sz w:val="20"/>
          <w:szCs w:val="20"/>
          <w:color w:val="auto"/>
        </w:rPr>
      </w:pPr>
    </w:p>
    <w:p>
      <w:pPr>
        <w:ind w:left="360" w:right="20"/>
        <w:spacing w:after="0" w:line="216" w:lineRule="auto"/>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Investments valued using the Current Value Method, which may include a Waterfall valuation technique or be based on the redemption value of preferred shares. In the case of the JobGet Holdings, Inc. valuation, the inputs applied are based on an option pricing model that was utilized to value the shares that JobGet Holdings, Inc. owns in JobGet, Inc. In the case of a redemption value technique, inputs may be utilized in order to calculate a DLOM.</w:t>
      </w:r>
    </w:p>
    <w:p>
      <w:pPr>
        <w:spacing w:after="0" w:line="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Includes JobGet Holdings, Inc. (fka Snagajob, Inc.), which was originated during the second quarter of 2025 and is being valued at amortized cost as of June 30, 2025.</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2" w:name="page43"/>
    <w:bookmarkEnd w:id="4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quantitative information regarding Level 3 fair value measurements as of December 31, 2024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Valuation Technique</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Unobservable Inputs</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b w:val="1"/>
                <w:bCs w:val="1"/>
                <w:color w:val="auto"/>
              </w:rPr>
              <w:t>Range (Weighted Average)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Senior Secured Loans</w:t>
            </w:r>
            <w:r>
              <w:rPr>
                <w:rFonts w:ascii="Times New Roman" w:cs="Times New Roman" w:eastAsia="Times New Roman" w:hAnsi="Times New Roman"/>
                <w:sz w:val="16"/>
                <w:szCs w:val="16"/>
                <w:color w:val="auto"/>
                <w:vertAlign w:val="superscript"/>
              </w:rPr>
              <w:t>(1)</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944,513</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9"/>
              </w:rPr>
              <w:t xml:space="preserve">Discounted Cash Flow Analysis </w:t>
            </w:r>
            <w:r>
              <w:rPr>
                <w:rFonts w:ascii="Times New Roman" w:cs="Times New Roman" w:eastAsia="Times New Roman" w:hAnsi="Times New Roman"/>
                <w:sz w:val="16"/>
                <w:szCs w:val="16"/>
                <w:color w:val="auto"/>
                <w:w w:val="99"/>
                <w:vertAlign w:val="superscript"/>
              </w:rPr>
              <w:t>(6)</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10.2% - 45.7% (15.6%)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11.1% - 29.9% (13.9%)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0.28x - 15.25x (4.22x)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3"/>
                <w:szCs w:val="13"/>
                <w:color w:val="auto"/>
              </w:rPr>
              <w:t>2,148</w:t>
            </w:r>
          </w:p>
        </w:tc>
        <w:tc>
          <w:tcPr>
            <w:tcW w:w="140" w:type="dxa"/>
            <w:vAlign w:val="bottom"/>
          </w:tcPr>
          <w:p>
            <w:pPr>
              <w:spacing w:after="0"/>
              <w:rPr>
                <w:sz w:val="12"/>
                <w:szCs w:val="12"/>
                <w:color w:val="auto"/>
              </w:rPr>
            </w:pP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PWERM</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40.0% - 40.0% (40.0%)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18.6% - 18.6% (18.6%)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1.25x - 1.25x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(1.25x)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8"/>
              </w:rPr>
              <w:t xml:space="preserve">Waterfall Approach </w:t>
            </w:r>
            <w:r>
              <w:rPr>
                <w:rFonts w:ascii="Times New Roman" w:cs="Times New Roman" w:eastAsia="Times New Roman" w:hAnsi="Times New Roman"/>
                <w:sz w:val="16"/>
                <w:szCs w:val="16"/>
                <w:color w:val="auto"/>
                <w:w w:val="98"/>
                <w:vertAlign w:val="superscript"/>
              </w:rPr>
              <w:t>(5)</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52.5% - 52.5% (52.5%)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3.75x - 3.75x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(3.75x)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Second Lien Loans</w:t>
            </w:r>
            <w:r>
              <w:rPr>
                <w:rFonts w:ascii="Times New Roman" w:cs="Times New Roman" w:eastAsia="Times New Roman" w:hAnsi="Times New Roman"/>
                <w:sz w:val="16"/>
                <w:szCs w:val="16"/>
                <w:color w:val="auto"/>
                <w:vertAlign w:val="superscript"/>
              </w:rPr>
              <w:t>(1)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20,152</w:t>
            </w:r>
          </w:p>
        </w:tc>
        <w:tc>
          <w:tcPr>
            <w:tcW w:w="220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Discounted Cash Flow Analysis</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Discount rate</w:t>
            </w:r>
          </w:p>
        </w:tc>
        <w:tc>
          <w:tcPr>
            <w:tcW w:w="200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18.6% - 19.2% (19.1%)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Origination yield</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13.0% - 18.4% (14.5%)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1.90x - 2.85x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(2.17x)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Preferred Stock/Units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35,563</w:t>
            </w:r>
          </w:p>
        </w:tc>
        <w:tc>
          <w:tcPr>
            <w:tcW w:w="2200" w:type="dxa"/>
            <w:vAlign w:val="bottom"/>
            <w:shd w:val="clear" w:color="auto" w:fill="CFF0FC"/>
          </w:tcPr>
          <w:p>
            <w:pPr>
              <w:jc w:val="center"/>
              <w:spacing w:after="0" w:line="156" w:lineRule="exact"/>
              <w:rPr>
                <w:sz w:val="20"/>
                <w:szCs w:val="20"/>
                <w:color w:val="auto"/>
              </w:rPr>
            </w:pPr>
            <w:r>
              <w:rPr>
                <w:rFonts w:ascii="Times New Roman" w:cs="Times New Roman" w:eastAsia="Times New Roman" w:hAnsi="Times New Roman"/>
                <w:sz w:val="13"/>
                <w:szCs w:val="13"/>
                <w:color w:val="auto"/>
                <w:w w:val="98"/>
              </w:rPr>
              <w:t xml:space="preserve">Waterfall Approach </w:t>
            </w:r>
            <w:r>
              <w:rPr>
                <w:rFonts w:ascii="Times New Roman" w:cs="Times New Roman" w:eastAsia="Times New Roman" w:hAnsi="Times New Roman"/>
                <w:sz w:val="16"/>
                <w:szCs w:val="16"/>
                <w:color w:val="auto"/>
                <w:w w:val="98"/>
                <w:vertAlign w:val="superscript"/>
              </w:rPr>
              <w:t>(5)</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52.5% - 52.5% (52.5%)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3.75x - 3.75x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(3.75x)</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tcPr>
          <w:p>
            <w:pPr>
              <w:jc w:val="right"/>
              <w:ind w:right="140"/>
              <w:spacing w:after="0" w:line="144" w:lineRule="exact"/>
              <w:rPr>
                <w:sz w:val="20"/>
                <w:szCs w:val="20"/>
                <w:color w:val="auto"/>
              </w:rPr>
            </w:pPr>
            <w:r>
              <w:rPr>
                <w:rFonts w:ascii="Times New Roman" w:cs="Times New Roman" w:eastAsia="Times New Roman" w:hAnsi="Times New Roman"/>
                <w:sz w:val="13"/>
                <w:szCs w:val="13"/>
                <w:color w:val="auto"/>
              </w:rPr>
              <w:t>37,897</w:t>
            </w:r>
          </w:p>
        </w:tc>
        <w:tc>
          <w:tcPr>
            <w:tcW w:w="2200" w:type="dxa"/>
            <w:vAlign w:val="bottom"/>
          </w:tcPr>
          <w:p>
            <w:pPr>
              <w:jc w:val="center"/>
              <w:spacing w:after="0" w:line="145" w:lineRule="exact"/>
              <w:rPr>
                <w:sz w:val="20"/>
                <w:szCs w:val="20"/>
                <w:color w:val="auto"/>
              </w:rPr>
            </w:pPr>
            <w:r>
              <w:rPr>
                <w:rFonts w:ascii="Times New Roman" w:cs="Times New Roman" w:eastAsia="Times New Roman" w:hAnsi="Times New Roman"/>
                <w:sz w:val="13"/>
                <w:szCs w:val="13"/>
                <w:color w:val="auto"/>
                <w:w w:val="98"/>
              </w:rPr>
              <w:t xml:space="preserve">Option Pricing Model </w:t>
            </w:r>
            <w:r>
              <w:rPr>
                <w:rFonts w:ascii="Times New Roman" w:cs="Times New Roman" w:eastAsia="Times New Roman" w:hAnsi="Times New Roman"/>
                <w:sz w:val="16"/>
                <w:szCs w:val="16"/>
                <w:color w:val="auto"/>
                <w:w w:val="98"/>
                <w:vertAlign w:val="superscript"/>
              </w:rPr>
              <w:t>(6)</w:t>
            </w:r>
          </w:p>
        </w:tc>
        <w:tc>
          <w:tcPr>
            <w:tcW w:w="1920" w:type="dxa"/>
            <w:vAlign w:val="bottom"/>
          </w:tcPr>
          <w:p>
            <w:pPr>
              <w:jc w:val="center"/>
              <w:spacing w:after="0" w:line="144" w:lineRule="exact"/>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tcPr>
          <w:p>
            <w:pPr>
              <w:jc w:val="center"/>
              <w:ind w:left="54"/>
              <w:spacing w:after="0" w:line="144" w:lineRule="exact"/>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45.0% - 62.5% (45.1%)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tcPr>
          <w:p>
            <w:pPr>
              <w:jc w:val="center"/>
              <w:ind w:left="54"/>
              <w:spacing w:after="0"/>
              <w:rPr>
                <w:sz w:val="20"/>
                <w:szCs w:val="20"/>
                <w:color w:val="auto"/>
              </w:rPr>
            </w:pPr>
            <w:r>
              <w:rPr>
                <w:rFonts w:ascii="Times New Roman" w:cs="Times New Roman" w:eastAsia="Times New Roman" w:hAnsi="Times New Roman"/>
                <w:sz w:val="13"/>
                <w:szCs w:val="13"/>
                <w:color w:val="auto"/>
              </w:rPr>
              <w:t>3.0 - 4.7 (3.0 years)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2.82x - 12.87x</w:t>
            </w:r>
          </w:p>
        </w:tc>
        <w:tc>
          <w:tcPr>
            <w:tcW w:w="7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(12.76x)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Common Stock/Units</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- 4.1%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62.5% - 62.5% (62.5%)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3.0 - 3.0 (3.0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Equity Interest</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(4)</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22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Warrants</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10,860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Option Pricing Model</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Risk-free interest rate</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4.1% - 4.3% (4.1%)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Average industry volatility</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22.5% - 110.0% (47.7%)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ind w:right="14"/>
              <w:spacing w:after="0"/>
              <w:rPr>
                <w:sz w:val="20"/>
                <w:szCs w:val="20"/>
                <w:color w:val="auto"/>
              </w:rPr>
            </w:pPr>
            <w:r>
              <w:rPr>
                <w:rFonts w:ascii="Times New Roman" w:cs="Times New Roman" w:eastAsia="Times New Roman" w:hAnsi="Times New Roman"/>
                <w:sz w:val="13"/>
                <w:szCs w:val="13"/>
                <w:color w:val="auto"/>
              </w:rPr>
              <w:t>Estimated time to exit</w:t>
            </w:r>
          </w:p>
        </w:tc>
        <w:tc>
          <w:tcPr>
            <w:tcW w:w="2000" w:type="dxa"/>
            <w:vAlign w:val="bottom"/>
            <w:gridSpan w:val="2"/>
            <w:shd w:val="clear" w:color="auto" w:fill="CFF0FC"/>
          </w:tcPr>
          <w:p>
            <w:pPr>
              <w:jc w:val="center"/>
              <w:ind w:left="54"/>
              <w:spacing w:after="0"/>
              <w:rPr>
                <w:sz w:val="20"/>
                <w:szCs w:val="20"/>
                <w:color w:val="auto"/>
              </w:rPr>
            </w:pPr>
            <w:r>
              <w:rPr>
                <w:rFonts w:ascii="Times New Roman" w:cs="Times New Roman" w:eastAsia="Times New Roman" w:hAnsi="Times New Roman"/>
                <w:sz w:val="13"/>
                <w:szCs w:val="13"/>
                <w:color w:val="auto"/>
              </w:rPr>
              <w:t>1.0 - 3.8 (2.9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spacing w:after="0"/>
              <w:rPr>
                <w:sz w:val="13"/>
                <w:szCs w:val="13"/>
                <w:color w:val="auto"/>
              </w:rPr>
            </w:pP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1.27x - 8.89x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(3.41x)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40" w:type="dxa"/>
            <w:vAlign w:val="bottom"/>
          </w:tcPr>
          <w:p>
            <w:pPr>
              <w:spacing w:after="0"/>
              <w:rPr>
                <w:sz w:val="13"/>
                <w:szCs w:val="13"/>
                <w:color w:val="auto"/>
              </w:rPr>
            </w:pPr>
          </w:p>
        </w:tc>
        <w:tc>
          <w:tcPr>
            <w:tcW w:w="2200" w:type="dxa"/>
            <w:vAlign w:val="bottom"/>
          </w:tcPr>
          <w:p>
            <w:pPr>
              <w:jc w:val="center"/>
              <w:spacing w:after="0" w:line="156" w:lineRule="exact"/>
              <w:rPr>
                <w:sz w:val="20"/>
                <w:szCs w:val="20"/>
                <w:color w:val="auto"/>
              </w:rPr>
            </w:pPr>
            <w:r>
              <w:rPr>
                <w:rFonts w:ascii="Times New Roman" w:cs="Times New Roman" w:eastAsia="Times New Roman" w:hAnsi="Times New Roman"/>
                <w:sz w:val="13"/>
                <w:szCs w:val="13"/>
                <w:color w:val="auto"/>
                <w:w w:val="97"/>
              </w:rPr>
              <w:t xml:space="preserve">PWERM </w:t>
            </w:r>
            <w:r>
              <w:rPr>
                <w:rFonts w:ascii="Times New Roman" w:cs="Times New Roman" w:eastAsia="Times New Roman" w:hAnsi="Times New Roman"/>
                <w:sz w:val="16"/>
                <w:szCs w:val="16"/>
                <w:color w:val="auto"/>
                <w:w w:val="97"/>
                <w:vertAlign w:val="superscript"/>
              </w:rPr>
              <w:t>(3)</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N/A</w:t>
            </w:r>
          </w:p>
        </w:tc>
        <w:tc>
          <w:tcPr>
            <w:tcW w:w="1220" w:type="dxa"/>
            <w:vAlign w:val="bottom"/>
          </w:tcPr>
          <w:p>
            <w:pPr>
              <w:jc w:val="center"/>
              <w:ind w:left="834"/>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40" w:type="dxa"/>
            <w:vAlign w:val="bottom"/>
            <w:shd w:val="clear" w:color="auto" w:fill="CFF0FC"/>
          </w:tcPr>
          <w:p>
            <w:pPr>
              <w:spacing w:after="0"/>
              <w:rPr>
                <w:sz w:val="13"/>
                <w:szCs w:val="13"/>
                <w:color w:val="auto"/>
              </w:rPr>
            </w:pP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Waterfall Approach</w:t>
            </w:r>
          </w:p>
        </w:tc>
        <w:tc>
          <w:tcPr>
            <w:tcW w:w="1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Revenue multiples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1.93x - 1.93x</w:t>
            </w:r>
          </w:p>
        </w:tc>
        <w:tc>
          <w:tcPr>
            <w:tcW w:w="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(1.93x)</w:t>
            </w: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23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Level 3 Investments</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1,058,670</w:t>
            </w:r>
          </w:p>
        </w:tc>
        <w:tc>
          <w:tcPr>
            <w:tcW w:w="14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340" w:type="dxa"/>
            <w:vAlign w:val="bottom"/>
            <w:tcBorders>
              <w:top w:val="single" w:sz="8" w:color="CFF0FC"/>
              <w:bottom w:val="single" w:sz="8" w:color="auto"/>
            </w:tcBorders>
          </w:tcPr>
          <w:p>
            <w:pPr>
              <w:spacing w:after="0"/>
              <w:rPr>
                <w:sz w:val="11"/>
                <w:szCs w:val="11"/>
                <w:color w:val="auto"/>
              </w:rPr>
            </w:pPr>
          </w:p>
        </w:tc>
        <w:tc>
          <w:tcPr>
            <w:tcW w:w="160" w:type="dxa"/>
            <w:vAlign w:val="bottom"/>
            <w:tcBorders>
              <w:top w:val="single" w:sz="8" w:color="CFF0FC"/>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14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200" w:type="dxa"/>
            <w:vAlign w:val="bottom"/>
            <w:tcBorders>
              <w:top w:val="single" w:sz="8" w:color="CFF0FC"/>
            </w:tcBorders>
          </w:tcPr>
          <w:p>
            <w:pPr>
              <w:spacing w:after="0"/>
              <w:rPr>
                <w:sz w:val="11"/>
                <w:szCs w:val="11"/>
                <w:color w:val="auto"/>
              </w:rPr>
            </w:pPr>
          </w:p>
        </w:tc>
        <w:tc>
          <w:tcPr>
            <w:tcW w:w="1920" w:type="dxa"/>
            <w:vAlign w:val="bottom"/>
            <w:tcBorders>
              <w:top w:val="single" w:sz="8" w:color="CFF0FC"/>
            </w:tcBorders>
          </w:tcPr>
          <w:p>
            <w:pPr>
              <w:spacing w:after="0"/>
              <w:rPr>
                <w:sz w:val="11"/>
                <w:szCs w:val="11"/>
                <w:color w:val="auto"/>
              </w:rPr>
            </w:pPr>
          </w:p>
        </w:tc>
        <w:tc>
          <w:tcPr>
            <w:tcW w:w="1220" w:type="dxa"/>
            <w:vAlign w:val="bottom"/>
            <w:tcBorders>
              <w:top w:val="single" w:sz="8" w:color="CFF0FC"/>
            </w:tcBorders>
          </w:tcPr>
          <w:p>
            <w:pPr>
              <w:spacing w:after="0"/>
              <w:rPr>
                <w:sz w:val="11"/>
                <w:szCs w:val="11"/>
                <w:color w:val="auto"/>
              </w:rPr>
            </w:pPr>
          </w:p>
        </w:tc>
        <w:tc>
          <w:tcPr>
            <w:tcW w:w="7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60" w:right="80"/>
        <w:spacing w:after="0" w:line="228"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or decreases in the inputs in isolation may result in a significantly higher or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 w:lineRule="exact"/>
        <w:rPr>
          <w:sz w:val="20"/>
          <w:szCs w:val="20"/>
          <w:color w:val="auto"/>
        </w:rPr>
      </w:pPr>
    </w:p>
    <w:p>
      <w:pPr>
        <w:ind w:left="360" w:right="60"/>
        <w:spacing w:after="0" w:line="228" w:lineRule="auto"/>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The significant unobservable inputs used in the fair value measurement of the Company’s warrant and equity- related securities are inputs used in the OPM, which include industry volatility, risk free interest rate and estimated time to exit. The Equity Allocation model and the Black Scholes model were the main OPMs used during the year ended December 31, 2024.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(decrease) in the unobservable inputs. For some investments, additional consideration may be given to data from the last round of financing or merger/acquisition events near the measurement date.</w:t>
      </w:r>
    </w:p>
    <w:p>
      <w:pPr>
        <w:spacing w:after="0" w:line="2" w:lineRule="exact"/>
        <w:rPr>
          <w:sz w:val="20"/>
          <w:szCs w:val="20"/>
          <w:color w:val="auto"/>
        </w:rPr>
      </w:pPr>
    </w:p>
    <w:p>
      <w:pPr>
        <w:ind w:left="360" w:right="40"/>
        <w:spacing w:after="0" w:line="199"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Warrant investments using a PWERM valuation technique contain success fees, in which case the inputs are not applicable because the nature of a success fee is a fixed payout dependent on certain liquidation events.</w:t>
      </w:r>
    </w:p>
    <w:p>
      <w:pPr>
        <w:ind w:left="360"/>
        <w:spacing w:after="0" w:line="180" w:lineRule="auto"/>
        <w:rPr>
          <w:sz w:val="20"/>
          <w:szCs w:val="20"/>
          <w:color w:val="auto"/>
        </w:rPr>
      </w:pP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3"/>
          <w:szCs w:val="13"/>
          <w:color w:val="auto"/>
        </w:rPr>
        <w:t>Investment valued using a PWERM valuation technique and includes inputs that are based on scenario analysis specific to the asset recovery of such investment.</w:t>
      </w:r>
    </w:p>
    <w:p>
      <w:pPr>
        <w:spacing w:after="0" w:line="1" w:lineRule="exact"/>
        <w:rPr>
          <w:sz w:val="20"/>
          <w:szCs w:val="20"/>
          <w:color w:val="auto"/>
        </w:rPr>
      </w:pPr>
    </w:p>
    <w:p>
      <w:pPr>
        <w:ind w:left="360" w:right="80"/>
        <w:spacing w:after="0" w:line="199" w:lineRule="auto"/>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Investment valued using a Waterfall valuation technique. The inputs utilized in the valuation are based on an option pricing model that was utilized to value the shares that JobGet Holdings, Inc. owns in JobGet, Inc.</w:t>
      </w:r>
    </w:p>
    <w:p>
      <w:pPr>
        <w:ind w:left="360" w:right="220"/>
        <w:spacing w:after="0" w:line="199"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Includes Gynesonics, Inc., which was sold on January 2, 2025. As of December 31, 2024, the Company valued its investments in Gynesonics, Inc. at the expected sales proceeds from the acquisition.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3" w:name="page44"/>
    <w:bookmarkEnd w:id="4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of Financial Instruments Reported at Cost</w:t>
      </w:r>
    </w:p>
    <w:p>
      <w:pPr>
        <w:spacing w:after="0" w:line="192"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6"/>
          <w:szCs w:val="16"/>
          <w:color w:val="auto"/>
        </w:rPr>
        <w:t>The Company records its debt at amortized cost on the Consolidated Statements of Assets and Liabilities. The fair value of the Company’s Credit Facility, April 2026 Notes, December 2026 Notes, August 2027 Notes, and April 2028 Notes (each defined in "Note 7 – Borrowings") are estimated using Level 3 inputs, which involves discounting the remaining payments based on comparable market rates or market quotes for similar instruments as of the measurement date. The July 2027 Notes and December 2027 Notes are publicly traded on NASDAQ and are valued using Level 1 inputs, reflecting the most recent market prices of $25.10 and $25.20 per share as of June 30, 2025, respectively. As of December 31, 2024, the market prices were $24.88 and $25.10 per share,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additional information about the approximate fair value and level in the fair value hierarchy of the Company’s outstanding borrowings as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June 30, 2025 and December 31, 2024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4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Fair Value Hierarchy</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254,164</w:t>
            </w:r>
          </w:p>
        </w:tc>
        <w:tc>
          <w:tcPr>
            <w:tcW w:w="1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278,969</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278,969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24,895</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25,621</w:t>
            </w: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25,621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79,366</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80,822</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80,822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50,834</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52,164</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52,164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2028 Notes</w:t>
            </w:r>
          </w:p>
        </w:tc>
        <w:tc>
          <w:tcPr>
            <w:tcW w:w="1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106,689</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90,193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90,193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20" w:type="dxa"/>
            <w:vAlign w:val="bottom"/>
            <w:shd w:val="clear" w:color="auto" w:fill="CFF0FC"/>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shd w:val="clear" w:color="auto" w:fill="CFF0FC"/>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515,948</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132,986</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3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394,783</w:t>
            </w:r>
          </w:p>
        </w:tc>
        <w:tc>
          <w:tcPr>
            <w:tcW w:w="8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527,769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272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CFF0FC"/>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shd w:val="clear" w:color="auto" w:fill="CFF0FC"/>
          </w:tcPr>
          <w:p>
            <w:pPr>
              <w:spacing w:after="0"/>
              <w:rPr>
                <w:sz w:val="13"/>
                <w:szCs w:val="13"/>
                <w:color w:val="auto"/>
              </w:rPr>
            </w:pPr>
          </w:p>
        </w:tc>
        <w:tc>
          <w:tcPr>
            <w:tcW w:w="1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308,449</w:t>
            </w:r>
          </w:p>
        </w:tc>
        <w:tc>
          <w:tcPr>
            <w:tcW w:w="140" w:type="dxa"/>
            <w:vAlign w:val="bottom"/>
          </w:tcPr>
          <w:p>
            <w:pPr>
              <w:spacing w:after="0"/>
              <w:rPr>
                <w:sz w:val="13"/>
                <w:szCs w:val="13"/>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80" w:type="dxa"/>
            <w:vAlign w:val="bottom"/>
            <w:gridSpan w:val="2"/>
          </w:tcPr>
          <w:p>
            <w:pPr>
              <w:jc w:val="right"/>
              <w:ind w:right="814"/>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321,785</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321,785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24,839</w:t>
            </w:r>
          </w:p>
        </w:tc>
        <w:tc>
          <w:tcPr>
            <w:tcW w:w="1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25,616</w:t>
            </w: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25,616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720" w:type="dxa"/>
            <w:vAlign w:val="bottom"/>
            <w:vMerge w:val="continue"/>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2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40" w:type="dxa"/>
            <w:vAlign w:val="bottom"/>
            <w:vMerge w:val="continue"/>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40" w:type="dxa"/>
            <w:vAlign w:val="bottom"/>
            <w:shd w:val="clear" w:color="auto" w:fill="CFF0FC"/>
          </w:tcPr>
          <w:p>
            <w:pPr>
              <w:spacing w:after="0"/>
              <w:rPr>
                <w:sz w:val="8"/>
                <w:szCs w:val="8"/>
                <w:color w:val="auto"/>
              </w:rPr>
            </w:pPr>
          </w:p>
        </w:tc>
        <w:tc>
          <w:tcPr>
            <w:tcW w:w="560" w:type="dxa"/>
            <w:vAlign w:val="bottom"/>
            <w:vMerge w:val="continue"/>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460" w:type="dxa"/>
            <w:vAlign w:val="bottom"/>
            <w:shd w:val="clear" w:color="auto" w:fill="CFF0FC"/>
          </w:tcPr>
          <w:p>
            <w:pPr>
              <w:spacing w:after="0"/>
              <w:rPr>
                <w:sz w:val="8"/>
                <w:szCs w:val="8"/>
                <w:color w:val="auto"/>
              </w:rPr>
            </w:pPr>
          </w:p>
        </w:tc>
        <w:tc>
          <w:tcPr>
            <w:tcW w:w="9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9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69,630</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65,512</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65,512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79,116</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80,114</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80,114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8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19,628</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20,054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20,054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shd w:val="clear" w:color="auto" w:fill="CFF0FC"/>
          </w:tcPr>
          <w:p>
            <w:pPr>
              <w:spacing w:after="0"/>
              <w:rPr>
                <w:sz w:val="13"/>
                <w:szCs w:val="13"/>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50,670</w:t>
            </w:r>
          </w:p>
        </w:tc>
        <w:tc>
          <w:tcPr>
            <w:tcW w:w="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51,957</w:t>
            </w: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46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51,957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552,332</w:t>
            </w:r>
          </w:p>
        </w:tc>
        <w:tc>
          <w:tcPr>
            <w:tcW w:w="140" w:type="dxa"/>
            <w:vAlign w:val="bottom"/>
          </w:tcPr>
          <w:p>
            <w:pPr>
              <w:spacing w:after="0"/>
              <w:rPr>
                <w:sz w:val="13"/>
                <w:szCs w:val="13"/>
                <w:color w:val="auto"/>
              </w:rPr>
            </w:pPr>
          </w:p>
        </w:tc>
        <w:tc>
          <w:tcPr>
            <w:tcW w:w="36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132,071</w:t>
            </w:r>
          </w:p>
        </w:tc>
        <w:tc>
          <w:tcPr>
            <w:tcW w:w="140" w:type="dxa"/>
            <w:vAlign w:val="bottom"/>
          </w:tcPr>
          <w:p>
            <w:pPr>
              <w:spacing w:after="0"/>
              <w:rPr>
                <w:sz w:val="13"/>
                <w:szCs w:val="13"/>
                <w:color w:val="auto"/>
              </w:rPr>
            </w:pPr>
          </w:p>
        </w:tc>
        <w:tc>
          <w:tcPr>
            <w:tcW w:w="1080" w:type="dxa"/>
            <w:vAlign w:val="bottom"/>
            <w:gridSpan w:val="2"/>
          </w:tcPr>
          <w:p>
            <w:pPr>
              <w:jc w:val="right"/>
              <w:ind w:right="8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38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432,967</w:t>
            </w:r>
          </w:p>
        </w:tc>
        <w:tc>
          <w:tcPr>
            <w:tcW w:w="80" w:type="dxa"/>
            <w:vAlign w:val="bottom"/>
          </w:tcPr>
          <w:p>
            <w:pPr>
              <w:spacing w:after="0"/>
              <w:rPr>
                <w:sz w:val="13"/>
                <w:szCs w:val="13"/>
                <w:color w:val="auto"/>
              </w:rPr>
            </w:pPr>
          </w:p>
        </w:tc>
        <w:tc>
          <w:tcPr>
            <w:tcW w:w="400" w:type="dxa"/>
            <w:vAlign w:val="bottom"/>
            <w:gridSpan w:val="2"/>
          </w:tcPr>
          <w:p>
            <w:pPr>
              <w:jc w:val="right"/>
              <w:ind w:right="1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565,038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6 – Concentration of Credit Risk</w:t>
      </w:r>
    </w:p>
    <w:p>
      <w:pPr>
        <w:spacing w:after="0" w:line="190"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In the normal course of business, the Company maintains its cash balances at large, high credit -quality financial institutions, which at times may exceed federally insured limits. The Company is subject to credit risk to the extent that any financial institution with which it conducts business is unable to fulfill contractual obligations on its behalf. The Company monitors the financial condition of those financial institutions and believes that risk of loss associated with any uninsured balance is remote.</w:t>
      </w:r>
    </w:p>
    <w:p>
      <w:pPr>
        <w:spacing w:after="0" w:line="11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6"/>
          <w:szCs w:val="16"/>
          <w:color w:val="auto"/>
        </w:rPr>
        <w:t>In the event that a portfolio company completely fails to perform according to the terms of their loan agreement, the amount of loss due to credit risk from the Company's investments would equal the sum of the Company’s recorded investments in the portfolio company and the portion of unfunded commitments currently eligible to be drawn. Refer to "Note 8 – Commitments and Contingencies" for a summary of the aggregate balance of unfunded commitments as of June 30, 2025. The Company predominantly collateralizes its investments by obtaining a first priority security interest in a portfolio company’s assets, which may include its intellectual property.</w:t>
      </w:r>
    </w:p>
    <w:p>
      <w:pPr>
        <w:spacing w:after="0" w:line="15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As of June 30, 2025 and December 31, 2024, the Company’s five largest debt investments in portfolio companies represented 29.4% and 28.8%, respectively, of the total fair value of the Company’s debt investments in portfolio companies. As of June 30, 2025 and December 31, 2024, the Company had debt investments in 19 and 20 portfolio companies, respectively, that represented 5% or more of the Company’s net assets.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44" w:name="page45"/>
    <w:bookmarkEnd w:id="4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7 – Borrowings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Company's borrowings as of June 30, 2025 and December 31,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Total Commitment</w:t>
            </w:r>
          </w:p>
        </w:tc>
        <w:tc>
          <w:tcPr>
            <w:tcW w:w="300" w:type="dxa"/>
            <w:vAlign w:val="bottom"/>
          </w:tcPr>
          <w:p>
            <w:pPr>
              <w:spacing w:after="0"/>
              <w:rPr>
                <w:sz w:val="14"/>
                <w:szCs w:val="1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Face Value</w:t>
            </w:r>
          </w:p>
        </w:tc>
        <w:tc>
          <w:tcPr>
            <w:tcW w:w="200" w:type="dxa"/>
            <w:vAlign w:val="bottom"/>
          </w:tcPr>
          <w:p>
            <w:pPr>
              <w:spacing w:after="0"/>
              <w:rPr>
                <w:sz w:val="14"/>
                <w:szCs w:val="14"/>
                <w:color w:val="auto"/>
              </w:rPr>
            </w:pPr>
          </w:p>
        </w:tc>
        <w:tc>
          <w:tcPr>
            <w:tcW w:w="174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Unamortized DFC</w:t>
            </w:r>
          </w:p>
        </w:tc>
        <w:tc>
          <w:tcPr>
            <w:tcW w:w="24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Carrying 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320" w:type="dxa"/>
            <w:vAlign w:val="bottom"/>
          </w:tcPr>
          <w:p>
            <w:pPr>
              <w:spacing w:after="0"/>
              <w:rPr>
                <w:sz w:val="13"/>
                <w:szCs w:val="13"/>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259,000</w:t>
            </w:r>
          </w:p>
        </w:tc>
        <w:tc>
          <w:tcPr>
            <w:tcW w:w="320" w:type="dxa"/>
            <w:vAlign w:val="bottom"/>
          </w:tcPr>
          <w:p>
            <w:pPr>
              <w:spacing w:after="0"/>
              <w:rPr>
                <w:sz w:val="13"/>
                <w:szCs w:val="13"/>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(4,836)</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254,164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25,000</w:t>
            </w:r>
          </w:p>
        </w:tc>
        <w:tc>
          <w:tcPr>
            <w:tcW w:w="30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25,000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(105)</w:t>
            </w:r>
          </w:p>
        </w:tc>
        <w:tc>
          <w:tcPr>
            <w:tcW w:w="2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24,895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tcPr>
          <w:p>
            <w:pPr>
              <w:spacing w:after="0"/>
              <w:rPr>
                <w:sz w:val="13"/>
                <w:szCs w:val="13"/>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80,500</w:t>
            </w:r>
          </w:p>
        </w:tc>
        <w:tc>
          <w:tcPr>
            <w:tcW w:w="300" w:type="dxa"/>
            <w:vAlign w:val="bottom"/>
          </w:tcPr>
          <w:p>
            <w:pPr>
              <w:spacing w:after="0"/>
              <w:rPr>
                <w:sz w:val="13"/>
                <w:szCs w:val="13"/>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80,500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(1,134)</w:t>
            </w:r>
          </w:p>
        </w:tc>
        <w:tc>
          <w:tcPr>
            <w:tcW w:w="24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79,366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51,750</w:t>
            </w:r>
          </w:p>
        </w:tc>
        <w:tc>
          <w:tcPr>
            <w:tcW w:w="30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51,750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(916)</w:t>
            </w:r>
          </w:p>
        </w:tc>
        <w:tc>
          <w:tcPr>
            <w:tcW w:w="2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50,834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April 2028 Notes</w:t>
            </w:r>
          </w:p>
        </w:tc>
        <w:tc>
          <w:tcPr>
            <w:tcW w:w="18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(311)</w:t>
            </w:r>
          </w:p>
        </w:tc>
        <w:tc>
          <w:tcPr>
            <w:tcW w:w="24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106,689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0" w:type="dxa"/>
            <w:vAlign w:val="bottom"/>
            <w:shd w:val="clear" w:color="auto" w:fill="CFF0FC"/>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shd w:val="clear" w:color="auto" w:fill="CFF0FC"/>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814,250</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523,250</w:t>
            </w:r>
          </w:p>
        </w:tc>
        <w:tc>
          <w:tcPr>
            <w:tcW w:w="3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shd w:val="clear" w:color="auto" w:fill="CFF0FC"/>
          </w:tcPr>
          <w:p>
            <w:pPr>
              <w:jc w:val="right"/>
              <w:ind w:right="280"/>
              <w:spacing w:after="0" w:line="136" w:lineRule="exact"/>
              <w:rPr>
                <w:sz w:val="20"/>
                <w:szCs w:val="20"/>
                <w:color w:val="auto"/>
              </w:rPr>
            </w:pPr>
            <w:r>
              <w:rPr>
                <w:rFonts w:ascii="Times New Roman" w:cs="Times New Roman" w:eastAsia="Times New Roman" w:hAnsi="Times New Roman"/>
                <w:sz w:val="9"/>
                <w:szCs w:val="9"/>
                <w:color w:val="auto"/>
              </w:rPr>
              <w:t>(7,302</w:t>
            </w:r>
            <w:r>
              <w:rPr>
                <w:rFonts w:ascii="Times New Roman" w:cs="Times New Roman" w:eastAsia="Times New Roman" w:hAnsi="Times New Roman"/>
                <w:sz w:val="15"/>
                <w:szCs w:val="15"/>
                <w:color w:val="auto"/>
                <w:vertAlign w:val="subscript"/>
              </w:rPr>
              <w:t>)</w:t>
            </w:r>
          </w:p>
        </w:tc>
        <w:tc>
          <w:tcPr>
            <w:tcW w:w="240" w:type="dxa"/>
            <w:vAlign w:val="bottom"/>
            <w:shd w:val="clear" w:color="auto" w:fill="CFF0FC"/>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515,948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000" w:type="dxa"/>
            <w:vAlign w:val="bottom"/>
            <w:tcBorders>
              <w:top w:val="single" w:sz="8" w:color="CFF0FC"/>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spacing w:after="0"/>
              <w:rPr>
                <w:sz w:val="11"/>
                <w:szCs w:val="11"/>
                <w:color w:val="auto"/>
              </w:rPr>
            </w:pPr>
          </w:p>
        </w:tc>
        <w:tc>
          <w:tcPr>
            <w:tcW w:w="32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8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8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550,000</w:t>
            </w:r>
          </w:p>
        </w:tc>
        <w:tc>
          <w:tcPr>
            <w:tcW w:w="320" w:type="dxa"/>
            <w:vAlign w:val="bottom"/>
          </w:tcPr>
          <w:p>
            <w:pPr>
              <w:spacing w:after="0"/>
              <w:rPr>
                <w:sz w:val="13"/>
                <w:szCs w:val="13"/>
                <w:color w:val="auto"/>
              </w:rPr>
            </w:pP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320" w:type="dxa"/>
            <w:vAlign w:val="bottom"/>
          </w:tcPr>
          <w:p>
            <w:pPr>
              <w:spacing w:after="0"/>
              <w:rPr>
                <w:sz w:val="13"/>
                <w:szCs w:val="13"/>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(2,551)</w:t>
            </w: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308,449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April 2026 Notes</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25,000</w:t>
            </w:r>
          </w:p>
        </w:tc>
        <w:tc>
          <w:tcPr>
            <w:tcW w:w="30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25,000</w:t>
            </w:r>
          </w:p>
        </w:tc>
        <w:tc>
          <w:tcPr>
            <w:tcW w:w="2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80"/>
              <w:spacing w:after="0" w:line="228" w:lineRule="exact"/>
              <w:rPr>
                <w:sz w:val="20"/>
                <w:szCs w:val="20"/>
                <w:color w:val="auto"/>
              </w:rPr>
            </w:pPr>
            <w:r>
              <w:rPr>
                <w:rFonts w:ascii="Times New Roman" w:cs="Times New Roman" w:eastAsia="Times New Roman" w:hAnsi="Times New Roman"/>
                <w:sz w:val="13"/>
                <w:szCs w:val="13"/>
                <w:color w:val="auto"/>
              </w:rPr>
              <w:t>(161</w:t>
            </w:r>
            <w:r>
              <w:rPr>
                <w:rFonts w:ascii="Times New Roman" w:cs="Times New Roman" w:eastAsia="Times New Roman" w:hAnsi="Times New Roman"/>
                <w:sz w:val="26"/>
                <w:szCs w:val="26"/>
                <w:color w:val="auto"/>
                <w:vertAlign w:val="superscript"/>
              </w:rPr>
              <w:t>)</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24,839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December 2026 Notes</w:t>
            </w:r>
          </w:p>
        </w:tc>
        <w:tc>
          <w:tcPr>
            <w:tcW w:w="180" w:type="dxa"/>
            <w:vAlign w:val="bottom"/>
          </w:tcPr>
          <w:p>
            <w:pPr>
              <w:spacing w:after="0"/>
              <w:rPr>
                <w:sz w:val="13"/>
                <w:szCs w:val="13"/>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70,000</w:t>
            </w:r>
          </w:p>
        </w:tc>
        <w:tc>
          <w:tcPr>
            <w:tcW w:w="300" w:type="dxa"/>
            <w:vAlign w:val="bottom"/>
          </w:tcPr>
          <w:p>
            <w:pPr>
              <w:spacing w:after="0"/>
              <w:rPr>
                <w:sz w:val="13"/>
                <w:szCs w:val="13"/>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70,000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(370)</w:t>
            </w:r>
          </w:p>
        </w:tc>
        <w:tc>
          <w:tcPr>
            <w:tcW w:w="24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69,630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July 2027 Notes</w:t>
            </w: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80,500</w:t>
            </w:r>
          </w:p>
        </w:tc>
        <w:tc>
          <w:tcPr>
            <w:tcW w:w="30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80,500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(1,384)</w:t>
            </w:r>
          </w:p>
        </w:tc>
        <w:tc>
          <w:tcPr>
            <w:tcW w:w="2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79,116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August 2027 Notes</w:t>
            </w:r>
          </w:p>
        </w:tc>
        <w:tc>
          <w:tcPr>
            <w:tcW w:w="180" w:type="dxa"/>
            <w:vAlign w:val="bottom"/>
          </w:tcPr>
          <w:p>
            <w:pPr>
              <w:spacing w:after="0"/>
              <w:rPr>
                <w:sz w:val="13"/>
                <w:szCs w:val="13"/>
                <w:color w:val="auto"/>
              </w:rPr>
            </w:pPr>
          </w:p>
        </w:tc>
        <w:tc>
          <w:tcPr>
            <w:tcW w:w="17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20,000</w:t>
            </w:r>
          </w:p>
        </w:tc>
        <w:tc>
          <w:tcPr>
            <w:tcW w:w="300" w:type="dxa"/>
            <w:vAlign w:val="bottom"/>
          </w:tcPr>
          <w:p>
            <w:pPr>
              <w:spacing w:after="0"/>
              <w:rPr>
                <w:sz w:val="13"/>
                <w:szCs w:val="13"/>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20,000</w:t>
            </w:r>
          </w:p>
        </w:tc>
        <w:tc>
          <w:tcPr>
            <w:tcW w:w="200" w:type="dxa"/>
            <w:vAlign w:val="bottom"/>
          </w:tcPr>
          <w:p>
            <w:pPr>
              <w:spacing w:after="0"/>
              <w:rPr>
                <w:sz w:val="13"/>
                <w:szCs w:val="13"/>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(372)</w:t>
            </w:r>
          </w:p>
        </w:tc>
        <w:tc>
          <w:tcPr>
            <w:tcW w:w="240" w:type="dxa"/>
            <w:vAlign w:val="bottom"/>
          </w:tcPr>
          <w:p>
            <w:pPr>
              <w:spacing w:after="0"/>
              <w:rPr>
                <w:sz w:val="13"/>
                <w:szCs w:val="13"/>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19,628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December 2027 Notes</w:t>
            </w: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51,750</w:t>
            </w:r>
          </w:p>
        </w:tc>
        <w:tc>
          <w:tcPr>
            <w:tcW w:w="300" w:type="dxa"/>
            <w:vAlign w:val="bottom"/>
            <w:shd w:val="clear" w:color="auto" w:fill="CFF0FC"/>
          </w:tcPr>
          <w:p>
            <w:pPr>
              <w:spacing w:after="0"/>
              <w:rPr>
                <w:sz w:val="13"/>
                <w:szCs w:val="13"/>
                <w:color w:val="auto"/>
              </w:rPr>
            </w:pPr>
          </w:p>
        </w:tc>
        <w:tc>
          <w:tcPr>
            <w:tcW w:w="16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51,750</w:t>
            </w:r>
          </w:p>
        </w:tc>
        <w:tc>
          <w:tcPr>
            <w:tcW w:w="200" w:type="dxa"/>
            <w:vAlign w:val="bottom"/>
            <w:shd w:val="clear" w:color="auto" w:fill="CFF0FC"/>
          </w:tcPr>
          <w:p>
            <w:pPr>
              <w:spacing w:after="0"/>
              <w:rPr>
                <w:sz w:val="13"/>
                <w:szCs w:val="13"/>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3"/>
                <w:szCs w:val="13"/>
                <w:color w:val="auto"/>
              </w:rPr>
              <w:t>(1,080)</w:t>
            </w:r>
          </w:p>
        </w:tc>
        <w:tc>
          <w:tcPr>
            <w:tcW w:w="240" w:type="dxa"/>
            <w:vAlign w:val="bottom"/>
            <w:shd w:val="clear" w:color="auto" w:fill="CFF0FC"/>
          </w:tcPr>
          <w:p>
            <w:pPr>
              <w:spacing w:after="0"/>
              <w:rPr>
                <w:sz w:val="13"/>
                <w:szCs w:val="13"/>
                <w:color w:val="auto"/>
              </w:rPr>
            </w:pPr>
          </w:p>
        </w:tc>
        <w:tc>
          <w:tcPr>
            <w:tcW w:w="15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50,670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00" w:type="dxa"/>
            <w:vAlign w:val="bottom"/>
          </w:tcPr>
          <w:p>
            <w:pPr>
              <w:ind w:left="4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jc w:val="right"/>
              <w:ind w:right="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797,250</w:t>
            </w:r>
          </w:p>
        </w:tc>
        <w:tc>
          <w:tcPr>
            <w:tcW w:w="320" w:type="dxa"/>
            <w:vAlign w:val="bottom"/>
          </w:tcPr>
          <w:p>
            <w:pPr>
              <w:spacing w:after="0"/>
              <w:rPr>
                <w:sz w:val="13"/>
                <w:szCs w:val="13"/>
                <w:color w:val="auto"/>
              </w:rPr>
            </w:pPr>
          </w:p>
        </w:tc>
        <w:tc>
          <w:tcPr>
            <w:tcW w:w="300" w:type="dxa"/>
            <w:vAlign w:val="bottom"/>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558,250</w:t>
            </w:r>
          </w:p>
        </w:tc>
        <w:tc>
          <w:tcPr>
            <w:tcW w:w="320" w:type="dxa"/>
            <w:vAlign w:val="bottom"/>
          </w:tcPr>
          <w:p>
            <w:pPr>
              <w:spacing w:after="0"/>
              <w:rPr>
                <w:sz w:val="13"/>
                <w:szCs w:val="13"/>
                <w:color w:val="auto"/>
              </w:rPr>
            </w:pPr>
          </w:p>
        </w:tc>
        <w:tc>
          <w:tcPr>
            <w:tcW w:w="20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40" w:type="dxa"/>
            <w:vAlign w:val="bottom"/>
            <w:gridSpan w:val="2"/>
          </w:tcPr>
          <w:p>
            <w:pPr>
              <w:jc w:val="right"/>
              <w:ind w:right="280"/>
              <w:spacing w:after="0" w:line="136" w:lineRule="exact"/>
              <w:rPr>
                <w:sz w:val="20"/>
                <w:szCs w:val="20"/>
                <w:color w:val="auto"/>
              </w:rPr>
            </w:pPr>
            <w:r>
              <w:rPr>
                <w:rFonts w:ascii="Times New Roman" w:cs="Times New Roman" w:eastAsia="Times New Roman" w:hAnsi="Times New Roman"/>
                <w:sz w:val="9"/>
                <w:szCs w:val="9"/>
                <w:color w:val="auto"/>
              </w:rPr>
              <w:t>(5,918</w:t>
            </w:r>
            <w:r>
              <w:rPr>
                <w:rFonts w:ascii="Times New Roman" w:cs="Times New Roman" w:eastAsia="Times New Roman" w:hAnsi="Times New Roman"/>
                <w:sz w:val="15"/>
                <w:szCs w:val="15"/>
                <w:color w:val="auto"/>
                <w:vertAlign w:val="subscript"/>
              </w:rPr>
              <w:t>)</w:t>
            </w:r>
          </w:p>
        </w:tc>
        <w:tc>
          <w:tcPr>
            <w:tcW w:w="240" w:type="dxa"/>
            <w:vAlign w:val="bottom"/>
          </w:tcPr>
          <w:p>
            <w:pPr>
              <w:jc w:val="right"/>
              <w:ind w:right="7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552,332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6"/>
          <w:szCs w:val="16"/>
          <w:color w:val="auto"/>
        </w:rPr>
        <w:t>For the three months ended June 30, 2025 and 2024, the components of interest expense, amortization of deferred financing costs, unused fees on the Credit Facility (as defined below), and any other costs associated with the Company's borrowings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Total Interest and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right"/>
              <w:ind w:right="214"/>
              <w:spacing w:after="0" w:line="145"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140" w:type="dxa"/>
            <w:vAlign w:val="bottom"/>
          </w:tcPr>
          <w:p>
            <w:pPr>
              <w:spacing w:after="0"/>
              <w:rPr>
                <w:sz w:val="12"/>
                <w:szCs w:val="12"/>
                <w:color w:val="auto"/>
              </w:rPr>
            </w:pPr>
          </w:p>
        </w:tc>
        <w:tc>
          <w:tcPr>
            <w:tcW w:w="1320" w:type="dxa"/>
            <w:vAlign w:val="bottom"/>
            <w:gridSpan w:val="2"/>
          </w:tcPr>
          <w:p>
            <w:pPr>
              <w:jc w:val="right"/>
              <w:ind w:right="94"/>
              <w:spacing w:after="0" w:line="145" w:lineRule="exact"/>
              <w:rPr>
                <w:sz w:val="20"/>
                <w:szCs w:val="20"/>
                <w:color w:val="auto"/>
              </w:rPr>
            </w:pPr>
            <w:r>
              <w:rPr>
                <w:rFonts w:ascii="Times New Roman" w:cs="Times New Roman" w:eastAsia="Times New Roman" w:hAnsi="Times New Roman"/>
                <w:sz w:val="13"/>
                <w:szCs w:val="13"/>
                <w:b w:val="1"/>
                <w:bCs w:val="1"/>
                <w:color w:val="auto"/>
              </w:rPr>
              <w:t>Unused Facility and</w:t>
            </w:r>
          </w:p>
        </w:tc>
        <w:tc>
          <w:tcPr>
            <w:tcW w:w="140" w:type="dxa"/>
            <w:vAlign w:val="bottom"/>
          </w:tcPr>
          <w:p>
            <w:pPr>
              <w:spacing w:after="0"/>
              <w:rPr>
                <w:sz w:val="12"/>
                <w:szCs w:val="12"/>
                <w:color w:val="auto"/>
              </w:rPr>
            </w:pPr>
          </w:p>
        </w:tc>
        <w:tc>
          <w:tcPr>
            <w:tcW w:w="1340" w:type="dxa"/>
            <w:vAlign w:val="bottom"/>
            <w:gridSpan w:val="2"/>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 Debt Financing</w:t>
            </w:r>
          </w:p>
        </w:tc>
        <w:tc>
          <w:tcPr>
            <w:tcW w:w="100" w:type="dxa"/>
            <w:vAlign w:val="bottom"/>
          </w:tcPr>
          <w:p>
            <w:pPr>
              <w:spacing w:after="0"/>
              <w:rPr>
                <w:sz w:val="12"/>
                <w:szCs w:val="12"/>
                <w:color w:val="auto"/>
              </w:rPr>
            </w:pPr>
          </w:p>
        </w:tc>
        <w:tc>
          <w:tcPr>
            <w:tcW w:w="1220" w:type="dxa"/>
            <w:vAlign w:val="bottom"/>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33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2025</w:t>
            </w:r>
          </w:p>
        </w:tc>
        <w:tc>
          <w:tcPr>
            <w:tcW w:w="100" w:type="dxa"/>
            <w:vAlign w:val="bottom"/>
          </w:tcPr>
          <w:p>
            <w:pPr>
              <w:spacing w:after="0"/>
              <w:rPr>
                <w:sz w:val="19"/>
                <w:szCs w:val="19"/>
                <w:color w:val="auto"/>
              </w:rPr>
            </w:pPr>
          </w:p>
        </w:tc>
        <w:tc>
          <w:tcPr>
            <w:tcW w:w="12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514"/>
              <w:spacing w:after="0"/>
              <w:rPr>
                <w:sz w:val="20"/>
                <w:szCs w:val="20"/>
                <w:color w:val="auto"/>
              </w:rPr>
            </w:pPr>
            <w:r>
              <w:rPr>
                <w:rFonts w:ascii="Times New Roman" w:cs="Times New Roman" w:eastAsia="Times New Roman" w:hAnsi="Times New Roman"/>
                <w:sz w:val="13"/>
                <w:szCs w:val="13"/>
                <w:b w:val="1"/>
                <w:bCs w:val="1"/>
                <w:color w:val="auto"/>
              </w:rPr>
              <w:t>DFC</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 xml:space="preserve">Other Fees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ind w:right="394"/>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00" w:type="dxa"/>
            <w:vAlign w:val="bottom"/>
          </w:tcPr>
          <w:p>
            <w:pPr>
              <w:spacing w:after="0"/>
              <w:rPr>
                <w:sz w:val="19"/>
                <w:szCs w:val="19"/>
                <w:color w:val="auto"/>
              </w:rPr>
            </w:pP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Cost of Debt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33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5,004</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326</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537</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5,867</w:t>
            </w: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8.77</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100" w:type="dxa"/>
            <w:vAlign w:val="bottom"/>
          </w:tcPr>
          <w:p>
            <w:pPr>
              <w:spacing w:after="0"/>
              <w:rPr>
                <w:sz w:val="13"/>
                <w:szCs w:val="13"/>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567</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9.08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58</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214</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272</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20.20</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1,659</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8.24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337</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364</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94.69</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99</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1,134</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8.76</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April 2028 Notes</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1,875</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1,901</w:t>
            </w: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7.61</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10,043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1,184</w:t>
            </w:r>
          </w:p>
        </w:tc>
        <w:tc>
          <w:tcPr>
            <w:tcW w:w="3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537</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11,764</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8.85</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33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3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Three Months Ended June 30, 2024</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5,008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481</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6,317</w:t>
            </w:r>
          </w:p>
        </w:tc>
        <w:tc>
          <w:tcPr>
            <w:tcW w:w="132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10.71</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100" w:type="dxa"/>
            <w:vAlign w:val="bottom"/>
          </w:tcPr>
          <w:p>
            <w:pPr>
              <w:spacing w:after="0"/>
              <w:rPr>
                <w:sz w:val="13"/>
                <w:szCs w:val="13"/>
                <w:color w:val="auto"/>
              </w:rPr>
            </w:pP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534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568</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9.08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744</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56</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800</w:t>
            </w: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4.57</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1,510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150</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1,660</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8.24</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350</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385</w:t>
            </w: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7.70</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1,137</w:t>
            </w: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3"/>
                <w:szCs w:val="13"/>
                <w:color w:val="auto"/>
              </w:rPr>
              <w:t>8.79</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9,181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858</w:t>
            </w:r>
          </w:p>
        </w:tc>
        <w:tc>
          <w:tcPr>
            <w:tcW w:w="3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828</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10,867</w:t>
            </w:r>
          </w:p>
        </w:tc>
        <w:tc>
          <w:tcPr>
            <w:tcW w:w="1320" w:type="dxa"/>
            <w:vAlign w:val="bottom"/>
            <w:gridSpan w:val="2"/>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9.02</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480" w:right="20"/>
        <w:spacing w:after="0" w:line="213"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Unused facility and other fees for the three months ended June 30, 2024 include supplemental fees of $0.2 million, which were nonrecurring in nature. There were no supplemental fees for the three months ended June 30, 2025.</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5" w:name="page46"/>
    <w:bookmarkEnd w:id="4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For the six months ended June 30, 2025 and 2024, the components of interest expense, amortization of deferred financing costs, unused fees on the Credit Facility (as defined below), and any other costs associated with the Company's borrowings were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Total Interest and</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114"/>
              <w:spacing w:after="0" w:line="145" w:lineRule="exact"/>
              <w:rPr>
                <w:sz w:val="20"/>
                <w:szCs w:val="20"/>
                <w:color w:val="auto"/>
              </w:rPr>
            </w:pPr>
            <w:r>
              <w:rPr>
                <w:rFonts w:ascii="Times New Roman" w:cs="Times New Roman" w:eastAsia="Times New Roman" w:hAnsi="Times New Roman"/>
                <w:sz w:val="13"/>
                <w:szCs w:val="13"/>
                <w:b w:val="1"/>
                <w:bCs w:val="1"/>
                <w:color w:val="auto"/>
              </w:rPr>
              <w:t>Amortization of</w:t>
            </w:r>
          </w:p>
        </w:tc>
        <w:tc>
          <w:tcPr>
            <w:tcW w:w="240" w:type="dxa"/>
            <w:vAlign w:val="bottom"/>
          </w:tcPr>
          <w:p>
            <w:pPr>
              <w:spacing w:after="0"/>
              <w:rPr>
                <w:sz w:val="12"/>
                <w:szCs w:val="12"/>
                <w:color w:val="auto"/>
              </w:rPr>
            </w:pPr>
          </w:p>
        </w:tc>
        <w:tc>
          <w:tcPr>
            <w:tcW w:w="1220" w:type="dxa"/>
            <w:vAlign w:val="bottom"/>
            <w:gridSpan w:val="2"/>
          </w:tcPr>
          <w:p>
            <w:pPr>
              <w:jc w:val="right"/>
              <w:spacing w:after="0" w:line="145" w:lineRule="exact"/>
              <w:rPr>
                <w:sz w:val="20"/>
                <w:szCs w:val="20"/>
                <w:color w:val="auto"/>
              </w:rPr>
            </w:pPr>
            <w:r>
              <w:rPr>
                <w:rFonts w:ascii="Times New Roman" w:cs="Times New Roman" w:eastAsia="Times New Roman" w:hAnsi="Times New Roman"/>
                <w:sz w:val="13"/>
                <w:szCs w:val="13"/>
                <w:b w:val="1"/>
                <w:bCs w:val="1"/>
                <w:color w:val="auto"/>
              </w:rPr>
              <w:t>Unused Facility and</w:t>
            </w:r>
          </w:p>
        </w:tc>
        <w:tc>
          <w:tcPr>
            <w:tcW w:w="240" w:type="dxa"/>
            <w:vAlign w:val="bottom"/>
          </w:tcPr>
          <w:p>
            <w:pPr>
              <w:spacing w:after="0"/>
              <w:rPr>
                <w:sz w:val="12"/>
                <w:szCs w:val="12"/>
                <w:color w:val="auto"/>
              </w:rPr>
            </w:pPr>
          </w:p>
        </w:tc>
        <w:tc>
          <w:tcPr>
            <w:tcW w:w="1440" w:type="dxa"/>
            <w:vAlign w:val="bottom"/>
            <w:gridSpan w:val="3"/>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Other Debt Financing</w:t>
            </w:r>
          </w:p>
        </w:tc>
        <w:tc>
          <w:tcPr>
            <w:tcW w:w="1220" w:type="dxa"/>
            <w:vAlign w:val="bottom"/>
            <w:gridSpan w:val="2"/>
          </w:tcPr>
          <w:p>
            <w:pPr>
              <w:jc w:val="center"/>
              <w:ind w:left="74"/>
              <w:spacing w:after="0" w:line="145"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Interest Expense</w:t>
            </w:r>
          </w:p>
        </w:tc>
        <w:tc>
          <w:tcPr>
            <w:tcW w:w="100" w:type="dxa"/>
            <w:vAlign w:val="bottom"/>
          </w:tcPr>
          <w:p>
            <w:pPr>
              <w:spacing w:after="0"/>
              <w:rPr>
                <w:sz w:val="15"/>
                <w:szCs w:val="15"/>
                <w:color w:val="auto"/>
              </w:rPr>
            </w:pPr>
          </w:p>
        </w:tc>
        <w:tc>
          <w:tcPr>
            <w:tcW w:w="112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DFC</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ind w:right="174"/>
              <w:spacing w:after="0" w:line="181" w:lineRule="exact"/>
              <w:rPr>
                <w:sz w:val="20"/>
                <w:szCs w:val="20"/>
                <w:color w:val="auto"/>
              </w:rPr>
            </w:pPr>
            <w:r>
              <w:rPr>
                <w:rFonts w:ascii="Times New Roman" w:cs="Times New Roman" w:eastAsia="Times New Roman" w:hAnsi="Times New Roman"/>
                <w:sz w:val="13"/>
                <w:szCs w:val="13"/>
                <w:b w:val="1"/>
                <w:bCs w:val="1"/>
                <w:color w:val="auto"/>
              </w:rPr>
              <w:t xml:space="preserve">Other Fees </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Expenses</w:t>
            </w:r>
          </w:p>
        </w:tc>
        <w:tc>
          <w:tcPr>
            <w:tcW w:w="1220" w:type="dxa"/>
            <w:vAlign w:val="bottom"/>
            <w:gridSpan w:val="2"/>
          </w:tcPr>
          <w:p>
            <w:pPr>
              <w:jc w:val="center"/>
              <w:ind w:left="94"/>
              <w:spacing w:after="0"/>
              <w:rPr>
                <w:sz w:val="20"/>
                <w:szCs w:val="20"/>
                <w:color w:val="auto"/>
              </w:rPr>
            </w:pPr>
            <w:r>
              <w:rPr>
                <w:rFonts w:ascii="Times New Roman" w:cs="Times New Roman" w:eastAsia="Times New Roman" w:hAnsi="Times New Roman"/>
                <w:sz w:val="13"/>
                <w:szCs w:val="13"/>
                <w:b w:val="1"/>
                <w:bCs w:val="1"/>
                <w:color w:val="auto"/>
              </w:rPr>
              <w:t>Cost of Debt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 2025</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9,731</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4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11,606</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8.88</w:t>
            </w: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1,137</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9.09</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802</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1,075</w:t>
            </w:r>
          </w:p>
        </w:tc>
        <w:tc>
          <w:tcPr>
            <w:tcW w:w="20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5.73</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8.23</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w:t>
            </w: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2,270</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8.77</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April 2028 Notes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1,875</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1,901</w:t>
            </w:r>
          </w:p>
        </w:tc>
        <w:tc>
          <w:tcPr>
            <w:tcW w:w="20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7.57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18,942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2,016</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1,093</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22,051</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8.53</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332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24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80" w:type="dxa"/>
            <w:vAlign w:val="bottom"/>
            <w:tcBorders>
              <w:top w:val="single" w:sz="8" w:color="CFF0FC"/>
            </w:tcBorders>
          </w:tcPr>
          <w:p>
            <w:pPr>
              <w:spacing w:after="0"/>
              <w:rPr>
                <w:sz w:val="11"/>
                <w:szCs w:val="11"/>
                <w:color w:val="auto"/>
              </w:rPr>
            </w:pPr>
          </w:p>
        </w:tc>
        <w:tc>
          <w:tcPr>
            <w:tcW w:w="1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Six Months Ended June 30, 2024</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Credit Facility</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10,015</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400" w:type="dxa"/>
            <w:vAlign w:val="bottom"/>
            <w:gridSpan w:val="2"/>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12,645</w:t>
            </w: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80" w:type="dxa"/>
            <w:vAlign w:val="bottom"/>
          </w:tcPr>
          <w:p>
            <w:pPr>
              <w:spacing w:after="0"/>
              <w:rPr>
                <w:sz w:val="13"/>
                <w:szCs w:val="1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April 2026 Notes</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1,068</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1,132</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9.05</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December 2026 Notes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1,488</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1,599</w:t>
            </w:r>
          </w:p>
        </w:tc>
        <w:tc>
          <w:tcPr>
            <w:tcW w:w="20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July 2027 Notes</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3,019</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3,313</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8.23</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August 2027 Notes</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770</w:t>
            </w:r>
          </w:p>
        </w:tc>
        <w:tc>
          <w:tcPr>
            <w:tcW w:w="200" w:type="dxa"/>
            <w:vAlign w:val="bottom"/>
          </w:tcPr>
          <w:p>
            <w:pPr>
              <w:spacing w:after="0"/>
              <w:rPr>
                <w:sz w:val="13"/>
                <w:szCs w:val="1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7.70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December 2027 Notes</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2,070</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2,268</w:t>
            </w:r>
          </w:p>
        </w:tc>
        <w:tc>
          <w:tcPr>
            <w:tcW w:w="200" w:type="dxa"/>
            <w:vAlign w:val="bottom"/>
            <w:shd w:val="clear" w:color="auto" w:fill="CFF0FC"/>
          </w:tcPr>
          <w:p>
            <w:pPr>
              <w:spacing w:after="0"/>
              <w:rPr>
                <w:sz w:val="13"/>
                <w:szCs w:val="13"/>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8.76</w:t>
            </w: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1220" w:type="dxa"/>
            <w:vAlign w:val="bottom"/>
            <w:gridSpan w:val="2"/>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18,360</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1,698</w:t>
            </w:r>
          </w:p>
        </w:tc>
        <w:tc>
          <w:tcPr>
            <w:tcW w:w="400" w:type="dxa"/>
            <w:vAlign w:val="bottom"/>
            <w:gridSpan w:val="2"/>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1,669</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21,727</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9.00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left="480" w:right="140"/>
        <w:spacing w:after="0" w:line="207" w:lineRule="auto"/>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Unused facility and other fees for the six months ended June 30, 2024 include supplemental fees of $0.2 million, which were nonrecurring in nature. There were no supplemental fees for the six months ended June 30,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Facility</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On April 20, 2022, the Company entered into an amended and restated credit agreement with KeyBank National Association, acting as administrative agent, CIBC Bank USA and MUFG Union Bank, N.A. as co-documentation agents, the guarantors party thereto and syndication agent and the other lenders party thereto, which initially provided the Company with a $225.0 million commitment, subject to borrowing base requirements (as amended, supplemented or otherwise modified from time to time, the "Credit Facility"). On March 18, 2025, the Company entered into a Sixth Amendment to the Credit Facility, which, among other things, (i) extended the maturity date and revolving period; (ii) permits future financing subsidiaries, and (iii) amended certain other terms of the Credit Facility, including without limitation loan eligibility criteria, the borrowing base calculation, and excess concentration measures.</w:t>
      </w:r>
    </w:p>
    <w:p>
      <w:pPr>
        <w:spacing w:after="0" w:line="173"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As of June 30, 2025, the Company had $550.0 million in total commitments available under the Credit Facility, subject to an accordion feature that allows the Company to increase the total commitments under the Credit Facility up to $600.0 million. The availability period under the Credit Facility expires on March 18, 2028 and is followed by a one-year amortization period. The stated maturity date under the Credit Facility is March 18, 2029, unless extended.</w:t>
      </w:r>
    </w:p>
    <w:p>
      <w:pPr>
        <w:spacing w:after="0" w:line="164"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6"/>
          <w:szCs w:val="16"/>
          <w:color w:val="auto"/>
        </w:rPr>
        <w:t>Borrowings under the Credit Facility bear interest on a per annum rate equal to Adjusted Term SOFR plus an applicable margin rate that ranges from 2.95% to 3.35% per annum depending on the Company’s leverage ratio and number of eligible loans in the collateral pool. The Credit Facility provides for a variable advance rate of up to 65% on eligible term loans. The Company also pays an unused commitment fee that ranges from 0.25% to 1.00% per annum based on the total unused lender commitments under the Credit Facility.</w:t>
      </w:r>
    </w:p>
    <w:p>
      <w:pPr>
        <w:spacing w:after="0" w:line="167"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The Credit Facility is collateralized by all eligible investment assets held by the Company. The Credit Facility contains representations, warranties, and affirmative and negative covenants customary for secured financings of this type, including certain financial covenants such as a consolidated tangible net worth requirement and a required asset coverage ratio. For all periods presented, the Company was in compliance with all such covenants.</w:t>
      </w:r>
    </w:p>
    <w:p>
      <w:pPr>
        <w:spacing w:after="0" w:line="164"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4"/>
          <w:szCs w:val="14"/>
          <w:color w:val="auto"/>
        </w:rPr>
        <w:t>For the three and six months ended June 30, 2025, the weighted average outstanding principal balance was $267.6 million and $261.4 million, respectively, and the weighted average effective interest rate was 7.50% and 7.51%, respectively. For the three and six months ended June 30, 2024, the weighted average outstanding principal balance was $236.0 million and $235.5 million, respectively, the weighted average effective interest rate was 8.51% and 8.53%, respectively.</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6" w:name="page47"/>
    <w:bookmarkEnd w:id="4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2026 Notes</w:t>
      </w:r>
    </w:p>
    <w:p>
      <w:pPr>
        <w:spacing w:after="0" w:line="192"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6"/>
          <w:szCs w:val="16"/>
          <w:color w:val="auto"/>
        </w:rPr>
        <w:t xml:space="preserve">On December 10, 2021, the Company entered into a master note purchase agreement, completing a private debt offering of $70.0 million in aggregate principal amount of 4.25% interest-bearing unsecured Series 2021A Senior Notes due 2026 (the "December 2026 Notes") to institutional accredited investors (as defined in Regulation D under the Securities Act of 1933, as amended (the "Securities Act")). The December 2026 Notes were repaid in full by the Company on April 7, 2025 and are no longer outstanding. On April 13, 2023, the Company completed the first supplement to the master note purchase agreement, resulting in an additional private debt offering of $25.0 million in aggregate principal amount of 8.54% interest-bearing unsecured Series 2023A Senior Notes due 2026 (the "April 2026 Notes") to institutional accredited investors (as defined in the Securities Act). The April 2026 Notes are subject to a 1.00% increase in the interest rate in the event that, subject to certain exceptions, the April 2026 Notes cease to have an investment grade rating or receive an investment grade rating below the Investment Grade (as defined in the master note purchase agreement). The April 2026 Notes are general unsecured obligations of the Company that rank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with all outstanding and future unsecured unsubordinated indebtedness issued by the Company.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2026 Notes</w:t>
      </w:r>
    </w:p>
    <w:p>
      <w:pPr>
        <w:spacing w:after="0" w:line="190"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6"/>
          <w:szCs w:val="16"/>
          <w:color w:val="auto"/>
        </w:rPr>
        <w:t>The December 2026 Notes bore an interest rate of 4.25% per year and were due on December 10, 2026, unless redeemed, purchased or prepaid prior to such date by the Company or its affiliates in accordance with their terms. The December 2026 Notes were repaid in full by the Company on April 7, 2025 and are no longer outstanding. Interest on the December 2026 Notes was due semiannually in arrears on June 10 and December 10 of each year.</w:t>
      </w:r>
    </w:p>
    <w:p>
      <w:pPr>
        <w:spacing w:after="0" w:line="164"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December 2026 Notes issuance were $1.0 million, and were capitalized and deferred. As of December 31, 2024, unamortized deferred financing costs related to the December 2026 Notes were $0.4 million, of which $0.3 million were expensed during the six months ended June 30, 2025 and $0.1 million were transferred to deferred financing costs of the April 2028 Notes, as defined below.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April 2026 Notes</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The April 2026 Notes bear an interest rate of 8.54% per year and are due on April 13, 2026, unless redeemed, purchased or prepaid prior to such date by the Company or its affiliates in accordance with their terms. Interest on the April 2026 Notes is due semiannually in arrears on April 13 and October 13 of each year.</w:t>
      </w:r>
    </w:p>
    <w:p>
      <w:pPr>
        <w:spacing w:after="0" w:line="15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April 2026 Notes issuance were $0.4 million, and were capitalized and deferred. As of June 30, 2025 and December 31, 2024</w:t>
      </w:r>
      <w:r>
        <w:rPr>
          <w:rFonts w:ascii="Times New Roman" w:cs="Times New Roman" w:eastAsia="Times New Roman" w:hAnsi="Times New Roman"/>
          <w:sz w:val="13"/>
          <w:szCs w:val="13"/>
          <w:color w:val="auto"/>
        </w:rPr>
        <w:t>,</w:t>
      </w:r>
      <w:r>
        <w:rPr>
          <w:rFonts w:ascii="Times New Roman" w:cs="Times New Roman" w:eastAsia="Times New Roman" w:hAnsi="Times New Roman"/>
          <w:sz w:val="16"/>
          <w:szCs w:val="16"/>
          <w:color w:val="auto"/>
        </w:rPr>
        <w:t xml:space="preserve"> unamortized deferred financing costs related to the April 2026 Notes were $0.1 million and $0.2 million, respectively.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2027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July 2027 Notes</w:t>
      </w:r>
    </w:p>
    <w:p>
      <w:pPr>
        <w:spacing w:after="0" w:line="19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On July 28, 2022, the Company issued and sold $80.5 million in aggregate principal amount of 7.50% interest-bearing unsecured Notes due July 28, 2027 (the "July 2027 Notes") under its shelf Registration Statement on Form N-2. The July 2027 Notes were issued pursuant to the Base Indenture dated July 28, 2022 (the "Base Indenture") and First Supplemental Indenture, dated July 28, 2022 (together with the Base Indenture, the "Indenture"), between the Company and the Trustee, U.S. Bank Trust Company, National Association.</w:t>
      </w:r>
    </w:p>
    <w:p>
      <w:pPr>
        <w:spacing w:after="0" w:line="16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4"/>
          <w:szCs w:val="14"/>
          <w:color w:val="auto"/>
        </w:rPr>
        <w:t xml:space="preserve">Interest on the 2027 Notes will be due quarterly in arrears on March 1, June 1, September 1 and December 1 of each year. The July 2027 Notes may be redeemed in whole or in part at any time or from time to time at the Company’s option on or after July 28, 2024, at a redemption price of $25 per July 2027 Note plus accrued and unpaid interest payments otherwise payable for the then-current quarterly interest period accrued to the date fixed for redemption. The July 2027 Notes are general unsecured obligations of the Company that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existing and future unsecured, unsubordinated indebtedness.</w:t>
      </w:r>
    </w:p>
    <w:p>
      <w:pPr>
        <w:spacing w:after="0" w:line="137"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July 2027 Notes issuance, including the underwriter’s discount and commissions, were $2.7 million, and were capitalized and deferred. As of June 30, 2025 and December 31, 2024, unamortized deferred financing costs related to the July 2027 Notes were $1.1 million and $1.4 million, respectively.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7" w:name="page48"/>
    <w:bookmarkEnd w:id="4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August 2027 Notes</w:t>
      </w:r>
    </w:p>
    <w:p>
      <w:pPr>
        <w:spacing w:after="0" w:line="19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August 31, 2022, the Company completed a private debt offering of $20.0 million in aggregate principal amount of 7.00% interest-bearing unsecured Series 2022A Senior Notes due 2027 (the "August 2027 Notes") to an institutional accredited investor (as defined in Regulation D under the Securities Act). The August 2027 Notes were due on August 31, 2027, unless redeemed, purchased or prepaid prior to such date by the Company or its affiliates in accordance with their terms. The August 2027 Notes were repaid in full by the Company on April 7, 2025 and are no longer outstanding.</w:t>
      </w:r>
    </w:p>
    <w:p>
      <w:pPr>
        <w:spacing w:after="0" w:line="167" w:lineRule="exact"/>
        <w:rPr>
          <w:sz w:val="20"/>
          <w:szCs w:val="20"/>
          <w:color w:val="auto"/>
        </w:rPr>
      </w:pPr>
    </w:p>
    <w:p>
      <w:pPr>
        <w:ind w:right="580"/>
        <w:spacing w:after="0" w:line="331" w:lineRule="auto"/>
        <w:rPr>
          <w:sz w:val="20"/>
          <w:szCs w:val="20"/>
          <w:color w:val="auto"/>
        </w:rPr>
      </w:pPr>
      <w:r>
        <w:rPr>
          <w:rFonts w:ascii="Times New Roman" w:cs="Times New Roman" w:eastAsia="Times New Roman" w:hAnsi="Times New Roman"/>
          <w:sz w:val="14"/>
          <w:szCs w:val="14"/>
          <w:color w:val="auto"/>
        </w:rPr>
        <w:t xml:space="preserve">Interest on the August 2027 Notes was due semiannually in arrears on February 15 and August 15 of each year. The August 2027 Notes were general unsecured obligations of the Company that ranked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all outstanding and future unsecured unsubordinated indebtedness issued by the Company.</w:t>
      </w:r>
    </w:p>
    <w:p>
      <w:pPr>
        <w:spacing w:after="0" w:line="10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August 2027 Notes issuance were $0.7 million, and were capitalized and deferred. As of December 31, 2024, unamortized deferred financing costs related to the August 2027 Notes were $0.4 million, which were fully expensed upon repayment of the notes.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December 2027 Notes</w:t>
      </w:r>
    </w:p>
    <w:p>
      <w:pPr>
        <w:spacing w:after="0" w:line="190" w:lineRule="exact"/>
        <w:rPr>
          <w:sz w:val="20"/>
          <w:szCs w:val="20"/>
          <w:color w:val="auto"/>
        </w:rPr>
      </w:pPr>
    </w:p>
    <w:p>
      <w:pPr>
        <w:jc w:val="both"/>
        <w:ind w:right="200"/>
        <w:spacing w:after="0" w:line="247" w:lineRule="auto"/>
        <w:rPr>
          <w:sz w:val="20"/>
          <w:szCs w:val="20"/>
          <w:color w:val="auto"/>
        </w:rPr>
      </w:pPr>
      <w:r>
        <w:rPr>
          <w:rFonts w:ascii="Times New Roman" w:cs="Times New Roman" w:eastAsia="Times New Roman" w:hAnsi="Times New Roman"/>
          <w:sz w:val="16"/>
          <w:szCs w:val="16"/>
          <w:color w:val="auto"/>
        </w:rPr>
        <w:t>On December 7, 2022, the Company issued and sold $51.75 million in aggregate principal amount of 8.00% interest-bearing unsecured Notes due December 28, 2027 (the "December 2027 Notes") under its shelf Registration Statement on Form N-2. The December 2027 Notes were issued pursuant to the Base Indenture and Second Supplemental Indenture, dated December 7, 2022, between the Company and the Trustee, U.S. Bank Trust Company, National Association.</w:t>
      </w:r>
    </w:p>
    <w:p>
      <w:pPr>
        <w:spacing w:after="0" w:line="164"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4"/>
          <w:szCs w:val="14"/>
          <w:color w:val="auto"/>
        </w:rPr>
        <w:t xml:space="preserve">Interest on the December 2027 Notes will be due quarterly in arrears on March 1, June 1, September 1, and December 1 of each year. The December 2027 Notes may be redeemed in whole or in part at any time or from time to time at the Company's option on or after December 31, 2024, at a redemption price of $25 per December 2027 Note plus accrued and unpaid interest payments otherwise payable for the then-current quarterly interest period accrued to the date fixed for redemption. The December 2027 Notes are general unsecured obligations of the Company that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Company's existing and future unsecured, unsubordinated indebtedness.</w:t>
      </w:r>
    </w:p>
    <w:p>
      <w:pPr>
        <w:spacing w:after="0" w:line="137"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6"/>
          <w:szCs w:val="16"/>
          <w:color w:val="auto"/>
        </w:rPr>
        <w:t>Aggregate costs in connection with the December 2027 Notes issuance, including the underwriter's discount and commissions, were $ 1.9 million, and were capitalized and deferred. As of June 30, 2025 and December 31, 2024, unamortized deferred financing costs related to the December 2027 Notes were $0.9 million and $1.1 million,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2028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April 2028 Notes</w:t>
      </w:r>
    </w:p>
    <w:p>
      <w:pPr>
        <w:spacing w:after="0" w:line="19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On April 7, 2025, the Company completed a private debt offering of $107.0 million in aggregate principal amount of 7.51% interest- bearing unsecured Series 2025A Senior Notes due 2028 (the "April 2028 Notes") to institutional accredited investors (as defined in Regulation D under the Securities Act). The April 2028 Notes are due on April 7, 2028, unless redeemed, purchased or prepaid prior to such date by the Company or its affiliates in accordance with their terms.</w:t>
      </w:r>
    </w:p>
    <w:p>
      <w:pPr>
        <w:spacing w:after="0" w:line="164"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Interest on the April 2028 Notes will be due semiannually in arrears on April 7 and October 7 of each year. The April 2028 Notes are general unsecured obligations of the Company that rank pari passu with all outstanding and future unsecured unsubordinated indebtedness issued by the Company.</w:t>
      </w:r>
    </w:p>
    <w:p>
      <w:pPr>
        <w:spacing w:after="0" w:line="143"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Aggregate costs in connection with the April 2028 Notes issuance were $0.3 million, and were capitalized and deferred. As of June 30, 2025, unamortized deferred financing costs related to the April 2028 Notes were $0.3 million.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48" w:name="page49"/>
    <w:bookmarkEnd w:id="4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8 – Commitments, Contingencies, and Off-balance Sheet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Commitments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provides the Company’s contractual obligations as of June 30, 2025 and December 31, 2024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 xml:space="preserve">Payments Due by Period </w:t>
            </w:r>
            <w:r>
              <w:rPr>
                <w:rFonts w:ascii="Times New Roman" w:cs="Times New Roman" w:eastAsia="Times New Roman" w:hAnsi="Times New Roman"/>
                <w:sz w:val="16"/>
                <w:szCs w:val="16"/>
                <w:b w:val="1"/>
                <w:bCs w:val="1"/>
                <w:color w:val="auto"/>
                <w:vertAlign w:val="superscript"/>
              </w:rPr>
              <w:t>(1)</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Less than 1 Year</w:t>
            </w:r>
          </w:p>
        </w:tc>
        <w:tc>
          <w:tcPr>
            <w:tcW w:w="2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b w:val="1"/>
                <w:bCs w:val="1"/>
                <w:color w:val="auto"/>
              </w:rPr>
              <w:t>1-3 years</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3-5 years</w:t>
            </w:r>
          </w:p>
        </w:tc>
        <w:tc>
          <w:tcPr>
            <w:tcW w:w="120" w:type="dxa"/>
            <w:vAlign w:val="bottom"/>
          </w:tcPr>
          <w:p>
            <w:pPr>
              <w:spacing w:after="0"/>
              <w:rPr>
                <w:sz w:val="14"/>
                <w:szCs w:val="14"/>
                <w:color w:val="auto"/>
              </w:rPr>
            </w:pPr>
          </w:p>
        </w:tc>
        <w:tc>
          <w:tcPr>
            <w:tcW w:w="12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More than 5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(2)</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440" w:type="dxa"/>
            <w:vAlign w:val="bottom"/>
            <w:gridSpan w:val="2"/>
            <w:shd w:val="clear" w:color="auto" w:fill="CFF0FC"/>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259,000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2026 Notes</w:t>
            </w:r>
          </w:p>
        </w:tc>
        <w:tc>
          <w:tcPr>
            <w:tcW w:w="160" w:type="dxa"/>
            <w:vAlign w:val="bottom"/>
          </w:tcPr>
          <w:p>
            <w:pPr>
              <w:spacing w:after="0"/>
              <w:rPr>
                <w:sz w:val="13"/>
                <w:szCs w:val="13"/>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25,000</w:t>
            </w: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2027 Notes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2028 Notes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Total Borrowings</w:t>
            </w: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25,000</w:t>
            </w: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239,250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259,000</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Deferred Incentive Fees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3,875</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2,429</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12,219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Foreign Currency Forward Contracts</w:t>
            </w:r>
          </w:p>
        </w:tc>
        <w:tc>
          <w:tcPr>
            <w:tcW w:w="16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(1,359)</w:t>
            </w: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(1,359)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gridSpan w:val="2"/>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27,516</w:t>
            </w:r>
          </w:p>
        </w:tc>
        <w:tc>
          <w:tcPr>
            <w:tcW w:w="280" w:type="dxa"/>
            <w:vAlign w:val="bottom"/>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245,081</w:t>
            </w:r>
          </w:p>
        </w:tc>
        <w:tc>
          <w:tcPr>
            <w:tcW w:w="100" w:type="dxa"/>
            <w:vAlign w:val="bottom"/>
          </w:tcPr>
          <w:p>
            <w:pPr>
              <w:spacing w:after="0"/>
              <w:rPr>
                <w:sz w:val="13"/>
                <w:szCs w:val="13"/>
                <w:color w:val="auto"/>
              </w:rPr>
            </w:pPr>
          </w:p>
        </w:tc>
        <w:tc>
          <w:tcPr>
            <w:tcW w:w="440" w:type="dxa"/>
            <w:vAlign w:val="bottom"/>
            <w:gridSpan w:val="2"/>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261,429</w:t>
            </w:r>
          </w:p>
        </w:tc>
        <w:tc>
          <w:tcPr>
            <w:tcW w:w="240" w:type="dxa"/>
            <w:vAlign w:val="bottom"/>
          </w:tcPr>
          <w:p>
            <w:pPr>
              <w:spacing w:after="0"/>
              <w:rPr>
                <w:sz w:val="13"/>
                <w:szCs w:val="13"/>
                <w:color w:val="auto"/>
              </w:rPr>
            </w:pPr>
          </w:p>
        </w:tc>
        <w:tc>
          <w:tcPr>
            <w:tcW w:w="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84</w:t>
            </w:r>
          </w:p>
        </w:tc>
        <w:tc>
          <w:tcPr>
            <w:tcW w:w="560" w:type="dxa"/>
            <w:vAlign w:val="bottom"/>
            <w:gridSpan w:val="2"/>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534,110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26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color w:val="auto"/>
              </w:rPr>
              <w:t xml:space="preserve">Borrowings </w:t>
            </w:r>
            <w:r>
              <w:rPr>
                <w:rFonts w:ascii="Times New Roman" w:cs="Times New Roman" w:eastAsia="Times New Roman" w:hAnsi="Times New Roman"/>
                <w:sz w:val="16"/>
                <w:szCs w:val="16"/>
                <w:color w:val="auto"/>
                <w:vertAlign w:val="superscript"/>
              </w:rPr>
              <w:t>(2)</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Credit Facility</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tcPr>
          <w:p>
            <w:pPr>
              <w:spacing w:after="0"/>
              <w:rPr>
                <w:sz w:val="13"/>
                <w:szCs w:val="13"/>
                <w:color w:val="auto"/>
              </w:rPr>
            </w:pPr>
          </w:p>
        </w:tc>
        <w:tc>
          <w:tcPr>
            <w:tcW w:w="4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2026 Notes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95,000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2027 Notes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Total Borrowings</w:t>
            </w:r>
          </w:p>
        </w:tc>
        <w:tc>
          <w:tcPr>
            <w:tcW w:w="16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558,250</w:t>
            </w: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558,250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Deferred Incentive Fees</w:t>
            </w:r>
          </w:p>
        </w:tc>
        <w:tc>
          <w:tcPr>
            <w:tcW w:w="16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2,584</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10,116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tcBorders>
              <w:bottom w:val="single" w:sz="8" w:color="CFF0FC"/>
            </w:tcBorders>
            <w:shd w:val="clear" w:color="auto" w:fill="CFF0FC"/>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2,584</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563,136</w:t>
            </w: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2,562</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84</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568,366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Excludes interest payable on borrowings, accrued expenses, and commitments to extend credit to the Company’s portfolio companies.</w:t>
      </w:r>
    </w:p>
    <w:p>
      <w:pPr>
        <w:ind w:left="3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Amounts represent future principal repayments and not the carrying value of each liability (refer to "Note 7 – Borrowings").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20" w:lineRule="exact"/>
        <w:rPr>
          <w:sz w:val="20"/>
          <w:szCs w:val="20"/>
          <w:color w:val="auto"/>
        </w:rPr>
      </w:pPr>
    </w:p>
    <w:p>
      <w:pPr>
        <w:ind w:right="360"/>
        <w:spacing w:after="0" w:line="241" w:lineRule="auto"/>
        <w:rPr>
          <w:sz w:val="20"/>
          <w:szCs w:val="20"/>
          <w:color w:val="auto"/>
        </w:rPr>
      </w:pPr>
      <w:r>
        <w:rPr>
          <w:rFonts w:ascii="Times New Roman" w:cs="Times New Roman" w:eastAsia="Times New Roman" w:hAnsi="Times New Roman"/>
          <w:sz w:val="16"/>
          <w:szCs w:val="16"/>
          <w:color w:val="auto"/>
        </w:rPr>
        <w:t>The Company and RGC are not currently subject to any material legal proceedings, nor, to the Company's knowledge, is any material legal proceeding threatened against the Company or RGC. From time to time, the Company or RGC may be a party to certain legal proceedings in the ordinary course of business, including proceedings relating to the enforcement of their rights under contracts with its portfolio companies. The Company's business is also subject to extensive regulation, which may result in regulatory proceedings against it. While the outcome of any such legal proceedings cannot be predicted with certainty, the Company does not expect that any such proceedings will have a material effect upon its financial condition or results of operations.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49" w:name="page50"/>
    <w:bookmarkEnd w:id="4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2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In the normal course of business, the Company may enter into investment agreements under which it commits to make an investment in a portfolio company at some future date or over a specified period of time. These unfunded contractual commitments to provide funds to portfolio companies are not reflected on the Consolidated Statements of Assets and Liabilities. With the exception of the JV, the availability of such unfunded commitments is subject to the specific terms and conditions of each contract, which may include, among other things, portfolio company performance requirements and time-based cancellation provisions. As a result, only a portion of unfunded commitments is currently eligible to be drawn.</w:t>
      </w:r>
    </w:p>
    <w:p>
      <w:pPr>
        <w:spacing w:after="0" w:line="97" w:lineRule="exact"/>
        <w:rPr>
          <w:sz w:val="20"/>
          <w:szCs w:val="20"/>
          <w:color w:val="auto"/>
        </w:rPr>
      </w:pPr>
    </w:p>
    <w:p>
      <w:pPr>
        <w:ind w:right="340"/>
        <w:spacing w:after="0" w:line="259" w:lineRule="auto"/>
        <w:rPr>
          <w:sz w:val="20"/>
          <w:szCs w:val="20"/>
          <w:color w:val="auto"/>
        </w:rPr>
      </w:pPr>
      <w:r>
        <w:rPr>
          <w:rFonts w:ascii="Times New Roman" w:cs="Times New Roman" w:eastAsia="Times New Roman" w:hAnsi="Times New Roman"/>
          <w:sz w:val="16"/>
          <w:szCs w:val="16"/>
          <w:color w:val="auto"/>
        </w:rPr>
        <w:t>The Company's unfunded commitments to provide debt and equity financing to its portfolio companies and Runway-Cadma I LLC amounted to $164.9 million and $176.7 million as of June 30, 2025 and December 31, 2024, respectively, shown in the table below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Portfolio Company</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220" w:type="dxa"/>
            <w:vAlign w:val="bottom"/>
          </w:tcPr>
          <w:p>
            <w:pPr>
              <w:spacing w:after="0"/>
              <w:rPr>
                <w:sz w:val="14"/>
                <w:szCs w:val="14"/>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80" w:type="dxa"/>
            <w:vAlign w:val="bottom"/>
          </w:tcPr>
          <w:p>
            <w:pPr>
              <w:spacing w:after="0"/>
              <w:rPr>
                <w:sz w:val="14"/>
                <w:szCs w:val="14"/>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Autobooks,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13,000</w:t>
            </w:r>
          </w:p>
        </w:tc>
        <w:tc>
          <w:tcPr>
            <w:tcW w:w="1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Bombora,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CarNow,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8,000</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12,000</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Elevate Services,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14,000</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Interactions Corporation</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10,000</w:t>
            </w: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Linxup, LLC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Marley Spoon SE</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Onward Medical, N.V.</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tcPr>
          <w:p>
            <w:pPr>
              <w:spacing w:after="0"/>
              <w:rPr>
                <w:sz w:val="13"/>
                <w:szCs w:val="13"/>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38,982</w:t>
            </w: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38,982</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Route 92 Medical,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20,000</w:t>
            </w: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10,000</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Runway-Cadma I LLC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w w:val="99"/>
              </w:rPr>
              <w:t>Joint Venture</w:t>
            </w:r>
          </w:p>
        </w:tc>
        <w:tc>
          <w:tcPr>
            <w:tcW w:w="220" w:type="dxa"/>
            <w:vAlign w:val="bottom"/>
          </w:tcPr>
          <w:p>
            <w:pPr>
              <w:spacing w:after="0"/>
              <w:rPr>
                <w:sz w:val="13"/>
                <w:szCs w:val="13"/>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29,400</w:t>
            </w:r>
          </w:p>
        </w:tc>
        <w:tc>
          <w:tcPr>
            <w:tcW w:w="180" w:type="dxa"/>
            <w:vAlign w:val="bottom"/>
          </w:tcPr>
          <w:p>
            <w:pPr>
              <w:spacing w:after="0"/>
              <w:rPr>
                <w:sz w:val="13"/>
                <w:szCs w:val="13"/>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29,400</w:t>
            </w: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SetPoint Medical Corporation</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20,000</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Snap! Mobile,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Swing Education,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10,000</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Swing Education, Inc.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w w:val="99"/>
              </w:rPr>
              <w:t>Senior Secured Revolver</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Synack, Inc.</w:t>
            </w:r>
          </w:p>
        </w:tc>
        <w:tc>
          <w:tcPr>
            <w:tcW w:w="3280" w:type="dxa"/>
            <w:vAlign w:val="bottom"/>
            <w:shd w:val="clear" w:color="auto" w:fill="CFF0FC"/>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shd w:val="clear" w:color="auto" w:fill="CFF0FC"/>
          </w:tcPr>
          <w:p>
            <w:pPr>
              <w:spacing w:after="0"/>
              <w:rPr>
                <w:sz w:val="13"/>
                <w:szCs w:val="13"/>
                <w:color w:val="auto"/>
              </w:rPr>
            </w:pP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22,500</w:t>
            </w:r>
          </w:p>
        </w:tc>
        <w:tc>
          <w:tcPr>
            <w:tcW w:w="18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22,500</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Zinnia Corporate Holdings, LLC</w:t>
            </w:r>
          </w:p>
        </w:tc>
        <w:tc>
          <w:tcPr>
            <w:tcW w:w="3280" w:type="dxa"/>
            <w:vAlign w:val="bottom"/>
          </w:tcPr>
          <w:p>
            <w:pPr>
              <w:jc w:val="center"/>
              <w:ind w:left="314"/>
              <w:spacing w:after="0"/>
              <w:rPr>
                <w:sz w:val="20"/>
                <w:szCs w:val="20"/>
                <w:color w:val="auto"/>
              </w:rPr>
            </w:pPr>
            <w:r>
              <w:rPr>
                <w:rFonts w:ascii="Times New Roman" w:cs="Times New Roman" w:eastAsia="Times New Roman" w:hAnsi="Times New Roman"/>
                <w:sz w:val="13"/>
                <w:szCs w:val="13"/>
                <w:color w:val="auto"/>
              </w:rPr>
              <w:t>Senior Secured Term Loan</w:t>
            </w:r>
          </w:p>
        </w:tc>
        <w:tc>
          <w:tcPr>
            <w:tcW w:w="2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unused commitments to extend financing</w:t>
            </w:r>
          </w:p>
        </w:tc>
        <w:tc>
          <w:tcPr>
            <w:tcW w:w="3280" w:type="dxa"/>
            <w:vAlign w:val="bottom"/>
            <w:shd w:val="clear" w:color="auto" w:fill="CFF0FC"/>
          </w:tcPr>
          <w:p>
            <w:pPr>
              <w:spacing w:after="0"/>
              <w:rPr>
                <w:sz w:val="15"/>
                <w:szCs w:val="15"/>
                <w:color w:val="auto"/>
              </w:rPr>
            </w:pPr>
          </w:p>
        </w:tc>
        <w:tc>
          <w:tcPr>
            <w:tcW w:w="220" w:type="dxa"/>
            <w:vAlign w:val="bottom"/>
            <w:vMerge w:val="restart"/>
            <w:shd w:val="clear" w:color="auto" w:fill="CFF0FC"/>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164,870</w:t>
            </w:r>
          </w:p>
        </w:tc>
        <w:tc>
          <w:tcPr>
            <w:tcW w:w="260" w:type="dxa"/>
            <w:vAlign w:val="bottom"/>
            <w:shd w:val="clear" w:color="auto" w:fill="CFF0FC"/>
          </w:tcPr>
          <w:p>
            <w:pPr>
              <w:spacing w:after="0"/>
              <w:rPr>
                <w:sz w:val="15"/>
                <w:szCs w:val="15"/>
                <w:color w:val="auto"/>
              </w:rPr>
            </w:pPr>
          </w:p>
        </w:tc>
        <w:tc>
          <w:tcPr>
            <w:tcW w:w="18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176,715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3780" w:type="dxa"/>
            <w:vAlign w:val="bottom"/>
            <w:tcBorders>
              <w:bottom w:val="single" w:sz="8" w:color="CFF0FC"/>
            </w:tcBorders>
            <w:shd w:val="clear" w:color="auto" w:fill="CFF0FC"/>
          </w:tcPr>
          <w:p>
            <w:pPr>
              <w:spacing w:after="0"/>
              <w:rPr>
                <w:sz w:val="8"/>
                <w:szCs w:val="8"/>
                <w:color w:val="auto"/>
              </w:rPr>
            </w:pPr>
          </w:p>
        </w:tc>
        <w:tc>
          <w:tcPr>
            <w:tcW w:w="3280" w:type="dxa"/>
            <w:vAlign w:val="bottom"/>
            <w:tcBorders>
              <w:bottom w:val="single" w:sz="8" w:color="CFF0FC"/>
            </w:tcBorders>
            <w:shd w:val="clear" w:color="auto" w:fill="CFF0FC"/>
          </w:tcPr>
          <w:p>
            <w:pPr>
              <w:spacing w:after="0"/>
              <w:rPr>
                <w:sz w:val="8"/>
                <w:szCs w:val="8"/>
                <w:color w:val="auto"/>
              </w:rPr>
            </w:pPr>
          </w:p>
        </w:tc>
        <w:tc>
          <w:tcPr>
            <w:tcW w:w="220" w:type="dxa"/>
            <w:vAlign w:val="bottom"/>
            <w:tcBorders>
              <w:bottom w:val="single" w:sz="8" w:color="auto"/>
            </w:tcBorders>
            <w:vMerge w:val="continue"/>
            <w:shd w:val="clear" w:color="auto" w:fill="CFF0FC"/>
          </w:tcPr>
          <w:p>
            <w:pPr>
              <w:spacing w:after="0"/>
              <w:rPr>
                <w:sz w:val="8"/>
                <w:szCs w:val="8"/>
                <w:color w:val="auto"/>
              </w:rPr>
            </w:pPr>
          </w:p>
        </w:tc>
        <w:tc>
          <w:tcPr>
            <w:tcW w:w="1340" w:type="dxa"/>
            <w:vAlign w:val="bottom"/>
            <w:tcBorders>
              <w:bottom w:val="single" w:sz="8" w:color="auto"/>
            </w:tcBorders>
            <w:vMerge w:val="continue"/>
            <w:shd w:val="clear" w:color="auto" w:fill="CFF0FC"/>
          </w:tcPr>
          <w:p>
            <w:pPr>
              <w:spacing w:after="0"/>
              <w:rPr>
                <w:sz w:val="8"/>
                <w:szCs w:val="8"/>
                <w:color w:val="auto"/>
              </w:rPr>
            </w:pPr>
          </w:p>
        </w:tc>
        <w:tc>
          <w:tcPr>
            <w:tcW w:w="260" w:type="dxa"/>
            <w:vAlign w:val="bottom"/>
            <w:tcBorders>
              <w:bottom w:val="single" w:sz="8" w:color="CFF0FC"/>
            </w:tcBorders>
            <w:shd w:val="clear" w:color="auto" w:fill="CFF0FC"/>
          </w:tcPr>
          <w:p>
            <w:pPr>
              <w:spacing w:after="0"/>
              <w:rPr>
                <w:sz w:val="8"/>
                <w:szCs w:val="8"/>
                <w:color w:val="auto"/>
              </w:rPr>
            </w:pPr>
          </w:p>
        </w:tc>
        <w:tc>
          <w:tcPr>
            <w:tcW w:w="180" w:type="dxa"/>
            <w:vAlign w:val="bottom"/>
            <w:tcBorders>
              <w:bottom w:val="single" w:sz="8" w:color="auto"/>
            </w:tcBorders>
            <w:vMerge w:val="continue"/>
            <w:shd w:val="clear" w:color="auto" w:fill="CFF0FC"/>
          </w:tcPr>
          <w:p>
            <w:pPr>
              <w:spacing w:after="0"/>
              <w:rPr>
                <w:sz w:val="8"/>
                <w:szCs w:val="8"/>
                <w:color w:val="auto"/>
              </w:rPr>
            </w:pPr>
          </w:p>
        </w:tc>
        <w:tc>
          <w:tcPr>
            <w:tcW w:w="1420" w:type="dxa"/>
            <w:vAlign w:val="bottom"/>
            <w:tcBorders>
              <w:bottom w:val="single" w:sz="8" w:color="auto"/>
            </w:tcBorders>
            <w:vMerge w:val="continue"/>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16"/>
          <w:szCs w:val="16"/>
          <w:color w:val="auto"/>
        </w:rPr>
        <w:t>The Company may also enter into foreign currency forward contracts to mitigate its exposure to foreign currency fluctuations associated with certain investments denominated in foreign currencies. While these contracts are recognized on the Consolidated Statements of Assets and Liabilities at fair value in accordance with ASC 815, they are also considered off-balance sheet arrangements because they may result in future cash payments or receipts that are not fully reflected in the financial statements as of June 30, 2025. As of June 30, 2025, the Company had outstanding forward currency contracts with a total notional amount of $29.8 million to purchase foreign currencies. For more information on the contracts and related maturities, refer to "Note 4 - Investments." There were no foreign currency forward contracts as of December 31, 2024.</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0" w:name="page51"/>
    <w:bookmarkEnd w:id="5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9 – Net Assets</w:t>
      </w:r>
    </w:p>
    <w:p>
      <w:pPr>
        <w:spacing w:after="0" w:line="190"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The Company has the authority to issue 100,000,000 shares of common stock, par value $0.01 per share. In October 2015, in connection with the Company's formation, the Company issued and sold 1,667 shares of common stock to R. David Spreng, the President and Chief Executive Officer of the Company, for an aggregate purchase price of $25 thousand.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Private Common Stock Offerings</w:t>
      </w:r>
    </w:p>
    <w:p>
      <w:pPr>
        <w:spacing w:after="0" w:line="19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On December 1, 2017, the Company completed its initial private offering ("Initial Private Offering"), in which the Company issued 18,241,157 shares of its common stock to stockholders for a total purchase price of $275.0 million in reliance on exemptions from the registration requirements of the Securities Act, and other applicable securities laws.</w:t>
      </w:r>
    </w:p>
    <w:p>
      <w:pPr>
        <w:spacing w:after="0" w:line="164"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4"/>
          <w:szCs w:val="14"/>
          <w:color w:val="auto"/>
        </w:rPr>
        <w:t>Beginning October 15, 2019 and ending September 29, 2021, the Company completed multiple closings under its second private offering (the "Second Private Offering") and accepted aggregate capital commitments of $181.7 million. In connection with the Second Private Offering the Company issued 9,617,379 shares of its common stock for a total purchase price of $144.3 million. Concurrent with the IPO, all undrawn commitments under the Second Private Offering were cancelled.</w:t>
      </w:r>
    </w:p>
    <w:p>
      <w:pPr>
        <w:spacing w:after="0" w:line="131"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On March 31, 2020 and March 24, 2021, the Company issued in aggregate 22,564 shares as an additional direct investment by Runway Growth Holdings LLC, an affiliate of RGC, at a per share price of $15.00 for total proceeds of $0.3 million in a private offering pursuant to an exemption from registration under Regulation D of the Securities Act.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Initial Public Offering</w:t>
      </w:r>
    </w:p>
    <w:p>
      <w:pPr>
        <w:spacing w:after="0" w:line="192" w:lineRule="exact"/>
        <w:rPr>
          <w:sz w:val="20"/>
          <w:szCs w:val="20"/>
          <w:color w:val="auto"/>
        </w:rPr>
      </w:pPr>
    </w:p>
    <w:p>
      <w:pPr>
        <w:jc w:val="both"/>
        <w:ind w:right="40"/>
        <w:spacing w:after="0" w:line="247" w:lineRule="auto"/>
        <w:rPr>
          <w:sz w:val="20"/>
          <w:szCs w:val="20"/>
          <w:color w:val="auto"/>
        </w:rPr>
      </w:pPr>
      <w:r>
        <w:rPr>
          <w:rFonts w:ascii="Times New Roman" w:cs="Times New Roman" w:eastAsia="Times New Roman" w:hAnsi="Times New Roman"/>
          <w:sz w:val="16"/>
          <w:szCs w:val="16"/>
          <w:color w:val="auto"/>
        </w:rPr>
        <w:t>On October 25, 2021, the Company closed its IPO, issuing 6,850,000 shares of its common stock at a public offering price of $14.60 per share. Net of underwriting fees and offering costs, the Company received net cash proceeds of $93.0 million. The Company’s common stock began trading on NASDAQ on October 21, 2021 under the symbol "RWAY".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Repurchase Program</w:t>
      </w:r>
    </w:p>
    <w:p>
      <w:pPr>
        <w:spacing w:after="0" w:line="19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On February 24, 2022, the Board of Directors approved a share repurchase program (the "First Repurchase Program") under which the Company was authorized to repurchase up to $25.0 million of its outstanding common stock, at management’s discretion from time to time in open-market transactions and in accordance with all applicable securities laws and regulations. The Company repurchased 871,345 shares in connection with the First Repurchase Program for an aggregate purchase price of $10.8 million. The First Repurchase Program expired on February 24, 2023.</w:t>
      </w:r>
    </w:p>
    <w:p>
      <w:pPr>
        <w:spacing w:after="0" w:line="167"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6"/>
          <w:szCs w:val="16"/>
          <w:color w:val="auto"/>
        </w:rPr>
        <w:t>On November 2, 2023, the Board of Directors approved a share repurchase program (the "Second Repurchase Program"), under which the Company was authorized to repurchase up to $ 25.0 million of its outstanding shares of common stock, at management’s discretion from time to time in open-market transactions and in accordance with all applicable securities laws and regulations. The Company repurchased 1,961,938 shares in connection with the Second Repurchase Program for an aggregate purchase price of $23.5 million. The Second Repurchase Program expired on November 2, 2024.</w:t>
      </w:r>
    </w:p>
    <w:p>
      <w:pPr>
        <w:spacing w:after="0" w:line="167"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6"/>
          <w:szCs w:val="16"/>
          <w:color w:val="auto"/>
        </w:rPr>
        <w:t>On July 30, 2024, the Board of Directors approved a share repurchase program (the "Third Repurchase Program"), under which the Company was authorized to repurchase up to $ 15.0 million of its outstanding shares of common stock, at management's discretion from time to time in open-market transactions and in accordance with all applicable securities laws and regulations. The Company repurchased 1,199,867 shares in connection with the Third Repurchase Program for an aggregate purchase price of $12.5 million, exhausting the full approved amount of repurchases under the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May 7, 2025, the Board of Directors approved a share repurchase program (the "Fourth Repurchase Program"), under which the Company may repurchase up to</w:t>
      </w:r>
    </w:p>
    <w:p>
      <w:pPr>
        <w:spacing w:after="0" w:line="14"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6"/>
          <w:szCs w:val="16"/>
          <w:color w:val="auto"/>
        </w:rPr>
        <w:t>$25.0 million of its outstanding shares of common stock, at management's discretion from time to time in open -market transactions and in accordance with all applicable securities laws and regulations. If not renewed, the Fourth Repurchase Program will terminate upon the earlier of (i) May 7, 2026 or (ii) the repurchase of $25.0 million of the Company's shares of common stock. From the inception of the Fourth Repurchase Program through June 30, 2025, the Company repurchased 815,408 shares for an aggregate purchase price of $8.1 million.</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1" w:name="page52"/>
    <w:bookmarkEnd w:id="5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 and Dividend Reinvestment Plan</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Company intends to pay quarterly distributions to its stockholders out of assets legally available for distribution. All distributions will be paid at the discretion of the Board of Directors and will depend on the Company's earnings, financial condition, maintenance of RIC status for income tax purposes, compliance with applicable BDC regulations and such other factors as the Board of Directors may deem relevant from time to time.</w:t>
      </w:r>
    </w:p>
    <w:p>
      <w:pPr>
        <w:spacing w:after="0" w:line="92"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4"/>
          <w:szCs w:val="14"/>
          <w:color w:val="auto"/>
        </w:rPr>
        <w:t>The Company maintains a dividend reinvestment plan for common stockholders (the "Dividend Reinvestment Plan"). The Dividend Reinvestment Plan is administered by its transfer agent on behalf of the Company's record holders and participating brokerage firms. Brokerage firms and other financial intermediaries may decide not to participate in the Dividend Reinvestment Plan but may provide a similar distribution reinvestment plan for their clients. The share requirements of the Dividend Reinvestment Plan may be satisfied through the issuance of new common shares or through open market purchases of common shares by the Company.</w:t>
      </w:r>
    </w:p>
    <w:p>
      <w:pPr>
        <w:spacing w:after="0" w:line="65"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For the three and six months ended June 30, 2025, the Company declared dividends in the amount of $13.1 million and $26.5 million, respectively, of which $12.8 million and $26.0 million, respectively, were distributed in cash, with the remainder distributed in the form of 60,716 and 60,716 shares, respectively, of the Company's common stock purchased by the Company in the open market and distributed to stockholders pursuant to the Dividend Reinvestment Plan. For the three and six months ended June 30, 2024, the Company declared and paid dividends in the amount of $18.5 million and $37.6 million, respectively, of which $18.2 million and $37.0 million, respectively, were distributed in cash, with the remainder distributed in the form of 24,066 and 44,597 shares, respectively, of the Company's common stock purchased by the Company in the open market and distributed to stockholders pursuant to the Dividend Reinvestment Plan.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summarizes the distributions declared and paid since inception through June 30, 2025:</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50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Declaration Date</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2260" w:type="dxa"/>
            <w:vAlign w:val="bottom"/>
          </w:tcPr>
          <w:p>
            <w:pPr>
              <w:ind w:left="820"/>
              <w:spacing w:after="0"/>
              <w:rPr>
                <w:sz w:val="20"/>
                <w:szCs w:val="20"/>
                <w:color w:val="auto"/>
              </w:rPr>
            </w:pPr>
            <w:r>
              <w:rPr>
                <w:rFonts w:ascii="Times New Roman" w:cs="Times New Roman" w:eastAsia="Times New Roman" w:hAnsi="Times New Roman"/>
                <w:sz w:val="13"/>
                <w:szCs w:val="13"/>
                <w:b w:val="1"/>
                <w:bCs w:val="1"/>
                <w:color w:val="auto"/>
              </w:rPr>
              <w:t>Record Date</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Payment Date</w:t>
            </w:r>
          </w:p>
        </w:tc>
        <w:tc>
          <w:tcPr>
            <w:tcW w:w="1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 per Share</w:t>
            </w:r>
          </w:p>
        </w:tc>
        <w:tc>
          <w:tcPr>
            <w:tcW w:w="0" w:type="dxa"/>
            <w:vAlign w:val="bottom"/>
          </w:tcPr>
          <w:p>
            <w:pPr>
              <w:spacing w:after="0"/>
              <w:rPr>
                <w:sz w:val="1"/>
                <w:szCs w:val="1"/>
                <w:color w:val="auto"/>
              </w:rPr>
            </w:pPr>
          </w:p>
        </w:tc>
      </w:tr>
      <w:tr>
        <w:trPr>
          <w:trHeight w:val="168"/>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 2018</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15, 2018</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31, 2018</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26, 2018</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15, 2018</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31, 2018</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 2018</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31, 2018</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15, 2018</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2019</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26, 2019</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 2019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May 7,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21, 2019</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31,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16, 2019</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0.46</w:t>
            </w:r>
          </w:p>
        </w:tc>
        <w:tc>
          <w:tcPr>
            <w:tcW w:w="0" w:type="dxa"/>
            <w:vAlign w:val="bottom"/>
          </w:tcPr>
          <w:p>
            <w:pPr>
              <w:spacing w:after="0"/>
              <w:rPr>
                <w:sz w:val="1"/>
                <w:szCs w:val="1"/>
                <w:color w:val="auto"/>
              </w:rPr>
            </w:pPr>
          </w:p>
        </w:tc>
      </w:tr>
      <w:tr>
        <w:trPr>
          <w:trHeight w:val="172"/>
        </w:trPr>
        <w:tc>
          <w:tcPr>
            <w:tcW w:w="25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July 30, 2019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August 5, 2019</w:t>
            </w:r>
          </w:p>
        </w:tc>
        <w:tc>
          <w:tcPr>
            <w:tcW w:w="22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August 26, 2019</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3"/>
                <w:szCs w:val="13"/>
                <w:color w:val="auto"/>
              </w:rPr>
              <w:t>0.45</w:t>
            </w:r>
          </w:p>
        </w:tc>
        <w:tc>
          <w:tcPr>
            <w:tcW w:w="0" w:type="dxa"/>
            <w:vAlign w:val="bottom"/>
          </w:tcPr>
          <w:p>
            <w:pPr>
              <w:spacing w:after="0"/>
              <w:rPr>
                <w:sz w:val="1"/>
                <w:szCs w:val="1"/>
                <w:color w:val="auto"/>
              </w:rPr>
            </w:pPr>
          </w:p>
        </w:tc>
      </w:tr>
      <w:tr>
        <w:trPr>
          <w:trHeight w:val="116"/>
        </w:trPr>
        <w:tc>
          <w:tcPr>
            <w:tcW w:w="2500" w:type="dxa"/>
            <w:vAlign w:val="bottom"/>
            <w:vMerge w:val="continue"/>
          </w:tcPr>
          <w:p>
            <w:pPr>
              <w:spacing w:after="0"/>
              <w:rPr>
                <w:sz w:val="10"/>
                <w:szCs w:val="10"/>
                <w:color w:val="auto"/>
              </w:rPr>
            </w:pPr>
          </w:p>
        </w:tc>
        <w:tc>
          <w:tcPr>
            <w:tcW w:w="210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22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September 27, 2019</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September 30, 2019</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12, 2019</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0.04</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9, 2019</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December 10, 2019</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December 23, 2019</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March 5, 2020</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6, 2020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20, 2020</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7, 2020</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w w:val="99"/>
              </w:rPr>
              <w:t>May 8, 2020</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21, 2020</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5, 2020</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6, 2020</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20, 2020</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October 1, 2020</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October 1, 2020</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12, 2020</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0.38</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March 4, 2021</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5, 2021</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19, 2021</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0.37</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29, 2021</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April 30,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13, 2021</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0.37</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19, 2021</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20, 2021</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12, 2021</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0.34</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28, 2021</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8, 2021</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22, 2021</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0.25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24, 2022</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8, 2022</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22, 2022</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0.27</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28, 2022</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10, 2022</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24, 2022</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0.30</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28, 2022</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9, 2022</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23, 2022</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October 27, 2022</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8, 2022</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22, 2022</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0.36</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23,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March 7,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21,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23,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March 7,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21,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15,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31,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15,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31,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15,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31,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15,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31,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1, 2023</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November 13, 2023</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28, 2023</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1, 2023</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November 13, 2023</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November 28, 2023</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0.06</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1, 2024</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February 12,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February 28, 2024</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1,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February 12,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February 28, 2024</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April 30, 2024</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10,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24, 2024</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30,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10,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24, 2024</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0.07</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July 30, 2024</w:t>
            </w:r>
          </w:p>
        </w:tc>
        <w:tc>
          <w:tcPr>
            <w:tcW w:w="210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12,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August 26, 2024</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July 30, 2024</w:t>
            </w:r>
          </w:p>
        </w:tc>
        <w:tc>
          <w:tcPr>
            <w:tcW w:w="2100" w:type="dxa"/>
            <w:vAlign w:val="bottom"/>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12, 2024</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August 26, 2024</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0.05</w:t>
            </w:r>
          </w:p>
        </w:tc>
        <w:tc>
          <w:tcPr>
            <w:tcW w:w="0" w:type="dxa"/>
            <w:vAlign w:val="bottom"/>
          </w:tcPr>
          <w:p>
            <w:pPr>
              <w:spacing w:after="0"/>
              <w:rPr>
                <w:sz w:val="1"/>
                <w:szCs w:val="1"/>
                <w:color w:val="auto"/>
              </w:rPr>
            </w:pPr>
          </w:p>
        </w:tc>
      </w:tr>
      <w:tr>
        <w:trPr>
          <w:trHeight w:val="172"/>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November 5, 2024</w:t>
            </w:r>
          </w:p>
        </w:tc>
        <w:tc>
          <w:tcPr>
            <w:tcW w:w="2100" w:type="dxa"/>
            <w:vAlign w:val="bottom"/>
            <w:vMerge w:val="restart"/>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vMerge w:val="restart"/>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November 18, 2024</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December 2, 2024</w:t>
            </w:r>
          </w:p>
        </w:tc>
        <w:tc>
          <w:tcPr>
            <w:tcW w:w="140" w:type="dxa"/>
            <w:vAlign w:val="bottom"/>
            <w:shd w:val="clear" w:color="auto" w:fill="CFF0FC"/>
          </w:tcPr>
          <w:p>
            <w:pPr>
              <w:spacing w:after="0"/>
              <w:rPr>
                <w:sz w:val="14"/>
                <w:szCs w:val="14"/>
                <w:color w:val="auto"/>
              </w:rPr>
            </w:pPr>
          </w:p>
        </w:tc>
        <w:tc>
          <w:tcPr>
            <w:tcW w:w="13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0.40</w:t>
            </w:r>
          </w:p>
        </w:tc>
        <w:tc>
          <w:tcPr>
            <w:tcW w:w="0" w:type="dxa"/>
            <w:vAlign w:val="bottom"/>
          </w:tcPr>
          <w:p>
            <w:pPr>
              <w:spacing w:after="0"/>
              <w:rPr>
                <w:sz w:val="1"/>
                <w:szCs w:val="1"/>
                <w:color w:val="auto"/>
              </w:rPr>
            </w:pPr>
          </w:p>
        </w:tc>
      </w:tr>
      <w:tr>
        <w:trPr>
          <w:trHeight w:val="92"/>
        </w:trPr>
        <w:tc>
          <w:tcPr>
            <w:tcW w:w="2500" w:type="dxa"/>
            <w:vAlign w:val="bottom"/>
            <w:shd w:val="clear" w:color="auto" w:fill="CFF0FC"/>
          </w:tcPr>
          <w:p>
            <w:pPr>
              <w:spacing w:after="0"/>
              <w:rPr>
                <w:sz w:val="8"/>
                <w:szCs w:val="8"/>
                <w:color w:val="auto"/>
              </w:rPr>
            </w:pPr>
          </w:p>
        </w:tc>
        <w:tc>
          <w:tcPr>
            <w:tcW w:w="2100" w:type="dxa"/>
            <w:vAlign w:val="bottom"/>
            <w:vMerge w:val="continue"/>
            <w:shd w:val="clear" w:color="auto" w:fill="CFF0FC"/>
          </w:tcPr>
          <w:p>
            <w:pPr>
              <w:spacing w:after="0"/>
              <w:rPr>
                <w:sz w:val="8"/>
                <w:szCs w:val="8"/>
                <w:color w:val="auto"/>
              </w:rPr>
            </w:pPr>
          </w:p>
        </w:tc>
        <w:tc>
          <w:tcPr>
            <w:tcW w:w="2260" w:type="dxa"/>
            <w:vAlign w:val="bottom"/>
            <w:vMerge w:val="continue"/>
            <w:shd w:val="clear" w:color="auto" w:fill="CFF0FC"/>
          </w:tcPr>
          <w:p>
            <w:pPr>
              <w:spacing w:after="0"/>
              <w:rPr>
                <w:sz w:val="8"/>
                <w:szCs w:val="8"/>
                <w:color w:val="auto"/>
              </w:rPr>
            </w:pPr>
          </w:p>
        </w:tc>
        <w:tc>
          <w:tcPr>
            <w:tcW w:w="22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36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20, 2025</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March 31, 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April 14, 2025</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20, 2025</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March 31, 2025</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9"/>
              </w:rPr>
              <w:t>April 14, 2025</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6"/>
        </w:trPr>
        <w:tc>
          <w:tcPr>
            <w:tcW w:w="25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May 7, 2025</w:t>
            </w:r>
          </w:p>
        </w:tc>
        <w:tc>
          <w:tcPr>
            <w:tcW w:w="210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Quarterly</w:t>
            </w:r>
          </w:p>
        </w:tc>
        <w:tc>
          <w:tcPr>
            <w:tcW w:w="2260" w:type="dxa"/>
            <w:vAlign w:val="bottom"/>
          </w:tcPr>
          <w:p>
            <w:pPr>
              <w:jc w:val="center"/>
              <w:ind w:left="14"/>
              <w:spacing w:after="0"/>
              <w:rPr>
                <w:sz w:val="20"/>
                <w:szCs w:val="20"/>
                <w:color w:val="auto"/>
              </w:rPr>
            </w:pPr>
            <w:r>
              <w:rPr>
                <w:rFonts w:ascii="Times New Roman" w:cs="Times New Roman" w:eastAsia="Times New Roman" w:hAnsi="Times New Roman"/>
                <w:sz w:val="13"/>
                <w:szCs w:val="13"/>
                <w:color w:val="auto"/>
              </w:rPr>
              <w:t>May 19, 2025</w:t>
            </w:r>
          </w:p>
        </w:tc>
        <w:tc>
          <w:tcPr>
            <w:tcW w:w="22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June 3, 2025</w:t>
            </w:r>
          </w:p>
        </w:tc>
        <w:tc>
          <w:tcPr>
            <w:tcW w:w="140" w:type="dxa"/>
            <w:vAlign w:val="bottom"/>
          </w:tcPr>
          <w:p>
            <w:pPr>
              <w:spacing w:after="0"/>
              <w:rPr>
                <w:sz w:val="13"/>
                <w:szCs w:val="13"/>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56"/>
        </w:trPr>
        <w:tc>
          <w:tcPr>
            <w:tcW w:w="2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May 7, 2025</w:t>
            </w:r>
          </w:p>
        </w:tc>
        <w:tc>
          <w:tcPr>
            <w:tcW w:w="2100" w:type="dxa"/>
            <w:vAlign w:val="bottom"/>
            <w:shd w:val="clear" w:color="auto" w:fill="CFF0FC"/>
          </w:tcPr>
          <w:p>
            <w:pPr>
              <w:jc w:val="center"/>
              <w:ind w:left="34"/>
              <w:spacing w:after="0"/>
              <w:rPr>
                <w:sz w:val="20"/>
                <w:szCs w:val="20"/>
                <w:color w:val="auto"/>
              </w:rPr>
            </w:pPr>
            <w:r>
              <w:rPr>
                <w:rFonts w:ascii="Times New Roman" w:cs="Times New Roman" w:eastAsia="Times New Roman" w:hAnsi="Times New Roman"/>
                <w:sz w:val="13"/>
                <w:szCs w:val="13"/>
                <w:color w:val="auto"/>
              </w:rPr>
              <w:t>Supplemental</w:t>
            </w:r>
          </w:p>
        </w:tc>
        <w:tc>
          <w:tcPr>
            <w:tcW w:w="2260" w:type="dxa"/>
            <w:vAlign w:val="bottom"/>
            <w:shd w:val="clear" w:color="auto" w:fill="CFF0FC"/>
          </w:tcPr>
          <w:p>
            <w:pPr>
              <w:jc w:val="center"/>
              <w:ind w:left="14"/>
              <w:spacing w:after="0"/>
              <w:rPr>
                <w:sz w:val="20"/>
                <w:szCs w:val="20"/>
                <w:color w:val="auto"/>
              </w:rPr>
            </w:pPr>
            <w:r>
              <w:rPr>
                <w:rFonts w:ascii="Times New Roman" w:cs="Times New Roman" w:eastAsia="Times New Roman" w:hAnsi="Times New Roman"/>
                <w:sz w:val="13"/>
                <w:szCs w:val="13"/>
                <w:color w:val="auto"/>
              </w:rPr>
              <w:t>May 19, 2025</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rPr>
              <w:t>June 3, 2025</w:t>
            </w:r>
          </w:p>
        </w:tc>
        <w:tc>
          <w:tcPr>
            <w:tcW w:w="140" w:type="dxa"/>
            <w:vAlign w:val="bottom"/>
            <w:shd w:val="clear" w:color="auto" w:fill="CFF0FC"/>
          </w:tcPr>
          <w:p>
            <w:pPr>
              <w:spacing w:after="0"/>
              <w:rPr>
                <w:sz w:val="13"/>
                <w:szCs w:val="13"/>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56"/>
        </w:trPr>
        <w:tc>
          <w:tcPr>
            <w:tcW w:w="25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2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12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11.34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2" w:name="page53"/>
    <w:bookmarkEnd w:id="5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10 – Income Taxes</w:t>
      </w:r>
    </w:p>
    <w:p>
      <w:pPr>
        <w:spacing w:after="0" w:line="118"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The Company elected to be treated as a RIC under Subchapter M of the Code starting with its taxable year ended December 31, 2016. The Company currently qualifies and intends to qualify annually for the tax treatment applicable to RICs. A RIC generally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maintains its status as a RIC, it generally will not be subject to U.S. federal income tax on any ordinary income or capital gains that it distributes at least annually to its stockholders as dividends. Rather, any tax liability related to income earned by the Company represents obligations of the Company’s investors and will not be reflected in the consolidated financial statements of the Company. The Company intends to make sufficient distributions to maintain its RIC status each year and it does not anticipate paying any material United States federal income taxes in the future.</w:t>
      </w:r>
    </w:p>
    <w:p>
      <w:pPr>
        <w:spacing w:after="0" w:line="173"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Federal income tax regulations differ from U.S. GAAP, therefore distributions in accordance with tax regulations may differ from net investment income and realized gains recognized for financial reporting purposes. Differences may be permanent or temporary in nature.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67"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6"/>
          <w:szCs w:val="16"/>
          <w:color w:val="auto"/>
        </w:rPr>
        <w:t>The following table sets forth the tax cost basis and the estimated aggregate gross unrealized gain (loss) on investments for federal income tax purposes as of and for the period ended June 30, 2025 and the year ended December 31, 2024 (in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96"/>
        </w:trPr>
        <w:tc>
          <w:tcPr>
            <w:tcW w:w="20" w:type="dxa"/>
            <w:vAlign w:val="bottom"/>
          </w:tcPr>
          <w:p>
            <w:pPr>
              <w:spacing w:after="0"/>
              <w:rPr>
                <w:sz w:val="17"/>
                <w:szCs w:val="17"/>
                <w:color w:val="auto"/>
              </w:rPr>
            </w:pPr>
          </w:p>
        </w:tc>
        <w:tc>
          <w:tcPr>
            <w:tcW w:w="6200" w:type="dxa"/>
            <w:vAlign w:val="bottom"/>
            <w:tcBorders>
              <w:bottom w:val="single" w:sz="8" w:color="CFF0FC"/>
            </w:tcBorders>
            <w:shd w:val="clear" w:color="auto" w:fill="CFF0FC"/>
          </w:tcPr>
          <w:p>
            <w:pPr>
              <w:spacing w:after="0" w:line="136" w:lineRule="exact"/>
              <w:rPr>
                <w:sz w:val="20"/>
                <w:szCs w:val="20"/>
                <w:color w:val="auto"/>
              </w:rPr>
            </w:pPr>
            <w:r>
              <w:rPr>
                <w:rFonts w:ascii="Times New Roman" w:cs="Times New Roman" w:eastAsia="Times New Roman" w:hAnsi="Times New Roman"/>
                <w:sz w:val="13"/>
                <w:szCs w:val="13"/>
                <w:color w:val="auto"/>
              </w:rPr>
              <w:t>Tax cost on investments</w:t>
            </w:r>
          </w:p>
        </w:tc>
        <w:tc>
          <w:tcPr>
            <w:tcW w:w="1420" w:type="dxa"/>
            <w:vAlign w:val="bottom"/>
            <w:tcBorders>
              <w:bottom w:val="single" w:sz="8" w:color="auto"/>
            </w:tcBorders>
            <w:shd w:val="clear" w:color="auto" w:fill="CFF0FC"/>
          </w:tcPr>
          <w:p>
            <w:pPr>
              <w:jc w:val="right"/>
              <w:ind w:right="13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1,065,060</w:t>
            </w:r>
          </w:p>
        </w:tc>
        <w:tc>
          <w:tcPr>
            <w:tcW w:w="3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1,100,345</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32"/>
        </w:trPr>
        <w:tc>
          <w:tcPr>
            <w:tcW w:w="20" w:type="dxa"/>
            <w:vAlign w:val="bottom"/>
          </w:tcPr>
          <w:p>
            <w:pPr>
              <w:spacing w:after="0"/>
              <w:rPr>
                <w:sz w:val="11"/>
                <w:szCs w:val="11"/>
                <w:color w:val="auto"/>
              </w:rPr>
            </w:pPr>
          </w:p>
        </w:tc>
        <w:tc>
          <w:tcPr>
            <w:tcW w:w="620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Change in unrealized gain on a tax basis</w:t>
            </w:r>
          </w:p>
        </w:tc>
        <w:tc>
          <w:tcPr>
            <w:tcW w:w="1420" w:type="dxa"/>
            <w:vAlign w:val="bottom"/>
          </w:tcPr>
          <w:p>
            <w:pPr>
              <w:jc w:val="right"/>
              <w:ind w:right="1302"/>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center"/>
              <w:ind w:left="139"/>
              <w:spacing w:after="0" w:line="133" w:lineRule="exact"/>
              <w:rPr>
                <w:sz w:val="20"/>
                <w:szCs w:val="20"/>
                <w:color w:val="auto"/>
              </w:rPr>
            </w:pPr>
            <w:r>
              <w:rPr>
                <w:rFonts w:ascii="Times New Roman" w:cs="Times New Roman" w:eastAsia="Times New Roman" w:hAnsi="Times New Roman"/>
                <w:sz w:val="13"/>
                <w:szCs w:val="13"/>
                <w:color w:val="auto"/>
              </w:rPr>
              <w:t>35,878</w:t>
            </w:r>
          </w:p>
        </w:tc>
        <w:tc>
          <w:tcPr>
            <w:tcW w:w="320" w:type="dxa"/>
            <w:vAlign w:val="bottom"/>
          </w:tcPr>
          <w:p>
            <w:pPr>
              <w:spacing w:after="0"/>
              <w:rPr>
                <w:sz w:val="11"/>
                <w:szCs w:val="11"/>
                <w:color w:val="auto"/>
              </w:rPr>
            </w:pPr>
          </w:p>
        </w:tc>
        <w:tc>
          <w:tcPr>
            <w:tcW w:w="260" w:type="dxa"/>
            <w:vAlign w:val="bottom"/>
          </w:tcPr>
          <w:p>
            <w:pPr>
              <w:jc w:val="right"/>
              <w:ind w:right="94"/>
              <w:spacing w:after="0" w:line="133" w:lineRule="exact"/>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3"/>
                <w:szCs w:val="13"/>
                <w:color w:val="auto"/>
              </w:rPr>
              <w:t>23,787</w:t>
            </w:r>
          </w:p>
        </w:tc>
      </w:tr>
      <w:tr>
        <w:trPr>
          <w:trHeight w:val="156"/>
        </w:trPr>
        <w:tc>
          <w:tcPr>
            <w:tcW w:w="20" w:type="dxa"/>
            <w:vAlign w:val="bottom"/>
          </w:tcPr>
          <w:p>
            <w:pPr>
              <w:spacing w:after="0"/>
              <w:rPr>
                <w:sz w:val="13"/>
                <w:szCs w:val="13"/>
                <w:color w:val="auto"/>
              </w:rPr>
            </w:pPr>
          </w:p>
        </w:tc>
        <w:tc>
          <w:tcPr>
            <w:tcW w:w="62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Change in unrealized loss on a tax basis</w:t>
            </w:r>
          </w:p>
        </w:tc>
        <w:tc>
          <w:tcPr>
            <w:tcW w:w="1420" w:type="dxa"/>
            <w:vAlign w:val="bottom"/>
            <w:shd w:val="clear" w:color="auto" w:fill="CFF0FC"/>
          </w:tcPr>
          <w:p>
            <w:pPr>
              <w:spacing w:after="0"/>
              <w:rPr>
                <w:sz w:val="13"/>
                <w:szCs w:val="13"/>
                <w:color w:val="auto"/>
              </w:rPr>
            </w:pPr>
          </w:p>
        </w:tc>
        <w:tc>
          <w:tcPr>
            <w:tcW w:w="8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3"/>
                <w:szCs w:val="13"/>
                <w:color w:val="auto"/>
                <w:w w:val="98"/>
              </w:rPr>
              <w:t>(75,987)</w:t>
            </w:r>
          </w:p>
        </w:tc>
        <w:tc>
          <w:tcPr>
            <w:tcW w:w="260" w:type="dxa"/>
            <w:vAlign w:val="bottom"/>
            <w:shd w:val="clear" w:color="auto" w:fill="CFF0FC"/>
          </w:tcPr>
          <w:p>
            <w:pPr>
              <w:spacing w:after="0"/>
              <w:rPr>
                <w:sz w:val="13"/>
                <w:szCs w:val="13"/>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(47,292)</w:t>
            </w:r>
          </w:p>
        </w:tc>
      </w:tr>
      <w:tr>
        <w:trPr>
          <w:trHeight w:val="156"/>
        </w:trPr>
        <w:tc>
          <w:tcPr>
            <w:tcW w:w="62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color w:val="auto"/>
              </w:rPr>
              <w:t>Net unrealized gain (loss) on a tax basis</w:t>
            </w:r>
          </w:p>
        </w:tc>
        <w:tc>
          <w:tcPr>
            <w:tcW w:w="1420" w:type="dxa"/>
            <w:vAlign w:val="bottom"/>
          </w:tcPr>
          <w:p>
            <w:pPr>
              <w:jc w:val="right"/>
              <w:ind w:right="1302"/>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center"/>
              <w:ind w:right="120"/>
              <w:spacing w:after="0" w:line="136" w:lineRule="exact"/>
              <w:rPr>
                <w:sz w:val="20"/>
                <w:szCs w:val="20"/>
                <w:color w:val="auto"/>
              </w:rPr>
            </w:pPr>
            <w:r>
              <w:rPr>
                <w:rFonts w:ascii="Times New Roman" w:cs="Times New Roman" w:eastAsia="Times New Roman" w:hAnsi="Times New Roman"/>
                <w:sz w:val="9"/>
                <w:szCs w:val="9"/>
                <w:color w:val="auto"/>
              </w:rPr>
              <w:t>(40,109</w:t>
            </w:r>
            <w:r>
              <w:rPr>
                <w:rFonts w:ascii="Times New Roman" w:cs="Times New Roman" w:eastAsia="Times New Roman" w:hAnsi="Times New Roman"/>
                <w:sz w:val="15"/>
                <w:szCs w:val="15"/>
                <w:color w:val="auto"/>
                <w:vertAlign w:val="subscript"/>
              </w:rPr>
              <w:t>)</w:t>
            </w:r>
          </w:p>
        </w:tc>
        <w:tc>
          <w:tcPr>
            <w:tcW w:w="260" w:type="dxa"/>
            <w:vAlign w:val="bottom"/>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7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9"/>
                <w:szCs w:val="9"/>
                <w:color w:val="auto"/>
              </w:rPr>
              <w:t>(23,505</w:t>
            </w:r>
            <w:r>
              <w:rPr>
                <w:rFonts w:ascii="Times New Roman" w:cs="Times New Roman" w:eastAsia="Times New Roman" w:hAnsi="Times New Roman"/>
                <w:sz w:val="15"/>
                <w:szCs w:val="15"/>
                <w:color w:val="auto"/>
                <w:vertAlign w:val="subscript"/>
              </w:rPr>
              <w:t>)</w:t>
            </w: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4"/>
          <w:szCs w:val="14"/>
          <w:color w:val="auto"/>
        </w:rPr>
        <w:t xml:space="preserve">The Company accounts for income taxes in conformity with ASC Topic 740, </w:t>
      </w:r>
      <w:r>
        <w:rPr>
          <w:rFonts w:ascii="Times New Roman" w:cs="Times New Roman" w:eastAsia="Times New Roman" w:hAnsi="Times New Roman"/>
          <w:sz w:val="14"/>
          <w:szCs w:val="14"/>
          <w:i w:val="1"/>
          <w:iCs w:val="1"/>
          <w:color w:val="auto"/>
        </w:rPr>
        <w:t>Income Taxes</w:t>
      </w:r>
      <w:r>
        <w:rPr>
          <w:rFonts w:ascii="Times New Roman" w:cs="Times New Roman" w:eastAsia="Times New Roman" w:hAnsi="Times New Roman"/>
          <w:sz w:val="14"/>
          <w:szCs w:val="14"/>
          <w:color w:val="auto"/>
        </w:rPr>
        <w:t xml:space="preserve"> ("ASC 740"). ASC 740 provides guidelines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 -likely-than-not"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"Tax expense" on the Consolidated Statements of Operations. There were no material uncertain income tax positions at June 30, 2025 or December 31, 2024. Although the Company files federal and state tax returns, the Company's major tax jurisdiction is federal. The previous three tax year-ends and the interim tax period since then remain subject to examination by the Internal Revenue Service.</w:t>
      </w:r>
    </w:p>
    <w:p>
      <w:pPr>
        <w:spacing w:after="0" w:line="144"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on which the Company paid no U.S. federal income tax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3" w:name="page54"/>
    <w:bookmarkEnd w:id="5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6"/>
          <w:szCs w:val="16"/>
          <w:color w:val="auto"/>
        </w:rPr>
        <w:t>If the Company does not qualify to be treated as a RIC for any taxable year, the Company will be taxed as a regular corporation (a "C corporation") under subchapter C of the Code for such taxable year. If the Company has previously qualified as a RIC but is subsequently unable to qualify,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If the Company fails to requalify for a period greater than two taxable years, it may be subject to U.S. federal income tax at corporate tax rates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11</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w:t>
      </w:r>
      <w:r>
        <w:rPr>
          <w:rFonts w:ascii="Arial" w:cs="Arial" w:eastAsia="Arial" w:hAnsi="Arial"/>
          <w:sz w:val="16"/>
          <w:szCs w:val="16"/>
          <w:b w:val="1"/>
          <w:bCs w:val="1"/>
          <w:color w:val="auto"/>
        </w:rPr>
        <w:t xml:space="preserve"> </w:t>
      </w:r>
      <w:r>
        <w:rPr>
          <w:rFonts w:ascii="Times New Roman" w:cs="Times New Roman" w:eastAsia="Times New Roman" w:hAnsi="Times New Roman"/>
          <w:sz w:val="16"/>
          <w:szCs w:val="16"/>
          <w:b w:val="1"/>
          <w:bCs w:val="1"/>
          <w:color w:val="auto"/>
        </w:rPr>
        <w:t>Segment Reporting</w:t>
      </w:r>
    </w:p>
    <w:p>
      <w:pPr>
        <w:spacing w:after="0" w:line="189"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The Company operates through a single operating and reporting segment with an investment objective to generate returns to stockholders primarily through current income on loans, and secondarily through capital gains on warrants and other equity positions. The Company's Chief Executive Officer is the Company’s Chief Operating Decision Maker ("CODM"). While the Company lends to and separately evaluates the performance of each of its portfolio companies across various industries, including technology, healthcare, business services, financial services, select consumer services and products, the CODM evaluates and monitors performance of the Company's business on an aggregated basis. Further, each investment is evaluated and managed using similar processes and shared operational support functions, such as deal origination, underwriting, monitoring, and compliance, in addition to administrative functions, such as human resources, legal, finance and information technology.</w:t>
      </w:r>
    </w:p>
    <w:p>
      <w:pPr>
        <w:spacing w:after="0" w:line="134"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6"/>
          <w:szCs w:val="16"/>
          <w:color w:val="auto"/>
        </w:rPr>
        <w:t>The CODM uses the Company's "Net investment income" and "Net increase (decrease) in net assets resulting from operations" as reported in the Consolidated Statements of Operations to assess the Company’s performance and when allocating resources. "Net investment income" is comprised of consolidated total investment income (segment revenues) and consolidated total operating expenses (significant segment expenses), which are considered the key segment measures of profit or loss reviewed by the CODM. The information and operating expense categories included in the Company’s Consolidated Statements of Operations are fully reflective of the significant expense categories and amounts that are regularly provided to the CODM. All applicable segment disclosures are included in or can be derived from the Company’s consolidated financial statements.</w:t>
      </w: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54" w:name="page55"/>
    <w:bookmarkEnd w:id="5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12 – Financial Highlights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financial highlights for the six months ended June 30, 2025 and 2024 (in thousands, except for per share data and ratios):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1660" w:type="dxa"/>
            <w:vAlign w:val="bottom"/>
            <w:gridSpan w:val="4"/>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860" w:type="dxa"/>
            <w:vAlign w:val="bottom"/>
            <w:vMerge w:val="restart"/>
          </w:tcPr>
          <w:p>
            <w:pPr>
              <w:jc w:val="right"/>
              <w:ind w:right="4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3"/>
                <w:szCs w:val="13"/>
                <w:b w:val="1"/>
                <w:bCs w:val="1"/>
                <w:color w:val="auto"/>
              </w:rPr>
              <w:t>Per Share Data</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3"/>
                <w:szCs w:val="13"/>
                <w:b w:val="1"/>
                <w:bCs w:val="1"/>
                <w:color w:val="auto"/>
              </w:rPr>
              <w:t>:</w:t>
            </w:r>
          </w:p>
        </w:tc>
        <w:tc>
          <w:tcPr>
            <w:tcW w:w="1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asset value at beginning of period</w:t>
            </w:r>
          </w:p>
        </w:tc>
        <w:tc>
          <w:tcPr>
            <w:tcW w:w="1180" w:type="dxa"/>
            <w:vAlign w:val="bottom"/>
          </w:tcPr>
          <w:p>
            <w:pPr>
              <w:jc w:val="right"/>
              <w:ind w:right="1014"/>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13.79</w:t>
            </w:r>
          </w:p>
        </w:tc>
        <w:tc>
          <w:tcPr>
            <w:tcW w:w="80" w:type="dxa"/>
            <w:vAlign w:val="bottom"/>
          </w:tcPr>
          <w:p>
            <w:pPr>
              <w:spacing w:after="0"/>
              <w:rPr>
                <w:sz w:val="13"/>
                <w:szCs w:val="13"/>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investment income</w:t>
            </w:r>
          </w:p>
        </w:tc>
        <w:tc>
          <w:tcPr>
            <w:tcW w:w="1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0.79</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0.84</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realized gain (loss)</w:t>
            </w:r>
          </w:p>
        </w:tc>
        <w:tc>
          <w:tcPr>
            <w:tcW w:w="1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0.12</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change in unrealized gain (loss)</w:t>
            </w:r>
          </w:p>
        </w:tc>
        <w:tc>
          <w:tcPr>
            <w:tcW w:w="1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(0.41)</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(0.33)</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from investment operations</w:t>
            </w:r>
          </w:p>
        </w:tc>
        <w:tc>
          <w:tcPr>
            <w:tcW w:w="1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0.50</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0.51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Distributions</w:t>
            </w:r>
          </w:p>
        </w:tc>
        <w:tc>
          <w:tcPr>
            <w:tcW w:w="1180" w:type="dxa"/>
            <w:vAlign w:val="bottom"/>
          </w:tcPr>
          <w:p>
            <w:pPr>
              <w:spacing w:after="0"/>
              <w:rPr>
                <w:sz w:val="13"/>
                <w:szCs w:val="1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(0.71)</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(0.94)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 xml:space="preserve">Accretion (dilution), net </w:t>
            </w:r>
            <w:r>
              <w:rPr>
                <w:rFonts w:ascii="Times New Roman" w:cs="Times New Roman" w:eastAsia="Times New Roman" w:hAnsi="Times New Roman"/>
                <w:sz w:val="16"/>
                <w:szCs w:val="16"/>
                <w:color w:val="auto"/>
                <w:vertAlign w:val="superscript"/>
              </w:rPr>
              <w:t>(2)</w:t>
            </w:r>
          </w:p>
        </w:tc>
        <w:tc>
          <w:tcPr>
            <w:tcW w:w="1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0.08</w:t>
            </w:r>
          </w:p>
        </w:tc>
        <w:tc>
          <w:tcPr>
            <w:tcW w:w="24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0.07</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20" w:type="dxa"/>
            <w:vAlign w:val="bottom"/>
            <w:gridSpan w:val="2"/>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Net asset value at end of period</w:t>
            </w:r>
          </w:p>
        </w:tc>
        <w:tc>
          <w:tcPr>
            <w:tcW w:w="1180" w:type="dxa"/>
            <w:vAlign w:val="bottom"/>
          </w:tcPr>
          <w:p>
            <w:pPr>
              <w:jc w:val="right"/>
              <w:ind w:right="10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13.66</w:t>
            </w:r>
          </w:p>
        </w:tc>
        <w:tc>
          <w:tcPr>
            <w:tcW w:w="80" w:type="dxa"/>
            <w:vAlign w:val="bottom"/>
          </w:tcPr>
          <w:p>
            <w:pPr>
              <w:spacing w:after="0"/>
              <w:rPr>
                <w:sz w:val="13"/>
                <w:szCs w:val="13"/>
                <w:color w:val="auto"/>
              </w:rPr>
            </w:pPr>
          </w:p>
        </w:tc>
        <w:tc>
          <w:tcPr>
            <w:tcW w:w="920" w:type="dxa"/>
            <w:vAlign w:val="bottom"/>
            <w:gridSpan w:val="2"/>
          </w:tcPr>
          <w:p>
            <w:pPr>
              <w:jc w:val="right"/>
              <w:ind w:right="60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13.14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660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6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Ratio/Supplemental Data:</w:t>
            </w: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Total return based on net asset value</w:t>
            </w:r>
            <w:r>
              <w:rPr>
                <w:rFonts w:ascii="Times New Roman" w:cs="Times New Roman" w:eastAsia="Times New Roman" w:hAnsi="Times New Roman"/>
                <w:sz w:val="16"/>
                <w:szCs w:val="16"/>
                <w:color w:val="auto"/>
                <w:vertAlign w:val="superscript"/>
              </w:rPr>
              <w:t>(3)</w:t>
            </w:r>
          </w:p>
        </w:tc>
        <w:tc>
          <w:tcPr>
            <w:tcW w:w="1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4.21</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4.30</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line="156" w:lineRule="exact"/>
              <w:rPr>
                <w:sz w:val="20"/>
                <w:szCs w:val="20"/>
                <w:color w:val="auto"/>
              </w:rPr>
            </w:pPr>
            <w:r>
              <w:rPr>
                <w:rFonts w:ascii="Times New Roman" w:cs="Times New Roman" w:eastAsia="Times New Roman" w:hAnsi="Times New Roman"/>
                <w:sz w:val="13"/>
                <w:szCs w:val="13"/>
                <w:color w:val="auto"/>
              </w:rPr>
              <w:t>Total return based on market value</w:t>
            </w:r>
            <w:r>
              <w:rPr>
                <w:rFonts w:ascii="Times New Roman" w:cs="Times New Roman" w:eastAsia="Times New Roman" w:hAnsi="Times New Roman"/>
                <w:sz w:val="16"/>
                <w:szCs w:val="16"/>
                <w:color w:val="auto"/>
                <w:vertAlign w:val="superscript"/>
              </w:rPr>
              <w:t>(4)</w:t>
            </w:r>
          </w:p>
        </w:tc>
        <w:tc>
          <w:tcPr>
            <w:tcW w:w="1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4.38</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0.63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Ratio of net investment income to average net assets</w:t>
            </w:r>
            <w:r>
              <w:rPr>
                <w:rFonts w:ascii="Times New Roman" w:cs="Times New Roman" w:eastAsia="Times New Roman" w:hAnsi="Times New Roman"/>
                <w:sz w:val="16"/>
                <w:szCs w:val="16"/>
                <w:color w:val="auto"/>
                <w:vertAlign w:val="superscript"/>
              </w:rPr>
              <w:t>(5)(6)</w:t>
            </w:r>
          </w:p>
        </w:tc>
        <w:tc>
          <w:tcPr>
            <w:tcW w:w="1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11.64</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12.56</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total operating expenses to average net assets</w:t>
            </w:r>
            <w:r>
              <w:rPr>
                <w:rFonts w:ascii="Times New Roman" w:cs="Times New Roman" w:eastAsia="Times New Roman" w:hAnsi="Times New Roman"/>
                <w:sz w:val="16"/>
                <w:szCs w:val="16"/>
                <w:color w:val="auto"/>
                <w:vertAlign w:val="superscript"/>
              </w:rPr>
              <w:t>(5)(6)</w:t>
            </w:r>
          </w:p>
        </w:tc>
        <w:tc>
          <w:tcPr>
            <w:tcW w:w="1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w:t>
            </w:r>
          </w:p>
        </w:tc>
        <w:tc>
          <w:tcPr>
            <w:tcW w:w="80" w:type="dxa"/>
            <w:vAlign w:val="bottom"/>
          </w:tcPr>
          <w:p>
            <w:pPr>
              <w:spacing w:after="0"/>
              <w:rPr>
                <w:sz w:val="13"/>
                <w:szCs w:val="13"/>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15.46</w:t>
            </w:r>
          </w:p>
        </w:tc>
        <w:tc>
          <w:tcPr>
            <w:tcW w:w="8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total operating expenses, excluding incentive fees, to average net assets</w:t>
            </w:r>
            <w:r>
              <w:rPr>
                <w:rFonts w:ascii="Times New Roman" w:cs="Times New Roman" w:eastAsia="Times New Roman" w:hAnsi="Times New Roman"/>
                <w:sz w:val="16"/>
                <w:szCs w:val="16"/>
                <w:color w:val="auto"/>
                <w:vertAlign w:val="superscript"/>
              </w:rPr>
              <w:t>(5)</w:t>
            </w:r>
          </w:p>
        </w:tc>
        <w:tc>
          <w:tcPr>
            <w:tcW w:w="118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80" w:type="dxa"/>
            <w:vAlign w:val="bottom"/>
            <w:shd w:val="clear" w:color="auto" w:fill="CFF0FC"/>
          </w:tcPr>
          <w:p>
            <w:pPr>
              <w:spacing w:after="0"/>
              <w:rPr>
                <w:sz w:val="13"/>
                <w:szCs w:val="13"/>
                <w:color w:val="auto"/>
              </w:rPr>
            </w:pP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12.32</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line="156" w:lineRule="exact"/>
              <w:rPr>
                <w:sz w:val="20"/>
                <w:szCs w:val="20"/>
                <w:color w:val="auto"/>
              </w:rPr>
            </w:pPr>
            <w:r>
              <w:rPr>
                <w:rFonts w:ascii="Times New Roman" w:cs="Times New Roman" w:eastAsia="Times New Roman" w:hAnsi="Times New Roman"/>
                <w:sz w:val="13"/>
                <w:szCs w:val="13"/>
                <w:color w:val="auto"/>
              </w:rPr>
              <w:t>Ratio of net increase (decrease) in net assets resulting from operations to average net assets</w:t>
            </w:r>
            <w:r>
              <w:rPr>
                <w:rFonts w:ascii="Times New Roman" w:cs="Times New Roman" w:eastAsia="Times New Roman" w:hAnsi="Times New Roman"/>
                <w:sz w:val="16"/>
                <w:szCs w:val="16"/>
                <w:color w:val="auto"/>
                <w:vertAlign w:val="superscript"/>
              </w:rPr>
              <w:t>(5)(6)</w:t>
            </w:r>
          </w:p>
        </w:tc>
        <w:tc>
          <w:tcPr>
            <w:tcW w:w="1180" w:type="dxa"/>
            <w:vAlign w:val="bottom"/>
          </w:tcPr>
          <w:p>
            <w:pPr>
              <w:spacing w:after="0"/>
              <w:rPr>
                <w:sz w:val="13"/>
                <w:szCs w:val="1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7.35</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7.68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line="156" w:lineRule="exact"/>
              <w:rPr>
                <w:sz w:val="20"/>
                <w:szCs w:val="20"/>
                <w:color w:val="auto"/>
              </w:rPr>
            </w:pPr>
            <w:r>
              <w:rPr>
                <w:rFonts w:ascii="Times New Roman" w:cs="Times New Roman" w:eastAsia="Times New Roman" w:hAnsi="Times New Roman"/>
                <w:sz w:val="13"/>
                <w:szCs w:val="13"/>
                <w:color w:val="auto"/>
              </w:rPr>
              <w:t>Portfolio turnover rate</w:t>
            </w:r>
            <w:r>
              <w:rPr>
                <w:rFonts w:ascii="Times New Roman" w:cs="Times New Roman" w:eastAsia="Times New Roman" w:hAnsi="Times New Roman"/>
                <w:sz w:val="16"/>
                <w:szCs w:val="16"/>
                <w:color w:val="auto"/>
                <w:vertAlign w:val="superscript"/>
              </w:rPr>
              <w:t>(7)</w:t>
            </w:r>
          </w:p>
        </w:tc>
        <w:tc>
          <w:tcPr>
            <w:tcW w:w="1180" w:type="dxa"/>
            <w:vAlign w:val="bottom"/>
            <w:shd w:val="clear" w:color="auto" w:fill="CFF0FC"/>
          </w:tcPr>
          <w:p>
            <w:pPr>
              <w:spacing w:after="0"/>
              <w:rPr>
                <w:sz w:val="13"/>
                <w:szCs w:val="13"/>
                <w:color w:val="auto"/>
              </w:rPr>
            </w:pPr>
          </w:p>
        </w:tc>
        <w:tc>
          <w:tcPr>
            <w:tcW w:w="7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5.27</w:t>
            </w:r>
          </w:p>
        </w:tc>
        <w:tc>
          <w:tcPr>
            <w:tcW w:w="2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5.86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Net assets at beginning of period</w:t>
            </w:r>
          </w:p>
        </w:tc>
        <w:tc>
          <w:tcPr>
            <w:tcW w:w="1180" w:type="dxa"/>
            <w:vAlign w:val="bottom"/>
            <w:shd w:val="clear" w:color="auto" w:fill="CFF0FC"/>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514,869</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547,071</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Net assets at end of period</w:t>
            </w:r>
          </w:p>
        </w:tc>
        <w:tc>
          <w:tcPr>
            <w:tcW w:w="1180" w:type="dxa"/>
            <w:vAlign w:val="bottom"/>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498,874</w:t>
            </w:r>
          </w:p>
        </w:tc>
        <w:tc>
          <w:tcPr>
            <w:tcW w:w="80" w:type="dxa"/>
            <w:vAlign w:val="bottom"/>
          </w:tcPr>
          <w:p>
            <w:pPr>
              <w:spacing w:after="0"/>
              <w:rPr>
                <w:sz w:val="13"/>
                <w:szCs w:val="13"/>
                <w:color w:val="auto"/>
              </w:rPr>
            </w:pPr>
          </w:p>
        </w:tc>
        <w:tc>
          <w:tcPr>
            <w:tcW w:w="92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506,384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Weighted average net assets</w:t>
            </w:r>
          </w:p>
        </w:tc>
        <w:tc>
          <w:tcPr>
            <w:tcW w:w="1180" w:type="dxa"/>
            <w:vAlign w:val="bottom"/>
            <w:shd w:val="clear" w:color="auto" w:fill="CFF0FC"/>
          </w:tcPr>
          <w:p>
            <w:pPr>
              <w:jc w:val="right"/>
              <w:ind w:right="101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512,080</w:t>
            </w:r>
          </w:p>
        </w:tc>
        <w:tc>
          <w:tcPr>
            <w:tcW w:w="8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532,513</w:t>
            </w: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Weighted average shares outstanding for the period, basic</w:t>
            </w:r>
          </w:p>
        </w:tc>
        <w:tc>
          <w:tcPr>
            <w:tcW w:w="1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37,224,569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39,786,511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3"/>
          <w:szCs w:val="13"/>
          <w:color w:val="auto"/>
        </w:rPr>
        <w:t>All per share activity, excluding dividends, is calculated based on the weighted-average shares outstanding for the relevant period.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3"/>
          <w:szCs w:val="13"/>
          <w:color w:val="auto"/>
        </w:rPr>
        <w:t>Net accretion (dilution) represents the effect of issuance and repurchase of common stock.</w:t>
      </w:r>
    </w:p>
    <w:p>
      <w:pPr>
        <w:ind w:left="360"/>
        <w:spacing w:after="0" w:line="183" w:lineRule="auto"/>
        <w:rPr>
          <w:sz w:val="20"/>
          <w:szCs w:val="20"/>
          <w:color w:val="auto"/>
        </w:rPr>
      </w:pP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3"/>
          <w:szCs w:val="13"/>
          <w:color w:val="auto"/>
        </w:rPr>
        <w:t>Total return based on net asset value is calculated as the change in net asset value per share during the period, plus dividends per share, divided by the beginning net asset value per share.</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3"/>
          <w:szCs w:val="13"/>
          <w:color w:val="auto"/>
        </w:rPr>
        <w:t>The total returns are not annualized.</w:t>
      </w:r>
    </w:p>
    <w:p>
      <w:pPr>
        <w:spacing w:after="0" w:line="89" w:lineRule="exact"/>
        <w:rPr>
          <w:sz w:val="20"/>
          <w:szCs w:val="20"/>
          <w:color w:val="auto"/>
        </w:rPr>
      </w:pPr>
    </w:p>
    <w:p>
      <w:pPr>
        <w:ind w:left="360" w:right="240"/>
        <w:spacing w:after="0" w:line="207" w:lineRule="auto"/>
        <w:rPr>
          <w:sz w:val="20"/>
          <w:szCs w:val="20"/>
          <w:color w:val="auto"/>
        </w:rPr>
      </w:pP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3"/>
          <w:szCs w:val="13"/>
          <w:color w:val="auto"/>
        </w:rPr>
        <w:t>Total return based on market value is calculated as the change in market value per share during the period, plus dividends per share, divided by the beginning market value per share. The total returns are not annualized.</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3"/>
          <w:szCs w:val="13"/>
          <w:color w:val="auto"/>
        </w:rPr>
        <w:t>The ratios are calculated based on weighted average net assets for the relevant period and are annualized.</w:t>
      </w:r>
    </w:p>
    <w:p>
      <w:pPr>
        <w:spacing w:after="0" w:line="27" w:lineRule="exact"/>
        <w:rPr>
          <w:sz w:val="20"/>
          <w:szCs w:val="20"/>
          <w:color w:val="auto"/>
        </w:rPr>
      </w:pPr>
    </w:p>
    <w:p>
      <w:pPr>
        <w:ind w:left="360" w:right="560"/>
        <w:spacing w:after="0" w:line="199" w:lineRule="auto"/>
        <w:rPr>
          <w:sz w:val="20"/>
          <w:szCs w:val="20"/>
          <w:color w:val="auto"/>
        </w:rPr>
      </w:pP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3"/>
          <w:szCs w:val="13"/>
          <w:color w:val="auto"/>
        </w:rPr>
        <w:t>The ratio includes annualized incentive fees and as incentive fees are performance driven, the amount expensed in future periods may vary significantly and is dependent on overall investment performance, early terminations, scheduled prepayments and other liquidity events.</w:t>
      </w:r>
    </w:p>
    <w:p>
      <w:pPr>
        <w:spacing w:after="0" w:line="82" w:lineRule="exact"/>
        <w:rPr>
          <w:sz w:val="20"/>
          <w:szCs w:val="20"/>
          <w:color w:val="auto"/>
        </w:rPr>
      </w:pPr>
    </w:p>
    <w:p>
      <w:pPr>
        <w:ind w:left="360" w:right="280"/>
        <w:spacing w:after="0" w:line="207" w:lineRule="auto"/>
        <w:rPr>
          <w:sz w:val="20"/>
          <w:szCs w:val="20"/>
          <w:color w:val="auto"/>
        </w:rPr>
      </w:pPr>
      <w:r>
        <w:rPr>
          <w:rFonts w:ascii="Times New Roman" w:cs="Times New Roman" w:eastAsia="Times New Roman" w:hAnsi="Times New Roman"/>
          <w:sz w:val="26"/>
          <w:szCs w:val="26"/>
          <w:color w:val="auto"/>
          <w:vertAlign w:val="superscript"/>
        </w:rPr>
        <w:t>(7)</w:t>
      </w:r>
      <w:r>
        <w:rPr>
          <w:rFonts w:ascii="Times New Roman" w:cs="Times New Roman" w:eastAsia="Times New Roman" w:hAnsi="Times New Roman"/>
          <w:sz w:val="13"/>
          <w:szCs w:val="13"/>
          <w:color w:val="auto"/>
        </w:rPr>
        <w:t>The portfolio turnover rate for the period is calculated by taking the lesser of investment portfolio purchases or sales during the period, divided by the average investment portfolio value during the period. As such, portfolio turnover is not annualized.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5" w:name="page56"/>
    <w:bookmarkEnd w:id="5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 13 - Subsequent Events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color w:val="auto"/>
        </w:rPr>
        <w:t>The Company evaluated events subsequent to June 30, 2025 through August 7, 2025. There have been no subsequent events that occurred during such period that would require recognition or disclosure, except as disclosed below.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Distributions</w:t>
      </w:r>
    </w:p>
    <w:p>
      <w:pPr>
        <w:spacing w:after="0" w:line="192"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On August 6, 2025, the Board of Directors declared a regular distribution of $0.33 per share and a supplemental distribution of $0.03 per share for stockholders of record as of August 18, 2025, each payable on or before September 2, 2025.</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Portfolio Activity</w:t>
      </w:r>
    </w:p>
    <w:p>
      <w:pPr>
        <w:spacing w:after="0" w:line="1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From July 1, 2025 through August 7, 2025, the Company completed $ 20.0 million of additional debt commitments, of which $16.8 million was funded upon closing. In addition, the Company funded $0.3 million in unfunded commitments on existing investments. The Company also received $22.4 million in debt prepayments and $0.2 million in proceeds from the sale of equity positions.</w:t>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56" w:name="page57"/>
    <w:bookmarkEnd w:id="5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Forward-Looking Statements</w:t>
      </w:r>
    </w:p>
    <w:p>
      <w:pPr>
        <w:spacing w:after="0" w:line="176" w:lineRule="exact"/>
        <w:rPr>
          <w:sz w:val="20"/>
          <w:szCs w:val="20"/>
          <w:color w:val="auto"/>
        </w:rPr>
      </w:pPr>
    </w:p>
    <w:p>
      <w:pPr>
        <w:ind w:left="20"/>
        <w:spacing w:after="0" w:line="186" w:lineRule="exact"/>
        <w:rPr>
          <w:sz w:val="20"/>
          <w:szCs w:val="20"/>
          <w:color w:val="auto"/>
        </w:rPr>
      </w:pPr>
      <w:r>
        <w:rPr>
          <w:rFonts w:ascii="Times New Roman" w:cs="Times New Roman" w:eastAsia="Times New Roman" w:hAnsi="Times New Roman"/>
          <w:sz w:val="14"/>
          <w:szCs w:val="14"/>
          <w:color w:val="auto"/>
        </w:rPr>
        <w:t>This quarterly report on Form 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 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76" w:lineRule="exact"/>
        <w:rPr>
          <w:sz w:val="20"/>
          <w:szCs w:val="20"/>
          <w:color w:val="auto"/>
        </w:rPr>
      </w:pPr>
    </w:p>
    <w:p>
      <w:pPr>
        <w:ind w:left="360"/>
        <w:spacing w:after="0" w:line="259" w:lineRule="auto"/>
        <w:rPr>
          <w:sz w:val="20"/>
          <w:szCs w:val="20"/>
          <w:color w:val="auto"/>
        </w:rPr>
      </w:pPr>
      <w:r>
        <w:rPr>
          <w:rFonts w:ascii="Times New Roman" w:cs="Times New Roman" w:eastAsia="Times New Roman" w:hAnsi="Times New Roman"/>
          <w:sz w:val="16"/>
          <w:szCs w:val="16"/>
          <w:color w:val="auto"/>
        </w:rPr>
        <w:t>•changes in political, economic or industry conditions, trade policies, restrictions and tariffs, the interest rate environment or conditions affecting the financial and capital markets;</w:t>
      </w:r>
    </w:p>
    <w:p>
      <w:pPr>
        <w:spacing w:after="0" w:line="59" w:lineRule="exact"/>
        <w:rPr>
          <w:sz w:val="20"/>
          <w:szCs w:val="20"/>
          <w:color w:val="auto"/>
        </w:rPr>
      </w:pPr>
    </w:p>
    <w:p>
      <w:pPr>
        <w:ind w:left="360" w:right="100"/>
        <w:spacing w:after="0" w:line="259" w:lineRule="auto"/>
        <w:rPr>
          <w:sz w:val="20"/>
          <w:szCs w:val="20"/>
          <w:color w:val="auto"/>
        </w:rPr>
      </w:pPr>
      <w:r>
        <w:rPr>
          <w:rFonts w:ascii="Times New Roman" w:cs="Times New Roman" w:eastAsia="Times New Roman" w:hAnsi="Times New Roman"/>
          <w:sz w:val="16"/>
          <w:szCs w:val="16"/>
          <w:color w:val="auto"/>
        </w:rPr>
        <w:t>•an economic downturn or recession, as well as the impairment or failure of financial institutions on both a domestic and global scale, could impair our portfolio companies’ ability to continue to operate, which could lead to the loss of some or all of our investments in such portfolio companies;</w:t>
      </w:r>
    </w:p>
    <w:p>
      <w:pPr>
        <w:spacing w:after="0" w:line="59" w:lineRule="exact"/>
        <w:rPr>
          <w:sz w:val="20"/>
          <w:szCs w:val="20"/>
          <w:color w:val="auto"/>
        </w:rPr>
      </w:pPr>
    </w:p>
    <w:p>
      <w:pPr>
        <w:ind w:left="360" w:right="500"/>
        <w:spacing w:after="0" w:line="259" w:lineRule="auto"/>
        <w:rPr>
          <w:sz w:val="20"/>
          <w:szCs w:val="20"/>
          <w:color w:val="auto"/>
        </w:rPr>
      </w:pPr>
      <w:r>
        <w:rPr>
          <w:rFonts w:ascii="Times New Roman" w:cs="Times New Roman" w:eastAsia="Times New Roman" w:hAnsi="Times New Roman"/>
          <w:sz w:val="16"/>
          <w:szCs w:val="16"/>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59" w:lineRule="exact"/>
        <w:rPr>
          <w:sz w:val="20"/>
          <w:szCs w:val="20"/>
          <w:color w:val="auto"/>
        </w:rPr>
      </w:pPr>
    </w:p>
    <w:p>
      <w:pPr>
        <w:ind w:left="360" w:right="1260"/>
        <w:spacing w:after="0" w:line="360" w:lineRule="auto"/>
        <w:rPr>
          <w:sz w:val="20"/>
          <w:szCs w:val="20"/>
          <w:color w:val="auto"/>
        </w:rPr>
      </w:pPr>
      <w:r>
        <w:rPr>
          <w:rFonts w:ascii="Times New Roman" w:cs="Times New Roman" w:eastAsia="Times New Roman" w:hAnsi="Times New Roman"/>
          <w:sz w:val="16"/>
          <w:szCs w:val="16"/>
          <w:color w:val="auto"/>
        </w:rPr>
        <w:t>•a contraction of available credit and/or an inability to access the equity markets that could impair our lending and investment activities; •interest rate volatility that could adversely affect our results, particularly to the extent that we use leverage as part of our investment strategy; •the impact of interest and inflation rates on our business prospects and the prospects of our portfolio companies; •our business prospects and the prospects of our portfolio companies;</w:t>
      </w:r>
    </w:p>
    <w:p>
      <w:pPr>
        <w:ind w:left="360"/>
        <w:spacing w:after="0"/>
        <w:rPr>
          <w:sz w:val="20"/>
          <w:szCs w:val="20"/>
          <w:color w:val="auto"/>
        </w:rPr>
      </w:pPr>
      <w:r>
        <w:rPr>
          <w:rFonts w:ascii="Times New Roman" w:cs="Times New Roman" w:eastAsia="Times New Roman" w:hAnsi="Times New Roman"/>
          <w:sz w:val="16"/>
          <w:szCs w:val="16"/>
          <w:color w:val="auto"/>
        </w:rPr>
        <w:t>•our contractual arrangements and relationships with third parties;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ability of our portfolio companies to achieve their objectives;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•competition with other entities and our affiliates for investment opportunities;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speculative and illiquid nature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use of borrowed money to finance a portion of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adequacy of our financing sources and working capital;</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loss of key personnel and members of our management team;</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timing of cash flows, if any, from the operations of our portfolio companies;</w:t>
      </w:r>
    </w:p>
    <w:p>
      <w:pPr>
        <w:spacing w:after="0" w:line="92" w:lineRule="exact"/>
        <w:rPr>
          <w:sz w:val="20"/>
          <w:szCs w:val="20"/>
          <w:color w:val="auto"/>
        </w:rPr>
      </w:pPr>
    </w:p>
    <w:p>
      <w:pPr>
        <w:ind w:left="360" w:right="20"/>
        <w:spacing w:after="0" w:line="360" w:lineRule="auto"/>
        <w:rPr>
          <w:sz w:val="20"/>
          <w:szCs w:val="20"/>
          <w:color w:val="auto"/>
        </w:rPr>
      </w:pPr>
      <w:r>
        <w:rPr>
          <w:rFonts w:ascii="Times New Roman" w:cs="Times New Roman" w:eastAsia="Times New Roman" w:hAnsi="Times New Roman"/>
          <w:sz w:val="16"/>
          <w:szCs w:val="16"/>
          <w:color w:val="auto"/>
        </w:rPr>
        <w:t>•the ability of our external investment adviser, Runway Growth Capital LLC, to locate suitable investments for us and to monitor and administer our investments; •the ability of Runway Growth Capital LLC to attract and retain highly talented professionals;</w:t>
      </w:r>
    </w:p>
    <w:p>
      <w:pPr>
        <w:ind w:left="360"/>
        <w:spacing w:after="0"/>
        <w:rPr>
          <w:sz w:val="20"/>
          <w:szCs w:val="20"/>
          <w:color w:val="auto"/>
        </w:rPr>
      </w:pPr>
      <w:r>
        <w:rPr>
          <w:rFonts w:ascii="Times New Roman" w:cs="Times New Roman" w:eastAsia="Times New Roman" w:hAnsi="Times New Roman"/>
          <w:sz w:val="16"/>
          <w:szCs w:val="16"/>
          <w:color w:val="auto"/>
        </w:rPr>
        <w:t>•our ability to qualify and maintain our qualification as a RIC under Subchapter M of the Code, and as a BDC;</w:t>
      </w:r>
    </w:p>
    <w:p>
      <w:pPr>
        <w:spacing w:after="0" w:line="92" w:lineRule="exact"/>
        <w:rPr>
          <w:sz w:val="20"/>
          <w:szCs w:val="20"/>
          <w:color w:val="auto"/>
        </w:rPr>
      </w:pPr>
    </w:p>
    <w:p>
      <w:pPr>
        <w:ind w:left="360" w:right="120"/>
        <w:spacing w:after="0" w:line="259" w:lineRule="auto"/>
        <w:rPr>
          <w:sz w:val="20"/>
          <w:szCs w:val="20"/>
          <w:color w:val="auto"/>
        </w:rPr>
      </w:pPr>
      <w:r>
        <w:rPr>
          <w:rFonts w:ascii="Times New Roman" w:cs="Times New Roman" w:eastAsia="Times New Roman" w:hAnsi="Times New Roman"/>
          <w:sz w:val="16"/>
          <w:szCs w:val="16"/>
          <w:color w:val="auto"/>
        </w:rPr>
        <w:t>•the occurrence of a disaster, such as a cyber-attack against us or against a third-party that has access to our data or networks, a natural catastrophe, an industrial accident, failure of our disaster-recovery systems, or consequential employee error;</w:t>
      </w:r>
    </w:p>
    <w:p>
      <w:pPr>
        <w:spacing w:after="0" w:line="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effect of legal, tax, and regulatory changes; and</w:t>
      </w:r>
    </w:p>
    <w:p>
      <w:pPr>
        <w:spacing w:after="0" w:line="92" w:lineRule="exact"/>
        <w:rPr>
          <w:sz w:val="20"/>
          <w:szCs w:val="20"/>
          <w:color w:val="auto"/>
        </w:rPr>
      </w:pPr>
    </w:p>
    <w:p>
      <w:pPr>
        <w:ind w:left="360" w:right="40"/>
        <w:spacing w:after="0" w:line="247" w:lineRule="auto"/>
        <w:rPr>
          <w:sz w:val="20"/>
          <w:szCs w:val="20"/>
          <w:color w:val="auto"/>
        </w:rPr>
      </w:pPr>
      <w:r>
        <w:rPr>
          <w:rFonts w:ascii="Times New Roman" w:cs="Times New Roman" w:eastAsia="Times New Roman" w:hAnsi="Times New Roman"/>
          <w:sz w:val="16"/>
          <w:szCs w:val="16"/>
          <w:color w:val="auto"/>
        </w:rPr>
        <w:t>•the other risks, uncertainties and other factors we identify under "Risk Factors" in Part I, Item 1A of our annual report on Form 10-K, as modified by the Company's annual report on Form 10-K/A, for the year ended December 31, 2024, filed with the Securities and Exchange Commission (the "SEC") on March 20, 2025 and March 27, 2025, respectively, and in this quarterly report on Form 10-Q.</w:t>
      </w:r>
    </w:p>
    <w:p>
      <w:pPr>
        <w:spacing w:after="0" w:line="1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5" w:right="760" w:bottom="1440" w:gutter="0" w:footer="0" w:header="0"/>
        </w:sectPr>
      </w:pPr>
    </w:p>
    <w:bookmarkStart w:id="57" w:name="page58"/>
    <w:bookmarkEnd w:id="5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10 -Q should not be regarded as a representation by us that our plans and objectives will be achieved. These risks and uncertainties include those described or identified in "Risk Factors" in Part I, Item 1A of our annual report on Form 10-K, as modified by the Company's annual report on Form 10-K/A, for the year ended December 31, 2024, filed with the SEC on March 20, 2025 and March 27, 2025, respectively.</w:t>
      </w:r>
    </w:p>
    <w:p>
      <w:pPr>
        <w:spacing w:after="0" w:line="153" w:lineRule="exact"/>
        <w:rPr>
          <w:sz w:val="20"/>
          <w:szCs w:val="20"/>
          <w:color w:val="auto"/>
        </w:rPr>
      </w:pPr>
    </w:p>
    <w:p>
      <w:pPr>
        <w:ind w:right="20"/>
        <w:spacing w:after="0" w:line="189" w:lineRule="exact"/>
        <w:rPr>
          <w:sz w:val="20"/>
          <w:szCs w:val="20"/>
          <w:color w:val="auto"/>
        </w:rPr>
      </w:pPr>
      <w:r>
        <w:rPr>
          <w:rFonts w:ascii="Times New Roman" w:cs="Times New Roman" w:eastAsia="Times New Roman" w:hAnsi="Times New Roman"/>
          <w:sz w:val="16"/>
          <w:szCs w:val="16"/>
          <w:color w:val="auto"/>
        </w:rPr>
        <w:t>We have based the forward-looking statements included in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on information available to us on the date of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quarterly reports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w:t>
      </w:r>
    </w:p>
    <w:p>
      <w:pPr>
        <w:spacing w:after="0" w:line="129" w:lineRule="exact"/>
        <w:rPr>
          <w:sz w:val="20"/>
          <w:szCs w:val="20"/>
          <w:color w:val="auto"/>
        </w:rPr>
      </w:pPr>
    </w:p>
    <w:p>
      <w:pPr>
        <w:ind w:right="40"/>
        <w:spacing w:after="0" w:line="194" w:lineRule="exact"/>
        <w:rPr>
          <w:sz w:val="20"/>
          <w:szCs w:val="20"/>
          <w:color w:val="auto"/>
        </w:rPr>
      </w:pPr>
      <w:r>
        <w:rPr>
          <w:rFonts w:ascii="Times New Roman" w:cs="Times New Roman" w:eastAsia="Times New Roman" w:hAnsi="Times New Roman"/>
          <w:sz w:val="16"/>
          <w:szCs w:val="16"/>
          <w:color w:val="auto"/>
        </w:rPr>
        <w:t>The following analysis of our financial condition and results of operations should be read in conjunction with our consolidated financial statements and the related notes thereto contained elsewhere in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19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4"/>
          <w:szCs w:val="14"/>
          <w:color w:val="auto"/>
        </w:rPr>
        <w:t>Runway Growth Finance Corp. ("we," "us," "our," or the "Company"), a Maryland corporation formed on August 31, 2015, is structured as an externally managed, non-diversified closed- end management investment company. On August 18, 2021, we changed our name to "Runway Growth Finance Corp." from "Runway Growth Credit Fund Inc." We are a specialty finance company focused on providing senior secured loans to high growth-potential companies in technology, healthcare, business services, financial services, select consumer services and products and other high-growth industries. Our goal is to create significant value for our stockholders and the entrepreneurs we support by providing high growth-potential companies with hybrid debt and equity financing that is more flexible than traditional credit and less dilutive than equity. Our investment objective is to maximize our total return to our stockholders primarily through current income on our loan portfolio, and secondarily through capital gains on our warrants and other equity positions. Our offices are in Chicago, Illinois; Menlo Park, California; and New York, New York.</w:t>
      </w:r>
    </w:p>
    <w:p>
      <w:pPr>
        <w:spacing w:after="0" w:line="111"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have elected to be regulated as a business development company ("BDC") under the Investment Company Act of 1940, as amended (together with the rules and regulations promulgated thereunder, the "1940 Act"). We have also elected to be treated as a regulated investment company ("RIC") under Subchapter M of the Internal Revenue Code of 1986, as amended (the "Code"). While we currently qualify and intend to qualify annually to be treated as a RIC, no assurance can be provided that we will be able to maintain our tax treatment as a RIC. If we fail to qualify for tax treatment as a RIC for any taxable year, we will be subject to U.S. federal income tax at corporate rates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34"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which closed on October 25, 2021 or until the earliest of (i) the last day of the first fiscal year in which we have total annual gross revenue of $1.235 billion or more, (ii) December 31 of the fiscal year in which we become a "large accelerated filer" as defined in Rule 12b- 2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37"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We are externally managed by Runway Growth Capital LLC ("RGC"), an investment adviser that has registered with the SEC under the Investment Advisers Act of 1940, as amended. Runway Administrator Services LLC (the "Administrator"), a wholly-owned subsidiary of RGC, provides all the administrative services necessary for us to operate.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8" w:name="page59"/>
    <w:bookmarkEnd w:id="5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We, RGC, and certain other funds and accounts sponsored or managed by RGC and/or its affiliates, including BC Partners Advisors L.P. (collectively our "Affiliates"), rely on an order (the "Order") granted by the SEC that permits us greater flexibility than the 1940 Act permits to negotiate the terms of co-investments if our Board of Directors determines that it would be advantageous for us to co- invest with other accounts sponsored or managed by RGC and/or its Affiliates in a manner consistent with our investment objective, positions, policies, strategies and restrictions as well as regulatory requirements and other pertinent factors. We believe that the ability to co-invest with similar investment structures and accounts sponsored or managed by RGC or its Affiliates provides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in respect of us or our stockholders on the part of any person concerned and (2) the transaction is consistent with the interests of our stockholders and is consistent with our investment strategies and policies.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Composition and Investment Activity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Portfolio Composition</w:t>
      </w:r>
    </w:p>
    <w:p>
      <w:pPr>
        <w:spacing w:after="0" w:line="190"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At June 30, 2025, we had investments in 54 companies, representing 24 companies in which we held debt and warrant investments, 2 companies in which we held debt investments and shares of common stock/units, preferred stock/units, or a combination with warrants, 5 companies in which we held a debt investment only, 14 companies in which we held warrant investments only, and 9 companies in which we held shares of common stock/units, preferred stock/units, equity interests, convertible notes, or a combination thereof with warrants. At December 31, 2024, we had investments in 57 companies, representing 23 companies in which we held debt and warrant investments, 5 companies in which we held debt investments and shares of common stock/units, preferred stock/units, or a combination with warrants, 4 companies in which we held a debt investment only, 17 companies in which we held warrant investments only, and 8 companies in which we held shares of common stock/units, preferred stock/units, equity interests, or a combination thereof with warrants.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fair value of our investments, by asset class, as of June 30, 2025 and December 31,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2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Cost</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jc w:val="right"/>
              <w:ind w:right="134"/>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4280" w:type="dxa"/>
            <w:vAlign w:val="bottom"/>
            <w:gridSpan w:val="2"/>
            <w:vMerge w:val="continue"/>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Portfolio Investments</w:t>
            </w:r>
          </w:p>
        </w:tc>
        <w:tc>
          <w:tcPr>
            <w:tcW w:w="10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Senior Secured Loans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955,354</w:t>
            </w:r>
          </w:p>
        </w:tc>
        <w:tc>
          <w:tcPr>
            <w:tcW w:w="1520" w:type="dxa"/>
            <w:vAlign w:val="bottom"/>
            <w:gridSpan w:val="2"/>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941,705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91.88</w:t>
            </w:r>
          </w:p>
        </w:tc>
        <w:tc>
          <w:tcPr>
            <w:tcW w:w="24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Second Lien Loans</w:t>
            </w:r>
          </w:p>
        </w:tc>
        <w:tc>
          <w:tcPr>
            <w:tcW w:w="10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20,902</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20,778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Convertible Notes</w:t>
            </w:r>
          </w:p>
        </w:tc>
        <w:tc>
          <w:tcPr>
            <w:tcW w:w="108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1,000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Stock/Units</w:t>
            </w:r>
          </w:p>
        </w:tc>
        <w:tc>
          <w:tcPr>
            <w:tcW w:w="10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51,920</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39,549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3.86</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Stock/Units</w:t>
            </w:r>
          </w:p>
        </w:tc>
        <w:tc>
          <w:tcPr>
            <w:tcW w:w="108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6,534</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420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0.04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10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6,999</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08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23,804</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14,500</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080" w:type="dxa"/>
            <w:vAlign w:val="bottom"/>
            <w:shd w:val="clear" w:color="auto" w:fill="CFF0FC"/>
          </w:tcPr>
          <w:p>
            <w:pPr>
              <w:jc w:val="right"/>
              <w:ind w:right="9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1,066,064</w:t>
            </w:r>
          </w:p>
        </w:tc>
        <w:tc>
          <w:tcPr>
            <w:tcW w:w="1520" w:type="dxa"/>
            <w:vAlign w:val="bottom"/>
            <w:gridSpan w:val="2"/>
            <w:shd w:val="clear" w:color="auto" w:fill="CFF0FC"/>
          </w:tcPr>
          <w:p>
            <w:pPr>
              <w:jc w:val="right"/>
              <w:ind w:right="11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1,024,951</w:t>
            </w:r>
          </w:p>
        </w:tc>
        <w:tc>
          <w:tcPr>
            <w:tcW w:w="2000" w:type="dxa"/>
            <w:vAlign w:val="bottom"/>
            <w:gridSpan w:val="2"/>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40" w:type="dxa"/>
            <w:vAlign w:val="bottom"/>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0" w:type="dxa"/>
            <w:vAlign w:val="bottom"/>
            <w:vMerge w:val="restart"/>
          </w:tcPr>
          <w:p>
            <w:pPr>
              <w:spacing w:after="0"/>
              <w:rPr>
                <w:sz w:val="11"/>
                <w:szCs w:val="11"/>
                <w:color w:val="auto"/>
              </w:rPr>
            </w:pPr>
          </w:p>
        </w:tc>
        <w:tc>
          <w:tcPr>
            <w:tcW w:w="4260" w:type="dxa"/>
            <w:vAlign w:val="bottom"/>
            <w:tcBorders>
              <w:top w:val="single" w:sz="8" w:color="CFF0F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3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Borders>
              <w:top w:val="single" w:sz="8" w:color="CFF0FC"/>
            </w:tcBorders>
          </w:tcPr>
          <w:p>
            <w:pPr>
              <w:spacing w:after="0"/>
              <w:rPr>
                <w:sz w:val="11"/>
                <w:szCs w:val="11"/>
                <w:color w:val="auto"/>
              </w:rPr>
            </w:pPr>
          </w:p>
        </w:tc>
        <w:tc>
          <w:tcPr>
            <w:tcW w:w="18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0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Portfolio Investments</w:t>
            </w: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Senior Secured Loans</w:t>
            </w:r>
          </w:p>
        </w:tc>
        <w:tc>
          <w:tcPr>
            <w:tcW w:w="1080" w:type="dxa"/>
            <w:vAlign w:val="bottom"/>
            <w:shd w:val="clear" w:color="auto" w:fill="CFF0FC"/>
          </w:tcPr>
          <w:p>
            <w:pPr>
              <w:jc w:val="right"/>
              <w:ind w:right="91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966,155</w:t>
            </w:r>
          </w:p>
        </w:tc>
        <w:tc>
          <w:tcPr>
            <w:tcW w:w="1520" w:type="dxa"/>
            <w:vAlign w:val="bottom"/>
            <w:gridSpan w:val="2"/>
            <w:shd w:val="clear" w:color="auto" w:fill="CFF0FC"/>
          </w:tcPr>
          <w:p>
            <w:pPr>
              <w:jc w:val="right"/>
              <w:ind w:right="1154"/>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950,092</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88.24</w:t>
            </w:r>
          </w:p>
        </w:tc>
        <w:tc>
          <w:tcPr>
            <w:tcW w:w="24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Second Lien Loans</w:t>
            </w:r>
          </w:p>
        </w:tc>
        <w:tc>
          <w:tcPr>
            <w:tcW w:w="108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20,445</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20,152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Preferred Stock/Units</w:t>
            </w:r>
          </w:p>
        </w:tc>
        <w:tc>
          <w:tcPr>
            <w:tcW w:w="10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77,247</w:t>
            </w:r>
          </w:p>
        </w:tc>
        <w:tc>
          <w:tcPr>
            <w:tcW w:w="2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82,641</w:t>
            </w:r>
          </w:p>
        </w:tc>
        <w:tc>
          <w:tcPr>
            <w:tcW w:w="20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7.67</w:t>
            </w:r>
          </w:p>
        </w:tc>
        <w:tc>
          <w:tcPr>
            <w:tcW w:w="2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Stock/Units</w:t>
            </w:r>
          </w:p>
        </w:tc>
        <w:tc>
          <w:tcPr>
            <w:tcW w:w="108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9,141</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0.26</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Equity Interest</w:t>
            </w:r>
          </w:p>
        </w:tc>
        <w:tc>
          <w:tcPr>
            <w:tcW w:w="1080" w:type="dxa"/>
            <w:vAlign w:val="bottom"/>
            <w:shd w:val="clear" w:color="auto" w:fill="CFF0FC"/>
          </w:tcPr>
          <w:p>
            <w:pPr>
              <w:spacing w:after="0"/>
              <w:rPr>
                <w:sz w:val="13"/>
                <w:szCs w:val="13"/>
                <w:color w:val="auto"/>
              </w:rPr>
            </w:pP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6,550</w:t>
            </w:r>
          </w:p>
        </w:tc>
        <w:tc>
          <w:tcPr>
            <w:tcW w:w="20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6,940</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0.64</w:t>
            </w:r>
          </w:p>
        </w:tc>
        <w:tc>
          <w:tcPr>
            <w:tcW w:w="2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Warrants</w:t>
            </w:r>
          </w:p>
        </w:tc>
        <w:tc>
          <w:tcPr>
            <w:tcW w:w="1080" w:type="dxa"/>
            <w:vAlign w:val="bottom"/>
          </w:tcPr>
          <w:p>
            <w:pPr>
              <w:spacing w:after="0"/>
              <w:rPr>
                <w:sz w:val="13"/>
                <w:szCs w:val="13"/>
                <w:color w:val="auto"/>
              </w:rPr>
            </w:pPr>
          </w:p>
        </w:tc>
        <w:tc>
          <w:tcPr>
            <w:tcW w:w="74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24,345</w:t>
            </w: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14,182</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tcBorders>
              <w:bottom w:val="single" w:sz="8" w:color="CFF0FC"/>
            </w:tcBorders>
            <w:shd w:val="clear" w:color="auto" w:fill="CFF0FC"/>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Total Portfolio Investments</w:t>
            </w:r>
          </w:p>
        </w:tc>
        <w:tc>
          <w:tcPr>
            <w:tcW w:w="1080" w:type="dxa"/>
            <w:vAlign w:val="bottom"/>
            <w:tcBorders>
              <w:bottom w:val="single" w:sz="8" w:color="auto"/>
            </w:tcBorders>
            <w:shd w:val="clear" w:color="auto" w:fill="CFF0FC"/>
          </w:tcPr>
          <w:p>
            <w:pPr>
              <w:jc w:val="right"/>
              <w:ind w:right="91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1,103,883</w:t>
            </w:r>
          </w:p>
        </w:tc>
        <w:tc>
          <w:tcPr>
            <w:tcW w:w="200" w:type="dxa"/>
            <w:vAlign w:val="bottom"/>
            <w:tcBorders>
              <w:bottom w:val="single" w:sz="8" w:color="CFF0FC"/>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11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bottom w:val="single" w:sz="8" w:color="auto"/>
            </w:tcBorders>
            <w:shd w:val="clear" w:color="auto" w:fill="CFF0FC"/>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1,076,840</w:t>
            </w:r>
          </w:p>
        </w:tc>
        <w:tc>
          <w:tcPr>
            <w:tcW w:w="200" w:type="dxa"/>
            <w:vAlign w:val="bottom"/>
            <w:tcBorders>
              <w:bottom w:val="single" w:sz="8" w:color="CFF0FC"/>
            </w:tcBorders>
            <w:shd w:val="clear" w:color="auto" w:fill="CFF0FC"/>
          </w:tcPr>
          <w:p>
            <w:pPr>
              <w:spacing w:after="0"/>
              <w:rPr>
                <w:sz w:val="17"/>
                <w:szCs w:val="17"/>
                <w:color w:val="auto"/>
              </w:rPr>
            </w:pPr>
          </w:p>
        </w:tc>
        <w:tc>
          <w:tcPr>
            <w:tcW w:w="180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100.00</w:t>
            </w:r>
          </w:p>
        </w:tc>
        <w:tc>
          <w:tcPr>
            <w:tcW w:w="240" w:type="dxa"/>
            <w:vAlign w:val="bottom"/>
            <w:tcBorders>
              <w:bottom w:val="single" w:sz="8" w:color="auto"/>
            </w:tcBorders>
            <w:shd w:val="clear" w:color="auto" w:fill="CFF0FC"/>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231F20"/>
        </w:rPr>
        <w:t xml:space="preserve">For the three and six months ended June 30, 2025, our debt investment portfolio had a dollar-weighted annualized yield of 15.4% and 15.1%, respectively. For the </w:t>
      </w:r>
      <w:r>
        <w:rPr>
          <w:rFonts w:ascii="Times New Roman" w:cs="Times New Roman" w:eastAsia="Times New Roman" w:hAnsi="Times New Roman"/>
          <w:sz w:val="16"/>
          <w:szCs w:val="16"/>
          <w:color w:val="000000"/>
        </w:rPr>
        <w:t>three</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and six months ended June 30, 2024</w:t>
      </w:r>
      <w:r>
        <w:rPr>
          <w:rFonts w:ascii="Times New Roman" w:cs="Times New Roman" w:eastAsia="Times New Roman" w:hAnsi="Times New Roman"/>
          <w:sz w:val="16"/>
          <w:szCs w:val="16"/>
          <w:color w:val="231F20"/>
        </w:rPr>
        <w:t>, our debt investment portfolio had a dollar-weighted annualized yield of 15.1% and 15.9%, respectively. We calculate the yield on</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6"/>
          <w:szCs w:val="16"/>
          <w:color w:val="231F20"/>
        </w:rPr>
        <w:t>dollar-weighted debt investments for any period measured as (1) total related investment income during the period divided by (2) the daily average of the fair value of debt investments outstanding during the period, including any debt investments on non- accrual status. As of June 30, 2025, our debt investments had a dollar-weighted average term of 56 months at origination and a dollar-weighted average remaining term of 31 months, or approximately 2.6 years. As of June 30, 2025, substantially all of our debt investments had a committed principal amount of between $6.0 million and $75.0 million and pay cash interest at annual interest rates of between 6.3% and 14.1%.</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59" w:name="page60"/>
    <w:bookmarkEnd w:id="5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The following table shows our dollar-weighted annualized yield by investment type for the </w:t>
      </w:r>
      <w:r>
        <w:rPr>
          <w:rFonts w:ascii="Times New Roman" w:cs="Times New Roman" w:eastAsia="Times New Roman" w:hAnsi="Times New Roman"/>
          <w:sz w:val="16"/>
          <w:szCs w:val="16"/>
          <w:color w:val="000000"/>
        </w:rPr>
        <w:t>three and six months ended June 30, 2025 and 2024</w:t>
      </w:r>
      <w:r>
        <w:rPr>
          <w:rFonts w:ascii="Times New Roman" w:cs="Times New Roman" w:eastAsia="Times New Roman" w:hAnsi="Times New Roman"/>
          <w:sz w:val="16"/>
          <w:szCs w:val="16"/>
          <w:color w:val="231F20"/>
        </w:rPr>
        <w: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40" w:type="dxa"/>
            <w:vAlign w:val="bottom"/>
            <w:gridSpan w:val="3"/>
          </w:tcPr>
          <w:p>
            <w:pPr>
              <w:jc w:val="right"/>
              <w:ind w:right="314"/>
              <w:spacing w:after="0"/>
              <w:rPr>
                <w:sz w:val="20"/>
                <w:szCs w:val="20"/>
                <w:color w:val="auto"/>
              </w:rPr>
            </w:pPr>
            <w:r>
              <w:rPr>
                <w:rFonts w:ascii="Times New Roman" w:cs="Times New Roman" w:eastAsia="Times New Roman" w:hAnsi="Times New Roman"/>
                <w:sz w:val="13"/>
                <w:szCs w:val="13"/>
                <w:b w:val="1"/>
                <w:bCs w:val="1"/>
                <w:color w:val="auto"/>
              </w:rPr>
              <w:t>Fair Value</w:t>
            </w:r>
            <w:r>
              <w:rPr>
                <w:rFonts w:ascii="Times New Roman" w:cs="Times New Roman" w:eastAsia="Times New Roman" w:hAnsi="Times New Roman"/>
                <w:sz w:val="16"/>
                <w:szCs w:val="16"/>
                <w:b w:val="1"/>
                <w:bCs w:val="1"/>
                <w:color w:val="auto"/>
                <w:vertAlign w:val="superscript"/>
              </w:rPr>
              <w:t>(1)</w:t>
            </w: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434"/>
              <w:spacing w:after="0"/>
              <w:rPr>
                <w:sz w:val="20"/>
                <w:szCs w:val="20"/>
                <w:color w:val="auto"/>
              </w:rPr>
            </w:pPr>
            <w:r>
              <w:rPr>
                <w:rFonts w:ascii="Times New Roman" w:cs="Times New Roman" w:eastAsia="Times New Roman" w:hAnsi="Times New Roman"/>
                <w:sz w:val="13"/>
                <w:szCs w:val="13"/>
                <w:b w:val="1"/>
                <w:bCs w:val="1"/>
                <w:color w:val="auto"/>
                <w:w w:val="90"/>
              </w:rPr>
              <w:t>Cost</w:t>
            </w:r>
            <w:r>
              <w:rPr>
                <w:rFonts w:ascii="Times New Roman" w:cs="Times New Roman" w:eastAsia="Times New Roman" w:hAnsi="Times New Roman"/>
                <w:sz w:val="16"/>
                <w:szCs w:val="16"/>
                <w:b w:val="1"/>
                <w:bCs w:val="1"/>
                <w:color w:val="auto"/>
                <w:w w:val="90"/>
                <w:vertAlign w:val="superscript"/>
              </w:rPr>
              <w:t>(2)</w:t>
            </w: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56"/>
        </w:trPr>
        <w:tc>
          <w:tcPr>
            <w:tcW w:w="1680" w:type="dxa"/>
            <w:vAlign w:val="bottom"/>
          </w:tcPr>
          <w:p>
            <w:pPr>
              <w:spacing w:after="0"/>
              <w:rPr>
                <w:sz w:val="13"/>
                <w:szCs w:val="13"/>
                <w:color w:val="auto"/>
              </w:rPr>
            </w:pPr>
          </w:p>
        </w:tc>
        <w:tc>
          <w:tcPr>
            <w:tcW w:w="2680" w:type="dxa"/>
            <w:vAlign w:val="bottom"/>
            <w:gridSpan w:val="5"/>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260" w:type="dxa"/>
            <w:vAlign w:val="bottom"/>
          </w:tcPr>
          <w:p>
            <w:pPr>
              <w:spacing w:after="0"/>
              <w:rPr>
                <w:sz w:val="13"/>
                <w:szCs w:val="13"/>
                <w:color w:val="auto"/>
              </w:rPr>
            </w:pPr>
          </w:p>
        </w:tc>
        <w:tc>
          <w:tcPr>
            <w:tcW w:w="1900" w:type="dxa"/>
            <w:vAlign w:val="bottom"/>
            <w:gridSpan w:val="4"/>
          </w:tcPr>
          <w:p>
            <w:pPr>
              <w:jc w:val="right"/>
              <w:ind w:right="14"/>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260" w:type="dxa"/>
            <w:vAlign w:val="bottom"/>
            <w:gridSpan w:val="4"/>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r>
      <w:tr>
        <w:trPr>
          <w:trHeight w:val="170"/>
        </w:trPr>
        <w:tc>
          <w:tcPr>
            <w:tcW w:w="16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2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tcPr>
          <w:p>
            <w:pPr>
              <w:spacing w:after="0"/>
              <w:rPr>
                <w:sz w:val="14"/>
                <w:szCs w:val="14"/>
                <w:color w:val="auto"/>
              </w:rPr>
            </w:pPr>
          </w:p>
        </w:tc>
        <w:tc>
          <w:tcPr>
            <w:tcW w:w="68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260" w:type="dxa"/>
            <w:vAlign w:val="bottom"/>
          </w:tcPr>
          <w:p>
            <w:pPr>
              <w:spacing w:after="0"/>
              <w:rPr>
                <w:sz w:val="14"/>
                <w:szCs w:val="14"/>
                <w:color w:val="auto"/>
              </w:rPr>
            </w:pPr>
          </w:p>
        </w:tc>
        <w:tc>
          <w:tcPr>
            <w:tcW w:w="7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2024</w:t>
            </w:r>
          </w:p>
        </w:tc>
        <w:tc>
          <w:tcPr>
            <w:tcW w:w="160" w:type="dxa"/>
            <w:vAlign w:val="bottom"/>
          </w:tcPr>
          <w:p>
            <w:pPr>
              <w:spacing w:after="0"/>
              <w:rPr>
                <w:sz w:val="14"/>
                <w:szCs w:val="14"/>
                <w:color w:val="auto"/>
              </w:rPr>
            </w:pPr>
          </w:p>
        </w:tc>
        <w:tc>
          <w:tcPr>
            <w:tcW w:w="860" w:type="dxa"/>
            <w:vAlign w:val="bottom"/>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tcPr>
          <w:p>
            <w:pPr>
              <w:spacing w:after="0"/>
              <w:rPr>
                <w:sz w:val="14"/>
                <w:szCs w:val="14"/>
                <w:color w:val="auto"/>
              </w:rPr>
            </w:pP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2024</w:t>
            </w:r>
          </w:p>
        </w:tc>
        <w:tc>
          <w:tcPr>
            <w:tcW w:w="360" w:type="dxa"/>
            <w:vAlign w:val="bottom"/>
          </w:tcPr>
          <w:p>
            <w:pPr>
              <w:spacing w:after="0"/>
              <w:rPr>
                <w:sz w:val="14"/>
                <w:szCs w:val="14"/>
                <w:color w:val="auto"/>
              </w:rPr>
            </w:pPr>
          </w:p>
        </w:tc>
      </w:tr>
      <w:tr>
        <w:trPr>
          <w:trHeight w:val="156"/>
        </w:trPr>
        <w:tc>
          <w:tcPr>
            <w:tcW w:w="168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Investment type:</w:t>
            </w:r>
          </w:p>
        </w:tc>
        <w:tc>
          <w:tcPr>
            <w:tcW w:w="11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r>
      <w:tr>
        <w:trPr>
          <w:trHeight w:val="156"/>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Debt investments</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15.40</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15.05</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15.13</w:t>
            </w:r>
          </w:p>
        </w:tc>
        <w:tc>
          <w:tcPr>
            <w:tcW w:w="4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15.91</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15.08</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4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15.64</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r>
      <w:tr>
        <w:trPr>
          <w:trHeight w:val="156"/>
        </w:trPr>
        <w:tc>
          <w:tcPr>
            <w:tcW w:w="1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Equity interest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1.31</w:t>
            </w:r>
          </w:p>
        </w:tc>
        <w:tc>
          <w:tcPr>
            <w:tcW w:w="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420" w:type="dxa"/>
            <w:vAlign w:val="bottom"/>
            <w:shd w:val="clear" w:color="auto" w:fill="CFF0FC"/>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0.11</w:t>
            </w:r>
          </w:p>
        </w:tc>
        <w:tc>
          <w:tcPr>
            <w:tcW w:w="26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0.89</w:t>
            </w:r>
          </w:p>
        </w:tc>
        <w:tc>
          <w:tcPr>
            <w:tcW w:w="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400" w:type="dxa"/>
            <w:vAlign w:val="bottom"/>
            <w:shd w:val="clear" w:color="auto" w:fill="CFF0FC"/>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0.07</w:t>
            </w:r>
          </w:p>
        </w:tc>
        <w:tc>
          <w:tcPr>
            <w:tcW w:w="36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16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All investments</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14.54</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14.30</w:t>
            </w:r>
          </w:p>
        </w:tc>
        <w:tc>
          <w:tcPr>
            <w:tcW w:w="32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420" w:type="dxa"/>
            <w:vAlign w:val="bottom"/>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w:t>
            </w:r>
          </w:p>
        </w:tc>
        <w:tc>
          <w:tcPr>
            <w:tcW w:w="26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13.68</w:t>
            </w:r>
          </w:p>
        </w:tc>
        <w:tc>
          <w:tcPr>
            <w:tcW w:w="400" w:type="dxa"/>
            <w:vAlign w:val="bottom"/>
          </w:tcPr>
          <w:p>
            <w:pPr>
              <w:jc w:val="right"/>
              <w:ind w:right="174"/>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w:t>
            </w:r>
          </w:p>
        </w:tc>
        <w:tc>
          <w:tcPr>
            <w:tcW w:w="3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r>
      <w:tr>
        <w:trPr>
          <w:trHeight w:val="44"/>
        </w:trPr>
        <w:tc>
          <w:tcPr>
            <w:tcW w:w="16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r>
    </w:tbl>
    <w:p>
      <w:pPr>
        <w:spacing w:after="0" w:line="83" w:lineRule="exact"/>
        <w:rPr>
          <w:sz w:val="20"/>
          <w:szCs w:val="20"/>
          <w:color w:val="auto"/>
        </w:rPr>
      </w:pPr>
    </w:p>
    <w:p>
      <w:pPr>
        <w:ind w:right="20"/>
        <w:spacing w:after="0" w:line="212"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fair value of the investment type outstanding during the period,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81" w:lineRule="exact"/>
        <w:rPr>
          <w:sz w:val="20"/>
          <w:szCs w:val="20"/>
          <w:color w:val="auto"/>
        </w:rPr>
      </w:pPr>
    </w:p>
    <w:p>
      <w:pPr>
        <w:ind w:right="340"/>
        <w:spacing w:after="0" w:line="212" w:lineRule="auto"/>
        <w:rPr>
          <w:sz w:val="20"/>
          <w:szCs w:val="20"/>
          <w:color w:val="auto"/>
        </w:rPr>
      </w:pPr>
      <w:r>
        <w:rPr>
          <w:rFonts w:ascii="Times New Roman" w:cs="Times New Roman" w:eastAsia="Times New Roman" w:hAnsi="Times New Roman"/>
          <w:sz w:val="31"/>
          <w:szCs w:val="31"/>
          <w:color w:val="auto"/>
          <w:vertAlign w:val="superscript"/>
        </w:rPr>
        <w:t>(2)</w:t>
      </w:r>
      <w:r>
        <w:rPr>
          <w:rFonts w:ascii="Times New Roman" w:cs="Times New Roman" w:eastAsia="Times New Roman" w:hAnsi="Times New Roman"/>
          <w:sz w:val="13"/>
          <w:szCs w:val="13"/>
          <w:color w:val="auto"/>
        </w:rPr>
        <w:t>We calculate the dollar-weighted annualized yield on average investment type for any period as (a) total related investment income during the period divided by (b) the daily average of the investment type outstanding during the period, at amortized cost, including any investments on non-accrual status. The dollar-weighted annualized yield represents the portfolio yield and will be higher than what investors will realize because it does not reflect our expenses or any sales load paid by investors.</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Activity</w:t>
      </w:r>
    </w:p>
    <w:p>
      <w:pPr>
        <w:spacing w:after="0" w:line="19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six months ended June 30, 2025, we funded $34.4 million in two new portfolio companies and $19.6 million in four existing portfolio companies, net of upfront loan origination fees and refinances. We also received $100.0 million in sales and prepayments from four portfolio companies and $7.9 million in scheduled principal repayments from three portfolio company. Of the sales and prepayments, $38.1 million in proceeds was from the termination of warrants, sale of preferred stock/units, sale of equity interest, or sale of common stock/units. During the six months ended June 30, 2024, we funded $94.4 million in three new portfolio companies, $0.7 million in one joint venture, and $5.0 million in one existing portfolio company, net of upfront loan origination fees and refinances. We also received $59.8 million in loan prepayments from three portfolio companies and $ 1.7 million in scheduled principal payments from one portfolio company. There were no proceeds from the termination of warrants, sale of preferred stock/units, sale of equity interest, or sale of common stock/units during the six months ended June 30,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Portfolio Reconciliation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is a reconciliation of our investment portfolio for the six months ended June 30, 2025 and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540" w:type="dxa"/>
            <w:vAlign w:val="bottom"/>
          </w:tcPr>
          <w:p>
            <w:pPr>
              <w:spacing w:after="0"/>
              <w:rPr>
                <w:sz w:val="15"/>
                <w:szCs w:val="15"/>
                <w:color w:val="auto"/>
              </w:rPr>
            </w:pPr>
          </w:p>
        </w:tc>
        <w:tc>
          <w:tcPr>
            <w:tcW w:w="152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2025</w:t>
            </w:r>
          </w:p>
        </w:tc>
        <w:tc>
          <w:tcPr>
            <w:tcW w:w="1980" w:type="dxa"/>
            <w:vAlign w:val="bottom"/>
            <w:gridSpan w:val="3"/>
          </w:tcPr>
          <w:p>
            <w:pPr>
              <w:jc w:val="right"/>
              <w:ind w:right="94"/>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440" w:type="dxa"/>
            <w:vAlign w:val="bottom"/>
            <w:vMerge w:val="restart"/>
          </w:tcPr>
          <w:p>
            <w:pPr>
              <w:jc w:val="right"/>
              <w:ind w:right="954"/>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55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Beginning investment portfolio</w:t>
            </w:r>
          </w:p>
        </w:tc>
        <w:tc>
          <w:tcPr>
            <w:tcW w:w="1520" w:type="dxa"/>
            <w:vAlign w:val="bottom"/>
            <w:shd w:val="clear" w:color="auto" w:fill="CFF0FC"/>
          </w:tcPr>
          <w:p>
            <w:pPr>
              <w:jc w:val="right"/>
              <w:ind w:right="1254"/>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1,076,840</w:t>
            </w:r>
          </w:p>
        </w:tc>
        <w:tc>
          <w:tcPr>
            <w:tcW w:w="36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594"/>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1,067,009</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investments</w:t>
            </w:r>
          </w:p>
        </w:tc>
        <w:tc>
          <w:tcPr>
            <w:tcW w:w="1520" w:type="dxa"/>
            <w:vAlign w:val="bottom"/>
          </w:tcPr>
          <w:p>
            <w:pPr>
              <w:spacing w:after="0"/>
              <w:rPr>
                <w:sz w:val="13"/>
                <w:szCs w:val="13"/>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54,039</w:t>
            </w:r>
          </w:p>
        </w:tc>
        <w:tc>
          <w:tcPr>
            <w:tcW w:w="8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PIK interest</w:t>
            </w:r>
          </w:p>
        </w:tc>
        <w:tc>
          <w:tcPr>
            <w:tcW w:w="15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7,353</w:t>
            </w:r>
          </w:p>
        </w:tc>
        <w:tc>
          <w:tcPr>
            <w:tcW w:w="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6,863</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Sales and prepayments of investments</w:t>
            </w:r>
          </w:p>
        </w:tc>
        <w:tc>
          <w:tcPr>
            <w:tcW w:w="1520" w:type="dxa"/>
            <w:vAlign w:val="bottom"/>
          </w:tcPr>
          <w:p>
            <w:pPr>
              <w:spacing w:after="0"/>
              <w:rPr>
                <w:sz w:val="13"/>
                <w:szCs w:val="13"/>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(99,978)</w:t>
            </w:r>
          </w:p>
        </w:tc>
        <w:tc>
          <w:tcPr>
            <w:tcW w:w="860" w:type="dxa"/>
            <w:vAlign w:val="bottom"/>
          </w:tcPr>
          <w:p>
            <w:pPr>
              <w:spacing w:after="0"/>
              <w:rPr>
                <w:sz w:val="13"/>
                <w:szCs w:val="13"/>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(59,761)</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Scheduled repayments of investments</w:t>
            </w:r>
          </w:p>
        </w:tc>
        <w:tc>
          <w:tcPr>
            <w:tcW w:w="15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(7,895)</w:t>
            </w:r>
          </w:p>
        </w:tc>
        <w:tc>
          <w:tcPr>
            <w:tcW w:w="8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(1,746)</w:t>
            </w: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maturities of U.S. Treasury Bills</w:t>
            </w:r>
          </w:p>
        </w:tc>
        <w:tc>
          <w:tcPr>
            <w:tcW w:w="1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(42,029)</w:t>
            </w: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Amortization of fixed income premiums or accretion of discounts</w:t>
            </w:r>
          </w:p>
        </w:tc>
        <w:tc>
          <w:tcPr>
            <w:tcW w:w="152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4,106</w:t>
            </w:r>
          </w:p>
        </w:tc>
        <w:tc>
          <w:tcPr>
            <w:tcW w:w="3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Net realized gain (loss) on investments</w:t>
            </w:r>
          </w:p>
        </w:tc>
        <w:tc>
          <w:tcPr>
            <w:tcW w:w="15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4,556</w:t>
            </w: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Net change in unrealized gain (loss) on investments</w:t>
            </w:r>
          </w:p>
        </w:tc>
        <w:tc>
          <w:tcPr>
            <w:tcW w:w="1520" w:type="dxa"/>
            <w:vAlign w:val="bottom"/>
            <w:shd w:val="clear" w:color="auto" w:fill="CFF0FC"/>
          </w:tcPr>
          <w:p>
            <w:pPr>
              <w:spacing w:after="0"/>
              <w:rPr>
                <w:sz w:val="13"/>
                <w:szCs w:val="13"/>
                <w:color w:val="auto"/>
              </w:rPr>
            </w:pPr>
          </w:p>
        </w:tc>
        <w:tc>
          <w:tcPr>
            <w:tcW w:w="11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3"/>
                <w:szCs w:val="13"/>
                <w:color w:val="auto"/>
              </w:rPr>
              <w:t>(14,070)</w:t>
            </w:r>
          </w:p>
        </w:tc>
        <w:tc>
          <w:tcPr>
            <w:tcW w:w="86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(12,917)</w:t>
            </w:r>
          </w:p>
        </w:tc>
        <w:tc>
          <w:tcPr>
            <w:tcW w:w="0" w:type="dxa"/>
            <w:vAlign w:val="bottom"/>
          </w:tcPr>
          <w:p>
            <w:pPr>
              <w:spacing w:after="0"/>
              <w:rPr>
                <w:sz w:val="1"/>
                <w:szCs w:val="1"/>
                <w:color w:val="auto"/>
              </w:rPr>
            </w:pPr>
          </w:p>
        </w:tc>
      </w:tr>
      <w:tr>
        <w:trPr>
          <w:trHeight w:val="156"/>
        </w:trPr>
        <w:tc>
          <w:tcPr>
            <w:tcW w:w="5540" w:type="dxa"/>
            <w:vAlign w:val="bottom"/>
          </w:tcPr>
          <w:p>
            <w:pPr>
              <w:spacing w:after="0" w:line="136" w:lineRule="exact"/>
              <w:rPr>
                <w:sz w:val="20"/>
                <w:szCs w:val="20"/>
                <w:color w:val="auto"/>
              </w:rPr>
            </w:pPr>
            <w:r>
              <w:rPr>
                <w:rFonts w:ascii="Times New Roman" w:cs="Times New Roman" w:eastAsia="Times New Roman" w:hAnsi="Times New Roman"/>
                <w:sz w:val="13"/>
                <w:szCs w:val="13"/>
                <w:color w:val="auto"/>
              </w:rPr>
              <w:t>Ending investment portfolio</w:t>
            </w:r>
          </w:p>
        </w:tc>
        <w:tc>
          <w:tcPr>
            <w:tcW w:w="1520" w:type="dxa"/>
            <w:vAlign w:val="bottom"/>
            <w:tcBorders>
              <w:bottom w:val="single" w:sz="8" w:color="auto"/>
            </w:tcBorders>
          </w:tcPr>
          <w:p>
            <w:pPr>
              <w:jc w:val="right"/>
              <w:ind w:right="1254"/>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1,024,951</w:t>
            </w:r>
          </w:p>
        </w:tc>
        <w:tc>
          <w:tcPr>
            <w:tcW w:w="360" w:type="dxa"/>
            <w:vAlign w:val="bottom"/>
          </w:tcPr>
          <w:p>
            <w:pPr>
              <w:spacing w:after="0"/>
              <w:rPr>
                <w:sz w:val="13"/>
                <w:szCs w:val="13"/>
                <w:color w:val="auto"/>
              </w:rPr>
            </w:pPr>
          </w:p>
        </w:tc>
        <w:tc>
          <w:tcPr>
            <w:tcW w:w="860" w:type="dxa"/>
            <w:vAlign w:val="bottom"/>
            <w:tcBorders>
              <w:bottom w:val="single" w:sz="8" w:color="auto"/>
            </w:tcBorders>
          </w:tcPr>
          <w:p>
            <w:pPr>
              <w:jc w:val="right"/>
              <w:ind w:right="5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3"/>
                <w:szCs w:val="13"/>
                <w:color w:val="auto"/>
              </w:rPr>
              <w:t>1,063,324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0" w:name="page61"/>
    <w:bookmarkEnd w:id="6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 Quality</w:t>
      </w:r>
    </w:p>
    <w:p>
      <w:pPr>
        <w:spacing w:after="0" w:line="15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ectPr>
          <w:pgSz w:w="11900" w:h="16840" w:orient="portrait"/>
          <w:cols w:equalWidth="0" w:num="1">
            <w:col w:w="10560"/>
          </w:cols>
          <w:pgMar w:left="660" w:top="555" w:right="680" w:bottom="1440" w:gutter="0" w:footer="0" w:header="0"/>
        </w:sectPr>
      </w:pPr>
    </w:p>
    <w:p>
      <w:pPr>
        <w:spacing w:after="0" w:line="92" w:lineRule="exact"/>
        <w:rPr>
          <w:sz w:val="20"/>
          <w:szCs w:val="20"/>
          <w:color w:val="auto"/>
        </w:rPr>
      </w:pPr>
    </w:p>
    <w:p>
      <w:pPr>
        <w:jc w:val="center"/>
        <w:ind w:right="3580"/>
        <w:spacing w:after="0"/>
        <w:rPr>
          <w:sz w:val="20"/>
          <w:szCs w:val="20"/>
          <w:color w:val="auto"/>
        </w:rPr>
      </w:pPr>
      <w:r>
        <w:rPr>
          <w:rFonts w:ascii="Times New Roman" w:cs="Times New Roman" w:eastAsia="Times New Roman" w:hAnsi="Times New Roman"/>
          <w:sz w:val="13"/>
          <w:szCs w:val="13"/>
          <w:b w:val="1"/>
          <w:bCs w:val="1"/>
          <w:color w:val="auto"/>
        </w:rPr>
        <w:t>Investment</w:t>
      </w:r>
    </w:p>
    <w:p>
      <w:pPr>
        <w:spacing w:after="0" w:line="23" w:lineRule="exact"/>
        <w:rPr>
          <w:sz w:val="20"/>
          <w:szCs w:val="20"/>
          <w:color w:val="auto"/>
        </w:rPr>
      </w:pPr>
    </w:p>
    <w:p>
      <w:pPr>
        <w:jc w:val="center"/>
        <w:ind w:right="3600"/>
        <w:spacing w:after="0"/>
        <w:rPr>
          <w:sz w:val="20"/>
          <w:szCs w:val="20"/>
          <w:color w:val="auto"/>
        </w:rPr>
      </w:pPr>
      <w:r>
        <w:rPr>
          <w:rFonts w:ascii="Times New Roman" w:cs="Times New Roman" w:eastAsia="Times New Roman" w:hAnsi="Times New Roman"/>
          <w:sz w:val="13"/>
          <w:szCs w:val="13"/>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2540</wp:posOffset>
            </wp:positionV>
            <wp:extent cx="67818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81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3"/>
          <w:szCs w:val="13"/>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-2672715</wp:posOffset>
            </wp:positionH>
            <wp:positionV relativeFrom="paragraph">
              <wp:posOffset>12700</wp:posOffset>
            </wp:positionV>
            <wp:extent cx="5968365"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968365" cy="7620"/>
                    </a:xfrm>
                    <a:prstGeom prst="rect">
                      <a:avLst/>
                    </a:prstGeom>
                    <a:noFill/>
                  </pic:spPr>
                </pic:pic>
              </a:graphicData>
            </a:graphic>
          </wp:anchor>
        </w:drawing>
      </w:r>
    </w:p>
    <w:p>
      <w:pPr>
        <w:spacing w:after="0" w:line="95" w:lineRule="exact"/>
        <w:rPr>
          <w:sz w:val="20"/>
          <w:szCs w:val="20"/>
          <w:color w:val="auto"/>
        </w:rPr>
      </w:pPr>
    </w:p>
    <w:p>
      <w:pPr>
        <w:sectPr>
          <w:pgSz w:w="11900" w:h="16840" w:orient="portrait"/>
          <w:cols w:equalWidth="0" w:num="2">
            <w:col w:w="4660" w:space="720"/>
            <w:col w:w="5180"/>
          </w:cols>
          <w:pgMar w:left="660" w:top="555" w:right="680" w:bottom="1440" w:gutter="0" w:footer="0" w:header="0"/>
          <w:type w:val="continuous"/>
        </w:sectPr>
      </w:pPr>
    </w:p>
    <w:p>
      <w:pPr>
        <w:ind w:left="1180" w:hanging="676"/>
        <w:spacing w:after="0"/>
        <w:tabs>
          <w:tab w:leader="none" w:pos="1180" w:val="left"/>
        </w:tabs>
        <w:numPr>
          <w:ilvl w:val="0"/>
          <w:numId w:val="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6707505" cy="1143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07505" cy="114300"/>
                    </a:xfrm>
                    <a:prstGeom prst="rect">
                      <a:avLst/>
                    </a:prstGeom>
                    <a:noFill/>
                  </pic:spPr>
                </pic:pic>
              </a:graphicData>
            </a:graphic>
          </wp:anchor>
        </w:drawing>
      </w:r>
    </w:p>
    <w:p>
      <w:pPr>
        <w:ind w:left="1180" w:right="20" w:hanging="676"/>
        <w:spacing w:after="0" w:line="250" w:lineRule="auto"/>
        <w:tabs>
          <w:tab w:leader="none" w:pos="11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at or reasonably close to plan. Acceptable business prospects, enterprise value, and financial coverage. Maintaining key covenant and payment compliance as agreed. Generally,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wp:posOffset>
            </wp:positionV>
            <wp:extent cx="6707505" cy="1981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ind w:left="1180" w:right="220" w:hanging="676"/>
        <w:spacing w:after="0" w:line="250" w:lineRule="auto"/>
        <w:tabs>
          <w:tab w:leader="none" w:pos="11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180" w:right="40" w:hanging="676"/>
        <w:spacing w:after="0" w:line="250" w:lineRule="auto"/>
        <w:tabs>
          <w:tab w:leader="none" w:pos="1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6707505" cy="1981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07505" cy="198120"/>
                    </a:xfrm>
                    <a:prstGeom prst="rect">
                      <a:avLst/>
                    </a:prstGeom>
                    <a:noFill/>
                  </pic:spPr>
                </pic:pic>
              </a:graphicData>
            </a:graphic>
          </wp:anchor>
        </w:drawing>
      </w:r>
    </w:p>
    <w:p>
      <w:pPr>
        <w:ind w:left="1180" w:right="260" w:hanging="676"/>
        <w:spacing w:after="0" w:line="263" w:lineRule="auto"/>
        <w:tabs>
          <w:tab w:leader="none" w:pos="118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shows the investment ratings of our debt investments at fair value as of June 30, 2025 and December 31,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Portfolio</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6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Number of Portfolio</w:t>
            </w:r>
          </w:p>
        </w:tc>
        <w:tc>
          <w:tcPr>
            <w:tcW w:w="0" w:type="dxa"/>
            <w:vAlign w:val="bottom"/>
          </w:tcPr>
          <w:p>
            <w:pPr>
              <w:spacing w:after="0"/>
              <w:rPr>
                <w:sz w:val="1"/>
                <w:szCs w:val="1"/>
                <w:color w:val="auto"/>
              </w:rPr>
            </w:pPr>
          </w:p>
        </w:tc>
      </w:tr>
      <w:tr>
        <w:trPr>
          <w:trHeight w:val="138"/>
        </w:trPr>
        <w:tc>
          <w:tcPr>
            <w:tcW w:w="1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Investment Rating</w:t>
            </w:r>
          </w:p>
        </w:tc>
        <w:tc>
          <w:tcPr>
            <w:tcW w:w="240" w:type="dxa"/>
            <w:vAlign w:val="bottom"/>
          </w:tcPr>
          <w:p>
            <w:pPr>
              <w:spacing w:after="0"/>
              <w:rPr>
                <w:sz w:val="14"/>
                <w:szCs w:val="14"/>
                <w:color w:val="auto"/>
              </w:rPr>
            </w:pPr>
          </w:p>
        </w:tc>
        <w:tc>
          <w:tcPr>
            <w:tcW w:w="15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16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0" w:type="dxa"/>
            <w:vAlign w:val="bottom"/>
          </w:tcPr>
          <w:p>
            <w:pPr>
              <w:jc w:val="right"/>
              <w:ind w:right="74"/>
              <w:spacing w:after="0"/>
              <w:rPr>
                <w:sz w:val="20"/>
                <w:szCs w:val="20"/>
                <w:color w:val="auto"/>
              </w:rPr>
            </w:pPr>
            <w:r>
              <w:rPr>
                <w:rFonts w:ascii="Times New Roman" w:cs="Times New Roman" w:eastAsia="Times New Roman" w:hAnsi="Times New Roman"/>
                <w:sz w:val="13"/>
                <w:szCs w:val="13"/>
                <w:b w:val="1"/>
                <w:bCs w:val="1"/>
                <w:color w:val="auto"/>
              </w:rPr>
              <w:t>% of Total Portfolio</w:t>
            </w:r>
          </w:p>
        </w:tc>
        <w:tc>
          <w:tcPr>
            <w:tcW w:w="160" w:type="dxa"/>
            <w:vAlign w:val="bottom"/>
          </w:tcPr>
          <w:p>
            <w:pPr>
              <w:spacing w:after="0"/>
              <w:rPr>
                <w:sz w:val="14"/>
                <w:szCs w:val="14"/>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Companies</w:t>
            </w:r>
          </w:p>
        </w:tc>
        <w:tc>
          <w:tcPr>
            <w:tcW w:w="0" w:type="dxa"/>
            <w:vAlign w:val="bottom"/>
          </w:tcPr>
          <w:p>
            <w:pPr>
              <w:spacing w:after="0"/>
              <w:rPr>
                <w:sz w:val="1"/>
                <w:szCs w:val="1"/>
                <w:color w:val="auto"/>
              </w:rPr>
            </w:pPr>
          </w:p>
        </w:tc>
      </w:tr>
      <w:tr>
        <w:trPr>
          <w:trHeight w:val="156"/>
        </w:trPr>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1</w:t>
            </w: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3"/>
                <w:szCs w:val="13"/>
                <w:color w:val="auto"/>
              </w:rPr>
              <w:t>22,332</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2.18 %</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27,217</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2.53 %</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w:t>
            </w:r>
          </w:p>
        </w:tc>
        <w:tc>
          <w:tcPr>
            <w:tcW w:w="24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676,831</w:t>
            </w:r>
          </w:p>
        </w:tc>
        <w:tc>
          <w:tcPr>
            <w:tcW w:w="360" w:type="dxa"/>
            <w:vAlign w:val="bottom"/>
          </w:tcPr>
          <w:p>
            <w:pPr>
              <w:spacing w:after="0"/>
              <w:rPr>
                <w:sz w:val="13"/>
                <w:szCs w:val="13"/>
                <w:color w:val="auto"/>
              </w:rPr>
            </w:pP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66.05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671,839</w:t>
            </w:r>
          </w:p>
        </w:tc>
        <w:tc>
          <w:tcPr>
            <w:tcW w:w="300" w:type="dxa"/>
            <w:vAlign w:val="bottom"/>
          </w:tcPr>
          <w:p>
            <w:pPr>
              <w:spacing w:after="0"/>
              <w:rPr>
                <w:sz w:val="13"/>
                <w:szCs w:val="13"/>
                <w:color w:val="auto"/>
              </w:rPr>
            </w:pP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62.39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0" w:type="dxa"/>
            <w:vAlign w:val="bottom"/>
          </w:tcPr>
          <w:p>
            <w:pPr>
              <w:spacing w:after="0"/>
              <w:rPr>
                <w:sz w:val="1"/>
                <w:szCs w:val="1"/>
                <w:color w:val="auto"/>
              </w:rPr>
            </w:pPr>
          </w:p>
        </w:tc>
      </w:tr>
      <w:tr>
        <w:trPr>
          <w:trHeight w:val="156"/>
        </w:trPr>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3</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223,783</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21.83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231,488</w:t>
            </w:r>
          </w:p>
        </w:tc>
        <w:tc>
          <w:tcPr>
            <w:tcW w:w="3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21.50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156"/>
        </w:trPr>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4</w:t>
            </w:r>
          </w:p>
        </w:tc>
        <w:tc>
          <w:tcPr>
            <w:tcW w:w="240" w:type="dxa"/>
            <w:vAlign w:val="bottom"/>
          </w:tcPr>
          <w:p>
            <w:pPr>
              <w:spacing w:after="0"/>
              <w:rPr>
                <w:sz w:val="13"/>
                <w:szCs w:val="13"/>
                <w:color w:val="auto"/>
              </w:rPr>
            </w:pPr>
          </w:p>
        </w:tc>
        <w:tc>
          <w:tcPr>
            <w:tcW w:w="15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37,138</w:t>
            </w:r>
          </w:p>
        </w:tc>
        <w:tc>
          <w:tcPr>
            <w:tcW w:w="134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34,120</w:t>
            </w:r>
          </w:p>
        </w:tc>
        <w:tc>
          <w:tcPr>
            <w:tcW w:w="1400" w:type="dxa"/>
            <w:vAlign w:val="bottom"/>
          </w:tcPr>
          <w:p>
            <w:pPr>
              <w:jc w:val="right"/>
              <w:ind w:right="94"/>
              <w:spacing w:after="0"/>
              <w:rPr>
                <w:sz w:val="20"/>
                <w:szCs w:val="20"/>
                <w:color w:val="auto"/>
              </w:rPr>
            </w:pPr>
            <w:r>
              <w:rPr>
                <w:rFonts w:ascii="Times New Roman" w:cs="Times New Roman" w:eastAsia="Times New Roman" w:hAnsi="Times New Roman"/>
                <w:sz w:val="13"/>
                <w:szCs w:val="13"/>
                <w:color w:val="auto"/>
              </w:rPr>
              <w:t>3.17</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56"/>
        </w:trPr>
        <w:tc>
          <w:tcPr>
            <w:tcW w:w="1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3"/>
                <w:szCs w:val="13"/>
                <w:color w:val="auto"/>
                <w:w w:val="91"/>
              </w:rPr>
              <w:t>5</w:t>
            </w:r>
          </w:p>
        </w:tc>
        <w:tc>
          <w:tcPr>
            <w:tcW w:w="24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2,399</w:t>
            </w:r>
          </w:p>
        </w:tc>
        <w:tc>
          <w:tcPr>
            <w:tcW w:w="360" w:type="dxa"/>
            <w:vAlign w:val="bottom"/>
            <w:shd w:val="clear" w:color="auto" w:fill="CFF0FC"/>
          </w:tcPr>
          <w:p>
            <w:pPr>
              <w:spacing w:after="0"/>
              <w:rPr>
                <w:sz w:val="13"/>
                <w:szCs w:val="13"/>
                <w:color w:val="auto"/>
              </w:rPr>
            </w:pPr>
          </w:p>
        </w:tc>
        <w:tc>
          <w:tcPr>
            <w:tcW w:w="134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0.23</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3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5,580</w:t>
            </w:r>
          </w:p>
        </w:tc>
        <w:tc>
          <w:tcPr>
            <w:tcW w:w="300" w:type="dxa"/>
            <w:vAlign w:val="bottom"/>
            <w:shd w:val="clear" w:color="auto" w:fill="CFF0FC"/>
          </w:tcPr>
          <w:p>
            <w:pPr>
              <w:spacing w:after="0"/>
              <w:rPr>
                <w:sz w:val="13"/>
                <w:szCs w:val="13"/>
                <w:color w:val="auto"/>
              </w:rPr>
            </w:pPr>
          </w:p>
        </w:tc>
        <w:tc>
          <w:tcPr>
            <w:tcW w:w="140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0.52</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240" w:type="dxa"/>
            <w:vAlign w:val="bottom"/>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962,483</w:t>
            </w:r>
          </w:p>
        </w:tc>
        <w:tc>
          <w:tcPr>
            <w:tcW w:w="3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970,244</w:t>
            </w:r>
          </w:p>
        </w:tc>
        <w:tc>
          <w:tcPr>
            <w:tcW w:w="3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90.11 %</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Non-Accrual Status</w:t>
      </w:r>
    </w:p>
    <w:p>
      <w:pPr>
        <w:spacing w:after="0" w:line="156" w:lineRule="exact"/>
        <w:rPr>
          <w:sz w:val="20"/>
          <w:szCs w:val="20"/>
          <w:color w:val="auto"/>
        </w:rPr>
      </w:pPr>
    </w:p>
    <w:p>
      <w:pPr>
        <w:ind w:right="200"/>
        <w:spacing w:after="0" w:line="247" w:lineRule="auto"/>
        <w:rPr>
          <w:sz w:val="20"/>
          <w:szCs w:val="20"/>
          <w:color w:val="auto"/>
        </w:rPr>
      </w:pPr>
      <w:r>
        <w:rPr>
          <w:rFonts w:ascii="Times New Roman" w:cs="Times New Roman" w:eastAsia="Times New Roman" w:hAnsi="Times New Roman"/>
          <w:sz w:val="16"/>
          <w:szCs w:val="16"/>
          <w:color w:val="auto"/>
        </w:rPr>
        <w:t>Generally, when interest and/or principal payments on a loan become past due, or if we otherwise do not expect the borrower to be able to service its debt and other obligations, we will place the loan on non- accrual status and will cease recognizing interest income on that loan for financial reporting purposes until all principal and interest have been brought current through payment or due to a restructuring such that the interest income is deemed to be collectible.</w:t>
      </w:r>
    </w:p>
    <w:p>
      <w:pPr>
        <w:spacing w:after="0" w:line="128"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6"/>
          <w:szCs w:val="16"/>
          <w:color w:val="auto"/>
        </w:rPr>
        <w:t>The following table summarizes the cost, fair value, and types of income not recorded in "Interest income" on the Consolidated Statements of Operations related to senior secured term loans on non-accrual status as of June 30, 2025 and December 31, 2024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9"/>
              </w:rPr>
              <w:t>Forgone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154"/>
              <w:spacing w:after="0"/>
              <w:rPr>
                <w:sz w:val="20"/>
                <w:szCs w:val="20"/>
                <w:color w:val="auto"/>
              </w:rPr>
            </w:pPr>
            <w:r>
              <w:rPr>
                <w:rFonts w:ascii="Times New Roman" w:cs="Times New Roman" w:eastAsia="Times New Roman" w:hAnsi="Times New Roman"/>
                <w:sz w:val="13"/>
                <w:szCs w:val="13"/>
                <w:b w:val="1"/>
                <w:bCs w:val="1"/>
                <w:color w:val="auto"/>
              </w:rPr>
              <w:t>Forgone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Fair Value as a</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w w:val="98"/>
              </w:rPr>
              <w:t>Date of Non-</w:t>
            </w:r>
          </w:p>
        </w:tc>
        <w:tc>
          <w:tcPr>
            <w:tcW w:w="140" w:type="dxa"/>
            <w:vAlign w:val="bottom"/>
          </w:tcPr>
          <w:p>
            <w:pPr>
              <w:spacing w:after="0"/>
              <w:rPr>
                <w:sz w:val="13"/>
                <w:szCs w:val="13"/>
                <w:color w:val="auto"/>
              </w:rPr>
            </w:pPr>
          </w:p>
        </w:tc>
        <w:tc>
          <w:tcPr>
            <w:tcW w:w="780" w:type="dxa"/>
            <w:vAlign w:val="bottom"/>
          </w:tcPr>
          <w:p>
            <w:pPr>
              <w:jc w:val="center"/>
              <w:ind w:right="194"/>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120" w:type="dxa"/>
            <w:vAlign w:val="bottom"/>
          </w:tcPr>
          <w:p>
            <w:pPr>
              <w:spacing w:after="0"/>
              <w:rPr>
                <w:sz w:val="13"/>
                <w:szCs w:val="13"/>
                <w:color w:val="auto"/>
              </w:rPr>
            </w:pPr>
          </w:p>
        </w:tc>
        <w:tc>
          <w:tcPr>
            <w:tcW w:w="900" w:type="dxa"/>
            <w:vAlign w:val="bottom"/>
            <w:gridSpan w:val="2"/>
          </w:tcPr>
          <w:p>
            <w:pPr>
              <w:jc w:val="center"/>
              <w:ind w:right="54"/>
              <w:spacing w:after="0"/>
              <w:rPr>
                <w:sz w:val="20"/>
                <w:szCs w:val="20"/>
                <w:color w:val="auto"/>
              </w:rPr>
            </w:pPr>
            <w:r>
              <w:rPr>
                <w:rFonts w:ascii="Times New Roman" w:cs="Times New Roman" w:eastAsia="Times New Roman" w:hAnsi="Times New Roman"/>
                <w:sz w:val="13"/>
                <w:szCs w:val="13"/>
                <w:b w:val="1"/>
                <w:bCs w:val="1"/>
                <w:color w:val="auto"/>
              </w:rPr>
              <w:t>Accretion of</w:t>
            </w:r>
          </w:p>
        </w:tc>
        <w:tc>
          <w:tcPr>
            <w:tcW w:w="1040" w:type="dxa"/>
            <w:vAlign w:val="bottom"/>
            <w:gridSpan w:val="3"/>
          </w:tcPr>
          <w:p>
            <w:pPr>
              <w:jc w:val="right"/>
              <w:ind w:right="34"/>
              <w:spacing w:after="0"/>
              <w:rPr>
                <w:sz w:val="20"/>
                <w:szCs w:val="20"/>
                <w:color w:val="auto"/>
              </w:rPr>
            </w:pPr>
            <w:r>
              <w:rPr>
                <w:rFonts w:ascii="Times New Roman" w:cs="Times New Roman" w:eastAsia="Times New Roman" w:hAnsi="Times New Roman"/>
                <w:sz w:val="13"/>
                <w:szCs w:val="13"/>
                <w:b w:val="1"/>
                <w:bCs w:val="1"/>
                <w:color w:val="auto"/>
              </w:rPr>
              <w:t>Total Forgone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b w:val="1"/>
                <w:bCs w:val="1"/>
                <w:color w:val="auto"/>
              </w:rPr>
              <w:t>Accrual</w:t>
            </w:r>
          </w:p>
        </w:tc>
        <w:tc>
          <w:tcPr>
            <w:tcW w:w="140" w:type="dxa"/>
            <w:vAlign w:val="bottom"/>
          </w:tcPr>
          <w:p>
            <w:pPr>
              <w:spacing w:after="0"/>
              <w:rPr>
                <w:sz w:val="14"/>
                <w:szCs w:val="14"/>
                <w:color w:val="auto"/>
              </w:rPr>
            </w:pPr>
          </w:p>
        </w:tc>
        <w:tc>
          <w:tcPr>
            <w:tcW w:w="780" w:type="dxa"/>
            <w:vAlign w:val="bottom"/>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900" w:type="dxa"/>
            <w:vAlign w:val="bottom"/>
            <w:gridSpan w:val="2"/>
          </w:tcPr>
          <w:p>
            <w:pPr>
              <w:jc w:val="center"/>
              <w:ind w:right="34"/>
              <w:spacing w:after="0"/>
              <w:rPr>
                <w:sz w:val="20"/>
                <w:szCs w:val="20"/>
                <w:color w:val="auto"/>
              </w:rPr>
            </w:pPr>
            <w:r>
              <w:rPr>
                <w:rFonts w:ascii="Times New Roman" w:cs="Times New Roman" w:eastAsia="Times New Roman" w:hAnsi="Times New Roman"/>
                <w:sz w:val="13"/>
                <w:szCs w:val="13"/>
                <w:b w:val="1"/>
                <w:bCs w:val="1"/>
                <w:color w:val="auto"/>
              </w:rPr>
              <w:t>OID and ETP</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Income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Cost Basis</w:t>
            </w:r>
          </w:p>
        </w:tc>
        <w:tc>
          <w:tcPr>
            <w:tcW w:w="120" w:type="dxa"/>
            <w:vAlign w:val="bottom"/>
          </w:tcPr>
          <w:p>
            <w:pPr>
              <w:spacing w:after="0"/>
              <w:rPr>
                <w:sz w:val="14"/>
                <w:szCs w:val="14"/>
                <w:color w:val="auto"/>
              </w:rPr>
            </w:pPr>
          </w:p>
        </w:tc>
        <w:tc>
          <w:tcPr>
            <w:tcW w:w="840" w:type="dxa"/>
            <w:vAlign w:val="bottom"/>
            <w:gridSpan w:val="2"/>
          </w:tcPr>
          <w:p>
            <w:pPr>
              <w:jc w:val="right"/>
              <w:ind w:right="114"/>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80" w:type="dxa"/>
            <w:vAlign w:val="bottom"/>
          </w:tcPr>
          <w:p>
            <w:pPr>
              <w:spacing w:after="0"/>
              <w:rPr>
                <w:sz w:val="14"/>
                <w:szCs w:val="14"/>
                <w:color w:val="auto"/>
              </w:rPr>
            </w:pPr>
          </w:p>
        </w:tc>
        <w:tc>
          <w:tcPr>
            <w:tcW w:w="800" w:type="dxa"/>
            <w:vAlign w:val="bottom"/>
          </w:tcPr>
          <w:p>
            <w:pPr>
              <w:jc w:val="center"/>
              <w:ind w:left="114"/>
              <w:spacing w:after="0"/>
              <w:rPr>
                <w:sz w:val="20"/>
                <w:szCs w:val="20"/>
                <w:color w:val="auto"/>
              </w:rPr>
            </w:pPr>
            <w:r>
              <w:rPr>
                <w:rFonts w:ascii="Times New Roman" w:cs="Times New Roman" w:eastAsia="Times New Roman" w:hAnsi="Times New Roman"/>
                <w:sz w:val="13"/>
                <w:szCs w:val="13"/>
                <w:b w:val="1"/>
                <w:bCs w:val="1"/>
                <w:color w:val="auto"/>
              </w:rPr>
              <w:t>Portfolio</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 of June 30, 2025</w:t>
            </w: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1,013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1,013</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4,757</w:t>
            </w:r>
          </w:p>
        </w:tc>
        <w:tc>
          <w:tcPr>
            <w:tcW w:w="380" w:type="dxa"/>
            <w:vAlign w:val="bottom"/>
            <w:gridSpan w:val="2"/>
            <w:shd w:val="clear" w:color="auto" w:fill="CFF0FC"/>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2,399</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1,013</w:t>
            </w:r>
          </w:p>
        </w:tc>
        <w:tc>
          <w:tcPr>
            <w:tcW w:w="2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1,013</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4,757</w:t>
            </w:r>
          </w:p>
        </w:tc>
        <w:tc>
          <w:tcPr>
            <w:tcW w:w="3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2,399</w:t>
            </w:r>
          </w:p>
        </w:tc>
        <w:tc>
          <w:tcPr>
            <w:tcW w:w="880" w:type="dxa"/>
            <w:vAlign w:val="bottom"/>
            <w:gridSpan w:val="2"/>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0.23</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30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restart"/>
          </w:tcPr>
          <w:p>
            <w:pPr>
              <w:spacing w:after="0"/>
              <w:rPr>
                <w:sz w:val="11"/>
                <w:szCs w:val="11"/>
                <w:color w:val="auto"/>
              </w:rPr>
            </w:pPr>
          </w:p>
        </w:tc>
        <w:tc>
          <w:tcPr>
            <w:tcW w:w="3040" w:type="dxa"/>
            <w:vAlign w:val="bottom"/>
            <w:shd w:val="clear" w:color="auto" w:fill="CFF0FC"/>
          </w:tcPr>
          <w:p>
            <w:pPr>
              <w:spacing w:after="0"/>
              <w:rPr>
                <w:sz w:val="11"/>
                <w:szCs w:val="11"/>
                <w:color w:val="auto"/>
              </w:rPr>
            </w:pPr>
          </w:p>
        </w:tc>
        <w:tc>
          <w:tcPr>
            <w:tcW w:w="14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 of December 31, 2024</w:t>
            </w: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4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JobGet Holdings, Inc. (fka Snagajob.com, Inc.)</w:t>
            </w:r>
          </w:p>
        </w:tc>
        <w:tc>
          <w:tcPr>
            <w:tcW w:w="1480" w:type="dxa"/>
            <w:vAlign w:val="bottom"/>
          </w:tcPr>
          <w:p>
            <w:pPr>
              <w:jc w:val="center"/>
              <w:ind w:left="194"/>
              <w:spacing w:after="0"/>
              <w:rPr>
                <w:sz w:val="20"/>
                <w:szCs w:val="20"/>
                <w:color w:val="auto"/>
              </w:rPr>
            </w:pPr>
            <w:r>
              <w:rPr>
                <w:rFonts w:ascii="Times New Roman" w:cs="Times New Roman" w:eastAsia="Times New Roman" w:hAnsi="Times New Roman"/>
                <w:sz w:val="13"/>
                <w:szCs w:val="13"/>
                <w:color w:val="auto"/>
              </w:rPr>
              <w:t>3/31/2024</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4,243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283</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4,526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3,774</w:t>
            </w:r>
          </w:p>
        </w:tc>
        <w:tc>
          <w:tcPr>
            <w:tcW w:w="38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3,431</w:t>
            </w:r>
          </w:p>
        </w:tc>
        <w:tc>
          <w:tcPr>
            <w:tcW w:w="880" w:type="dxa"/>
            <w:vAlign w:val="bottom"/>
            <w:gridSpan w:val="2"/>
          </w:tcPr>
          <w:p>
            <w:pPr>
              <w:jc w:val="right"/>
              <w:ind w:right="54"/>
              <w:spacing w:after="0"/>
              <w:rPr>
                <w:sz w:val="20"/>
                <w:szCs w:val="20"/>
                <w:color w:val="auto"/>
              </w:rPr>
            </w:pPr>
            <w:r>
              <w:rPr>
                <w:rFonts w:ascii="Times New Roman" w:cs="Times New Roman" w:eastAsia="Times New Roman" w:hAnsi="Times New Roman"/>
                <w:sz w:val="13"/>
                <w:szCs w:val="13"/>
                <w:color w:val="auto"/>
              </w:rPr>
              <w:t>0.32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Mingle Healthcare Solutions, Inc.</w:t>
            </w:r>
          </w:p>
        </w:tc>
        <w:tc>
          <w:tcPr>
            <w:tcW w:w="1480" w:type="dxa"/>
            <w:vAlign w:val="bottom"/>
            <w:shd w:val="clear" w:color="auto" w:fill="CFF0FC"/>
          </w:tcPr>
          <w:p>
            <w:pPr>
              <w:jc w:val="center"/>
              <w:ind w:left="194"/>
              <w:spacing w:after="0"/>
              <w:rPr>
                <w:sz w:val="20"/>
                <w:szCs w:val="20"/>
                <w:color w:val="auto"/>
              </w:rPr>
            </w:pPr>
            <w:r>
              <w:rPr>
                <w:rFonts w:ascii="Times New Roman" w:cs="Times New Roman" w:eastAsia="Times New Roman" w:hAnsi="Times New Roman"/>
                <w:sz w:val="13"/>
                <w:szCs w:val="13"/>
                <w:color w:val="auto"/>
                <w:w w:val="99"/>
              </w:rPr>
              <w:t>1/1/2024</w:t>
            </w:r>
          </w:p>
        </w:tc>
        <w:tc>
          <w:tcPr>
            <w:tcW w:w="14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687</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4,952</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3"/>
                <w:szCs w:val="13"/>
                <w:color w:val="auto"/>
              </w:rPr>
              <w:t>2,148</w:t>
            </w:r>
          </w:p>
        </w:tc>
        <w:tc>
          <w:tcPr>
            <w:tcW w:w="880" w:type="dxa"/>
            <w:vAlign w:val="bottom"/>
            <w:gridSpan w:val="2"/>
            <w:shd w:val="clear" w:color="auto" w:fill="CFF0FC"/>
          </w:tcPr>
          <w:p>
            <w:pPr>
              <w:jc w:val="right"/>
              <w:ind w:right="54"/>
              <w:spacing w:after="0"/>
              <w:rPr>
                <w:sz w:val="20"/>
                <w:szCs w:val="20"/>
                <w:color w:val="auto"/>
              </w:rPr>
            </w:pPr>
            <w:r>
              <w:rPr>
                <w:rFonts w:ascii="Times New Roman" w:cs="Times New Roman" w:eastAsia="Times New Roman" w:hAnsi="Times New Roman"/>
                <w:sz w:val="13"/>
                <w:szCs w:val="13"/>
                <w:color w:val="auto"/>
              </w:rPr>
              <w:t>0.20</w:t>
            </w:r>
          </w:p>
        </w:tc>
        <w:tc>
          <w:tcPr>
            <w:tcW w:w="1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40" w:type="dxa"/>
            <w:vAlign w:val="bottom"/>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c>
          <w:tcPr>
            <w:tcW w:w="1480" w:type="dxa"/>
            <w:vAlign w:val="bottom"/>
          </w:tcPr>
          <w:p>
            <w:pPr>
              <w:spacing w:after="0"/>
              <w:rPr>
                <w:sz w:val="13"/>
                <w:szCs w:val="13"/>
                <w:color w:val="auto"/>
              </w:rPr>
            </w:pPr>
          </w:p>
        </w:tc>
        <w:tc>
          <w:tcPr>
            <w:tcW w:w="1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4,930</w:t>
            </w:r>
          </w:p>
        </w:tc>
        <w:tc>
          <w:tcPr>
            <w:tcW w:w="24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283</w:t>
            </w:r>
          </w:p>
        </w:tc>
        <w:tc>
          <w:tcPr>
            <w:tcW w:w="28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5,213</w:t>
            </w:r>
          </w:p>
        </w:tc>
        <w:tc>
          <w:tcPr>
            <w:tcW w:w="2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8,726</w:t>
            </w:r>
          </w:p>
        </w:tc>
        <w:tc>
          <w:tcPr>
            <w:tcW w:w="380" w:type="dxa"/>
            <w:vAlign w:val="bottom"/>
            <w:gridSpan w:val="2"/>
          </w:tcPr>
          <w:p>
            <w:pPr>
              <w:jc w:val="right"/>
              <w:ind w:right="94"/>
              <w:spacing w:after="0" w:line="136"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34"/>
              <w:spacing w:after="0" w:line="136" w:lineRule="exact"/>
              <w:rPr>
                <w:sz w:val="20"/>
                <w:szCs w:val="20"/>
                <w:color w:val="auto"/>
              </w:rPr>
            </w:pPr>
            <w:r>
              <w:rPr>
                <w:rFonts w:ascii="Times New Roman" w:cs="Times New Roman" w:eastAsia="Times New Roman" w:hAnsi="Times New Roman"/>
                <w:sz w:val="13"/>
                <w:szCs w:val="13"/>
                <w:color w:val="auto"/>
              </w:rPr>
              <w:t>5,579</w:t>
            </w:r>
          </w:p>
        </w:tc>
        <w:tc>
          <w:tcPr>
            <w:tcW w:w="880" w:type="dxa"/>
            <w:vAlign w:val="bottom"/>
            <w:gridSpan w:val="2"/>
          </w:tcPr>
          <w:p>
            <w:pPr>
              <w:jc w:val="right"/>
              <w:ind w:right="54"/>
              <w:spacing w:after="0" w:line="136" w:lineRule="exact"/>
              <w:rPr>
                <w:sz w:val="20"/>
                <w:szCs w:val="20"/>
                <w:color w:val="auto"/>
              </w:rPr>
            </w:pPr>
            <w:r>
              <w:rPr>
                <w:rFonts w:ascii="Times New Roman" w:cs="Times New Roman" w:eastAsia="Times New Roman" w:hAnsi="Times New Roman"/>
                <w:sz w:val="13"/>
                <w:szCs w:val="13"/>
                <w:color w:val="auto"/>
              </w:rPr>
              <w:t>0.52</w:t>
            </w:r>
          </w:p>
        </w:tc>
        <w:tc>
          <w:tcPr>
            <w:tcW w:w="1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w w:val="91"/>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type w:val="continuous"/>
        </w:sectPr>
      </w:pPr>
    </w:p>
    <w:bookmarkStart w:id="61" w:name="page62"/>
    <w:bookmarkEnd w:id="6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w:t>
      </w:r>
    </w:p>
    <w:p>
      <w:pPr>
        <w:spacing w:after="0" w:line="192"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6"/>
          <w:szCs w:val="16"/>
          <w:color w:val="auto"/>
        </w:rPr>
        <w:t>An important measure of our financial performance is "Net increase (decrease) in net assets resulting from operations" on the Consolidated Statements of Operations, which includes "Net investment income," "Net realized gain (loss) on investments" and "Net change in unrealized gain (loss) on investments." "Net investment income" is the difference between our income from interest, dividends, fees and other income and our operating expenses, including interest on borrowed funds. "Net realized gain (loss) on investments" is the difference between the proceeds received from dispositions of portfolio investments and U.S. Treasury Bills and their amortized cost. "Net change in unrealized gain (loss) on investments" is the net change in the fair value of our investment portfolio.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Comparison of the Three and Six Months Ended June 30, 2025 and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compares the results of our operations for the three and six months ended June 30, 2025 and 2024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7"/>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Three Months Ended June 30,</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Six Months Ended June 30,</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4"/>
          </w:tcPr>
          <w:p>
            <w:pPr>
              <w:jc w:val="right"/>
              <w:ind w:right="174"/>
              <w:spacing w:after="0" w:line="145"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tcPr>
          <w:p>
            <w:pPr>
              <w:jc w:val="right"/>
              <w:ind w:right="174"/>
              <w:spacing w:after="0" w:line="145" w:lineRule="exact"/>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right"/>
              <w:ind w:right="14"/>
              <w:spacing w:after="0" w:line="145" w:lineRule="exact"/>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gridSpan w:val="2"/>
          </w:tcPr>
          <w:p>
            <w:pPr>
              <w:jc w:val="right"/>
              <w:ind w:right="20"/>
              <w:spacing w:after="0" w:line="145" w:lineRule="exact"/>
              <w:rPr>
                <w:sz w:val="20"/>
                <w:szCs w:val="20"/>
                <w:color w:val="auto"/>
              </w:rPr>
            </w:pPr>
            <w:r>
              <w:rPr>
                <w:rFonts w:ascii="Times New Roman" w:cs="Times New Roman" w:eastAsia="Times New Roman" w:hAnsi="Times New Roman"/>
                <w:sz w:val="13"/>
                <w:szCs w:val="13"/>
                <w:b w:val="1"/>
                <w:bCs w:val="1"/>
                <w:color w:val="auto"/>
                <w:w w:val="92"/>
              </w:rPr>
              <w:t>2024</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29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Investment income</w:t>
            </w:r>
          </w:p>
        </w:tc>
        <w:tc>
          <w:tcPr>
            <w:tcW w:w="14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80" w:type="dxa"/>
            <w:vAlign w:val="bottom"/>
          </w:tcPr>
          <w:p>
            <w:pPr>
              <w:spacing w:after="0"/>
              <w:rPr>
                <w:sz w:val="19"/>
                <w:szCs w:val="19"/>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Per Share</w:t>
            </w:r>
            <w:r>
              <w:rPr>
                <w:rFonts w:ascii="Times New Roman" w:cs="Times New Roman" w:eastAsia="Times New Roman" w:hAnsi="Times New Roman"/>
                <w:sz w:val="16"/>
                <w:szCs w:val="16"/>
                <w:b w:val="1"/>
                <w:bCs w:val="1"/>
                <w:color w:val="auto"/>
                <w:vertAlign w:val="superscript"/>
              </w:rPr>
              <w:t>(1)</w:t>
            </w:r>
          </w:p>
        </w:tc>
        <w:tc>
          <w:tcPr>
            <w:tcW w:w="160" w:type="dxa"/>
            <w:vAlign w:val="bottom"/>
          </w:tcPr>
          <w:p>
            <w:pPr>
              <w:spacing w:after="0"/>
              <w:rPr>
                <w:sz w:val="19"/>
                <w:szCs w:val="19"/>
                <w:color w:val="auto"/>
              </w:rPr>
            </w:pPr>
          </w:p>
        </w:tc>
        <w:tc>
          <w:tcPr>
            <w:tcW w:w="620" w:type="dxa"/>
            <w:vAlign w:val="bottom"/>
          </w:tcPr>
          <w:p>
            <w:pPr>
              <w:jc w:val="right"/>
              <w:ind w:right="174"/>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w w:val="94"/>
              </w:rPr>
              <w:t>Per Share</w:t>
            </w:r>
            <w:r>
              <w:rPr>
                <w:rFonts w:ascii="Times New Roman" w:cs="Times New Roman" w:eastAsia="Times New Roman" w:hAnsi="Times New Roman"/>
                <w:sz w:val="16"/>
                <w:szCs w:val="16"/>
                <w:b w:val="1"/>
                <w:bCs w:val="1"/>
                <w:color w:val="auto"/>
                <w:w w:val="94"/>
                <w:vertAlign w:val="superscript"/>
              </w:rPr>
              <w:t>(1)</w:t>
            </w:r>
          </w:p>
        </w:tc>
        <w:tc>
          <w:tcPr>
            <w:tcW w:w="0" w:type="dxa"/>
            <w:vAlign w:val="bottom"/>
          </w:tcPr>
          <w:p>
            <w:pPr>
              <w:spacing w:after="0"/>
              <w:rPr>
                <w:sz w:val="1"/>
                <w:szCs w:val="1"/>
                <w:color w:val="auto"/>
              </w:rPr>
            </w:pPr>
          </w:p>
        </w:tc>
      </w:tr>
      <w:tr>
        <w:trPr>
          <w:trHeight w:val="116"/>
        </w:trPr>
        <w:tc>
          <w:tcPr>
            <w:tcW w:w="29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Interest, fee and dividend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34,979</w:t>
            </w:r>
          </w:p>
        </w:tc>
        <w:tc>
          <w:tcPr>
            <w:tcW w:w="360" w:type="dxa"/>
            <w:vAlign w:val="bottom"/>
            <w:gridSpan w:val="2"/>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0.94</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34,052</w:t>
            </w:r>
          </w:p>
        </w:tc>
        <w:tc>
          <w:tcPr>
            <w:tcW w:w="2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0.87</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70,188</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1.89</w:t>
            </w:r>
          </w:p>
        </w:tc>
        <w:tc>
          <w:tcPr>
            <w:tcW w:w="160" w:type="dxa"/>
            <w:vAlign w:val="bottom"/>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73,933</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income</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investment income</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35,147</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0.95</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34,193</w:t>
            </w: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0.87</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70,545</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1.90</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74,202</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1.87</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Management fees</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3,944</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0.11</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3,946</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0.10</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7,953</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0.21</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7,898</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Incentive fees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0.09</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0.09</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0.20</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0.20</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Interest and other debt financing expenses</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11,764</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0.32</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10,867</w:t>
            </w: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0.28</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22,051</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0.59</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21,727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0.55</w:t>
            </w:r>
          </w:p>
        </w:tc>
        <w:tc>
          <w:tcPr>
            <w:tcW w:w="0" w:type="dxa"/>
            <w:vAlign w:val="bottom"/>
          </w:tcPr>
          <w:p>
            <w:pPr>
              <w:spacing w:after="0"/>
              <w:rPr>
                <w:sz w:val="1"/>
                <w:szCs w:val="1"/>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Professional fees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0.03</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Administration agreement expenses</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663</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0.02</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1,288</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0.04</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0.03</w:t>
            </w:r>
          </w:p>
        </w:tc>
        <w:tc>
          <w:tcPr>
            <w:tcW w:w="0" w:type="dxa"/>
            <w:vAlign w:val="bottom"/>
          </w:tcPr>
          <w:p>
            <w:pPr>
              <w:spacing w:after="0"/>
              <w:rPr>
                <w:sz w:val="1"/>
                <w:szCs w:val="1"/>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Insurance expense</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417</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0.01</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Tax expense</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expenses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0.01</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0.02</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0.02</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Total operating expenses</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21,199</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0.57</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19,602</w:t>
            </w:r>
          </w:p>
        </w:tc>
        <w:tc>
          <w:tcPr>
            <w:tcW w:w="28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0.50</w:t>
            </w:r>
          </w:p>
        </w:tc>
        <w:tc>
          <w:tcPr>
            <w:tcW w:w="1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40,998</w:t>
            </w: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1.11</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40,947</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investment income</w:t>
            </w:r>
          </w:p>
        </w:tc>
        <w:tc>
          <w:tcPr>
            <w:tcW w:w="14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13,948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0.38</w:t>
            </w:r>
          </w:p>
        </w:tc>
        <w:tc>
          <w:tcPr>
            <w:tcW w:w="1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14,591</w:t>
            </w:r>
          </w:p>
        </w:tc>
        <w:tc>
          <w:tcPr>
            <w:tcW w:w="280" w:type="dxa"/>
            <w:vAlign w:val="bottom"/>
          </w:tcPr>
          <w:p>
            <w:pPr>
              <w:spacing w:after="0"/>
              <w:rPr>
                <w:sz w:val="13"/>
                <w:szCs w:val="13"/>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0.37</w:t>
            </w:r>
          </w:p>
        </w:tc>
        <w:tc>
          <w:tcPr>
            <w:tcW w:w="1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29,547</w:t>
            </w:r>
          </w:p>
        </w:tc>
        <w:tc>
          <w:tcPr>
            <w:tcW w:w="120" w:type="dxa"/>
            <w:vAlign w:val="bottom"/>
          </w:tcPr>
          <w:p>
            <w:pPr>
              <w:spacing w:after="0"/>
              <w:rPr>
                <w:sz w:val="13"/>
                <w:szCs w:val="1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0.79</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33,255</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0.84</w:t>
            </w:r>
          </w:p>
        </w:tc>
        <w:tc>
          <w:tcPr>
            <w:tcW w:w="0" w:type="dxa"/>
            <w:vAlign w:val="bottom"/>
          </w:tcPr>
          <w:p>
            <w:pPr>
              <w:spacing w:after="0"/>
              <w:rPr>
                <w:sz w:val="1"/>
                <w:szCs w:val="1"/>
                <w:color w:val="auto"/>
              </w:rPr>
            </w:pPr>
          </w:p>
        </w:tc>
      </w:tr>
      <w:tr>
        <w:trPr>
          <w:trHeight w:val="156"/>
        </w:trPr>
        <w:tc>
          <w:tcPr>
            <w:tcW w:w="292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Realized gain (loss)</w:t>
            </w:r>
          </w:p>
        </w:tc>
        <w:tc>
          <w:tcPr>
            <w:tcW w:w="14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(1,512)</w:t>
            </w:r>
          </w:p>
        </w:tc>
        <w:tc>
          <w:tcPr>
            <w:tcW w:w="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(0.04)</w:t>
            </w: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4,545</w:t>
            </w: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0.12</w:t>
            </w:r>
          </w:p>
        </w:tc>
        <w:tc>
          <w:tcPr>
            <w:tcW w:w="160" w:type="dxa"/>
            <w:vAlign w:val="bottom"/>
            <w:shd w:val="clear" w:color="auto" w:fill="CFF0FC"/>
          </w:tcPr>
          <w:p>
            <w:pPr>
              <w:spacing w:after="0"/>
              <w:rPr>
                <w:sz w:val="13"/>
                <w:szCs w:val="13"/>
                <w:color w:val="auto"/>
              </w:rPr>
            </w:pPr>
          </w:p>
        </w:tc>
        <w:tc>
          <w:tcPr>
            <w:tcW w:w="6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Net change in unrealized gain (loss)</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0.11</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(6,300)</w:t>
            </w:r>
          </w:p>
        </w:tc>
        <w:tc>
          <w:tcPr>
            <w:tcW w:w="280" w:type="dxa"/>
            <w:vAlign w:val="bottom"/>
          </w:tcPr>
          <w:p>
            <w:pPr>
              <w:spacing w:after="0"/>
              <w:rPr>
                <w:sz w:val="13"/>
                <w:szCs w:val="13"/>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(0.16)</w:t>
            </w:r>
          </w:p>
        </w:tc>
        <w:tc>
          <w:tcPr>
            <w:tcW w:w="14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(15,429)</w:t>
            </w:r>
          </w:p>
        </w:tc>
        <w:tc>
          <w:tcPr>
            <w:tcW w:w="1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(0.41)</w:t>
            </w:r>
          </w:p>
        </w:tc>
        <w:tc>
          <w:tcPr>
            <w:tcW w:w="160" w:type="dxa"/>
            <w:vAlign w:val="bottom"/>
          </w:tcPr>
          <w:p>
            <w:pPr>
              <w:spacing w:after="0"/>
              <w:rPr>
                <w:sz w:val="13"/>
                <w:szCs w:val="13"/>
                <w:color w:val="auto"/>
              </w:rPr>
            </w:pPr>
          </w:p>
        </w:tc>
        <w:tc>
          <w:tcPr>
            <w:tcW w:w="80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(12,917)</w:t>
            </w:r>
          </w:p>
        </w:tc>
        <w:tc>
          <w:tcPr>
            <w:tcW w:w="100" w:type="dxa"/>
            <w:vAlign w:val="bottom"/>
          </w:tcPr>
          <w:p>
            <w:pPr>
              <w:spacing w:after="0"/>
              <w:rPr>
                <w:sz w:val="13"/>
                <w:szCs w:val="1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(0.33)</w:t>
            </w:r>
          </w:p>
        </w:tc>
        <w:tc>
          <w:tcPr>
            <w:tcW w:w="0" w:type="dxa"/>
            <w:vAlign w:val="bottom"/>
          </w:tcPr>
          <w:p>
            <w:pPr>
              <w:spacing w:after="0"/>
              <w:rPr>
                <w:sz w:val="1"/>
                <w:szCs w:val="1"/>
                <w:color w:val="auto"/>
              </w:rPr>
            </w:pPr>
          </w:p>
        </w:tc>
      </w:tr>
      <w:tr>
        <w:trPr>
          <w:trHeight w:val="142"/>
        </w:trPr>
        <w:tc>
          <w:tcPr>
            <w:tcW w:w="2920" w:type="dxa"/>
            <w:vAlign w:val="bottom"/>
            <w:shd w:val="clear" w:color="auto" w:fill="CFF0FC"/>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Net increase (decrease) in net assets resulting</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16,797</w:t>
            </w:r>
          </w:p>
        </w:tc>
        <w:tc>
          <w:tcPr>
            <w:tcW w:w="100" w:type="dxa"/>
            <w:vAlign w:val="bottom"/>
            <w:vMerge w:val="restart"/>
            <w:shd w:val="clear" w:color="auto" w:fill="CFF0FC"/>
          </w:tcPr>
          <w:p>
            <w:pPr>
              <w:spacing w:after="0"/>
              <w:rPr>
                <w:sz w:val="12"/>
                <w:szCs w:val="12"/>
                <w:color w:val="auto"/>
              </w:rPr>
            </w:pPr>
          </w:p>
        </w:tc>
        <w:tc>
          <w:tcPr>
            <w:tcW w:w="80" w:type="dxa"/>
            <w:vAlign w:val="bottom"/>
            <w:vMerge w:val="restart"/>
            <w:shd w:val="clear" w:color="auto" w:fill="CFF0FC"/>
          </w:tcPr>
          <w:p>
            <w:pPr>
              <w:spacing w:after="0"/>
              <w:rPr>
                <w:sz w:val="12"/>
                <w:szCs w:val="12"/>
                <w:color w:val="auto"/>
              </w:rPr>
            </w:pPr>
          </w:p>
        </w:tc>
        <w:tc>
          <w:tcPr>
            <w:tcW w:w="280" w:type="dxa"/>
            <w:vAlign w:val="bottom"/>
            <w:vMerge w:val="restart"/>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0.45</w:t>
            </w: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8,291</w:t>
            </w:r>
          </w:p>
        </w:tc>
        <w:tc>
          <w:tcPr>
            <w:tcW w:w="18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ind w:right="134"/>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3"/>
                <w:szCs w:val="13"/>
                <w:color w:val="auto"/>
              </w:rPr>
              <w:t>0.21</w:t>
            </w:r>
          </w:p>
        </w:tc>
        <w:tc>
          <w:tcPr>
            <w:tcW w:w="140" w:type="dxa"/>
            <w:vAlign w:val="bottom"/>
            <w:vMerge w:val="restart"/>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18,663</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3"/>
                <w:szCs w:val="13"/>
                <w:color w:val="auto"/>
              </w:rPr>
              <w:t>0.50</w:t>
            </w:r>
          </w:p>
        </w:tc>
        <w:tc>
          <w:tcPr>
            <w:tcW w:w="160" w:type="dxa"/>
            <w:vAlign w:val="bottom"/>
            <w:vMerge w:val="restart"/>
            <w:shd w:val="clear" w:color="auto" w:fill="CFF0FC"/>
          </w:tcPr>
          <w:p>
            <w:pPr>
              <w:jc w:val="right"/>
              <w:ind w:right="14"/>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20,338</w:t>
            </w:r>
          </w:p>
        </w:tc>
        <w:tc>
          <w:tcPr>
            <w:tcW w:w="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r>
        <w:trPr>
          <w:trHeight w:val="154"/>
        </w:trPr>
        <w:tc>
          <w:tcPr>
            <w:tcW w:w="2920" w:type="dxa"/>
            <w:vAlign w:val="bottom"/>
            <w:shd w:val="clear" w:color="auto" w:fill="CFF0FC"/>
          </w:tcPr>
          <w:p>
            <w:pPr>
              <w:spacing w:after="0" w:line="114" w:lineRule="exact"/>
              <w:rPr>
                <w:sz w:val="20"/>
                <w:szCs w:val="20"/>
                <w:color w:val="auto"/>
              </w:rPr>
            </w:pPr>
            <w:r>
              <w:rPr>
                <w:rFonts w:ascii="Times New Roman" w:cs="Times New Roman" w:eastAsia="Times New Roman" w:hAnsi="Times New Roman"/>
                <w:sz w:val="13"/>
                <w:szCs w:val="13"/>
                <w:b w:val="1"/>
                <w:bCs w:val="1"/>
                <w:color w:val="auto"/>
              </w:rPr>
              <w:t>from operations</w:t>
            </w:r>
          </w:p>
        </w:tc>
        <w:tc>
          <w:tcPr>
            <w:tcW w:w="140" w:type="dxa"/>
            <w:vAlign w:val="bottom"/>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80" w:type="dxa"/>
            <w:vAlign w:val="bottom"/>
            <w:vMerge w:val="continue"/>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66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600" w:type="dxa"/>
            <w:vAlign w:val="bottom"/>
            <w:vMerge w:val="continue"/>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80" w:type="dxa"/>
            <w:vAlign w:val="bottom"/>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780" w:type="dxa"/>
            <w:vAlign w:val="bottom"/>
            <w:gridSpan w:val="2"/>
            <w:vMerge w:val="continue"/>
            <w:shd w:val="clear" w:color="auto" w:fill="CFF0FC"/>
          </w:tcPr>
          <w:p>
            <w:pPr>
              <w:spacing w:after="0"/>
              <w:rPr>
                <w:sz w:val="13"/>
                <w:szCs w:val="13"/>
                <w:color w:val="auto"/>
              </w:rPr>
            </w:pPr>
          </w:p>
        </w:tc>
        <w:tc>
          <w:tcPr>
            <w:tcW w:w="120" w:type="dxa"/>
            <w:vAlign w:val="bottom"/>
            <w:vMerge w:val="continue"/>
            <w:shd w:val="clear" w:color="auto" w:fill="CFF0FC"/>
          </w:tcPr>
          <w:p>
            <w:pPr>
              <w:spacing w:after="0"/>
              <w:rPr>
                <w:sz w:val="13"/>
                <w:szCs w:val="13"/>
                <w:color w:val="auto"/>
              </w:rPr>
            </w:pPr>
          </w:p>
        </w:tc>
        <w:tc>
          <w:tcPr>
            <w:tcW w:w="840" w:type="dxa"/>
            <w:vAlign w:val="bottom"/>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620" w:type="dxa"/>
            <w:vAlign w:val="bottom"/>
            <w:tcBorders>
              <w:right w:val="single" w:sz="8" w:color="CFF0FC"/>
            </w:tcBorders>
            <w:vMerge w:val="continue"/>
            <w:shd w:val="clear" w:color="auto" w:fill="CFF0FC"/>
          </w:tcPr>
          <w:p>
            <w:pPr>
              <w:spacing w:after="0"/>
              <w:rPr>
                <w:sz w:val="13"/>
                <w:szCs w:val="13"/>
                <w:color w:val="auto"/>
              </w:rPr>
            </w:pPr>
          </w:p>
        </w:tc>
        <w:tc>
          <w:tcPr>
            <w:tcW w:w="280" w:type="dxa"/>
            <w:vAlign w:val="bottom"/>
            <w:gridSpan w:val="2"/>
            <w:vMerge w:val="continue"/>
            <w:shd w:val="clear" w:color="auto" w:fill="CFF0FC"/>
          </w:tcPr>
          <w:p>
            <w:pPr>
              <w:spacing w:after="0"/>
              <w:rPr>
                <w:sz w:val="13"/>
                <w:szCs w:val="13"/>
                <w:color w:val="auto"/>
              </w:rPr>
            </w:pPr>
          </w:p>
        </w:tc>
        <w:tc>
          <w:tcPr>
            <w:tcW w:w="86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ind w:left="360" w:right="160"/>
        <w:spacing w:after="0" w:line="201" w:lineRule="auto"/>
        <w:rPr>
          <w:sz w:val="20"/>
          <w:szCs w:val="20"/>
          <w:color w:val="auto"/>
        </w:rPr>
      </w:pPr>
      <w:r>
        <w:rPr>
          <w:rFonts w:ascii="Times New Roman" w:cs="Times New Roman" w:eastAsia="Times New Roman" w:hAnsi="Times New Roman"/>
          <w:sz w:val="31"/>
          <w:szCs w:val="31"/>
          <w:color w:val="auto"/>
          <w:vertAlign w:val="superscript"/>
        </w:rPr>
        <w:t>(1)</w:t>
      </w:r>
      <w:r>
        <w:rPr>
          <w:rFonts w:ascii="Times New Roman" w:cs="Times New Roman" w:eastAsia="Times New Roman" w:hAnsi="Times New Roman"/>
          <w:sz w:val="13"/>
          <w:szCs w:val="13"/>
          <w:color w:val="auto"/>
        </w:rPr>
        <w:t>The basic per share figures noted above are based on weighted averages of 37,103,061 and 39,180,767 shares outstanding for the three months ended June 30, 2025 and 2024, respectively, and 37,224,569 and 39,786,511 shares outstanding for the six months ended June 30, 2025 and 2024,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Investment Income</w:t>
      </w:r>
    </w:p>
    <w:p>
      <w:pPr>
        <w:spacing w:after="0" w:line="190"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6"/>
          <w:szCs w:val="16"/>
          <w:color w:val="auto"/>
        </w:rPr>
        <w:t>Our investment objective is to maximize total return to our stockholders primarily through current income on our loan portfolio, and secondarily through capital gain on our warrants and other equity positions. We intend to achieve our investment objective by investing in high growth- potential, private companies. We typically invest in senior secured loans that generally fall into two strategies: Sponsored Growth Lending and Non-Sponsored Growth Lending. We generally receive warrants and/or other equity from our investments. We expect our global loan originations will generally range from between $30-$150 million, with our allocation being in the range of $20-$45 million.</w:t>
      </w:r>
    </w:p>
    <w:p>
      <w:pPr>
        <w:spacing w:after="0" w:line="15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4"/>
          <w:szCs w:val="14"/>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monthly,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will become due at the maturity date. Any original issue discount ("OID") or market discount or premium will be capitalized, and we will accrete or amortize such amounts as interest income. We record prepayment fees on debt investments as fee income. Dividend income, if any, will be recognized on an accrual basis to the extent that we expect to collect such amounts.</w:t>
      </w:r>
    </w:p>
    <w:p>
      <w:pPr>
        <w:spacing w:after="0" w:line="14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Investment income for the three months ended June 30, 2025 and 2024 was $ 35.1 million and $34.2 million, respectively, and includes non-recurring income of $1.3 million and $0.4 million, respectively. Non- recurring income includes, but is not limited to, acceleration of unaccreted OID and ETP, prepayment fees, and amendment fees. The increase in investment income for the three</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55" w:right="640" w:bottom="1440" w:gutter="0" w:footer="0" w:header="0"/>
        </w:sectPr>
      </w:pPr>
    </w:p>
    <w:bookmarkStart w:id="62" w:name="page63"/>
    <w:bookmarkEnd w:id="62"/>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months ended June 30, 2025 compared to the three months ended June 30, 2024 was primarily due to an increase in PIK income and dividend income, offset by a slight decrease in cash interest income due to falling interest rates.</w:t>
      </w:r>
    </w:p>
    <w:p>
      <w:pPr>
        <w:spacing w:after="0" w:line="143"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Investment income for the six months ended June 30, 2025 and 2024 was $70.5 million and $74.2 million, respectively, and includes non-recurring income of $3.2 million and $4.2 million, respectively. Non-recurring income includes, but is not limited to, acceleration of unaccreted OID and ETP, prepayment fees, and amendment fees. The decrease in investment income for the six months ended June 30, 2025 compared to the six months ended June 30, 2024 was primarily due to a decrease in interest income due to falling interest rates.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Operating Expenses</w:t>
      </w:r>
    </w:p>
    <w:p>
      <w:pPr>
        <w:spacing w:after="0" w:line="190"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16"/>
          <w:szCs w:val="16"/>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68" w:lineRule="exact"/>
        <w:rPr>
          <w:sz w:val="20"/>
          <w:szCs w:val="20"/>
          <w:color w:val="auto"/>
        </w:rPr>
      </w:pPr>
    </w:p>
    <w:p>
      <w:pPr>
        <w:jc w:val="both"/>
        <w:ind w:left="360" w:right="60"/>
        <w:spacing w:after="0" w:line="243" w:lineRule="auto"/>
        <w:rPr>
          <w:sz w:val="20"/>
          <w:szCs w:val="20"/>
          <w:color w:val="auto"/>
        </w:rPr>
      </w:pPr>
      <w:r>
        <w:rPr>
          <w:rFonts w:ascii="Times New Roman" w:cs="Times New Roman" w:eastAsia="Times New Roman" w:hAnsi="Times New Roman"/>
          <w:sz w:val="16"/>
          <w:szCs w:val="16"/>
          <w:color w:val="auto"/>
        </w:rPr>
        <w:t>•our pro-rata portion of fees and expenses related to an initial public offering in connection with a Spin-Off transaction, meaning either a transaction whereby (a) we offer our stockholders the option to elect to either (i) retain their ownership of shares of our common stock, or (ii) exchange their shares of our common stock for shares of common stock in a newly formed entity that will elect to be regulated as a BDC under the 1940 Act and treated as a RIC under Subchapter M of the Code; or (b) we complete a listing of our securities on any securities exchange;</w:t>
      </w:r>
    </w:p>
    <w:p>
      <w:pPr>
        <w:spacing w:after="0" w:line="71" w:lineRule="exact"/>
        <w:rPr>
          <w:sz w:val="20"/>
          <w:szCs w:val="20"/>
          <w:color w:val="auto"/>
        </w:rPr>
      </w:pPr>
    </w:p>
    <w:p>
      <w:pPr>
        <w:ind w:left="360" w:right="3860"/>
        <w:spacing w:after="0" w:line="411" w:lineRule="auto"/>
        <w:rPr>
          <w:sz w:val="20"/>
          <w:szCs w:val="20"/>
          <w:color w:val="auto"/>
        </w:rPr>
      </w:pPr>
      <w:r>
        <w:rPr>
          <w:rFonts w:ascii="Times New Roman" w:cs="Times New Roman" w:eastAsia="Times New Roman" w:hAnsi="Times New Roman"/>
          <w:sz w:val="14"/>
          <w:szCs w:val="14"/>
          <w:color w:val="auto"/>
        </w:rPr>
        <w:t>•fees and expenses related to public and private offerings, sales and repurchases of our securities; •calculating our net asset value (including the cost and expenses of any independent valuation firm);</w:t>
      </w:r>
    </w:p>
    <w:p>
      <w:pPr>
        <w:spacing w:after="0" w:line="1" w:lineRule="exact"/>
        <w:rPr>
          <w:sz w:val="20"/>
          <w:szCs w:val="20"/>
          <w:color w:val="auto"/>
        </w:rPr>
      </w:pPr>
    </w:p>
    <w:p>
      <w:pPr>
        <w:ind w:left="360" w:right="100"/>
        <w:spacing w:after="0" w:line="247" w:lineRule="auto"/>
        <w:rPr>
          <w:sz w:val="20"/>
          <w:szCs w:val="20"/>
          <w:color w:val="auto"/>
        </w:rPr>
      </w:pPr>
      <w:r>
        <w:rPr>
          <w:rFonts w:ascii="Times New Roman" w:cs="Times New Roman" w:eastAsia="Times New Roman" w:hAnsi="Times New Roman"/>
          <w:sz w:val="16"/>
          <w:szCs w:val="16"/>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•interest payable on debt incurred to finance our investments;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•sales and purchases of our common stock and other securities;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•management fees and incentive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•administration fees payable under the Administration Agreement;</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•transfer agent and custodial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•federal and state registration fees;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•all costs of registration and listing our securities on any securities exchange;</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•U.S. federal, state and local taxes;</w:t>
      </w:r>
    </w:p>
    <w:p>
      <w:pPr>
        <w:spacing w:after="0" w:line="9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•independent directors’ fees and expenses;</w:t>
      </w:r>
    </w:p>
    <w:p>
      <w:pPr>
        <w:spacing w:after="0" w:line="92" w:lineRule="exact"/>
        <w:rPr>
          <w:sz w:val="20"/>
          <w:szCs w:val="20"/>
          <w:color w:val="auto"/>
        </w:rPr>
      </w:pPr>
    </w:p>
    <w:p>
      <w:pPr>
        <w:ind w:left="360" w:right="1220"/>
        <w:spacing w:after="0" w:line="360" w:lineRule="auto"/>
        <w:rPr>
          <w:sz w:val="20"/>
          <w:szCs w:val="20"/>
          <w:color w:val="auto"/>
        </w:rPr>
      </w:pPr>
      <w:r>
        <w:rPr>
          <w:rFonts w:ascii="Times New Roman" w:cs="Times New Roman" w:eastAsia="Times New Roman" w:hAnsi="Times New Roman"/>
          <w:sz w:val="16"/>
          <w:szCs w:val="16"/>
          <w:color w:val="auto"/>
        </w:rPr>
        <w:t>•costs of preparing and filing reports or other documents required by the SEC, the Financial Industry Regulatory Authority or other regulators; •costs of any reports, proxy statements or other notices to stockholders, including printing costs;</w:t>
      </w:r>
    </w:p>
    <w:p>
      <w:pPr>
        <w:ind w:left="360"/>
        <w:spacing w:after="0"/>
        <w:rPr>
          <w:sz w:val="20"/>
          <w:szCs w:val="20"/>
          <w:color w:val="auto"/>
        </w:rPr>
      </w:pPr>
      <w:r>
        <w:rPr>
          <w:rFonts w:ascii="Times New Roman" w:cs="Times New Roman" w:eastAsia="Times New Roman" w:hAnsi="Times New Roman"/>
          <w:sz w:val="16"/>
          <w:szCs w:val="16"/>
          <w:color w:val="auto"/>
        </w:rPr>
        <w:t>•our allocable portion of any fidelity bond, directors’ and officers’ errors and omissions liability insurance, and any other insurance premiums;</w:t>
      </w:r>
    </w:p>
    <w:p>
      <w:pPr>
        <w:spacing w:after="0" w:line="92" w:lineRule="exact"/>
        <w:rPr>
          <w:sz w:val="20"/>
          <w:szCs w:val="20"/>
          <w:color w:val="auto"/>
        </w:rPr>
      </w:pPr>
    </w:p>
    <w:p>
      <w:pPr>
        <w:ind w:left="360" w:right="200"/>
        <w:spacing w:after="0" w:line="259" w:lineRule="auto"/>
        <w:rPr>
          <w:sz w:val="20"/>
          <w:szCs w:val="20"/>
          <w:color w:val="auto"/>
        </w:rPr>
      </w:pPr>
      <w:r>
        <w:rPr>
          <w:rFonts w:ascii="Times New Roman" w:cs="Times New Roman" w:eastAsia="Times New Roman" w:hAnsi="Times New Roman"/>
          <w:sz w:val="16"/>
          <w:szCs w:val="16"/>
          <w:color w:val="auto"/>
        </w:rPr>
        <w:t>•direct costs and expenses of administration, including printing, mailing, long distance telephone, copying, secretarial and other staff, independent auditors and outside legal costs; and</w:t>
      </w:r>
    </w:p>
    <w:p>
      <w:pPr>
        <w:spacing w:after="0" w:line="59" w:lineRule="exact"/>
        <w:rPr>
          <w:sz w:val="20"/>
          <w:szCs w:val="20"/>
          <w:color w:val="auto"/>
        </w:rPr>
      </w:pPr>
    </w:p>
    <w:p>
      <w:pPr>
        <w:ind w:left="360" w:right="80"/>
        <w:spacing w:after="0" w:line="247" w:lineRule="auto"/>
        <w:rPr>
          <w:sz w:val="20"/>
          <w:szCs w:val="20"/>
          <w:color w:val="auto"/>
        </w:rPr>
      </w:pPr>
      <w:r>
        <w:rPr>
          <w:rFonts w:ascii="Times New Roman" w:cs="Times New Roman" w:eastAsia="Times New Roman" w:hAnsi="Times New Roman"/>
          <w:sz w:val="16"/>
          <w:szCs w:val="16"/>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480"/>
          </w:cols>
          <w:pgMar w:left="660" w:top="555" w:right="760" w:bottom="1440" w:gutter="0" w:footer="0" w:header="0"/>
        </w:sectPr>
      </w:pPr>
    </w:p>
    <w:bookmarkStart w:id="63" w:name="page64"/>
    <w:bookmarkEnd w:id="63"/>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6"/>
          <w:szCs w:val="16"/>
          <w:color w:val="auto"/>
        </w:rPr>
        <w:t>Operating expenses for the three months ended June 30, 2025 and 2024 were $21.2 million and $19.6 million, respectively. Operating expenses increased for the three months ended June 30, 2025 from the three months ended June 30, 2024 primarily due to an increase in interest and other debt financing expenses, excise tax expenses, and professional fees. Operating expenses per share for the three months ended June 30, 2025 and 2024 were $0.57 and $0.50, respectively.</w:t>
      </w:r>
    </w:p>
    <w:p>
      <w:pPr>
        <w:spacing w:after="0" w:line="128"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16"/>
          <w:szCs w:val="16"/>
          <w:color w:val="auto"/>
        </w:rPr>
        <w:t>Operating expenses remained relatively unchanged for the six months ended June 30, 2025 and 2024 at $41.0 million and $40.9 million, respectively. Operating expenses per share for the six months ended June 30, 2025 and 2024 were $1.11 and $1.03, respectively.</w:t>
      </w:r>
    </w:p>
    <w:p>
      <w:pPr>
        <w:spacing w:after="0" w:line="11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6"/>
          <w:szCs w:val="16"/>
          <w:color w:val="auto"/>
        </w:rPr>
        <w:t>Management fees remained relatively unchanged for the three months ended June 30, 2025 and 2024 at $3.9 million and $3.9 million, respectively. Management fees per share for the three months ended June 30, 2025 and 2024 were $0.11 and $0.10 per share, respectively.</w:t>
      </w:r>
    </w:p>
    <w:p>
      <w:pPr>
        <w:spacing w:after="0" w:line="11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Management fees remained relatively unchanged for the six months ended June 30, 2025 and 2024 at $8.0 million and $7.9 million, respectively. Management fees per share for the six months ended June 30, 2025 and 2024 were $0.21 and $0.20 per share, respectively.</w:t>
      </w:r>
    </w:p>
    <w:p>
      <w:pPr>
        <w:spacing w:after="0" w:line="11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Incentive fees for the three months ended June 30, 2025 and 2024 were $3.5 million and $3.6 million, respectively. Incentive fees remained relatively unchanged for the three months ended June 30, 2025 from the three months ended June 30, 2024. For the three months ended June 30, 2025, $2.3 million of the incentive fees were payable in cash and $1.2 million were deferred and accrued. For the three months ended June 30, 2025, $2.9 million of the incentive fees were payable in cash and $0.7 million were deferred and accrued. Incentive fees per share for the three months ended June 30, 2025 and 2024 were $0.09 and $0.09, respectively.</w:t>
      </w:r>
    </w:p>
    <w:p>
      <w:pPr>
        <w:spacing w:after="0" w:line="13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Incentive fees for the six months ended June 30, 2025 and 2024 were $ 7.5 million and $8.3 million, respectively. Incentive fees decreased for the six months ended June 30, 2025 from the six months ended June 30, 2024 due to a decrease in net investment income. For the six months ended June 30, 2025, $5.4 million of the incentive fees were payable in cash and $2.1 million were deferred and accrued. For the six months ended June 30, 2024, $6.5 million of the incentive fees were payable in cash and $1.8 million were deferred and accrued. Incentive fees per share for the six months ended June 30, 2025 and 2024 were $0.20 and $0.20, respectively.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Investment Income</w:t>
      </w:r>
    </w:p>
    <w:p>
      <w:pPr>
        <w:spacing w:after="0" w:line="190"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Net investment income for the three months ended June 30, 2025 and 2024 was $13.9 million and $14.6 million, respectively. Net investment income decreased for the three months ended June 30, 2025 from the three months ended June 30, 2024 primarily due to an increase in total operating expenses, offset by an increase in investment income. Net investment income per share for the three months ended June 30, 2025 and 2024 was $0.38 and $0.37, respectively.</w:t>
      </w:r>
    </w:p>
    <w:p>
      <w:pPr>
        <w:spacing w:after="0" w:line="16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Net investment income for the six months ended June 30, 2025 and 2024 was $29.5 million and $33.3 million, respectively. Net investment income decreased for the six months ended June 30, 2025 from the six months ended June 30, 2024 primarily due to a decrease in investment income. Net investment income per share for the six months ended June 30, 2025 and 2024 was $0.79 and $0.84,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Realized Gain (Loss) on Investments</w:t>
      </w:r>
    </w:p>
    <w:p>
      <w:pPr>
        <w:spacing w:after="0" w:line="190"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The net realized loss on investments of $ 1.5 million for the three months ended June 30, 2025 was attributable to a realized loss on our senior secured term loan investment in JobGet Holdings, Inc. (fka Snagajob.com, Inc.) upon conversion to equity. There were no net realized gains or losses on investments for the three months ended June 30, 2024.</w:t>
      </w:r>
    </w:p>
    <w:p>
      <w:pPr>
        <w:spacing w:after="0" w:line="164"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The net realized loss on investments of $4.5 million for the six months ended June 30, 2025 was attributable to a realized gain on our investment in Gynesonics, Inc. partially offset by realized losses on our investments in Quantum Corporation and JobGet Holdings, Inc. (fka Snagajob.com, Inc.). There were no net realized gains or losses on investments for the six months ended 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Change in Unrealized Gain (Loss) on Investments</w:t>
      </w:r>
    </w:p>
    <w:p>
      <w:pPr>
        <w:spacing w:after="0" w:line="190"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Net change in unrealized gain on investments of $4.4 million for the three months ended June 30, 2025 was primarily due to an increase in fair value of our investments in Blueshift Labs, Inc, Hurricane Cleanco Limited, FiscalNote Inc., and Kin Insurance, Inc. The increase in fair value was partially offset by a decrease in the fair value of our investments in 3PL Central LLC and Marley Spoon SE. Net change in unrealized loss on investments of $6.3 million for the three months ended June 30, 2024 was primarily due to a decrease in the fair value of our convertible note investment in Snagajob.com, Inc., our senior secured loans to Snagajob.com, Inc., Vesta Payment Solutions, Inc., and FiscalNote, Inc., offset by increases in our preferred stock investment in Carecloud, Inc., and our senior secured loan to Cloudpay, Inc.</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4" w:name="page65"/>
    <w:bookmarkEnd w:id="64"/>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change in unrealized loss on investments of $15.4 million for the six months ended June 30, 2025 was primarily due to a release of prior unrealized gain on our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 in Gynesonics, Inc. and a decrease in the fair value of our investments in JobGet Holdings, Inc. (fka Snagajob.com, Inc.), Marley Spoon SE, and zSpace,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decrease in fair value was partially offset by a release of prior unrealized loss on our investment in Quantum Corporation, accompanied by an increase in fair value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 our investments in Blueshift Labs, Inc., Hurricane Cleanco Limited, FiscalNote Inc., and Kin Insurance, Inc. The net change in unrealized loss on investments of</w:t>
      </w:r>
    </w:p>
    <w:p>
      <w:pPr>
        <w:spacing w:after="0"/>
        <w:rPr>
          <w:sz w:val="20"/>
          <w:szCs w:val="20"/>
          <w:color w:val="auto"/>
        </w:rPr>
      </w:pPr>
      <w:r>
        <w:rPr>
          <w:rFonts w:ascii="Times New Roman" w:cs="Times New Roman" w:eastAsia="Times New Roman" w:hAnsi="Times New Roman"/>
          <w:sz w:val="14"/>
          <w:szCs w:val="14"/>
          <w:color w:val="auto"/>
        </w:rPr>
        <w:t>$12.9 million for the six months ended June 30, 2024 was primarily due to a decrease in the fair value of our convertible note and senior secured loan to Snagajob.com,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 our senior secured loans to FiscalNote, Inc., and Vesta Payment Solutions, Inc., and our common stock investment in Coginiti Corp.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Net Increase (Decrease) in Net Assets Resulting from Operations</w:t>
      </w:r>
    </w:p>
    <w:p>
      <w:pPr>
        <w:spacing w:after="0" w:line="19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We had a net increase in net assets resulting from operations of $16.8 million for the three months ended June 30, 2025 when compared to a net increase in net assets resulting from operations of $8.3 million for the three months ended June 30, 2024.</w:t>
      </w:r>
    </w:p>
    <w:p>
      <w:pPr>
        <w:spacing w:after="0" w:line="143" w:lineRule="exact"/>
        <w:rPr>
          <w:sz w:val="20"/>
          <w:szCs w:val="20"/>
          <w:color w:val="auto"/>
        </w:rPr>
      </w:pPr>
    </w:p>
    <w:p>
      <w:pPr>
        <w:ind w:right="320"/>
        <w:spacing w:after="0" w:line="259" w:lineRule="auto"/>
        <w:rPr>
          <w:sz w:val="20"/>
          <w:szCs w:val="20"/>
          <w:color w:val="auto"/>
        </w:rPr>
      </w:pPr>
      <w:r>
        <w:rPr>
          <w:rFonts w:ascii="Times New Roman" w:cs="Times New Roman" w:eastAsia="Times New Roman" w:hAnsi="Times New Roman"/>
          <w:sz w:val="16"/>
          <w:szCs w:val="16"/>
          <w:color w:val="auto"/>
        </w:rPr>
        <w:t>We had a net decrease in net assets resulting from operations of $18.7 million for the six months ended June 30, 2025 when compared to a net increase in net assets resulting from operations of $20.3 million for the six months ended June 30,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Condition, Liquidity, Capital Resources and Obligations</w:t>
      </w:r>
    </w:p>
    <w:p>
      <w:pPr>
        <w:spacing w:after="0" w:line="192"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Our liquidity and capital resources are derived from net proceeds from the offering of our securities, debt borrowings and cash flows from operations, including investment sales and repayments, and income earned. We have used, and expect to continue to use, our debt and the proceeds from the turnover of our portfolio and from public and private offerings of securities to finance our investment objectives. We expect that we may also generate cash from any financing arrangements we may enter into in the future and any future offerings of our equity or debt securities. Financing arrangements may come in the form of borrowings from banks or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25"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During the three and six months ended June 30, 2025 and 2024, we primarily funded our operations from (i) cash receipts from interest, dividend, and fee income from our investment portfolio, (ii) cash proceeds from the realization of portfolio investments through the repayments of debt investments and the sale of debt and equity investments, and (iii) borrowings under our Credit Facility.</w:t>
      </w:r>
    </w:p>
    <w:p>
      <w:pPr>
        <w:spacing w:after="0" w:line="1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During the six months ended June 30, 2025, our operating activities provided $73.3 million of cash and cash equivalents, compared to $30.0 million in cash and cash equivalents provided by operating activities during the six months ended June 30, 2024. The $43.3 million increase in cash and cash equivalents provided by operating activities was primarily due to a decrease in purchases of investments.</w:t>
      </w:r>
    </w:p>
    <w:p>
      <w:pPr>
        <w:spacing w:after="0" w:line="116"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During the six months ended June 30, 2025, our financing activities used $73.1 million of cash and cash equivalents, compared to $24.1 million of cash and cash equivalents used in financing activities during the six months ended June 30, 2024. The $48.9 million increase in cash and cash equivalents used in financing activities was primarily due to decreased net borrowing activity of $72.0 million offset by an increase in share repurchases of $23.5 million.</w:t>
      </w:r>
    </w:p>
    <w:p>
      <w:pPr>
        <w:spacing w:after="0" w:line="128" w:lineRule="exact"/>
        <w:rPr>
          <w:sz w:val="20"/>
          <w:szCs w:val="20"/>
          <w:color w:val="auto"/>
        </w:rPr>
      </w:pPr>
    </w:p>
    <w:p>
      <w:pPr>
        <w:jc w:val="both"/>
        <w:ind w:right="160"/>
        <w:spacing w:after="0" w:line="247" w:lineRule="auto"/>
        <w:rPr>
          <w:sz w:val="20"/>
          <w:szCs w:val="20"/>
          <w:color w:val="auto"/>
        </w:rPr>
      </w:pPr>
      <w:r>
        <w:rPr>
          <w:rFonts w:ascii="Times New Roman" w:cs="Times New Roman" w:eastAsia="Times New Roman" w:hAnsi="Times New Roman"/>
          <w:sz w:val="16"/>
          <w:szCs w:val="16"/>
          <w:color w:val="auto"/>
        </w:rPr>
        <w:t>As of June 30, 2025, our net assets totaled $498.9 million, with a net asset value per share of $13.66. We intend to continue to operate in order to generate cash flows from operations, including income earned from investments in our portfolio companies. Our primary use of funds will be investments in portfolio companies and cash distributions to holders of our common stock.</w:t>
      </w:r>
    </w:p>
    <w:p>
      <w:pPr>
        <w:spacing w:after="0" w:line="1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5" w:name="page66"/>
    <w:bookmarkEnd w:id="65"/>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Available Liquidity and Capital Resources</w:t>
      </w:r>
    </w:p>
    <w:p>
      <w:pPr>
        <w:spacing w:after="0" w:line="190"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4"/>
          <w:szCs w:val="14"/>
          <w:color w:val="auto"/>
        </w:rPr>
        <w:t>As of June 30, 2025, we had $297.0 million in available liquidity, including $6.0 million in cash and cash equivalents, and $291.0 million available under our Credit Facility, subject to borrowing base capacity. As of June 30, 2025, we had $259.0 million of secured debt outstanding under our Credit Facility, which is a floating interest rate obligation and $ 264.3 million of unsecured debt outstanding under the 2026, 2027, and 2028 Notes, which are all fixed interest rate debt obligations. Refer to "Note 7 – Borrowings" to our consolidated financial statements in Part I, Item 1 of this Form 10-Q for additional discussion of our debt obligations.</w:t>
      </w:r>
    </w:p>
    <w:p>
      <w:pPr>
        <w:spacing w:after="0" w:line="125"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16"/>
          <w:szCs w:val="16"/>
          <w:color w:val="auto"/>
        </w:rPr>
        <w:t>Pursuant to the 1940 Act, we are permitted to incur borrowings, issue debt securities, or issue preferred stock if, immediately after the borrowings or issuance, the ratio of total assets (less total liabilities other than indebtedness) to total indebtedness plus preferred stock is at least 150%. As of June 30, 2025 and December 31, 2024, our asset coverage ratio was 195% and 192%, respectively.</w:t>
      </w:r>
    </w:p>
    <w:p>
      <w:pPr>
        <w:spacing w:after="0" w:line="116"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16"/>
          <w:szCs w:val="16"/>
          <w:color w:val="auto"/>
        </w:rPr>
        <w:t>As detailed above, our diverse and well-structured balance sheet is designed to provide a long-term focused and sustainable investment platform. Currently, we believe we have sufficient liquidity to support our near-term capital requirements.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Commitments and Obligations</w:t>
      </w:r>
    </w:p>
    <w:p>
      <w:pPr>
        <w:spacing w:after="0" w:line="190"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Our significant contractual payment obligations relate to our borrowings and deferred incentive fees. As of June 30, 2025, we had $523.3 million in debt outstanding, $25.0 million of which was due within the next year, $239.3 million within 1 to 3 years, and $259.0 million beyond 3 years. As of June 30, 2025, we had $12.2 million of deferred incentive fees, $3.9 million of which was due within the next year, $5.8 million within 1 to 3 years, and $2.5 million beyond 3 years.</w:t>
      </w:r>
    </w:p>
    <w:p>
      <w:pPr>
        <w:spacing w:after="0" w:line="116"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6"/>
          <w:szCs w:val="16"/>
          <w:color w:val="auto"/>
        </w:rPr>
        <w:t>In addition to our on-balance sheet contractual obligations, in the normal course of business, we have future cash requirements related to our financial instruments with off-balance sheet risk. These consist of unfunded commitments to extend credit, in the form of loans, to our portfolio companies. Unfunded commitments to provide funds to portfolio companies are not reflected on our balance sheet.</w:t>
      </w:r>
    </w:p>
    <w:p>
      <w:pPr>
        <w:spacing w:after="0" w:line="11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4"/>
          <w:szCs w:val="14"/>
          <w:color w:val="auto"/>
        </w:rPr>
        <w:t>Our unfunded commitments may be significant from time to time. As of June 30, 2025, we had a total of $164.9 million in unfunded commitments which was comprised of $135.5 million to provide debt financing to our portfolio companies and $ 29.4 million in unfunded commitments to provide equity financing to Runway-Cadma I LLC. Unfunded contractual commitments depend upon a portfolio company reaching certain milestones before the debt commitment is available to the portfolio company, which is expected to affect our funding levels. These commitments are subject to the same underwriting and ongoing portfolio maintenance as the on-balance sheet financial instruments that we hold. From time to time, unfunded contractual commitments may expire without being drawn and thus do not represent future cash requirements. We maintain sufficient liquidity (through cash on hand and available borrowings under the Credit Facility) to fund such unfunded commitments should the need arise. As of June 30, 2025, we had $35.7 million of available unfunded commitments to portfolio companies that are eligible to be drawn based on achieved milestones and $29.4 million in unfunded capital commitments to Runway-Cadma I LLC. Refer to "Note 8 – Commitments and Contingencies" to our consolidated financial statements in Part I, Item 1 of this Form 10-Q for a summary of unfunded commitments by portfolio company as of June 30, 2025.</w:t>
      </w:r>
    </w:p>
    <w:p>
      <w:pPr>
        <w:spacing w:after="0" w:line="283"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16"/>
          <w:szCs w:val="16"/>
          <w:color w:val="auto"/>
        </w:rPr>
        <w:t>The fair value of our unfunded commitments is considered to be immaterial as the yield determined at the time of underwriting is expected to be materially consistent with the yield upon funding, given that interest rates are generally pegged to market indices and given the existence of milestones, conditions and/or obligations embedded in the borrowing agreements</w:t>
      </w:r>
      <w:r>
        <w:rPr>
          <w:rFonts w:ascii="Times New Roman" w:cs="Times New Roman" w:eastAsia="Times New Roman" w:hAnsi="Times New Roman"/>
          <w:sz w:val="16"/>
          <w:szCs w:val="16"/>
          <w:i w:val="1"/>
          <w:iCs w:val="1"/>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Repurchase Program</w:t>
      </w:r>
    </w:p>
    <w:p>
      <w:pPr>
        <w:spacing w:after="0" w:line="19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On February 24, 2022, our Board of Directors approved a share repurchase program (the "First Repurchase Program") under which we were authorized to repurchase up to $25.0 million of our outstanding common stock, at management’s discretion from time to time in open-market transactions and in accordance with all applicable securities laws and regulations. We repurchased 871,345 shares in connection with the First Repurchase Program for an aggregate purchase price of $10.8 million. The First Repurchase Program expired on February 24, 2023.</w:t>
      </w:r>
    </w:p>
    <w:p>
      <w:pPr>
        <w:spacing w:after="0" w:line="11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On November 2, 2023, our Board of Directors approved a share repurchase program (the "Second Repurchase Program"), under which we were authorized to repurchase up to $25.0 million of our outstanding shares of common stock, at management’s discretion from time to time in open-market transactions and in accordance with all applicable securities laws and regulations. We repurchased 1,961,938 shares in connection with the Second Repurchase Program for an aggregate purchase price of $23.5 million. The Second Repurchase Program expired on November 2, 2024.</w:t>
      </w:r>
    </w:p>
    <w:p>
      <w:pPr>
        <w:spacing w:after="0" w:line="119"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On July 30, 2024, our Board of Directors approved a share repurchase program (the "Third Repurchase Program"), under which we were authorized to repurchase up to $15.0 million of our outstanding shares of common stock, at management's discretion from time to time in open-market transactions and in accordance with all applicable securities laws and regulations. We repurchased 1,199,867 shares</w:t>
      </w:r>
    </w:p>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6" w:name="page67"/>
    <w:bookmarkEnd w:id="66"/>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60"/>
        <w:spacing w:after="0" w:line="259" w:lineRule="auto"/>
        <w:rPr>
          <w:sz w:val="20"/>
          <w:szCs w:val="20"/>
          <w:color w:val="auto"/>
        </w:rPr>
      </w:pPr>
      <w:r>
        <w:rPr>
          <w:rFonts w:ascii="Times New Roman" w:cs="Times New Roman" w:eastAsia="Times New Roman" w:hAnsi="Times New Roman"/>
          <w:sz w:val="16"/>
          <w:szCs w:val="16"/>
          <w:color w:val="auto"/>
        </w:rPr>
        <w:t>in connection with the Third Repurchase Program for an aggregate purchase price of $12.5 million, exhausting the full approved amount of repurchases under the program.</w:t>
      </w:r>
    </w:p>
    <w:p>
      <w:pPr>
        <w:spacing w:after="0" w:line="107" w:lineRule="exact"/>
        <w:rPr>
          <w:sz w:val="20"/>
          <w:szCs w:val="20"/>
          <w:color w:val="auto"/>
        </w:rPr>
      </w:pPr>
    </w:p>
    <w:p>
      <w:pPr>
        <w:ind w:right="80"/>
        <w:spacing w:after="0" w:line="241" w:lineRule="auto"/>
        <w:rPr>
          <w:sz w:val="20"/>
          <w:szCs w:val="20"/>
          <w:color w:val="auto"/>
        </w:rPr>
      </w:pPr>
      <w:r>
        <w:rPr>
          <w:rFonts w:ascii="Times New Roman" w:cs="Times New Roman" w:eastAsia="Times New Roman" w:hAnsi="Times New Roman"/>
          <w:sz w:val="16"/>
          <w:szCs w:val="16"/>
          <w:color w:val="auto"/>
        </w:rPr>
        <w:t>On May 7, 2025, our Board of Directors approved a share repurchase program (the "Fourth Repurchase Program"), under which we may repurchase up to $25.0 million of our outstanding shares of common stock, at management's discretion from time to time in open-market transactions and in accordance with all applicable securities laws and regulations. If not renewed, the Fourth Repurchase Program will terminate upon the earlier of (i) May 7, 2026 or (ii) the repurchase of $25.0 million of our shares of common stock. From the inception of the Fourth Repurchase Program through June 30, 2025, we repurchased 815,408 shares for an aggregate purchase price of $8.1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 and Dividend Reinvestment Plan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4"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During the three and six months ended June 30, 2025, we declared dividends in the amount of $13.1 million and $26.5 million, respectively, of which $12.8 million and $26.0 million, respectively, were distributed in cash with the remainder distributed in the form of 60,716 and 60,716 shares, respectively, of the our common stock purchased by us in the open market and distributed to stockholders pursuant to the Dividend Reinvestment Plan. For the three and six months ended June 30, 2024, we declared and paid dividends in the amount of $18.5 million and $37.6 million, respectively, of which $18.2 million and $37.0 million, respectively, were distributed in cash with the remainder distributed in the form of 24,066 and 44,597 shares, respectively, of the our common stock purchased by us in the open market and distributed to stockholders pursuant to the Dividend Reinvestment Plan.</w:t>
      </w:r>
    </w:p>
    <w:p>
      <w:pPr>
        <w:spacing w:after="0" w:line="173"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16"/>
          <w:szCs w:val="16"/>
          <w:color w:val="auto"/>
        </w:rPr>
        <w:t>The timing and amount of our distributions, if any, will be determined by our Board of Directors and will be declared out of assets legally available for distribution. Refer to "Note 9 – Net Assets" of our consolidated financial statements in Part I, Item 1 of this Form 10-Q for a summary of the distributions declared and paid since inception.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Critical Accounting Estimates</w:t>
      </w:r>
    </w:p>
    <w:p>
      <w:pPr>
        <w:spacing w:after="0" w:line="19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6"/>
          <w:szCs w:val="16"/>
          <w:color w:val="auto"/>
        </w:rPr>
        <w:t>The preparation of the consolidated financial statements and related disclosures in conformity with U.S. GAAP requires our management to make estimates and assumptions that affect the reported amounts of assets and liabilities, disclosure of contingent assets and liabilities at the date of the consolidated financial statements, and revenues and expenses during the period reports. Actual results could materially differ from those estimates. For a description of our critical accounting policies, including those related to the valuation of investments and our election to be treated, and intent to qualify annually, as a RIC refer to "Note 2 – Summary of Significant Accounting Policies" to our consolidated financial statements in Part I, Item 1 of this Form 10-Q. We consider the most significant accounting policies to be those related to our Fair Value Measurements and Income Taxes.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Recent Developments</w:t>
      </w:r>
    </w:p>
    <w:p>
      <w:pPr>
        <w:spacing w:after="0" w:line="19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6"/>
          <w:szCs w:val="16"/>
          <w:color w:val="auto"/>
        </w:rPr>
        <w:t>We evaluated events subsequent to June 30, 2025 through August 7, 2025. There have been no subsequent events that occurred during such period that would require recognition or disclosure, except as disclosed below.</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Distributions</w:t>
      </w:r>
    </w:p>
    <w:p>
      <w:pPr>
        <w:spacing w:after="0" w:line="190"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6"/>
          <w:szCs w:val="16"/>
          <w:color w:val="auto"/>
        </w:rPr>
        <w:t>On August 6, 2025, our Board of Directors declared a regular distribution of $0.33 per share and a supplemental distribution of $0.03 per share for our stockholders of record as of August 18, 2025, each payable on or before September 2,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Recent Portfolio Activity</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From July 1, 2025 through August 7, 2025, we completed $20.0 million of additional debt commitments, of which $16.8 million was funded upon closing. In addition, we funded $0.3 million in unfunded commitments on existing investments. We also received $22.4 million in debt prepayments and $0.2 million in proceeds from the sale of equity positions.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67" w:name="page68"/>
    <w:bookmarkEnd w:id="67"/>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Quantitative and Qualitative Disclosures about Market Risk</w:t>
      </w:r>
    </w:p>
    <w:p>
      <w:pPr>
        <w:spacing w:after="0" w:line="190"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rising interest rates and inflation, as well as uncertainty with respect to trade policies, restrictions and tariffs, has introduced significant volatility in the financial markets, and the effects of this volatility could materially impact our market risks. For additional information concerning the market risks we face and their potential impact on our business and our operating results, see Part II, Item 1A. Risk Factors.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Valuation Risk</w:t>
      </w:r>
    </w:p>
    <w:p>
      <w:pPr>
        <w:spacing w:after="0" w:line="192" w:lineRule="exact"/>
        <w:rPr>
          <w:sz w:val="20"/>
          <w:szCs w:val="20"/>
          <w:color w:val="auto"/>
        </w:rPr>
      </w:pPr>
    </w:p>
    <w:p>
      <w:pPr>
        <w:ind w:right="180"/>
        <w:spacing w:after="0" w:line="239" w:lineRule="auto"/>
        <w:rPr>
          <w:sz w:val="20"/>
          <w:szCs w:val="20"/>
          <w:color w:val="auto"/>
        </w:rPr>
      </w:pPr>
      <w:r>
        <w:rPr>
          <w:rFonts w:ascii="Times New Roman" w:cs="Times New Roman" w:eastAsia="Times New Roman" w:hAnsi="Times New Roman"/>
          <w:sz w:val="16"/>
          <w:szCs w:val="16"/>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92"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6"/>
          <w:szCs w:val="16"/>
          <w:color w:val="auto"/>
        </w:rPr>
        <w:t>We are subject to financial market risks, including changes in interest rates. Interest rate risk is defined as the sensitivity of our current and future earnings to interest rate volatility, variability of spread relationships, the difference in re -pricing intervals between our assets and liabilities and the effect that interest rates may have on our cash flows. Changes in interest rates may affect both our cost of funding and our interest income from portfolio investments, and cash and cash equivalents. Changes in interest rates can also affect our ability to acquire and originate loans and securities and the value of our investment portfolio. Our net investment income is affected by fluctuations in various interest rates, including SOFR and Prime rates. Increasing interest rates could have the effect of increasing our total investment income once interest rates increase above contractual interest rates floors to which our portfolio companies are subject. Conversely, we would expect the cost of our floating rate Credit Facility and unsecured notes to increase as well, offsetting the positive effect on our net interest income.</w:t>
      </w:r>
    </w:p>
    <w:p>
      <w:pPr>
        <w:spacing w:after="0" w:line="170"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As of June 30, 2025, 96.7% of our performing debt portfolio investments bore interest at variable rates, of which 76.0% were based on SOFR and 24.0% were based on Prime. As a policy, any interest in excess of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$17.3 million and decrease our investment income by a maximum of $10.9 million, due to certain floors, on an annual basis.</w:t>
      </w:r>
    </w:p>
    <w:p>
      <w:pPr>
        <w:spacing w:after="0" w:line="167" w:lineRule="exact"/>
        <w:rPr>
          <w:sz w:val="20"/>
          <w:szCs w:val="20"/>
          <w:color w:val="auto"/>
        </w:rPr>
      </w:pPr>
    </w:p>
    <w:p>
      <w:pPr>
        <w:ind w:right="300"/>
        <w:spacing w:after="0" w:line="243" w:lineRule="auto"/>
        <w:rPr>
          <w:sz w:val="20"/>
          <w:szCs w:val="20"/>
          <w:color w:val="auto"/>
        </w:rPr>
      </w:pPr>
      <w:r>
        <w:rPr>
          <w:rFonts w:ascii="Times New Roman" w:cs="Times New Roman" w:eastAsia="Times New Roman" w:hAnsi="Times New Roman"/>
          <w:sz w:val="16"/>
          <w:szCs w:val="16"/>
          <w:color w:val="auto"/>
        </w:rPr>
        <w:t>Our debt borrowings under the Credit Facility bear interest at a floating rate, all other outstanding debt borrowings bear interest at a fixed rate. Borrowings under the Credit Facility bear interest on a per annum basis equal to the SOFR plus an applicable margin rate that ranges from 2.95% to 3.35% per annum depending on the Company's leverage ratio and number of eligible loans in the collateral pool. For additional information regarding the interest rate associated with each of our debt borrowings, refer to "Note 7 – Borrowings" to our consolidated financial statements in Part I, Item 1 of this Form 10-Q.</w:t>
      </w:r>
    </w:p>
    <w:p>
      <w:pPr>
        <w:spacing w:after="0" w:line="16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Because we currently borrow, and plan to borrow in the future, to originate loans and securities, our net investment income is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6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6"/>
          <w:szCs w:val="16"/>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SWAP contracts and foreign currency forward contracts subject to the requirements of the 1940 Act. While hedging activities may insulate us against adverse changes in interest rates,</w:t>
      </w:r>
    </w:p>
    <w:p>
      <w:pPr>
        <w:spacing w:after="0" w:line="1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5" w:right="660" w:bottom="1440" w:gutter="0" w:footer="0" w:header="0"/>
        </w:sectPr>
      </w:pPr>
    </w:p>
    <w:bookmarkStart w:id="68" w:name="page69"/>
    <w:bookmarkEnd w:id="68"/>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6"/>
          <w:szCs w:val="16"/>
          <w:color w:val="auto"/>
        </w:rPr>
        <w:t>they may also limit our ability to participate in benefits of lower interest rates with respect to our portfolio of investments with fixed interest rates. As of June 30, 2025, we did not have any hedging instruments.</w:t>
      </w:r>
    </w:p>
    <w:p>
      <w:pPr>
        <w:spacing w:after="0" w:line="15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6"/>
          <w:szCs w:val="16"/>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current economic conditions and any associated impact on foreign financial markets.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Controls and Procedures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Evaluation of Disclosure Controls and Procedures</w:t>
      </w:r>
    </w:p>
    <w:p>
      <w:pPr>
        <w:spacing w:after="0" w:line="19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15(e) and Rule 15d-15(e)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Changes in Internal Control over Financial Reporting</w:t>
      </w:r>
    </w:p>
    <w:p>
      <w:pPr>
        <w:spacing w:after="0" w:line="192" w:lineRule="exact"/>
        <w:rPr>
          <w:sz w:val="20"/>
          <w:szCs w:val="20"/>
          <w:color w:val="auto"/>
        </w:rPr>
      </w:pPr>
    </w:p>
    <w:p>
      <w:pPr>
        <w:ind w:right="140"/>
        <w:spacing w:after="0" w:line="33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(as defined in Rules 13a-15(f) and 15d-15(f) under the Exchange Act) that occurred during our most recently completed fiscal quarter that have materially affected, or are reasonably likely to materially affect, our internal control over financial reporting.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55" w:right="700" w:bottom="1440" w:gutter="0" w:footer="0" w:header="0"/>
        </w:sectPr>
      </w:pPr>
    </w:p>
    <w:bookmarkStart w:id="69" w:name="page70"/>
    <w:bookmarkEnd w:id="69"/>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PART II. OTHER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Legal Proceedings</w:t>
      </w:r>
    </w:p>
    <w:p>
      <w:pPr>
        <w:spacing w:after="0" w:line="15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6"/>
          <w:szCs w:val="16"/>
          <w:color w:val="auto"/>
        </w:rPr>
        <w:t>We and RGC are not currently subject to any material legal proceedings, nor, to our knowledge, is any material legal proceeding threatened against us. From time to time, we or RGC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would have a material effect upon our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54"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6"/>
          <w:szCs w:val="16"/>
          <w:color w:val="auto"/>
        </w:rPr>
        <w:t>You should carefully consider the risks contained in this quarterly report on Form 10-Q, including our interim consolidated financial statements and the related notes thereto, before making a decision to purchase our securities.</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There have been no material changes known to us during the period ended June 30, 2025 to the risk factors discussed in "Risk Factors" in Part I, Item 1A of our annual report on Form 10-K, as modified by the Company's annual report on Form 10-K/A, for the fiscal year ended December 31, 2024, filed with the SEC on March 20, 2025 and March 27, 2025, respectively.</w:t>
      </w:r>
    </w:p>
    <w:p>
      <w:pPr>
        <w:spacing w:after="0" w:line="12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6"/>
          <w:szCs w:val="16"/>
          <w:color w:val="auto"/>
        </w:rPr>
        <w:t>The risks and uncertainties described in our annual report on Form 10-K are not the only ones we may face. Additional risks and uncertainties not currently known to us or that we currently deem to be immaterial also may materially adversely affect our business, financial condition and/or operating results. If any of the risks listed in our annual report on Form 10-K actually occur, our business, financial condition or results of operations could be materially adversely affected. If that happens, you may lose all or part of your investment.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Unregistered Sales of Equity Securities and Use of Proceeds</w:t>
      </w:r>
    </w:p>
    <w:p>
      <w:pPr>
        <w:spacing w:after="0" w:line="138" w:lineRule="exact"/>
        <w:rPr>
          <w:sz w:val="20"/>
          <w:szCs w:val="20"/>
          <w:color w:val="auto"/>
        </w:rPr>
      </w:pPr>
    </w:p>
    <w:p>
      <w:pPr>
        <w:ind w:right="400"/>
        <w:spacing w:after="0" w:line="203" w:lineRule="exact"/>
        <w:rPr>
          <w:sz w:val="20"/>
          <w:szCs w:val="20"/>
          <w:color w:val="auto"/>
        </w:rPr>
      </w:pPr>
      <w:r>
        <w:rPr>
          <w:rFonts w:ascii="Times New Roman" w:cs="Times New Roman" w:eastAsia="Times New Roman" w:hAnsi="Times New Roman"/>
          <w:sz w:val="16"/>
          <w:szCs w:val="16"/>
          <w:color w:val="auto"/>
        </w:rPr>
        <w:t>Other than pursuant to our Dividend Reinvestment Plan, and except as previously reported by us on our current reports on Form 8</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we did not sell any securities during the period covered by this quarterly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that were not registered under the Securities Act.</w:t>
      </w:r>
    </w:p>
    <w:p>
      <w:pPr>
        <w:spacing w:after="0" w:line="127"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6"/>
          <w:szCs w:val="16"/>
          <w:color w:val="auto"/>
        </w:rPr>
        <w:t>As part of our Fourth Repurchase Program, we have maintained repurchase plans in accordance with Rule 10b5-1 (the "Rule 10b5-1 Plan") promulgated under the Securities Exchange Act of 1934, as amended (the "Exchange Act"). During the three and six months ended June 30, 2025, we repurchased 815,408 shares under the Fourth Repurchase Program. Future repurchases may be made as open market or privately negotiated transactions as described above. We have no obligation to repurchase stock under the Fourth Repurchase Program and may suspend or terminate the Fourth Repurchase Program at any time. As of June 30, 2025, the approximate dollar value of shares that may yet be repurchased under the Fourth Repurchase Program was $16.9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Defaults Upon Senior Securities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Other Information</w:t>
      </w:r>
    </w:p>
    <w:p>
      <w:pPr>
        <w:spacing w:after="0" w:line="186" w:lineRule="exact"/>
        <w:rPr>
          <w:sz w:val="20"/>
          <w:szCs w:val="20"/>
          <w:color w:val="auto"/>
        </w:rPr>
      </w:pPr>
    </w:p>
    <w:p>
      <w:pPr>
        <w:ind w:left="220" w:hanging="214"/>
        <w:spacing w:after="0"/>
        <w:tabs>
          <w:tab w:leader="none" w:pos="2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None.</w:t>
      </w:r>
    </w:p>
    <w:p>
      <w:pPr>
        <w:spacing w:after="0" w:line="152" w:lineRule="exact"/>
        <w:rPr>
          <w:rFonts w:ascii="Times New Roman" w:cs="Times New Roman" w:eastAsia="Times New Roman" w:hAnsi="Times New Roman"/>
          <w:sz w:val="16"/>
          <w:szCs w:val="16"/>
          <w:b w:val="1"/>
          <w:bCs w:val="1"/>
          <w:i w:val="1"/>
          <w:iCs w:val="1"/>
          <w:color w:val="auto"/>
        </w:rPr>
      </w:pPr>
    </w:p>
    <w:p>
      <w:pPr>
        <w:ind w:left="220" w:hanging="214"/>
        <w:spacing w:after="0"/>
        <w:tabs>
          <w:tab w:leader="none" w:pos="2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None.</w:t>
      </w:r>
    </w:p>
    <w:p>
      <w:pPr>
        <w:spacing w:after="0" w:line="152" w:lineRule="exact"/>
        <w:rPr>
          <w:rFonts w:ascii="Times New Roman" w:cs="Times New Roman" w:eastAsia="Times New Roman" w:hAnsi="Times New Roman"/>
          <w:sz w:val="16"/>
          <w:szCs w:val="16"/>
          <w:b w:val="1"/>
          <w:bCs w:val="1"/>
          <w:i w:val="1"/>
          <w:iCs w:val="1"/>
          <w:color w:val="auto"/>
        </w:rPr>
      </w:pPr>
    </w:p>
    <w:p>
      <w:pPr>
        <w:ind w:left="220" w:hanging="214"/>
        <w:spacing w:after="0"/>
        <w:tabs>
          <w:tab w:leader="none" w:pos="220" w:val="left"/>
        </w:tabs>
        <w:numPr>
          <w:ilvl w:val="0"/>
          <w:numId w:val="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Rule 10b5-1 Disclosure</w:t>
      </w:r>
    </w:p>
    <w:p>
      <w:pPr>
        <w:spacing w:after="0" w:line="15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6"/>
          <w:szCs w:val="16"/>
          <w:color w:val="auto"/>
        </w:rPr>
        <w:t>For the period covered by this Quarterly Report on Form 10-Q, no director or officer of the Company has entered into any (i) contract, instruction or written plan for the purchase or sale of securities of the registrant intended to satisfy the affirmative defense conditions of Rule 10b5-1(c) under the Exchange Act or (ii) any non-Rule 10b5-1 trading arrangement.</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0" w:name="page71"/>
    <w:bookmarkEnd w:id="70"/>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Exhibits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this report or hereby incorporated by reference to exhibits previously filed with the SEC:</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12"/>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3.1</w:t>
            </w:r>
          </w:p>
        </w:tc>
        <w:tc>
          <w:tcPr>
            <w:tcW w:w="2180" w:type="dxa"/>
            <w:vAlign w:val="bottom"/>
            <w:gridSpan w:val="4"/>
            <w:vMerge w:val="restart"/>
          </w:tcPr>
          <w:p>
            <w:pPr>
              <w:spacing w:after="0"/>
              <w:rPr>
                <w:rFonts w:ascii="Times New Roman" w:cs="Times New Roman" w:eastAsia="Times New Roman" w:hAnsi="Times New Roman"/>
                <w:sz w:val="13"/>
                <w:szCs w:val="13"/>
                <w:color w:val="0000FF"/>
              </w:rPr>
            </w:pPr>
            <w:hyperlink r:id="rId88">
              <w:r>
                <w:rPr>
                  <w:rFonts w:ascii="Times New Roman" w:cs="Times New Roman" w:eastAsia="Times New Roman" w:hAnsi="Times New Roman"/>
                  <w:sz w:val="13"/>
                  <w:szCs w:val="13"/>
                  <w:color w:val="0000FF"/>
                </w:rPr>
                <w:t>Articles of Amendment and Restatement</w:t>
              </w:r>
            </w:hyperlink>
          </w:p>
        </w:tc>
        <w:tc>
          <w:tcPr>
            <w:tcW w:w="100" w:type="dxa"/>
            <w:vAlign w:val="bottom"/>
            <w:tcBorders>
              <w:bottom w:val="single" w:sz="8" w:color="0000EE"/>
            </w:tcBorders>
            <w:gridSpan w:val="2"/>
          </w:tcPr>
          <w:p>
            <w:pPr>
              <w:jc w:val="right"/>
              <w:spacing w:after="0"/>
              <w:rPr>
                <w:rFonts w:ascii="Times New Roman" w:cs="Times New Roman" w:eastAsia="Times New Roman" w:hAnsi="Times New Roman"/>
                <w:sz w:val="8"/>
                <w:szCs w:val="8"/>
                <w:color w:val="0000FF"/>
                <w:w w:val="85"/>
              </w:rPr>
            </w:pPr>
            <w:hyperlink r:id="rId88">
              <w:r>
                <w:rPr>
                  <w:rFonts w:ascii="Times New Roman" w:cs="Times New Roman" w:eastAsia="Times New Roman" w:hAnsi="Times New Roman"/>
                  <w:sz w:val="8"/>
                  <w:szCs w:val="8"/>
                  <w:color w:val="0000FF"/>
                  <w:w w:val="85"/>
                </w:rPr>
                <w:t>(1)</w:t>
              </w:r>
            </w:hyperlink>
          </w:p>
        </w:tc>
        <w:tc>
          <w:tcPr>
            <w:tcW w:w="6880" w:type="dxa"/>
            <w:vAlign w:val="bottom"/>
            <w:gridSpan w:val="5"/>
            <w:vMerge w:val="restart"/>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180" w:type="dxa"/>
            <w:vAlign w:val="bottom"/>
            <w:tcBorders>
              <w:bottom w:val="single" w:sz="8" w:color="0000EE"/>
            </w:tcBorders>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3.2</w:t>
            </w:r>
          </w:p>
        </w:tc>
        <w:tc>
          <w:tcPr>
            <w:tcW w:w="1280" w:type="dxa"/>
            <w:vAlign w:val="bottom"/>
            <w:vMerge w:val="restart"/>
          </w:tcPr>
          <w:p>
            <w:pPr>
              <w:spacing w:after="0"/>
              <w:rPr>
                <w:rFonts w:ascii="Times New Roman" w:cs="Times New Roman" w:eastAsia="Times New Roman" w:hAnsi="Times New Roman"/>
                <w:sz w:val="13"/>
                <w:szCs w:val="13"/>
                <w:color w:val="0000FF"/>
              </w:rPr>
            </w:pPr>
            <w:hyperlink r:id="rId89">
              <w:r>
                <w:rPr>
                  <w:rFonts w:ascii="Times New Roman" w:cs="Times New Roman" w:eastAsia="Times New Roman" w:hAnsi="Times New Roman"/>
                  <w:sz w:val="13"/>
                  <w:szCs w:val="13"/>
                  <w:color w:val="0000FF"/>
                </w:rPr>
                <w:t>Articles of Amendment</w:t>
              </w:r>
            </w:hyperlink>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7"/>
                <w:szCs w:val="7"/>
                <w:color w:val="0000FF"/>
                <w:w w:val="72"/>
              </w:rPr>
              <w:t>(2)</w:t>
            </w:r>
          </w:p>
        </w:tc>
        <w:tc>
          <w:tcPr>
            <w:tcW w:w="740" w:type="dxa"/>
            <w:vAlign w:val="bottom"/>
            <w:vMerge w:val="restart"/>
          </w:tcPr>
          <w:p>
            <w:pPr>
              <w:spacing w:after="0"/>
              <w:rPr>
                <w:sz w:val="20"/>
                <w:szCs w:val="20"/>
                <w:color w:val="auto"/>
              </w:rPr>
            </w:pPr>
          </w:p>
        </w:tc>
        <w:tc>
          <w:tcPr>
            <w:tcW w:w="100" w:type="dxa"/>
            <w:vAlign w:val="bottom"/>
            <w:gridSpan w:val="2"/>
          </w:tcPr>
          <w:p>
            <w:pPr>
              <w:spacing w:after="0"/>
              <w:rPr>
                <w:sz w:val="20"/>
                <w:szCs w:val="20"/>
                <w:color w:val="auto"/>
              </w:rPr>
            </w:pPr>
          </w:p>
        </w:tc>
        <w:tc>
          <w:tcPr>
            <w:tcW w:w="6960" w:type="dxa"/>
            <w:vAlign w:val="bottom"/>
            <w:gridSpan w:val="6"/>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1280" w:type="dxa"/>
            <w:vAlign w:val="bottom"/>
            <w:tcBorders>
              <w:bottom w:val="single" w:sz="8" w:color="0000EE"/>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0000FF"/>
                <w:w w:val="85"/>
              </w:rPr>
              <w:t>(2)</w:t>
            </w:r>
          </w:p>
        </w:tc>
        <w:tc>
          <w:tcPr>
            <w:tcW w:w="69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3.3</w:t>
            </w:r>
          </w:p>
        </w:tc>
        <w:tc>
          <w:tcPr>
            <w:tcW w:w="2100" w:type="dxa"/>
            <w:vAlign w:val="bottom"/>
            <w:gridSpan w:val="3"/>
            <w:vMerge w:val="restart"/>
          </w:tcPr>
          <w:p>
            <w:pPr>
              <w:spacing w:after="0"/>
              <w:rPr>
                <w:rFonts w:ascii="Times New Roman" w:cs="Times New Roman" w:eastAsia="Times New Roman" w:hAnsi="Times New Roman"/>
                <w:sz w:val="13"/>
                <w:szCs w:val="13"/>
                <w:color w:val="0000FF"/>
              </w:rPr>
            </w:pPr>
            <w:hyperlink r:id="rId90">
              <w:r>
                <w:rPr>
                  <w:rFonts w:ascii="Times New Roman" w:cs="Times New Roman" w:eastAsia="Times New Roman" w:hAnsi="Times New Roman"/>
                  <w:sz w:val="13"/>
                  <w:szCs w:val="13"/>
                  <w:color w:val="0000FF"/>
                </w:rPr>
                <w:t>Second Amended and Restated Bylaws</w:t>
              </w:r>
            </w:hyperlink>
          </w:p>
        </w:tc>
        <w:tc>
          <w:tcPr>
            <w:tcW w:w="100" w:type="dxa"/>
            <w:vAlign w:val="bottom"/>
            <w:tcBorders>
              <w:bottom w:val="single" w:sz="8" w:color="0000EE"/>
            </w:tcBorders>
            <w:gridSpan w:val="2"/>
            <w:vMerge w:val="continue"/>
          </w:tcPr>
          <w:p>
            <w:pPr>
              <w:spacing w:after="0"/>
              <w:rPr>
                <w:sz w:val="20"/>
                <w:szCs w:val="20"/>
                <w:color w:val="auto"/>
              </w:rPr>
            </w:pPr>
          </w:p>
        </w:tc>
        <w:tc>
          <w:tcPr>
            <w:tcW w:w="6960" w:type="dxa"/>
            <w:vAlign w:val="bottom"/>
            <w:gridSpan w:val="6"/>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860" w:type="dxa"/>
            <w:vAlign w:val="bottom"/>
            <w:vMerge w:val="continue"/>
          </w:tcPr>
          <w:p>
            <w:pPr>
              <w:spacing w:after="0"/>
              <w:rPr>
                <w:sz w:val="3"/>
                <w:szCs w:val="3"/>
                <w:color w:val="auto"/>
              </w:rPr>
            </w:pPr>
          </w:p>
        </w:tc>
        <w:tc>
          <w:tcPr>
            <w:tcW w:w="2100" w:type="dxa"/>
            <w:vAlign w:val="bottom"/>
            <w:tcBorders>
              <w:bottom w:val="single" w:sz="8" w:color="0000EE"/>
            </w:tcBorders>
            <w:gridSpan w:val="3"/>
            <w:vMerge w:val="continue"/>
          </w:tcPr>
          <w:p>
            <w:pPr>
              <w:spacing w:after="0"/>
              <w:rPr>
                <w:sz w:val="3"/>
                <w:szCs w:val="3"/>
                <w:color w:val="auto"/>
              </w:rPr>
            </w:pPr>
          </w:p>
        </w:tc>
        <w:tc>
          <w:tcPr>
            <w:tcW w:w="100" w:type="dxa"/>
            <w:vAlign w:val="bottom"/>
            <w:gridSpan w:val="2"/>
          </w:tcPr>
          <w:p>
            <w:pPr>
              <w:spacing w:after="0"/>
              <w:rPr>
                <w:sz w:val="3"/>
                <w:szCs w:val="3"/>
                <w:color w:val="auto"/>
              </w:rPr>
            </w:pPr>
          </w:p>
        </w:tc>
        <w:tc>
          <w:tcPr>
            <w:tcW w:w="696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31.1</w:t>
            </w:r>
          </w:p>
        </w:tc>
        <w:tc>
          <w:tcPr>
            <w:tcW w:w="9160" w:type="dxa"/>
            <w:vAlign w:val="bottom"/>
            <w:gridSpan w:val="11"/>
          </w:tcPr>
          <w:p>
            <w:pPr>
              <w:spacing w:after="0" w:line="150"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Rule 13a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14 of the Securities Exchange Act of 1934, as amended*</w:t>
              </w:r>
            </w:hyperlink>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31.2</w:t>
            </w:r>
          </w:p>
        </w:tc>
        <w:tc>
          <w:tcPr>
            <w:tcW w:w="6260" w:type="dxa"/>
            <w:vAlign w:val="bottom"/>
            <w:tcBorders>
              <w:top w:val="single" w:sz="8" w:color="0000EE"/>
            </w:tcBorders>
            <w:gridSpan w:val="10"/>
          </w:tcPr>
          <w:p>
            <w:pPr>
              <w:spacing w:after="0" w:line="150" w:lineRule="exact"/>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Rule 13a</w:t>
              </w:r>
              <w:r>
                <w:rPr>
                  <w:rFonts w:ascii="MS PGothic" w:cs="MS PGothic" w:eastAsia="MS PGothic" w:hAnsi="MS PGothic"/>
                  <w:sz w:val="13"/>
                  <w:szCs w:val="13"/>
                  <w:color w:val="0000FF"/>
                </w:rPr>
                <w:t>‑</w:t>
              </w:r>
              <w:r>
                <w:rPr>
                  <w:rFonts w:ascii="Times New Roman" w:cs="Times New Roman" w:eastAsia="Times New Roman" w:hAnsi="Times New Roman"/>
                  <w:sz w:val="13"/>
                  <w:szCs w:val="13"/>
                  <w:color w:val="0000FF"/>
                </w:rPr>
                <w:t>14 of the Securities Exchange Act of 1934, as amended*</w:t>
              </w:r>
            </w:hyperlink>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32.1</w:t>
            </w:r>
          </w:p>
        </w:tc>
        <w:tc>
          <w:tcPr>
            <w:tcW w:w="6220" w:type="dxa"/>
            <w:vAlign w:val="bottom"/>
            <w:tcBorders>
              <w:top w:val="single" w:sz="8" w:color="0000EE"/>
            </w:tcBorders>
            <w:gridSpan w:val="9"/>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Executive Officer pursuant to Section 906 of the Sarbanes-Oxley Act of 2002*</w:t>
              </w:r>
            </w:hyperlink>
          </w:p>
        </w:tc>
        <w:tc>
          <w:tcPr>
            <w:tcW w:w="29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32.2</w:t>
            </w:r>
          </w:p>
        </w:tc>
        <w:tc>
          <w:tcPr>
            <w:tcW w:w="530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3"/>
                <w:szCs w:val="13"/>
                <w:color w:val="0000FF"/>
              </w:rPr>
            </w:pPr>
            <w:hyperlink w:anchor="page1">
              <w:r>
                <w:rPr>
                  <w:rFonts w:ascii="Times New Roman" w:cs="Times New Roman" w:eastAsia="Times New Roman" w:hAnsi="Times New Roman"/>
                  <w:sz w:val="13"/>
                  <w:szCs w:val="13"/>
                  <w:color w:val="0000FF"/>
                </w:rPr>
                <w:t>Certification of Chief Financial Officer pursuant to Section 906 of the Sarbanes-Oxley Act of 2002*</w:t>
              </w:r>
            </w:hyperlink>
          </w:p>
        </w:tc>
        <w:tc>
          <w:tcPr>
            <w:tcW w:w="20" w:type="dxa"/>
            <w:vAlign w:val="bottom"/>
            <w:tcBorders>
              <w:top w:val="single" w:sz="8" w:color="0000EE"/>
            </w:tcBorders>
          </w:tcPr>
          <w:p>
            <w:pPr>
              <w:spacing w:after="0"/>
              <w:rPr>
                <w:sz w:val="24"/>
                <w:szCs w:val="24"/>
                <w:color w:val="auto"/>
              </w:rPr>
            </w:pPr>
          </w:p>
        </w:tc>
        <w:tc>
          <w:tcPr>
            <w:tcW w:w="3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916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348"/>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916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Inline XBRL Taxonomy Extension Schema With Embedded Linkbase Documents *</w:t>
            </w:r>
          </w:p>
        </w:tc>
        <w:tc>
          <w:tcPr>
            <w:tcW w:w="0" w:type="dxa"/>
            <w:vAlign w:val="bottom"/>
          </w:tcPr>
          <w:p>
            <w:pPr>
              <w:spacing w:after="0"/>
              <w:rPr>
                <w:sz w:val="1"/>
                <w:szCs w:val="1"/>
                <w:color w:val="auto"/>
              </w:rPr>
            </w:pPr>
          </w:p>
        </w:tc>
      </w:tr>
      <w:tr>
        <w:trPr>
          <w:trHeight w:val="312"/>
        </w:trPr>
        <w:tc>
          <w:tcPr>
            <w:tcW w:w="8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9160" w:type="dxa"/>
            <w:vAlign w:val="bottom"/>
            <w:gridSpan w:val="11"/>
          </w:tcPr>
          <w:p>
            <w:pPr>
              <w:spacing w:after="0"/>
              <w:rPr>
                <w:sz w:val="20"/>
                <w:szCs w:val="20"/>
                <w:color w:val="auto"/>
              </w:rPr>
            </w:pPr>
            <w:r>
              <w:rPr>
                <w:rFonts w:ascii="Times New Roman" w:cs="Times New Roman" w:eastAsia="Times New Roman" w:hAnsi="Times New Roman"/>
                <w:sz w:val="13"/>
                <w:szCs w:val="13"/>
                <w:color w:val="auto"/>
              </w:rPr>
              <w:t>The cover page from the Company's Quarterly Report on Form 10-Q for the quarter ended June 30, 2025 has been formatted in Inline XBRL.*</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600" w:hanging="207"/>
        <w:spacing w:after="0"/>
        <w:tabs>
          <w:tab w:leader="none" w:pos="6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3"/>
          <w:szCs w:val="13"/>
          <w:color w:val="auto"/>
        </w:rPr>
        <w:t>Filed herewith.</w:t>
      </w:r>
    </w:p>
    <w:p>
      <w:pPr>
        <w:spacing w:after="0" w:line="79"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December 19, 2016.</w:t>
      </w:r>
    </w:p>
    <w:p>
      <w:pPr>
        <w:spacing w:after="0" w:line="104" w:lineRule="exact"/>
        <w:rPr>
          <w:sz w:val="20"/>
          <w:szCs w:val="20"/>
          <w:color w:val="auto"/>
        </w:rPr>
      </w:pPr>
    </w:p>
    <w:p>
      <w:pPr>
        <w:ind w:left="360"/>
        <w:spacing w:after="0" w:line="184" w:lineRule="exact"/>
        <w:rPr>
          <w:sz w:val="20"/>
          <w:szCs w:val="20"/>
          <w:color w:val="auto"/>
        </w:rPr>
      </w:pPr>
      <w:r>
        <w:rPr>
          <w:rFonts w:ascii="Times New Roman" w:cs="Times New Roman" w:eastAsia="Times New Roman" w:hAnsi="Times New Roman"/>
          <w:sz w:val="16"/>
          <w:szCs w:val="16"/>
          <w:color w:val="auto"/>
        </w:rPr>
        <w:t>(2)</w:t>
      </w:r>
      <w:r>
        <w:rPr>
          <w:rFonts w:ascii="Times New Roman" w:cs="Times New Roman" w:eastAsia="Times New Roman" w:hAnsi="Times New Roman"/>
          <w:sz w:val="13"/>
          <w:szCs w:val="13"/>
          <w:color w:val="auto"/>
        </w:rPr>
        <w:t>Previously filed as an exhibit to the Registrant’s Current Report on Form 8</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K filed with the SEC on August 19, 2021.</w:t>
      </w: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419735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020"/>
          </w:cols>
          <w:pgMar w:left="660" w:top="555" w:right="1220" w:bottom="1440" w:gutter="0" w:footer="0" w:header="0"/>
        </w:sectPr>
      </w:pPr>
    </w:p>
    <w:bookmarkStart w:id="71" w:name="page72"/>
    <w:bookmarkEnd w:id="71"/>
    <w:p>
      <w:pPr>
        <w:spacing w:after="0"/>
        <w:rPr>
          <w:rFonts w:ascii="Times New Roman" w:cs="Times New Roman" w:eastAsia="Times New Roman" w:hAnsi="Times New Roman"/>
          <w:sz w:val="16"/>
          <w:szCs w:val="16"/>
          <w:b w:val="1"/>
          <w:bCs w:val="1"/>
          <w:color w:val="0000FF"/>
        </w:rPr>
      </w:pPr>
      <w:hyperlink w:anchor="page2">
        <w:r>
          <w:rPr>
            <w:rFonts w:ascii="Times New Roman" w:cs="Times New Roman" w:eastAsia="Times New Roman" w:hAnsi="Times New Roman"/>
            <w:sz w:val="16"/>
            <w:szCs w:val="16"/>
            <w:b w:val="1"/>
            <w:bCs w:val="1"/>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90"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7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6"/>
          <w:szCs w:val="16"/>
          <w:b w:val="1"/>
          <w:bCs w:val="1"/>
          <w:color w:val="auto"/>
        </w:rPr>
        <w:t>RUNWAY GROWTH FINANCE CORP.</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August 7, 2025</w:t>
      </w:r>
    </w:p>
    <w:tbl>
      <w:tblPr>
        <w:tblLayout w:type="fixed"/>
        <w:tblInd w:w="0" w:type="dxa"/>
        <w:tblCellMar>
          <w:top w:w="0" w:type="dxa"/>
          <w:left w:w="0" w:type="dxa"/>
          <w:bottom w:w="0" w:type="dxa"/>
          <w:right w:w="0" w:type="dxa"/>
        </w:tblCellMar>
      </w:tblPr>
      <w:tr>
        <w:trPr>
          <w:trHeight w:val="175"/>
        </w:trPr>
        <w:tc>
          <w:tcPr>
            <w:tcW w:w="3280" w:type="dxa"/>
            <w:vAlign w:val="bottom"/>
          </w:tcPr>
          <w:p>
            <w:pPr>
              <w:spacing w:after="0"/>
              <w:rPr>
                <w:sz w:val="15"/>
                <w:szCs w:val="15"/>
                <w:color w:val="auto"/>
              </w:rPr>
            </w:pPr>
          </w:p>
        </w:tc>
        <w:tc>
          <w:tcPr>
            <w:tcW w:w="7280" w:type="dxa"/>
            <w:vAlign w:val="bottom"/>
            <w:gridSpan w:val="2"/>
          </w:tcPr>
          <w:p>
            <w:pPr>
              <w:ind w:left="2120"/>
              <w:spacing w:after="0" w:line="175" w:lineRule="exact"/>
              <w:rPr>
                <w:sz w:val="20"/>
                <w:szCs w:val="20"/>
                <w:color w:val="auto"/>
              </w:rPr>
            </w:pPr>
            <w:r>
              <w:rPr>
                <w:rFonts w:ascii="Times New Roman" w:cs="Times New Roman" w:eastAsia="Times New Roman" w:hAnsi="Times New Roman"/>
                <w:sz w:val="16"/>
                <w:szCs w:val="16"/>
                <w:color w:val="auto"/>
              </w:rPr>
              <w:t>By: /s/ R. David Spreng</w:t>
            </w:r>
          </w:p>
        </w:tc>
      </w:tr>
      <w:tr>
        <w:trPr>
          <w:trHeight w:val="159"/>
        </w:trPr>
        <w:tc>
          <w:tcPr>
            <w:tcW w:w="3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8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R. David Spreng</w:t>
            </w:r>
          </w:p>
        </w:tc>
      </w:tr>
      <w:tr>
        <w:trPr>
          <w:trHeight w:val="180"/>
        </w:trPr>
        <w:tc>
          <w:tcPr>
            <w:tcW w:w="3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President, Chief Executive Officer</w:t>
            </w:r>
          </w:p>
        </w:tc>
      </w:tr>
      <w:tr>
        <w:trPr>
          <w:trHeight w:val="203"/>
        </w:trPr>
        <w:tc>
          <w:tcPr>
            <w:tcW w:w="3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350"/>
        </w:trPr>
        <w:tc>
          <w:tcPr>
            <w:tcW w:w="32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7280" w:type="dxa"/>
            <w:vAlign w:val="bottom"/>
            <w:gridSpan w:val="2"/>
          </w:tcPr>
          <w:p>
            <w:pPr>
              <w:ind w:left="2120"/>
              <w:spacing w:after="0"/>
              <w:rPr>
                <w:sz w:val="20"/>
                <w:szCs w:val="20"/>
                <w:color w:val="auto"/>
              </w:rPr>
            </w:pPr>
            <w:r>
              <w:rPr>
                <w:rFonts w:ascii="Times New Roman" w:cs="Times New Roman" w:eastAsia="Times New Roman" w:hAnsi="Times New Roman"/>
                <w:sz w:val="16"/>
                <w:szCs w:val="16"/>
                <w:color w:val="auto"/>
              </w:rPr>
              <w:t>By: /s/ Thomas B. Raterman</w:t>
            </w:r>
          </w:p>
        </w:tc>
      </w:tr>
      <w:tr>
        <w:trPr>
          <w:trHeight w:val="159"/>
        </w:trPr>
        <w:tc>
          <w:tcPr>
            <w:tcW w:w="32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48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6"/>
                <w:szCs w:val="16"/>
                <w:color w:val="auto"/>
              </w:rPr>
              <w:t>Thomas B. Raterman</w:t>
            </w:r>
          </w:p>
        </w:tc>
      </w:tr>
      <w:tr>
        <w:trPr>
          <w:trHeight w:val="180"/>
        </w:trPr>
        <w:tc>
          <w:tcPr>
            <w:tcW w:w="3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4840" w:type="dxa"/>
            <w:vAlign w:val="bottom"/>
          </w:tcPr>
          <w:p>
            <w:pPr>
              <w:spacing w:after="0" w:line="180" w:lineRule="exact"/>
              <w:rPr>
                <w:sz w:val="20"/>
                <w:szCs w:val="20"/>
                <w:color w:val="auto"/>
              </w:rPr>
            </w:pPr>
            <w:r>
              <w:rPr>
                <w:rFonts w:ascii="Times New Roman" w:cs="Times New Roman" w:eastAsia="Times New Roman" w:hAnsi="Times New Roman"/>
                <w:sz w:val="16"/>
                <w:szCs w:val="16"/>
                <w:color w:val="auto"/>
              </w:rPr>
              <w:t>Chief Financial Officer, Treasurer and Secretary</w:t>
            </w:r>
          </w:p>
        </w:tc>
      </w:tr>
      <w:tr>
        <w:trPr>
          <w:trHeight w:val="203"/>
        </w:trPr>
        <w:tc>
          <w:tcPr>
            <w:tcW w:w="32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tc>
      </w:tr>
      <w:tr>
        <w:trPr>
          <w:trHeight w:val="576"/>
        </w:trPr>
        <w:tc>
          <w:tcPr>
            <w:tcW w:w="3280" w:type="dxa"/>
            <w:vAlign w:val="bottom"/>
          </w:tcPr>
          <w:p>
            <w:pPr>
              <w:spacing w:after="0"/>
              <w:rPr>
                <w:sz w:val="24"/>
                <w:szCs w:val="24"/>
                <w:color w:val="auto"/>
              </w:rPr>
            </w:pPr>
          </w:p>
        </w:tc>
        <w:tc>
          <w:tcPr>
            <w:tcW w:w="2440" w:type="dxa"/>
            <w:vAlign w:val="bottom"/>
          </w:tcPr>
          <w:p>
            <w:pPr>
              <w:jc w:val="right"/>
              <w:ind w:right="282"/>
              <w:spacing w:after="0"/>
              <w:rPr>
                <w:sz w:val="20"/>
                <w:szCs w:val="20"/>
                <w:color w:val="auto"/>
              </w:rPr>
            </w:pPr>
            <w:r>
              <w:rPr>
                <w:rFonts w:ascii="Times New Roman" w:cs="Times New Roman" w:eastAsia="Times New Roman" w:hAnsi="Times New Roman"/>
                <w:sz w:val="16"/>
                <w:szCs w:val="16"/>
                <w:color w:val="auto"/>
              </w:rPr>
              <w:t>70</w:t>
            </w:r>
          </w:p>
        </w:tc>
        <w:tc>
          <w:tcPr>
            <w:tcW w:w="4840" w:type="dxa"/>
            <w:vAlign w:val="bottom"/>
          </w:tcPr>
          <w:p>
            <w:pPr>
              <w:spacing w:after="0"/>
              <w:rPr>
                <w:sz w:val="24"/>
                <w:szCs w:val="24"/>
                <w:color w:val="auto"/>
              </w:rPr>
            </w:pPr>
          </w:p>
        </w:tc>
      </w:tr>
      <w:tr>
        <w:trPr>
          <w:trHeight w:val="674"/>
        </w:trPr>
        <w:tc>
          <w:tcPr>
            <w:tcW w:w="3280" w:type="dxa"/>
            <w:vAlign w:val="bottom"/>
            <w:tcBorders>
              <w:bottom w:val="single" w:sz="8" w:color="EEEEEE"/>
            </w:tcBorders>
          </w:tcPr>
          <w:p>
            <w:pPr>
              <w:spacing w:after="0"/>
              <w:rPr>
                <w:sz w:val="24"/>
                <w:szCs w:val="24"/>
                <w:color w:val="auto"/>
              </w:rPr>
            </w:pPr>
          </w:p>
        </w:tc>
        <w:tc>
          <w:tcPr>
            <w:tcW w:w="2440" w:type="dxa"/>
            <w:vAlign w:val="bottom"/>
            <w:tcBorders>
              <w:bottom w:val="single" w:sz="8" w:color="EEEEEE"/>
            </w:tcBorders>
          </w:tcPr>
          <w:p>
            <w:pPr>
              <w:spacing w:after="0"/>
              <w:rPr>
                <w:sz w:val="24"/>
                <w:szCs w:val="24"/>
                <w:color w:val="auto"/>
              </w:rPr>
            </w:pPr>
          </w:p>
        </w:tc>
        <w:tc>
          <w:tcPr>
            <w:tcW w:w="484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5" w:right="680"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R. David Spreng, as Chief Executive Officer,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Runway Growth Finance Corp.;</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31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R. David Spreng</w:t>
            </w:r>
          </w:p>
        </w:tc>
      </w:tr>
      <w:tr>
        <w:trPr>
          <w:trHeight w:val="180"/>
        </w:trPr>
        <w:tc>
          <w:tcPr>
            <w:tcW w:w="33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R. David Spreng</w:t>
            </w:r>
          </w:p>
        </w:tc>
      </w:tr>
      <w:tr>
        <w:trPr>
          <w:trHeight w:val="205"/>
        </w:trPr>
        <w:tc>
          <w:tcPr>
            <w:tcW w:w="3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w w:val="96"/>
              </w:rPr>
              <w:t>Chief Executive Officer</w:t>
            </w:r>
          </w:p>
        </w:tc>
      </w:tr>
      <w:tr>
        <w:trPr>
          <w:trHeight w:val="1226"/>
        </w:trPr>
        <w:tc>
          <w:tcPr>
            <w:tcW w:w="3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Thomas B. Raterman, as Chief Financial Officer, certify that: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1.I have reviewed this quarterly report on Form 10-Q of Runway Growth Finance Corp.;</w:t>
      </w:r>
    </w:p>
    <w:p>
      <w:pPr>
        <w:spacing w:after="0" w:line="18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6"/>
          <w:szCs w:val="16"/>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4.The registrant's other certifying officer(s) and I are responsible for establishing and maintaining disclosure controls and procedures (as defined in Exchange Act Rules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0" w:lineRule="exact"/>
        <w:rPr>
          <w:sz w:val="20"/>
          <w:szCs w:val="20"/>
          <w:color w:val="auto"/>
        </w:rPr>
      </w:pPr>
    </w:p>
    <w:p>
      <w:pPr>
        <w:ind w:left="480" w:right="80"/>
        <w:spacing w:after="0" w:line="247" w:lineRule="auto"/>
        <w:rPr>
          <w:sz w:val="20"/>
          <w:szCs w:val="20"/>
          <w:color w:val="auto"/>
        </w:rPr>
      </w:pPr>
      <w:r>
        <w:rPr>
          <w:rFonts w:ascii="Times New Roman" w:cs="Times New Roman" w:eastAsia="Times New Roman" w:hAnsi="Times New Roman"/>
          <w:sz w:val="16"/>
          <w:szCs w:val="16"/>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sz w:val="20"/>
          <w:szCs w:val="20"/>
          <w:color w:val="auto"/>
        </w:rPr>
      </w:pPr>
    </w:p>
    <w:p>
      <w:pPr>
        <w:ind w:left="480" w:right="140"/>
        <w:spacing w:after="0" w:line="247" w:lineRule="auto"/>
        <w:rPr>
          <w:sz w:val="20"/>
          <w:szCs w:val="20"/>
          <w:color w:val="auto"/>
        </w:rPr>
      </w:pPr>
      <w:r>
        <w:rPr>
          <w:rFonts w:ascii="Times New Roman" w:cs="Times New Roman" w:eastAsia="Times New Roman" w:hAnsi="Times New Roman"/>
          <w:sz w:val="16"/>
          <w:szCs w:val="16"/>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ind w:left="480" w:right="300"/>
        <w:spacing w:after="0" w:line="259" w:lineRule="auto"/>
        <w:rPr>
          <w:sz w:val="20"/>
          <w:szCs w:val="20"/>
          <w:color w:val="auto"/>
        </w:rPr>
      </w:pPr>
      <w:r>
        <w:rPr>
          <w:rFonts w:ascii="Times New Roman" w:cs="Times New Roman" w:eastAsia="Times New Roman" w:hAnsi="Times New Roman"/>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sz w:val="20"/>
          <w:szCs w:val="20"/>
          <w:color w:val="auto"/>
        </w:rPr>
      </w:pPr>
    </w:p>
    <w:p>
      <w:pPr>
        <w:ind w:left="480" w:right="240"/>
        <w:spacing w:after="0" w:line="247" w:lineRule="auto"/>
        <w:rPr>
          <w:sz w:val="20"/>
          <w:szCs w:val="20"/>
          <w:color w:val="auto"/>
        </w:rPr>
      </w:pPr>
      <w:r>
        <w:rPr>
          <w:rFonts w:ascii="Times New Roman" w:cs="Times New Roman" w:eastAsia="Times New Roman" w:hAnsi="Times New Roman"/>
          <w:sz w:val="16"/>
          <w:szCs w:val="16"/>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ind w:right="420"/>
        <w:spacing w:after="0" w:line="259" w:lineRule="auto"/>
        <w:rPr>
          <w:sz w:val="20"/>
          <w:szCs w:val="20"/>
          <w:color w:val="auto"/>
        </w:rPr>
      </w:pPr>
      <w:r>
        <w:rPr>
          <w:rFonts w:ascii="Times New Roman" w:cs="Times New Roman" w:eastAsia="Times New Roman" w:hAnsi="Times New Roman"/>
          <w:sz w:val="16"/>
          <w:szCs w:val="16"/>
          <w:color w:val="auto"/>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sz w:val="20"/>
          <w:szCs w:val="20"/>
          <w:color w:val="auto"/>
        </w:rPr>
      </w:pPr>
    </w:p>
    <w:p>
      <w:pPr>
        <w:ind w:left="480" w:right="440"/>
        <w:spacing w:after="0" w:line="259" w:lineRule="auto"/>
        <w:rPr>
          <w:sz w:val="20"/>
          <w:szCs w:val="20"/>
          <w:color w:val="auto"/>
        </w:rPr>
      </w:pPr>
      <w:r>
        <w:rPr>
          <w:rFonts w:ascii="Times New Roman" w:cs="Times New Roman" w:eastAsia="Times New Roman" w:hAnsi="Times New Roman"/>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sz w:val="20"/>
          <w:szCs w:val="20"/>
          <w:color w:val="auto"/>
        </w:rPr>
      </w:pPr>
    </w:p>
    <w:p>
      <w:pPr>
        <w:ind w:left="480" w:right="80"/>
        <w:spacing w:after="0" w:line="259" w:lineRule="auto"/>
        <w:rPr>
          <w:sz w:val="20"/>
          <w:szCs w:val="20"/>
          <w:color w:val="auto"/>
        </w:rPr>
      </w:pPr>
      <w:r>
        <w:rPr>
          <w:rFonts w:ascii="Times New Roman" w:cs="Times New Roman" w:eastAsia="Times New Roman" w:hAnsi="Times New Roman"/>
          <w:sz w:val="16"/>
          <w:szCs w:val="16"/>
          <w:color w:val="auto"/>
        </w:rPr>
        <w:t>(b)Any fraud, whether or not material, that involves management or other employees who have a significant role in the registrant's internal control over financial reporting.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31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Thomas B. Raterman</w:t>
            </w:r>
          </w:p>
        </w:tc>
      </w:tr>
      <w:tr>
        <w:trPr>
          <w:trHeight w:val="180"/>
        </w:trPr>
        <w:tc>
          <w:tcPr>
            <w:tcW w:w="33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Thomas B. Raterman</w:t>
            </w:r>
          </w:p>
        </w:tc>
      </w:tr>
      <w:tr>
        <w:trPr>
          <w:trHeight w:val="205"/>
        </w:trPr>
        <w:tc>
          <w:tcPr>
            <w:tcW w:w="3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1034"/>
        </w:trPr>
        <w:tc>
          <w:tcPr>
            <w:tcW w:w="3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right="8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Runway Growth Finance Corp. (the “Company”) on Form 10-Q for the period ended June 30, 2025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31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R. David Spreng</w:t>
            </w:r>
          </w:p>
        </w:tc>
      </w:tr>
      <w:tr>
        <w:trPr>
          <w:trHeight w:val="180"/>
        </w:trPr>
        <w:tc>
          <w:tcPr>
            <w:tcW w:w="33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7"/>
              </w:rPr>
              <w:t>R. David Spreng</w:t>
            </w:r>
          </w:p>
        </w:tc>
      </w:tr>
      <w:tr>
        <w:trPr>
          <w:trHeight w:val="205"/>
        </w:trPr>
        <w:tc>
          <w:tcPr>
            <w:tcW w:w="3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Pr>
          <w:p>
            <w:pPr>
              <w:jc w:val="center"/>
              <w:ind w:right="722"/>
              <w:spacing w:after="0"/>
              <w:rPr>
                <w:sz w:val="20"/>
                <w:szCs w:val="20"/>
                <w:color w:val="auto"/>
              </w:rPr>
            </w:pPr>
            <w:r>
              <w:rPr>
                <w:rFonts w:ascii="Times New Roman" w:cs="Times New Roman" w:eastAsia="Times New Roman" w:hAnsi="Times New Roman"/>
                <w:sz w:val="16"/>
                <w:szCs w:val="16"/>
                <w:b w:val="1"/>
                <w:bCs w:val="1"/>
                <w:color w:val="auto"/>
                <w:w w:val="96"/>
              </w:rPr>
              <w:t>Chief Executive Officer</w:t>
            </w:r>
          </w:p>
        </w:tc>
      </w:tr>
      <w:tr>
        <w:trPr>
          <w:trHeight w:val="1034"/>
        </w:trPr>
        <w:tc>
          <w:tcPr>
            <w:tcW w:w="3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1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6"/>
          <w:szCs w:val="16"/>
          <w:b w:val="1"/>
          <w:bCs w:val="1"/>
          <w:color w:val="auto"/>
        </w:rPr>
        <w:t>18 U.S.C. SECTION 1350, AS ADOPTED PURSUANT TO</w:t>
      </w:r>
    </w:p>
    <w:p>
      <w:pPr>
        <w:ind w:left="3260"/>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0" w:lineRule="exact"/>
        <w:rPr>
          <w:sz w:val="20"/>
          <w:szCs w:val="20"/>
          <w:color w:val="auto"/>
        </w:rPr>
      </w:pPr>
    </w:p>
    <w:p>
      <w:pPr>
        <w:jc w:val="both"/>
        <w:ind w:right="80" w:firstLine="468"/>
        <w:spacing w:after="0" w:line="247" w:lineRule="auto"/>
        <w:rPr>
          <w:sz w:val="20"/>
          <w:szCs w:val="20"/>
          <w:color w:val="auto"/>
        </w:rPr>
      </w:pPr>
      <w:r>
        <w:rPr>
          <w:rFonts w:ascii="Times New Roman" w:cs="Times New Roman" w:eastAsia="Times New Roman" w:hAnsi="Times New Roman"/>
          <w:sz w:val="16"/>
          <w:szCs w:val="16"/>
          <w:color w:val="auto"/>
        </w:rPr>
        <w:t>In connection with the Quarterly Report of Runway Growth Finance Corp. (the “Company”) on Form 10-Q for the period ended June 30, 2025 as filed with the Securities and 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(1)The Report fully complies with the requirements of section 13(a) or 15(d) of the Securities Exchange Act of 1934; and</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(2)The information contained in the Report fairly presents, in all material respects, the financial condition and result of operations of the Company.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Date: August 7, 2025</w:t>
            </w:r>
          </w:p>
        </w:tc>
        <w:tc>
          <w:tcPr>
            <w:tcW w:w="3100" w:type="dxa"/>
            <w:vAlign w:val="bottom"/>
          </w:tcPr>
          <w:p>
            <w:pPr>
              <w:ind w:left="1980"/>
              <w:spacing w:after="0"/>
              <w:rPr>
                <w:sz w:val="20"/>
                <w:szCs w:val="20"/>
                <w:color w:val="auto"/>
              </w:rPr>
            </w:pPr>
            <w:r>
              <w:rPr>
                <w:rFonts w:ascii="Times New Roman" w:cs="Times New Roman" w:eastAsia="Times New Roman" w:hAnsi="Times New Roman"/>
                <w:sz w:val="16"/>
                <w:szCs w:val="16"/>
                <w:color w:val="auto"/>
              </w:rPr>
              <w:t>By:</w:t>
            </w: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color w:val="auto"/>
                <w:w w:val="96"/>
              </w:rPr>
              <w:t>/s/ Thomas B. Raterman</w:t>
            </w:r>
          </w:p>
        </w:tc>
      </w:tr>
      <w:tr>
        <w:trPr>
          <w:trHeight w:val="180"/>
        </w:trPr>
        <w:tc>
          <w:tcPr>
            <w:tcW w:w="33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120" w:type="dxa"/>
            <w:vAlign w:val="bottom"/>
          </w:tcPr>
          <w:p>
            <w:pPr>
              <w:jc w:val="center"/>
              <w:ind w:right="702"/>
              <w:spacing w:after="0" w:line="180" w:lineRule="exact"/>
              <w:rPr>
                <w:sz w:val="20"/>
                <w:szCs w:val="20"/>
                <w:color w:val="auto"/>
              </w:rPr>
            </w:pPr>
            <w:r>
              <w:rPr>
                <w:rFonts w:ascii="Times New Roman" w:cs="Times New Roman" w:eastAsia="Times New Roman" w:hAnsi="Times New Roman"/>
                <w:sz w:val="16"/>
                <w:szCs w:val="16"/>
                <w:b w:val="1"/>
                <w:bCs w:val="1"/>
                <w:color w:val="auto"/>
                <w:w w:val="96"/>
              </w:rPr>
              <w:t>Thomas B. Raterman</w:t>
            </w:r>
          </w:p>
        </w:tc>
      </w:tr>
      <w:tr>
        <w:trPr>
          <w:trHeight w:val="205"/>
        </w:trPr>
        <w:tc>
          <w:tcPr>
            <w:tcW w:w="33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4120" w:type="dxa"/>
            <w:vAlign w:val="bottom"/>
          </w:tcPr>
          <w:p>
            <w:pPr>
              <w:jc w:val="center"/>
              <w:ind w:right="702"/>
              <w:spacing w:after="0"/>
              <w:rPr>
                <w:sz w:val="20"/>
                <w:szCs w:val="20"/>
                <w:color w:val="auto"/>
              </w:rPr>
            </w:pPr>
            <w:r>
              <w:rPr>
                <w:rFonts w:ascii="Times New Roman" w:cs="Times New Roman" w:eastAsia="Times New Roman" w:hAnsi="Times New Roman"/>
                <w:sz w:val="16"/>
                <w:szCs w:val="16"/>
                <w:b w:val="1"/>
                <w:bCs w:val="1"/>
                <w:color w:val="auto"/>
                <w:w w:val="97"/>
              </w:rPr>
              <w:t>Chief Financial Officer</w:t>
            </w:r>
          </w:p>
        </w:tc>
      </w:tr>
      <w:tr>
        <w:trPr>
          <w:trHeight w:val="1226"/>
        </w:trPr>
        <w:tc>
          <w:tcPr>
            <w:tcW w:w="3340" w:type="dxa"/>
            <w:vAlign w:val="bottom"/>
            <w:tcBorders>
              <w:bottom w:val="single" w:sz="8" w:color="EEEEEE"/>
            </w:tcBorders>
          </w:tcPr>
          <w:p>
            <w:pPr>
              <w:spacing w:after="0"/>
              <w:rPr>
                <w:sz w:val="24"/>
                <w:szCs w:val="24"/>
                <w:color w:val="auto"/>
              </w:rPr>
            </w:pPr>
          </w:p>
        </w:tc>
        <w:tc>
          <w:tcPr>
            <w:tcW w:w="3100" w:type="dxa"/>
            <w:vAlign w:val="bottom"/>
            <w:tcBorders>
              <w:bottom w:val="single" w:sz="8" w:color="EEEEEE"/>
            </w:tcBorders>
          </w:tcPr>
          <w:p>
            <w:pPr>
              <w:spacing w:after="0"/>
              <w:rPr>
                <w:sz w:val="24"/>
                <w:szCs w:val="24"/>
                <w:color w:val="auto"/>
              </w:rPr>
            </w:pPr>
          </w:p>
        </w:tc>
        <w:tc>
          <w:tcPr>
            <w:tcW w:w="4120" w:type="dxa"/>
            <w:vAlign w:val="bottom"/>
            <w:tcBorders>
              <w:bottom w:val="single" w:sz="8" w:color="EEEEEE"/>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131" w:right="660" w:bottom="1440" w:gutter="0" w:footer="0" w:header="0"/>
        </w:sectPr>
      </w:pPr>
    </w:p>
    <w:bookmarkStart w:id="76" w:name="page77"/>
    <w:bookmarkEnd w:id="76"/>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4"/>
      <w:numFmt w:val="bullet"/>
      <w:start w:val="1"/>
    </w:lvl>
  </w:abstractNum>
  <w:abstractNum w:abstractNumId="9">
    <w:nsid w:val="1F16E9E8"/>
    <w:multiLevelType w:val="hybridMultilevel"/>
    <w:lvl w:ilvl="0">
      <w:lvlJc w:val="left"/>
      <w:lvlText w:val="5"/>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88" Type="http://schemas.openxmlformats.org/officeDocument/2006/relationships/hyperlink" Target="https://www.sec.gov/Archives/edgar/data/1653384/000114420416140270/v454968_ex3-1.htm" TargetMode="External"/><Relationship Id="rId89" Type="http://schemas.openxmlformats.org/officeDocument/2006/relationships/hyperlink" Target="https://www.sec.gov/Archives/edgar/data/0001653384/000165338421000016/rgc-20210819ex31cb84ffa.htm" TargetMode="External"/><Relationship Id="rId90" Type="http://schemas.openxmlformats.org/officeDocument/2006/relationships/hyperlink" Target="https://www.sec.gov/Archives/edgar/data/0001653384/000165338421000016/rgc-20210819ex32804659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2025-08-07T15:16:36Z</dcterms:created>
  <dcterms:modified xsi:type="dcterms:W3CDTF">2025-08-07T15:16:36Z</dcterms:modified>
</cp:coreProperties>
</file>